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4"/>
          <w:szCs w:val="24"/>
          <w:color w:val="auto"/>
        </w:rPr>
      </w:pPr>
    </w:p>
    <w:p>
      <w:pPr>
        <w:ind w:left="3740"/>
        <w:spacing w:after="0"/>
        <w:rPr>
          <w:sz w:val="20"/>
          <w:szCs w:val="20"/>
          <w:color w:val="auto"/>
        </w:rPr>
      </w:pPr>
      <w:r>
        <w:rPr>
          <w:rFonts w:ascii="Arial" w:cs="Arial" w:eastAsia="Arial" w:hAnsi="Arial"/>
          <w:sz w:val="13"/>
          <w:szCs w:val="13"/>
          <w:b w:val="1"/>
          <w:bCs w:val="1"/>
          <w:color w:val="auto"/>
        </w:rPr>
        <w:t>As filed with the Securities and Exchange Commission on July 9, 2021.</w:t>
      </w:r>
    </w:p>
    <w:p>
      <w:pPr>
        <w:spacing w:after="0" w:line="75" w:lineRule="exact"/>
        <w:rPr>
          <w:sz w:val="24"/>
          <w:szCs w:val="24"/>
          <w:color w:val="auto"/>
        </w:rPr>
      </w:pPr>
    </w:p>
    <w:p>
      <w:pPr>
        <w:ind w:left="8920"/>
        <w:spacing w:after="0"/>
        <w:rPr>
          <w:sz w:val="20"/>
          <w:szCs w:val="20"/>
          <w:color w:val="auto"/>
        </w:rPr>
      </w:pPr>
      <w:r>
        <w:rPr>
          <w:rFonts w:ascii="Arial" w:cs="Arial" w:eastAsia="Arial" w:hAnsi="Arial"/>
          <w:sz w:val="13"/>
          <w:szCs w:val="13"/>
          <w:b w:val="1"/>
          <w:bCs w:val="1"/>
          <w:color w:val="auto"/>
        </w:rPr>
        <w:t>Registration No. 333-</w:t>
      </w:r>
    </w:p>
    <w:p>
      <w:pPr>
        <w:spacing w:after="0" w:line="78"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0" w:lineRule="exact"/>
        <w:rPr>
          <w:sz w:val="24"/>
          <w:szCs w:val="24"/>
          <w:color w:val="auto"/>
        </w:rPr>
      </w:pPr>
    </w:p>
    <w:p>
      <w:pPr>
        <w:jc w:val="center"/>
        <w:ind w:right="-799"/>
        <w:spacing w:after="0"/>
        <w:rPr>
          <w:sz w:val="20"/>
          <w:szCs w:val="20"/>
          <w:color w:val="auto"/>
        </w:rPr>
      </w:pPr>
      <w:r>
        <w:rPr>
          <w:rFonts w:ascii="Arial" w:cs="Arial" w:eastAsia="Arial" w:hAnsi="Arial"/>
          <w:sz w:val="14"/>
          <w:szCs w:val="14"/>
          <w:b w:val="1"/>
          <w:bCs w:val="1"/>
          <w:color w:val="auto"/>
        </w:rPr>
        <w:t>Washington, D.C. 20549</w:t>
      </w:r>
    </w:p>
    <w:p>
      <w:pPr>
        <w:spacing w:after="0" w:line="95"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FORM S-1</w:t>
      </w:r>
    </w:p>
    <w:p>
      <w:pPr>
        <w:spacing w:after="0" w:line="20"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Under the Securities Act of 1933</w:t>
      </w:r>
    </w:p>
    <w:p>
      <w:pPr>
        <w:spacing w:after="0" w:line="17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TENAYA THERAPEUTICS, INC.</w:t>
      </w:r>
    </w:p>
    <w:p>
      <w:pPr>
        <w:spacing w:after="0" w:line="28" w:lineRule="exact"/>
        <w:rPr>
          <w:sz w:val="24"/>
          <w:szCs w:val="24"/>
          <w:color w:val="auto"/>
        </w:rPr>
      </w:pPr>
    </w:p>
    <w:p>
      <w:pPr>
        <w:ind w:left="4300"/>
        <w:spacing w:after="0"/>
        <w:rPr>
          <w:sz w:val="20"/>
          <w:szCs w:val="20"/>
          <w:color w:val="auto"/>
        </w:rPr>
      </w:pPr>
      <w:r>
        <w:rPr>
          <w:rFonts w:ascii="Arial" w:cs="Arial" w:eastAsia="Arial" w:hAnsi="Arial"/>
          <w:sz w:val="13"/>
          <w:szCs w:val="13"/>
          <w:color w:val="auto"/>
        </w:rPr>
        <w:t>(Exact name of Registrant as specified in its charter)</w:t>
      </w:r>
    </w:p>
    <w:p>
      <w:pPr>
        <w:spacing w:after="0" w:line="58"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2420" w:type="dxa"/>
            <w:vAlign w:val="bottom"/>
          </w:tcPr>
          <w:p>
            <w:pPr>
              <w:jc w:val="center"/>
              <w:ind w:right="817"/>
              <w:spacing w:after="0"/>
              <w:rPr>
                <w:sz w:val="20"/>
                <w:szCs w:val="20"/>
                <w:color w:val="auto"/>
              </w:rPr>
            </w:pPr>
            <w:r>
              <w:rPr>
                <w:rFonts w:ascii="Arial" w:cs="Arial" w:eastAsia="Arial" w:hAnsi="Arial"/>
                <w:sz w:val="13"/>
                <w:szCs w:val="13"/>
                <w:b w:val="1"/>
                <w:bCs w:val="1"/>
                <w:color w:val="auto"/>
                <w:w w:val="87"/>
              </w:rPr>
              <w:t>Delaware</w:t>
            </w:r>
          </w:p>
        </w:tc>
        <w:tc>
          <w:tcPr>
            <w:tcW w:w="3300" w:type="dxa"/>
            <w:vAlign w:val="bottom"/>
          </w:tcPr>
          <w:p>
            <w:pPr>
              <w:jc w:val="center"/>
              <w:spacing w:after="0"/>
              <w:rPr>
                <w:sz w:val="20"/>
                <w:szCs w:val="20"/>
                <w:color w:val="auto"/>
              </w:rPr>
            </w:pPr>
            <w:r>
              <w:rPr>
                <w:rFonts w:ascii="Arial" w:cs="Arial" w:eastAsia="Arial" w:hAnsi="Arial"/>
                <w:sz w:val="13"/>
                <w:szCs w:val="13"/>
                <w:b w:val="1"/>
                <w:bCs w:val="1"/>
                <w:color w:val="auto"/>
                <w:w w:val="82"/>
              </w:rPr>
              <w:t>2836</w:t>
            </w:r>
          </w:p>
        </w:tc>
        <w:tc>
          <w:tcPr>
            <w:tcW w:w="2120" w:type="dxa"/>
            <w:vAlign w:val="bottom"/>
          </w:tcPr>
          <w:p>
            <w:pPr>
              <w:jc w:val="center"/>
              <w:ind w:left="897"/>
              <w:spacing w:after="0"/>
              <w:rPr>
                <w:sz w:val="20"/>
                <w:szCs w:val="20"/>
                <w:color w:val="auto"/>
              </w:rPr>
            </w:pPr>
            <w:r>
              <w:rPr>
                <w:rFonts w:ascii="Arial" w:cs="Arial" w:eastAsia="Arial" w:hAnsi="Arial"/>
                <w:sz w:val="13"/>
                <w:szCs w:val="13"/>
                <w:b w:val="1"/>
                <w:bCs w:val="1"/>
                <w:color w:val="auto"/>
                <w:w w:val="86"/>
              </w:rPr>
              <w:t>81-3789973</w:t>
            </w:r>
          </w:p>
        </w:tc>
      </w:tr>
      <w:tr>
        <w:trPr>
          <w:trHeight w:val="130"/>
        </w:trPr>
        <w:tc>
          <w:tcPr>
            <w:tcW w:w="2420" w:type="dxa"/>
            <w:vAlign w:val="bottom"/>
          </w:tcPr>
          <w:p>
            <w:pPr>
              <w:jc w:val="center"/>
              <w:ind w:right="817"/>
              <w:spacing w:after="0" w:line="130" w:lineRule="exact"/>
              <w:rPr>
                <w:sz w:val="20"/>
                <w:szCs w:val="20"/>
                <w:color w:val="auto"/>
              </w:rPr>
            </w:pPr>
            <w:r>
              <w:rPr>
                <w:rFonts w:ascii="Arial" w:cs="Arial" w:eastAsia="Arial" w:hAnsi="Arial"/>
                <w:sz w:val="13"/>
                <w:szCs w:val="13"/>
                <w:color w:val="auto"/>
                <w:w w:val="89"/>
              </w:rPr>
              <w:t>(State or other jurisdiction of</w:t>
            </w:r>
          </w:p>
        </w:tc>
        <w:tc>
          <w:tcPr>
            <w:tcW w:w="3300" w:type="dxa"/>
            <w:vAlign w:val="bottom"/>
          </w:tcPr>
          <w:p>
            <w:pPr>
              <w:jc w:val="center"/>
              <w:spacing w:after="0" w:line="130" w:lineRule="exact"/>
              <w:rPr>
                <w:sz w:val="20"/>
                <w:szCs w:val="20"/>
                <w:color w:val="auto"/>
              </w:rPr>
            </w:pPr>
            <w:r>
              <w:rPr>
                <w:rFonts w:ascii="Arial" w:cs="Arial" w:eastAsia="Arial" w:hAnsi="Arial"/>
                <w:sz w:val="13"/>
                <w:szCs w:val="13"/>
                <w:color w:val="auto"/>
                <w:w w:val="88"/>
              </w:rPr>
              <w:t>(Primary Standard Industrial</w:t>
            </w:r>
          </w:p>
        </w:tc>
        <w:tc>
          <w:tcPr>
            <w:tcW w:w="2120" w:type="dxa"/>
            <w:vAlign w:val="bottom"/>
          </w:tcPr>
          <w:p>
            <w:pPr>
              <w:jc w:val="center"/>
              <w:ind w:left="877"/>
              <w:spacing w:after="0" w:line="130" w:lineRule="exact"/>
              <w:rPr>
                <w:sz w:val="20"/>
                <w:szCs w:val="20"/>
                <w:color w:val="auto"/>
              </w:rPr>
            </w:pPr>
            <w:r>
              <w:rPr>
                <w:rFonts w:ascii="Arial" w:cs="Arial" w:eastAsia="Arial" w:hAnsi="Arial"/>
                <w:sz w:val="13"/>
                <w:szCs w:val="13"/>
                <w:color w:val="auto"/>
                <w:w w:val="90"/>
              </w:rPr>
              <w:t>(I.R.S. Employer</w:t>
            </w:r>
          </w:p>
        </w:tc>
      </w:tr>
      <w:tr>
        <w:trPr>
          <w:trHeight w:val="158"/>
        </w:trPr>
        <w:tc>
          <w:tcPr>
            <w:tcW w:w="2420" w:type="dxa"/>
            <w:vAlign w:val="bottom"/>
          </w:tcPr>
          <w:p>
            <w:pPr>
              <w:jc w:val="center"/>
              <w:ind w:right="837"/>
              <w:spacing w:after="0"/>
              <w:rPr>
                <w:sz w:val="20"/>
                <w:szCs w:val="20"/>
                <w:color w:val="auto"/>
              </w:rPr>
            </w:pPr>
            <w:r>
              <w:rPr>
                <w:rFonts w:ascii="Arial" w:cs="Arial" w:eastAsia="Arial" w:hAnsi="Arial"/>
                <w:sz w:val="13"/>
                <w:szCs w:val="13"/>
                <w:color w:val="auto"/>
                <w:w w:val="89"/>
              </w:rPr>
              <w:t>incorporation or organization)</w:t>
            </w:r>
          </w:p>
        </w:tc>
        <w:tc>
          <w:tcPr>
            <w:tcW w:w="3300" w:type="dxa"/>
            <w:vAlign w:val="bottom"/>
          </w:tcPr>
          <w:p>
            <w:pPr>
              <w:jc w:val="center"/>
              <w:spacing w:after="0"/>
              <w:rPr>
                <w:sz w:val="20"/>
                <w:szCs w:val="20"/>
                <w:color w:val="auto"/>
              </w:rPr>
            </w:pPr>
            <w:r>
              <w:rPr>
                <w:rFonts w:ascii="Arial" w:cs="Arial" w:eastAsia="Arial" w:hAnsi="Arial"/>
                <w:sz w:val="13"/>
                <w:szCs w:val="13"/>
                <w:color w:val="auto"/>
                <w:w w:val="89"/>
              </w:rPr>
              <w:t>Classification Code Number)</w:t>
            </w:r>
          </w:p>
        </w:tc>
        <w:tc>
          <w:tcPr>
            <w:tcW w:w="2120" w:type="dxa"/>
            <w:vAlign w:val="bottom"/>
          </w:tcPr>
          <w:p>
            <w:pPr>
              <w:jc w:val="center"/>
              <w:ind w:left="897"/>
              <w:spacing w:after="0"/>
              <w:rPr>
                <w:sz w:val="20"/>
                <w:szCs w:val="20"/>
                <w:color w:val="auto"/>
              </w:rPr>
            </w:pPr>
            <w:r>
              <w:rPr>
                <w:rFonts w:ascii="Arial" w:cs="Arial" w:eastAsia="Arial" w:hAnsi="Arial"/>
                <w:sz w:val="13"/>
                <w:szCs w:val="13"/>
                <w:color w:val="auto"/>
                <w:w w:val="91"/>
              </w:rPr>
              <w:t>Identification Number)</w:t>
            </w:r>
          </w:p>
        </w:tc>
      </w:tr>
    </w:tbl>
    <w:p>
      <w:pPr>
        <w:spacing w:after="0" w:line="68" w:lineRule="exact"/>
        <w:rPr>
          <w:sz w:val="24"/>
          <w:szCs w:val="24"/>
          <w:color w:val="auto"/>
        </w:rPr>
      </w:pPr>
    </w:p>
    <w:p>
      <w:pPr>
        <w:jc w:val="center"/>
        <w:ind w:right="-799"/>
        <w:spacing w:after="0"/>
        <w:rPr>
          <w:sz w:val="20"/>
          <w:szCs w:val="20"/>
          <w:color w:val="auto"/>
        </w:rPr>
      </w:pPr>
      <w:r>
        <w:rPr>
          <w:rFonts w:ascii="Arial" w:cs="Arial" w:eastAsia="Arial" w:hAnsi="Arial"/>
          <w:sz w:val="13"/>
          <w:szCs w:val="13"/>
          <w:b w:val="1"/>
          <w:bCs w:val="1"/>
          <w:color w:val="auto"/>
        </w:rPr>
        <w:t>171 Oyster Point Boulevard, 5th Floor</w:t>
      </w:r>
    </w:p>
    <w:p>
      <w:pPr>
        <w:jc w:val="center"/>
        <w:ind w:right="-799"/>
        <w:spacing w:after="0" w:line="208" w:lineRule="auto"/>
        <w:rPr>
          <w:sz w:val="20"/>
          <w:szCs w:val="20"/>
          <w:color w:val="auto"/>
        </w:rPr>
      </w:pPr>
      <w:r>
        <w:rPr>
          <w:rFonts w:ascii="Arial" w:cs="Arial" w:eastAsia="Arial" w:hAnsi="Arial"/>
          <w:sz w:val="13"/>
          <w:szCs w:val="13"/>
          <w:b w:val="1"/>
          <w:bCs w:val="1"/>
          <w:color w:val="auto"/>
        </w:rPr>
        <w:t>South San Francisco, CA 94080</w:t>
      </w:r>
    </w:p>
    <w:p>
      <w:pPr>
        <w:jc w:val="center"/>
        <w:ind w:right="-799"/>
        <w:spacing w:after="0" w:line="208" w:lineRule="auto"/>
        <w:rPr>
          <w:sz w:val="20"/>
          <w:szCs w:val="20"/>
          <w:color w:val="auto"/>
        </w:rPr>
      </w:pPr>
      <w:r>
        <w:rPr>
          <w:rFonts w:ascii="Arial" w:cs="Arial" w:eastAsia="Arial" w:hAnsi="Arial"/>
          <w:sz w:val="13"/>
          <w:szCs w:val="13"/>
          <w:b w:val="1"/>
          <w:bCs w:val="1"/>
          <w:color w:val="auto"/>
        </w:rPr>
        <w:t>(650) 825-6990</w:t>
      </w:r>
    </w:p>
    <w:p>
      <w:pPr>
        <w:jc w:val="center"/>
        <w:ind w:right="-799"/>
        <w:spacing w:after="0" w:line="237" w:lineRule="auto"/>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57" w:lineRule="exact"/>
        <w:rPr>
          <w:sz w:val="24"/>
          <w:szCs w:val="24"/>
          <w:color w:val="auto"/>
        </w:rPr>
      </w:pPr>
    </w:p>
    <w:p>
      <w:pPr>
        <w:jc w:val="center"/>
        <w:ind w:right="-799"/>
        <w:spacing w:after="0"/>
        <w:rPr>
          <w:sz w:val="20"/>
          <w:szCs w:val="20"/>
          <w:color w:val="auto"/>
        </w:rPr>
      </w:pPr>
      <w:r>
        <w:rPr>
          <w:rFonts w:ascii="Arial" w:cs="Arial" w:eastAsia="Arial" w:hAnsi="Arial"/>
          <w:sz w:val="13"/>
          <w:szCs w:val="13"/>
          <w:b w:val="1"/>
          <w:bCs w:val="1"/>
          <w:color w:val="auto"/>
        </w:rPr>
        <w:t>Faraz Ali, M.B.A.</w:t>
      </w:r>
    </w:p>
    <w:p>
      <w:pPr>
        <w:jc w:val="center"/>
        <w:ind w:right="-799"/>
        <w:spacing w:after="0" w:line="208" w:lineRule="auto"/>
        <w:rPr>
          <w:sz w:val="20"/>
          <w:szCs w:val="20"/>
          <w:color w:val="auto"/>
        </w:rPr>
      </w:pPr>
      <w:r>
        <w:rPr>
          <w:rFonts w:ascii="Arial" w:cs="Arial" w:eastAsia="Arial" w:hAnsi="Arial"/>
          <w:sz w:val="13"/>
          <w:szCs w:val="13"/>
          <w:b w:val="1"/>
          <w:bCs w:val="1"/>
          <w:color w:val="auto"/>
        </w:rPr>
        <w:t>Chief Executive Officer</w:t>
      </w:r>
    </w:p>
    <w:p>
      <w:pPr>
        <w:jc w:val="center"/>
        <w:ind w:right="-799"/>
        <w:spacing w:after="0" w:line="208" w:lineRule="auto"/>
        <w:rPr>
          <w:sz w:val="20"/>
          <w:szCs w:val="20"/>
          <w:color w:val="auto"/>
        </w:rPr>
      </w:pPr>
      <w:r>
        <w:rPr>
          <w:rFonts w:ascii="Arial" w:cs="Arial" w:eastAsia="Arial" w:hAnsi="Arial"/>
          <w:sz w:val="13"/>
          <w:szCs w:val="13"/>
          <w:b w:val="1"/>
          <w:bCs w:val="1"/>
          <w:color w:val="auto"/>
        </w:rPr>
        <w:t>Tenaya Therapeutics, Inc.</w:t>
      </w:r>
    </w:p>
    <w:p>
      <w:pPr>
        <w:jc w:val="center"/>
        <w:ind w:right="-799"/>
        <w:spacing w:after="0" w:line="208" w:lineRule="auto"/>
        <w:rPr>
          <w:sz w:val="20"/>
          <w:szCs w:val="20"/>
          <w:color w:val="auto"/>
        </w:rPr>
      </w:pPr>
      <w:r>
        <w:rPr>
          <w:rFonts w:ascii="Arial" w:cs="Arial" w:eastAsia="Arial" w:hAnsi="Arial"/>
          <w:sz w:val="13"/>
          <w:szCs w:val="13"/>
          <w:b w:val="1"/>
          <w:bCs w:val="1"/>
          <w:color w:val="auto"/>
        </w:rPr>
        <w:t>171 Oyster Point Boulevard, 5th Floor</w:t>
      </w:r>
    </w:p>
    <w:p>
      <w:pPr>
        <w:jc w:val="center"/>
        <w:ind w:right="-799"/>
        <w:spacing w:after="0" w:line="208" w:lineRule="auto"/>
        <w:rPr>
          <w:sz w:val="20"/>
          <w:szCs w:val="20"/>
          <w:color w:val="auto"/>
        </w:rPr>
      </w:pPr>
      <w:r>
        <w:rPr>
          <w:rFonts w:ascii="Arial" w:cs="Arial" w:eastAsia="Arial" w:hAnsi="Arial"/>
          <w:sz w:val="13"/>
          <w:szCs w:val="13"/>
          <w:b w:val="1"/>
          <w:bCs w:val="1"/>
          <w:color w:val="auto"/>
        </w:rPr>
        <w:t>South San Francisco, CA 94080</w:t>
      </w:r>
    </w:p>
    <w:p>
      <w:pPr>
        <w:jc w:val="center"/>
        <w:ind w:right="-799"/>
        <w:spacing w:after="0" w:line="209" w:lineRule="auto"/>
        <w:rPr>
          <w:sz w:val="20"/>
          <w:szCs w:val="20"/>
          <w:color w:val="auto"/>
        </w:rPr>
      </w:pPr>
      <w:r>
        <w:rPr>
          <w:rFonts w:ascii="Arial" w:cs="Arial" w:eastAsia="Arial" w:hAnsi="Arial"/>
          <w:sz w:val="13"/>
          <w:szCs w:val="13"/>
          <w:b w:val="1"/>
          <w:bCs w:val="1"/>
          <w:color w:val="auto"/>
        </w:rPr>
        <w:t>(650) 825-6990</w:t>
      </w:r>
    </w:p>
    <w:p>
      <w:pPr>
        <w:jc w:val="center"/>
        <w:ind w:right="-799"/>
        <w:spacing w:after="0" w:line="237" w:lineRule="auto"/>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66" w:lineRule="exact"/>
        <w:rPr>
          <w:sz w:val="24"/>
          <w:szCs w:val="24"/>
          <w:color w:val="auto"/>
        </w:rPr>
      </w:pPr>
    </w:p>
    <w:tbl>
      <w:tblPr>
        <w:tblLayout w:type="fixed"/>
        <w:tblInd w:w="2340" w:type="dxa"/>
        <w:tblCellMar>
          <w:top w:w="0" w:type="dxa"/>
          <w:left w:w="0" w:type="dxa"/>
          <w:bottom w:w="0" w:type="dxa"/>
          <w:right w:w="0" w:type="dxa"/>
        </w:tblCellMar>
      </w:tblPr>
      <w:tr>
        <w:trPr>
          <w:trHeight w:val="158"/>
        </w:trPr>
        <w:tc>
          <w:tcPr>
            <w:tcW w:w="2400" w:type="dxa"/>
            <w:vAlign w:val="bottom"/>
          </w:tcPr>
          <w:p>
            <w:pPr>
              <w:spacing w:after="0"/>
              <w:rPr>
                <w:sz w:val="13"/>
                <w:szCs w:val="13"/>
                <w:color w:val="auto"/>
              </w:rPr>
            </w:pPr>
          </w:p>
        </w:tc>
        <w:tc>
          <w:tcPr>
            <w:tcW w:w="4060" w:type="dxa"/>
            <w:vAlign w:val="bottom"/>
          </w:tcPr>
          <w:p>
            <w:pPr>
              <w:ind w:left="620"/>
              <w:spacing w:after="0"/>
              <w:rPr>
                <w:sz w:val="20"/>
                <w:szCs w:val="20"/>
                <w:color w:val="auto"/>
              </w:rPr>
            </w:pPr>
            <w:r>
              <w:rPr>
                <w:rFonts w:ascii="Arial" w:cs="Arial" w:eastAsia="Arial" w:hAnsi="Arial"/>
                <w:sz w:val="13"/>
                <w:szCs w:val="13"/>
                <w:i w:val="1"/>
                <w:iCs w:val="1"/>
                <w:color w:val="auto"/>
              </w:rPr>
              <w:t>Copies to:</w:t>
            </w:r>
          </w:p>
        </w:tc>
      </w:tr>
      <w:tr>
        <w:trPr>
          <w:trHeight w:val="208"/>
        </w:trPr>
        <w:tc>
          <w:tcPr>
            <w:tcW w:w="2400" w:type="dxa"/>
            <w:vAlign w:val="bottom"/>
          </w:tcPr>
          <w:p>
            <w:pPr>
              <w:jc w:val="center"/>
              <w:ind w:right="577"/>
              <w:spacing w:after="0"/>
              <w:rPr>
                <w:sz w:val="20"/>
                <w:szCs w:val="20"/>
                <w:color w:val="auto"/>
              </w:rPr>
            </w:pPr>
            <w:r>
              <w:rPr>
                <w:rFonts w:ascii="Arial" w:cs="Arial" w:eastAsia="Arial" w:hAnsi="Arial"/>
                <w:sz w:val="13"/>
                <w:szCs w:val="13"/>
                <w:color w:val="auto"/>
                <w:w w:val="89"/>
              </w:rPr>
              <w:t>Kenneth A. Clark</w:t>
            </w:r>
          </w:p>
        </w:tc>
        <w:tc>
          <w:tcPr>
            <w:tcW w:w="4060" w:type="dxa"/>
            <w:vAlign w:val="bottom"/>
          </w:tcPr>
          <w:p>
            <w:pPr>
              <w:jc w:val="center"/>
              <w:ind w:left="2557"/>
              <w:spacing w:after="0"/>
              <w:rPr>
                <w:sz w:val="20"/>
                <w:szCs w:val="20"/>
                <w:color w:val="auto"/>
              </w:rPr>
            </w:pPr>
            <w:r>
              <w:rPr>
                <w:rFonts w:ascii="Arial" w:cs="Arial" w:eastAsia="Arial" w:hAnsi="Arial"/>
                <w:sz w:val="13"/>
                <w:szCs w:val="13"/>
                <w:color w:val="auto"/>
                <w:w w:val="87"/>
              </w:rPr>
              <w:t>Alan F. Denenberg</w:t>
            </w:r>
          </w:p>
        </w:tc>
      </w:tr>
      <w:tr>
        <w:trPr>
          <w:trHeight w:val="130"/>
        </w:trPr>
        <w:tc>
          <w:tcPr>
            <w:tcW w:w="2400" w:type="dxa"/>
            <w:vAlign w:val="bottom"/>
          </w:tcPr>
          <w:p>
            <w:pPr>
              <w:jc w:val="center"/>
              <w:ind w:right="557"/>
              <w:spacing w:after="0" w:line="130" w:lineRule="exact"/>
              <w:rPr>
                <w:sz w:val="20"/>
                <w:szCs w:val="20"/>
                <w:color w:val="auto"/>
              </w:rPr>
            </w:pPr>
            <w:r>
              <w:rPr>
                <w:rFonts w:ascii="Arial" w:cs="Arial" w:eastAsia="Arial" w:hAnsi="Arial"/>
                <w:sz w:val="13"/>
                <w:szCs w:val="13"/>
                <w:color w:val="auto"/>
                <w:w w:val="89"/>
              </w:rPr>
              <w:t>Jennifer Knapp</w:t>
            </w:r>
          </w:p>
        </w:tc>
        <w:tc>
          <w:tcPr>
            <w:tcW w:w="4060" w:type="dxa"/>
            <w:vAlign w:val="bottom"/>
          </w:tcPr>
          <w:p>
            <w:pPr>
              <w:jc w:val="center"/>
              <w:ind w:left="2577"/>
              <w:spacing w:after="0" w:line="130" w:lineRule="exact"/>
              <w:rPr>
                <w:sz w:val="20"/>
                <w:szCs w:val="20"/>
                <w:color w:val="auto"/>
              </w:rPr>
            </w:pPr>
            <w:r>
              <w:rPr>
                <w:rFonts w:ascii="Arial" w:cs="Arial" w:eastAsia="Arial" w:hAnsi="Arial"/>
                <w:sz w:val="13"/>
                <w:szCs w:val="13"/>
                <w:color w:val="auto"/>
                <w:w w:val="85"/>
              </w:rPr>
              <w:t>Stephen Salmon</w:t>
            </w:r>
          </w:p>
        </w:tc>
      </w:tr>
      <w:tr>
        <w:trPr>
          <w:trHeight w:val="130"/>
        </w:trPr>
        <w:tc>
          <w:tcPr>
            <w:tcW w:w="2400" w:type="dxa"/>
            <w:vAlign w:val="bottom"/>
          </w:tcPr>
          <w:p>
            <w:pPr>
              <w:jc w:val="center"/>
              <w:ind w:right="577"/>
              <w:spacing w:after="0" w:line="130" w:lineRule="exact"/>
              <w:rPr>
                <w:sz w:val="20"/>
                <w:szCs w:val="20"/>
                <w:color w:val="auto"/>
              </w:rPr>
            </w:pPr>
            <w:r>
              <w:rPr>
                <w:rFonts w:ascii="Arial" w:cs="Arial" w:eastAsia="Arial" w:hAnsi="Arial"/>
                <w:sz w:val="13"/>
                <w:szCs w:val="13"/>
                <w:color w:val="auto"/>
                <w:w w:val="85"/>
              </w:rPr>
              <w:t>Jennifer Fang</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91"/>
              </w:rPr>
              <w:t>Davis Polk &amp; Wardwell LLP</w:t>
            </w:r>
          </w:p>
        </w:tc>
      </w:tr>
      <w:tr>
        <w:trPr>
          <w:trHeight w:val="130"/>
        </w:trPr>
        <w:tc>
          <w:tcPr>
            <w:tcW w:w="2400" w:type="dxa"/>
            <w:vAlign w:val="bottom"/>
          </w:tcPr>
          <w:p>
            <w:pPr>
              <w:jc w:val="center"/>
              <w:ind w:right="577"/>
              <w:spacing w:after="0" w:line="130" w:lineRule="exact"/>
              <w:rPr>
                <w:sz w:val="20"/>
                <w:szCs w:val="20"/>
                <w:color w:val="auto"/>
              </w:rPr>
            </w:pPr>
            <w:r>
              <w:rPr>
                <w:rFonts w:ascii="Arial" w:cs="Arial" w:eastAsia="Arial" w:hAnsi="Arial"/>
                <w:sz w:val="13"/>
                <w:szCs w:val="13"/>
                <w:color w:val="auto"/>
                <w:w w:val="90"/>
              </w:rPr>
              <w:t>Wilson Sonsini Goodrich &amp; Rosati</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87"/>
              </w:rPr>
              <w:t>1600 El Camino Real</w:t>
            </w:r>
          </w:p>
        </w:tc>
      </w:tr>
      <w:tr>
        <w:trPr>
          <w:trHeight w:val="130"/>
        </w:trPr>
        <w:tc>
          <w:tcPr>
            <w:tcW w:w="2400" w:type="dxa"/>
            <w:vAlign w:val="bottom"/>
          </w:tcPr>
          <w:p>
            <w:pPr>
              <w:jc w:val="center"/>
              <w:ind w:right="557"/>
              <w:spacing w:after="0" w:line="130" w:lineRule="exact"/>
              <w:rPr>
                <w:sz w:val="20"/>
                <w:szCs w:val="20"/>
                <w:color w:val="auto"/>
              </w:rPr>
            </w:pPr>
            <w:r>
              <w:rPr>
                <w:rFonts w:ascii="Arial" w:cs="Arial" w:eastAsia="Arial" w:hAnsi="Arial"/>
                <w:sz w:val="13"/>
                <w:szCs w:val="13"/>
                <w:color w:val="auto"/>
                <w:w w:val="88"/>
              </w:rPr>
              <w:t>Professional Corporation</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88"/>
              </w:rPr>
              <w:t>Menlo Park, CA 94025</w:t>
            </w:r>
          </w:p>
        </w:tc>
      </w:tr>
      <w:tr>
        <w:trPr>
          <w:trHeight w:val="130"/>
        </w:trPr>
        <w:tc>
          <w:tcPr>
            <w:tcW w:w="2400" w:type="dxa"/>
            <w:vAlign w:val="bottom"/>
          </w:tcPr>
          <w:p>
            <w:pPr>
              <w:jc w:val="center"/>
              <w:ind w:right="577"/>
              <w:spacing w:after="0" w:line="130" w:lineRule="exact"/>
              <w:rPr>
                <w:sz w:val="20"/>
                <w:szCs w:val="20"/>
                <w:color w:val="auto"/>
              </w:rPr>
            </w:pPr>
            <w:r>
              <w:rPr>
                <w:rFonts w:ascii="Arial" w:cs="Arial" w:eastAsia="Arial" w:hAnsi="Arial"/>
                <w:sz w:val="13"/>
                <w:szCs w:val="13"/>
                <w:color w:val="auto"/>
                <w:w w:val="88"/>
              </w:rPr>
              <w:t>650 Page Mill Road</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89"/>
              </w:rPr>
              <w:t>(650) 752-2000</w:t>
            </w:r>
          </w:p>
        </w:tc>
      </w:tr>
      <w:tr>
        <w:trPr>
          <w:trHeight w:val="130"/>
        </w:trPr>
        <w:tc>
          <w:tcPr>
            <w:tcW w:w="2400" w:type="dxa"/>
            <w:vAlign w:val="bottom"/>
          </w:tcPr>
          <w:p>
            <w:pPr>
              <w:jc w:val="center"/>
              <w:ind w:right="557"/>
              <w:spacing w:after="0" w:line="130" w:lineRule="exact"/>
              <w:rPr>
                <w:sz w:val="20"/>
                <w:szCs w:val="20"/>
                <w:color w:val="auto"/>
              </w:rPr>
            </w:pPr>
            <w:r>
              <w:rPr>
                <w:rFonts w:ascii="Arial" w:cs="Arial" w:eastAsia="Arial" w:hAnsi="Arial"/>
                <w:sz w:val="13"/>
                <w:szCs w:val="13"/>
                <w:color w:val="auto"/>
                <w:w w:val="90"/>
              </w:rPr>
              <w:t>Palo Alto, CA 94304</w:t>
            </w:r>
          </w:p>
        </w:tc>
        <w:tc>
          <w:tcPr>
            <w:tcW w:w="4060" w:type="dxa"/>
            <w:vAlign w:val="bottom"/>
          </w:tcPr>
          <w:p>
            <w:pPr>
              <w:spacing w:after="0"/>
              <w:rPr>
                <w:sz w:val="11"/>
                <w:szCs w:val="11"/>
                <w:color w:val="auto"/>
              </w:rPr>
            </w:pPr>
          </w:p>
        </w:tc>
      </w:tr>
      <w:tr>
        <w:trPr>
          <w:trHeight w:val="158"/>
        </w:trPr>
        <w:tc>
          <w:tcPr>
            <w:tcW w:w="2400" w:type="dxa"/>
            <w:vAlign w:val="bottom"/>
          </w:tcPr>
          <w:p>
            <w:pPr>
              <w:jc w:val="center"/>
              <w:ind w:right="557"/>
              <w:spacing w:after="0"/>
              <w:rPr>
                <w:sz w:val="20"/>
                <w:szCs w:val="20"/>
                <w:color w:val="auto"/>
              </w:rPr>
            </w:pPr>
            <w:r>
              <w:rPr>
                <w:rFonts w:ascii="Arial" w:cs="Arial" w:eastAsia="Arial" w:hAnsi="Arial"/>
                <w:sz w:val="13"/>
                <w:szCs w:val="13"/>
                <w:color w:val="auto"/>
                <w:w w:val="87"/>
              </w:rPr>
              <w:t>(650) 493-9300</w:t>
            </w:r>
          </w:p>
        </w:tc>
        <w:tc>
          <w:tcPr>
            <w:tcW w:w="4060" w:type="dxa"/>
            <w:vAlign w:val="bottom"/>
          </w:tcPr>
          <w:p>
            <w:pPr>
              <w:spacing w:after="0"/>
              <w:rPr>
                <w:sz w:val="13"/>
                <w:szCs w:val="13"/>
                <w:color w:val="auto"/>
              </w:rPr>
            </w:pPr>
          </w:p>
        </w:tc>
      </w:tr>
    </w:tbl>
    <w:p>
      <w:pPr>
        <w:spacing w:after="0" w:line="68" w:lineRule="exact"/>
        <w:rPr>
          <w:sz w:val="24"/>
          <w:szCs w:val="24"/>
          <w:color w:val="auto"/>
        </w:rPr>
      </w:pPr>
    </w:p>
    <w:p>
      <w:pPr>
        <w:jc w:val="center"/>
        <w:ind w:right="-79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right="-799"/>
        <w:spacing w:after="0" w:line="237" w:lineRule="auto"/>
        <w:rPr>
          <w:sz w:val="20"/>
          <w:szCs w:val="20"/>
          <w:color w:val="auto"/>
        </w:rPr>
      </w:pPr>
      <w:r>
        <w:rPr>
          <w:rFonts w:ascii="Arial" w:cs="Arial" w:eastAsia="Arial" w:hAnsi="Arial"/>
          <w:sz w:val="13"/>
          <w:szCs w:val="13"/>
          <w:color w:val="auto"/>
        </w:rPr>
        <w:t>As soon as practicable after the effective date of this Registration Statement.</w:t>
      </w:r>
    </w:p>
    <w:p>
      <w:pPr>
        <w:spacing w:after="0" w:line="66" w:lineRule="exact"/>
        <w:rPr>
          <w:sz w:val="24"/>
          <w:szCs w:val="24"/>
          <w:color w:val="auto"/>
        </w:rPr>
      </w:pPr>
    </w:p>
    <w:p>
      <w:pPr>
        <w:ind w:left="820" w:right="300" w:firstLine="385"/>
        <w:spacing w:after="0" w:line="158"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540" w:firstLine="385"/>
        <w:spacing w:after="0" w:line="158"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140" w:firstLine="385"/>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120" w:firstLine="385"/>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80" w:firstLine="385"/>
        <w:spacing w:after="0" w:line="26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820" w:type="dxa"/>
        <w:tblCellMar>
          <w:top w:w="0" w:type="dxa"/>
          <w:left w:w="0" w:type="dxa"/>
          <w:bottom w:w="0" w:type="dxa"/>
          <w:right w:w="0" w:type="dxa"/>
        </w:tblCellMar>
      </w:tblPr>
      <w:tr>
        <w:trPr>
          <w:trHeight w:val="199"/>
        </w:trPr>
        <w:tc>
          <w:tcPr>
            <w:tcW w:w="13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960"/>
              <w:spacing w:after="0"/>
              <w:rPr>
                <w:sz w:val="20"/>
                <w:szCs w:val="20"/>
                <w:color w:val="auto"/>
              </w:rPr>
            </w:pPr>
            <w:r>
              <w:rPr>
                <w:rFonts w:ascii="Arial" w:cs="Arial" w:eastAsia="Arial" w:hAnsi="Arial"/>
                <w:sz w:val="13"/>
                <w:szCs w:val="13"/>
                <w:color w:val="auto"/>
              </w:rPr>
              <w:t>Accelerated filer</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360" w:type="dxa"/>
            <w:vAlign w:val="bottom"/>
          </w:tcPr>
          <w:p>
            <w:pPr>
              <w:spacing w:after="0"/>
              <w:rPr>
                <w:sz w:val="20"/>
                <w:szCs w:val="20"/>
                <w:color w:val="auto"/>
              </w:rPr>
            </w:pPr>
            <w:r>
              <w:rPr>
                <w:rFonts w:ascii="Arial" w:cs="Arial" w:eastAsia="Arial" w:hAnsi="Arial"/>
                <w:sz w:val="13"/>
                <w:szCs w:val="13"/>
                <w:color w:val="auto"/>
              </w:rPr>
              <w:t>Non-accelerated filer</w:t>
            </w:r>
          </w:p>
        </w:tc>
        <w:tc>
          <w:tcPr>
            <w:tcW w:w="33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960"/>
              <w:spacing w:after="0"/>
              <w:rPr>
                <w:sz w:val="20"/>
                <w:szCs w:val="20"/>
                <w:color w:val="auto"/>
              </w:rPr>
            </w:pPr>
            <w:r>
              <w:rPr>
                <w:rFonts w:ascii="Arial" w:cs="Arial" w:eastAsia="Arial" w:hAnsi="Arial"/>
                <w:sz w:val="13"/>
                <w:szCs w:val="13"/>
                <w:color w:val="auto"/>
              </w:rPr>
              <w:t>Smaller reporting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580" w:type="dxa"/>
            <w:vAlign w:val="bottom"/>
          </w:tcPr>
          <w:p>
            <w:pPr>
              <w:ind w:left="2960"/>
              <w:spacing w:after="0"/>
              <w:rPr>
                <w:sz w:val="20"/>
                <w:szCs w:val="20"/>
                <w:color w:val="auto"/>
              </w:rPr>
            </w:pPr>
            <w:r>
              <w:rPr>
                <w:rFonts w:ascii="Arial" w:cs="Arial" w:eastAsia="Arial" w:hAnsi="Arial"/>
                <w:sz w:val="13"/>
                <w:szCs w:val="13"/>
                <w:color w:val="auto"/>
              </w:rPr>
              <w:t>Emerging growth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2" w:lineRule="exact"/>
        <w:rPr>
          <w:sz w:val="24"/>
          <w:szCs w:val="24"/>
          <w:color w:val="auto"/>
        </w:rPr>
      </w:pPr>
    </w:p>
    <w:p>
      <w:pPr>
        <w:ind w:left="820" w:right="520" w:firstLine="385"/>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58" w:lineRule="exact"/>
        <w:rPr>
          <w:sz w:val="24"/>
          <w:szCs w:val="24"/>
          <w:color w:val="auto"/>
        </w:rPr>
      </w:pPr>
    </w:p>
    <w:p>
      <w:pPr>
        <w:ind w:left="4420"/>
        <w:spacing w:after="0"/>
        <w:rPr>
          <w:sz w:val="20"/>
          <w:szCs w:val="20"/>
          <w:color w:val="auto"/>
        </w:rPr>
      </w:pPr>
      <w:r>
        <w:rPr>
          <w:rFonts w:ascii="Arial" w:cs="Arial" w:eastAsia="Arial" w:hAnsi="Arial"/>
          <w:sz w:val="13"/>
          <w:szCs w:val="13"/>
          <w:b w:val="1"/>
          <w:bCs w:val="1"/>
          <w:color w:val="auto"/>
        </w:rPr>
        <w:t>CALCULATION OF REGISTRATION FEE</w:t>
      </w:r>
    </w:p>
    <w:p>
      <w:pPr>
        <w:spacing w:after="0" w:line="86" w:lineRule="exact"/>
        <w:rPr>
          <w:sz w:val="24"/>
          <w:szCs w:val="24"/>
          <w:color w:val="auto"/>
        </w:rPr>
      </w:pPr>
    </w:p>
    <w:tbl>
      <w:tblPr>
        <w:tblLayout w:type="fixed"/>
        <w:tblInd w:w="8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36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85"/>
        </w:trPr>
        <w:tc>
          <w:tcPr>
            <w:tcW w:w="20" w:type="dxa"/>
            <w:vAlign w:val="bottom"/>
          </w:tcPr>
          <w:p>
            <w:pPr>
              <w:spacing w:after="0"/>
              <w:rPr>
                <w:sz w:val="7"/>
                <w:szCs w:val="7"/>
                <w:color w:val="auto"/>
              </w:rPr>
            </w:pPr>
          </w:p>
        </w:tc>
        <w:tc>
          <w:tcPr>
            <w:tcW w:w="636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jc w:val="center"/>
              <w:ind w:left="1"/>
              <w:spacing w:after="0" w:line="85" w:lineRule="exact"/>
              <w:rPr>
                <w:sz w:val="20"/>
                <w:szCs w:val="20"/>
                <w:color w:val="auto"/>
              </w:rPr>
            </w:pPr>
            <w:r>
              <w:rPr>
                <w:rFonts w:ascii="Arial" w:cs="Arial" w:eastAsia="Arial" w:hAnsi="Arial"/>
                <w:sz w:val="9"/>
                <w:szCs w:val="9"/>
                <w:b w:val="1"/>
                <w:bCs w:val="1"/>
                <w:color w:val="auto"/>
              </w:rPr>
              <w:t>Proposed Maximum</w:t>
            </w:r>
          </w:p>
        </w:tc>
        <w:tc>
          <w:tcPr>
            <w:tcW w:w="1520" w:type="dxa"/>
            <w:vAlign w:val="bottom"/>
          </w:tcPr>
          <w:p>
            <w:pPr>
              <w:spacing w:after="0"/>
              <w:rPr>
                <w:sz w:val="7"/>
                <w:szCs w:val="7"/>
                <w:color w:val="auto"/>
              </w:rPr>
            </w:pPr>
          </w:p>
        </w:tc>
      </w:tr>
      <w:tr>
        <w:trPr>
          <w:trHeight w:val="130"/>
        </w:trPr>
        <w:tc>
          <w:tcPr>
            <w:tcW w:w="20" w:type="dxa"/>
            <w:vAlign w:val="bottom"/>
          </w:tcPr>
          <w:p>
            <w:pPr>
              <w:spacing w:after="0"/>
              <w:rPr>
                <w:sz w:val="11"/>
                <w:szCs w:val="11"/>
                <w:color w:val="auto"/>
              </w:rPr>
            </w:pPr>
          </w:p>
        </w:tc>
        <w:tc>
          <w:tcPr>
            <w:tcW w:w="63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6"/>
              </w:rPr>
              <w:t>Title of Each Class of</w:t>
            </w:r>
          </w:p>
        </w:tc>
        <w:tc>
          <w:tcPr>
            <w:tcW w:w="1720" w:type="dxa"/>
            <w:vAlign w:val="bottom"/>
            <w:tcBorders>
              <w:right w:val="single" w:sz="8" w:color="auto"/>
            </w:tcBorders>
          </w:tcPr>
          <w:p>
            <w:pPr>
              <w:jc w:val="center"/>
              <w:ind w:left="1"/>
              <w:spacing w:after="0" w:line="130"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Amount of</w:t>
            </w:r>
          </w:p>
        </w:tc>
      </w:tr>
      <w:tr>
        <w:trPr>
          <w:trHeight w:val="161"/>
        </w:trPr>
        <w:tc>
          <w:tcPr>
            <w:tcW w:w="20" w:type="dxa"/>
            <w:vAlign w:val="bottom"/>
          </w:tcPr>
          <w:p>
            <w:pPr>
              <w:spacing w:after="0"/>
              <w:rPr>
                <w:sz w:val="14"/>
                <w:szCs w:val="14"/>
                <w:color w:val="auto"/>
              </w:rPr>
            </w:pPr>
          </w:p>
        </w:tc>
        <w:tc>
          <w:tcPr>
            <w:tcW w:w="6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3"/>
                <w:szCs w:val="13"/>
                <w:b w:val="1"/>
                <w:bCs w:val="1"/>
                <w:color w:val="auto"/>
                <w:w w:val="89"/>
              </w:rPr>
              <w:t>Offering Price(1)(2)</w:t>
            </w:r>
          </w:p>
        </w:tc>
        <w:tc>
          <w:tcPr>
            <w:tcW w:w="15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Registration Fee</w:t>
            </w:r>
          </w:p>
        </w:tc>
      </w:tr>
      <w:tr>
        <w:trPr>
          <w:trHeight w:val="121"/>
        </w:trPr>
        <w:tc>
          <w:tcPr>
            <w:tcW w:w="20" w:type="dxa"/>
            <w:vAlign w:val="bottom"/>
            <w:tcBorders>
              <w:bottom w:val="single" w:sz="8" w:color="auto"/>
            </w:tcBorders>
          </w:tcPr>
          <w:p>
            <w:pPr>
              <w:spacing w:after="0"/>
              <w:rPr>
                <w:sz w:val="10"/>
                <w:szCs w:val="10"/>
                <w:color w:val="auto"/>
              </w:rPr>
            </w:pPr>
          </w:p>
        </w:tc>
        <w:tc>
          <w:tcPr>
            <w:tcW w:w="6360" w:type="dxa"/>
            <w:vAlign w:val="bottom"/>
            <w:tcBorders>
              <w:bottom w:val="single" w:sz="8" w:color="auto"/>
              <w:right w:val="single" w:sz="8" w:color="auto"/>
            </w:tcBorders>
          </w:tcPr>
          <w:p>
            <w:pPr>
              <w:spacing w:after="0" w:line="122" w:lineRule="exact"/>
              <w:rPr>
                <w:sz w:val="20"/>
                <w:szCs w:val="20"/>
                <w:color w:val="auto"/>
              </w:rPr>
            </w:pPr>
            <w:r>
              <w:rPr>
                <w:rFonts w:ascii="Arial" w:cs="Arial" w:eastAsia="Arial" w:hAnsi="Arial"/>
                <w:sz w:val="13"/>
                <w:szCs w:val="13"/>
                <w:color w:val="auto"/>
              </w:rPr>
              <w:t>Common Stock $0.0001 par value per share</w:t>
            </w:r>
          </w:p>
        </w:tc>
        <w:tc>
          <w:tcPr>
            <w:tcW w:w="1720" w:type="dxa"/>
            <w:vAlign w:val="bottom"/>
            <w:tcBorders>
              <w:bottom w:val="single" w:sz="8" w:color="auto"/>
              <w:right w:val="single" w:sz="8" w:color="auto"/>
            </w:tcBorders>
          </w:tcPr>
          <w:p>
            <w:pPr>
              <w:jc w:val="center"/>
              <w:ind w:left="1"/>
              <w:spacing w:after="0" w:line="122" w:lineRule="exact"/>
              <w:rPr>
                <w:sz w:val="20"/>
                <w:szCs w:val="20"/>
                <w:color w:val="auto"/>
              </w:rPr>
            </w:pPr>
            <w:r>
              <w:rPr>
                <w:rFonts w:ascii="Arial" w:cs="Arial" w:eastAsia="Arial" w:hAnsi="Arial"/>
                <w:sz w:val="13"/>
                <w:szCs w:val="13"/>
                <w:color w:val="auto"/>
                <w:w w:val="87"/>
              </w:rPr>
              <w:t>$100,000,000</w:t>
            </w:r>
          </w:p>
        </w:tc>
        <w:tc>
          <w:tcPr>
            <w:tcW w:w="1520" w:type="dxa"/>
            <w:vAlign w:val="bottom"/>
            <w:tcBorders>
              <w:bottom w:val="single" w:sz="8" w:color="auto"/>
            </w:tcBorders>
          </w:tcPr>
          <w:p>
            <w:pPr>
              <w:jc w:val="center"/>
              <w:ind w:left="17"/>
              <w:spacing w:after="0" w:line="122" w:lineRule="exact"/>
              <w:rPr>
                <w:sz w:val="20"/>
                <w:szCs w:val="20"/>
                <w:color w:val="auto"/>
              </w:rPr>
            </w:pPr>
            <w:r>
              <w:rPr>
                <w:rFonts w:ascii="Arial" w:cs="Arial" w:eastAsia="Arial" w:hAnsi="Arial"/>
                <w:sz w:val="13"/>
                <w:szCs w:val="13"/>
                <w:color w:val="auto"/>
                <w:w w:val="85"/>
              </w:rPr>
              <w:t>$10,910</w:t>
            </w:r>
          </w:p>
        </w:tc>
      </w:tr>
      <w:tr>
        <w:trPr>
          <w:trHeight w:val="20"/>
        </w:trPr>
        <w:tc>
          <w:tcPr>
            <w:tcW w:w="20" w:type="dxa"/>
            <w:vAlign w:val="bottom"/>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1200" w:hanging="386"/>
        <w:spacing w:after="0" w:line="217" w:lineRule="auto"/>
        <w:tabs>
          <w:tab w:leader="none" w:pos="12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ind w:left="1200" w:hanging="386"/>
        <w:spacing w:after="0" w:line="237" w:lineRule="auto"/>
        <w:tabs>
          <w:tab w:leader="none" w:pos="120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 if any.</w:t>
      </w:r>
    </w:p>
    <w:p>
      <w:pPr>
        <w:spacing w:after="0" w:line="62" w:lineRule="exact"/>
        <w:rPr>
          <w:sz w:val="24"/>
          <w:szCs w:val="24"/>
          <w:color w:val="auto"/>
        </w:rPr>
      </w:pPr>
    </w:p>
    <w:p>
      <w:pPr>
        <w:ind w:left="820" w:right="60" w:firstLine="385"/>
        <w:spacing w:after="0" w:line="246"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0440"/>
          </w:cols>
          <w:pgMar w:left="320" w:top="218" w:right="11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5" w:lineRule="exact"/>
        <w:rPr>
          <w:sz w:val="20"/>
          <w:szCs w:val="20"/>
          <w:color w:val="auto"/>
        </w:rPr>
      </w:pPr>
    </w:p>
    <w:p>
      <w:pPr>
        <w:ind w:left="820" w:right="40"/>
        <w:spacing w:after="0" w:line="246" w:lineRule="auto"/>
        <w:rPr>
          <w:sz w:val="20"/>
          <w:szCs w:val="20"/>
          <w:color w:val="auto"/>
        </w:rPr>
      </w:pPr>
      <w:r>
        <w:rPr>
          <w:rFonts w:ascii="Arial" w:cs="Arial" w:eastAsia="Arial" w:hAnsi="Arial"/>
          <w:sz w:val="13"/>
          <w:szCs w:val="13"/>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9"/>
          <w:szCs w:val="19"/>
          <w:i w:val="1"/>
          <w:iCs w:val="1"/>
          <w:color w:val="DE1A1E"/>
        </w:rPr>
        <w:t>PROSPECTUS (Subject to Completion)</w:t>
      </w:r>
    </w:p>
    <w:p>
      <w:pPr>
        <w:spacing w:after="0" w:line="10" w:lineRule="exact"/>
        <w:rPr>
          <w:sz w:val="20"/>
          <w:szCs w:val="20"/>
          <w:color w:val="auto"/>
        </w:rPr>
      </w:pPr>
    </w:p>
    <w:p>
      <w:pPr>
        <w:ind w:left="820"/>
        <w:spacing w:after="0"/>
        <w:tabs>
          <w:tab w:leader="none" w:pos="2080" w:val="left"/>
        </w:tabs>
        <w:rPr>
          <w:sz w:val="20"/>
          <w:szCs w:val="20"/>
          <w:color w:val="auto"/>
        </w:rPr>
      </w:pPr>
      <w:r>
        <w:rPr>
          <w:rFonts w:ascii="Arial" w:cs="Arial" w:eastAsia="Arial" w:hAnsi="Arial"/>
          <w:sz w:val="19"/>
          <w:szCs w:val="19"/>
          <w:i w:val="1"/>
          <w:iCs w:val="1"/>
          <w:color w:val="DE1A1E"/>
        </w:rPr>
        <w:t>Issued</w:t>
      </w:r>
      <w:r>
        <w:rPr>
          <w:sz w:val="20"/>
          <w:szCs w:val="20"/>
          <w:color w:val="auto"/>
        </w:rPr>
        <w:tab/>
      </w:r>
      <w:r>
        <w:rPr>
          <w:rFonts w:ascii="Arial" w:cs="Arial" w:eastAsia="Arial" w:hAnsi="Arial"/>
          <w:sz w:val="19"/>
          <w:szCs w:val="19"/>
          <w:i w:val="1"/>
          <w:iCs w:val="1"/>
          <w:color w:val="DE1A1E"/>
        </w:rPr>
        <w:t>, 2021</w:t>
      </w:r>
    </w:p>
    <w:p>
      <w:pPr>
        <w:spacing w:after="0" w:line="192" w:lineRule="exact"/>
        <w:rPr>
          <w:sz w:val="20"/>
          <w:szCs w:val="20"/>
          <w:color w:val="auto"/>
        </w:rPr>
      </w:pPr>
    </w:p>
    <w:p>
      <w:pPr>
        <w:ind w:left="5700"/>
        <w:spacing w:after="0"/>
        <w:rPr>
          <w:sz w:val="20"/>
          <w:szCs w:val="20"/>
          <w:color w:val="auto"/>
        </w:rPr>
      </w:pPr>
      <w:r>
        <w:rPr>
          <w:rFonts w:ascii="Arial" w:cs="Arial" w:eastAsia="Arial" w:hAnsi="Arial"/>
          <w:sz w:val="28"/>
          <w:szCs w:val="28"/>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60960</wp:posOffset>
            </wp:positionV>
            <wp:extent cx="2036445" cy="726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6445"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60"/>
        <w:spacing w:after="0"/>
        <w:rPr>
          <w:sz w:val="20"/>
          <w:szCs w:val="20"/>
          <w:color w:val="auto"/>
        </w:rPr>
      </w:pPr>
      <w:r>
        <w:rPr>
          <w:rFonts w:ascii="Arial" w:cs="Arial" w:eastAsia="Arial" w:hAnsi="Arial"/>
          <w:sz w:val="19"/>
          <w:szCs w:val="19"/>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194945</wp:posOffset>
            </wp:positionV>
            <wp:extent cx="12801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820" w:right="200"/>
        <w:spacing w:after="0" w:line="300" w:lineRule="auto"/>
        <w:rPr>
          <w:sz w:val="20"/>
          <w:szCs w:val="20"/>
          <w:color w:val="auto"/>
        </w:rPr>
      </w:pPr>
      <w:r>
        <w:rPr>
          <w:rFonts w:ascii="Arial" w:cs="Arial" w:eastAsia="Arial" w:hAnsi="Arial"/>
          <w:sz w:val="15"/>
          <w:szCs w:val="15"/>
          <w:b w:val="1"/>
          <w:bCs w:val="1"/>
          <w:i w:val="1"/>
          <w:iCs w:val="1"/>
          <w:color w:val="auto"/>
        </w:rPr>
        <w:t>Tenaya Therapeutics, Inc. is offering shares of our common stock. This is the initial public offering, and no public market currently exists for our shares of common stock. We anticipate that the initial public offering price will be between $ and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153670</wp:posOffset>
            </wp:positionV>
            <wp:extent cx="12801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386"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We have applied to list the common stock on the Nasdaq Stock Market under the symbol “TNYA”.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190500</wp:posOffset>
            </wp:positionV>
            <wp:extent cx="12801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20" w:right="620"/>
        <w:spacing w:after="0" w:line="256" w:lineRule="auto"/>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are an “emerging growth company” as defined under the federal securities laws. Investing in our common stock involves risks. See the section titled “</w:t>
      </w:r>
      <w:hyperlink w:anchor="page19">
        <w:r>
          <w:rPr>
            <w:rFonts w:ascii="Arial" w:cs="Arial" w:eastAsia="Arial" w:hAnsi="Arial"/>
            <w:sz w:val="19"/>
            <w:szCs w:val="19"/>
            <w:b w:val="1"/>
            <w:bCs w:val="1"/>
            <w:i w:val="1"/>
            <w:iCs w:val="1"/>
            <w:u w:val="single" w:color="auto"/>
            <w:color w:val="0000EE"/>
          </w:rPr>
          <w:t>Risk Factors</w:t>
        </w:r>
      </w:hyperlink>
      <w:r>
        <w:rPr>
          <w:rFonts w:ascii="Arial" w:cs="Arial" w:eastAsia="Arial" w:hAnsi="Arial"/>
          <w:sz w:val="19"/>
          <w:szCs w:val="19"/>
          <w:b w:val="1"/>
          <w:bCs w:val="1"/>
          <w:i w:val="1"/>
          <w:iCs w:val="1"/>
          <w:color w:val="auto"/>
        </w:rPr>
        <w:t>”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172720</wp:posOffset>
            </wp:positionV>
            <wp:extent cx="12801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369"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3800" w:type="dxa"/>
            <w:vAlign w:val="bottom"/>
          </w:tcPr>
          <w:p>
            <w:pPr>
              <w:spacing w:after="0"/>
              <w:rPr>
                <w:sz w:val="17"/>
                <w:szCs w:val="17"/>
                <w:color w:val="auto"/>
              </w:rPr>
            </w:pPr>
          </w:p>
        </w:tc>
        <w:tc>
          <w:tcPr>
            <w:tcW w:w="980" w:type="dxa"/>
            <w:vAlign w:val="bottom"/>
          </w:tcPr>
          <w:p>
            <w:pPr>
              <w:ind w:left="160"/>
              <w:spacing w:after="0"/>
              <w:rPr>
                <w:sz w:val="20"/>
                <w:szCs w:val="20"/>
                <w:color w:val="auto"/>
              </w:rPr>
            </w:pPr>
            <w:r>
              <w:rPr>
                <w:rFonts w:ascii="Arial" w:cs="Arial" w:eastAsia="Arial" w:hAnsi="Arial"/>
                <w:sz w:val="16"/>
                <w:szCs w:val="16"/>
                <w:i w:val="1"/>
                <w:iCs w:val="1"/>
                <w:color w:val="auto"/>
              </w:rPr>
              <w:t>PRICE $</w:t>
            </w:r>
          </w:p>
        </w:tc>
        <w:tc>
          <w:tcPr>
            <w:tcW w:w="3240" w:type="dxa"/>
            <w:vAlign w:val="bottom"/>
            <w:gridSpan w:val="4"/>
          </w:tcPr>
          <w:p>
            <w:pPr>
              <w:ind w:left="260"/>
              <w:spacing w:after="0"/>
              <w:rPr>
                <w:sz w:val="20"/>
                <w:szCs w:val="20"/>
                <w:color w:val="auto"/>
              </w:rPr>
            </w:pPr>
            <w:r>
              <w:rPr>
                <w:rFonts w:ascii="Arial" w:cs="Arial" w:eastAsia="Arial" w:hAnsi="Arial"/>
                <w:sz w:val="16"/>
                <w:szCs w:val="16"/>
                <w:i w:val="1"/>
                <w:iCs w:val="1"/>
                <w:color w:val="auto"/>
              </w:rPr>
              <w:t>A SHARE</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i w:val="1"/>
                <w:iCs w:val="1"/>
                <w:color w:val="auto"/>
                <w:w w:val="87"/>
              </w:rPr>
              <w:t>Underwriting</w:t>
            </w:r>
          </w:p>
        </w:tc>
        <w:tc>
          <w:tcPr>
            <w:tcW w:w="0" w:type="dxa"/>
            <w:vAlign w:val="bottom"/>
          </w:tcPr>
          <w:p>
            <w:pPr>
              <w:spacing w:after="0"/>
              <w:rPr>
                <w:sz w:val="1"/>
                <w:szCs w:val="1"/>
                <w:color w:val="auto"/>
              </w:rPr>
            </w:pPr>
          </w:p>
        </w:tc>
      </w:tr>
      <w:tr>
        <w:trPr>
          <w:trHeight w:val="318"/>
        </w:trPr>
        <w:tc>
          <w:tcPr>
            <w:tcW w:w="3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3"/>
                <w:szCs w:val="13"/>
                <w:b w:val="1"/>
                <w:bCs w:val="1"/>
                <w:i w:val="1"/>
                <w:iCs w:val="1"/>
                <w:color w:val="auto"/>
                <w:w w:val="79"/>
              </w:rPr>
              <w:t>Discounts</w:t>
            </w:r>
          </w:p>
        </w:tc>
        <w:tc>
          <w:tcPr>
            <w:tcW w:w="0" w:type="dxa"/>
            <w:vAlign w:val="bottom"/>
          </w:tcPr>
          <w:p>
            <w:pPr>
              <w:spacing w:after="0"/>
              <w:rPr>
                <w:sz w:val="1"/>
                <w:szCs w:val="1"/>
                <w:color w:val="auto"/>
              </w:rPr>
            </w:pPr>
          </w:p>
        </w:tc>
      </w:tr>
      <w:tr>
        <w:trPr>
          <w:trHeight w:val="130"/>
        </w:trPr>
        <w:tc>
          <w:tcPr>
            <w:tcW w:w="3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0" w:type="dxa"/>
            <w:vAlign w:val="bottom"/>
            <w:gridSpan w:val="3"/>
          </w:tcPr>
          <w:p>
            <w:pPr>
              <w:jc w:val="center"/>
              <w:ind w:left="617"/>
              <w:spacing w:after="0" w:line="130" w:lineRule="exact"/>
              <w:rPr>
                <w:sz w:val="20"/>
                <w:szCs w:val="20"/>
                <w:color w:val="auto"/>
              </w:rPr>
            </w:pPr>
            <w:r>
              <w:rPr>
                <w:rFonts w:ascii="Arial" w:cs="Arial" w:eastAsia="Arial" w:hAnsi="Arial"/>
                <w:sz w:val="13"/>
                <w:szCs w:val="13"/>
                <w:b w:val="1"/>
                <w:bCs w:val="1"/>
                <w:i w:val="1"/>
                <w:iCs w:val="1"/>
                <w:color w:val="auto"/>
                <w:w w:val="83"/>
              </w:rPr>
              <w:t>Price to</w:t>
            </w:r>
          </w:p>
        </w:tc>
        <w:tc>
          <w:tcPr>
            <w:tcW w:w="56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3"/>
                <w:szCs w:val="13"/>
                <w:b w:val="1"/>
                <w:bCs w:val="1"/>
                <w:i w:val="1"/>
                <w:iCs w:val="1"/>
                <w:color w:val="auto"/>
                <w:w w:val="77"/>
              </w:rPr>
              <w:t>and</w:t>
            </w: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Per Share</w:t>
            </w:r>
          </w:p>
        </w:tc>
        <w:tc>
          <w:tcPr>
            <w:tcW w:w="1040" w:type="dxa"/>
            <w:vAlign w:val="bottom"/>
          </w:tcPr>
          <w:p>
            <w:pPr>
              <w:spacing w:after="0"/>
              <w:rPr>
                <w:sz w:val="12"/>
                <w:szCs w:val="12"/>
                <w:color w:val="auto"/>
              </w:rPr>
            </w:pPr>
          </w:p>
        </w:tc>
        <w:tc>
          <w:tcPr>
            <w:tcW w:w="2200" w:type="dxa"/>
            <w:vAlign w:val="bottom"/>
            <w:gridSpan w:val="3"/>
          </w:tcPr>
          <w:p>
            <w:pPr>
              <w:jc w:val="center"/>
              <w:ind w:left="617"/>
              <w:spacing w:after="0" w:line="146" w:lineRule="exact"/>
              <w:rPr>
                <w:sz w:val="20"/>
                <w:szCs w:val="20"/>
                <w:color w:val="auto"/>
              </w:rPr>
            </w:pPr>
            <w:r>
              <w:rPr>
                <w:rFonts w:ascii="Arial" w:cs="Arial" w:eastAsia="Arial" w:hAnsi="Arial"/>
                <w:sz w:val="13"/>
                <w:szCs w:val="13"/>
                <w:b w:val="1"/>
                <w:bCs w:val="1"/>
                <w:i w:val="1"/>
                <w:iCs w:val="1"/>
                <w:color w:val="auto"/>
                <w:w w:val="81"/>
              </w:rPr>
              <w:t>Public</w:t>
            </w:r>
          </w:p>
        </w:tc>
        <w:tc>
          <w:tcPr>
            <w:tcW w:w="1380" w:type="dxa"/>
            <w:vAlign w:val="bottom"/>
            <w:gridSpan w:val="2"/>
          </w:tcPr>
          <w:p>
            <w:pPr>
              <w:jc w:val="center"/>
              <w:ind w:left="489"/>
              <w:spacing w:after="0" w:line="146" w:lineRule="exact"/>
              <w:rPr>
                <w:sz w:val="20"/>
                <w:szCs w:val="20"/>
                <w:color w:val="auto"/>
              </w:rPr>
            </w:pPr>
            <w:r>
              <w:rPr>
                <w:rFonts w:ascii="Arial" w:cs="Arial" w:eastAsia="Arial" w:hAnsi="Arial"/>
                <w:sz w:val="13"/>
                <w:szCs w:val="13"/>
                <w:b w:val="1"/>
                <w:bCs w:val="1"/>
                <w:i w:val="1"/>
                <w:iCs w:val="1"/>
                <w:color w:val="auto"/>
                <w:w w:val="84"/>
              </w:rPr>
              <w:t>Commissions</w:t>
            </w:r>
            <w:r>
              <w:rPr>
                <w:rFonts w:ascii="Arial" w:cs="Arial" w:eastAsia="Arial" w:hAnsi="Arial"/>
                <w:sz w:val="10"/>
                <w:szCs w:val="10"/>
                <w:b w:val="1"/>
                <w:bCs w:val="1"/>
                <w:i w:val="1"/>
                <w:iCs w:val="1"/>
                <w:color w:val="auto"/>
                <w:w w:val="84"/>
              </w:rPr>
              <w:t>(1)</w:t>
            </w:r>
          </w:p>
        </w:tc>
        <w:tc>
          <w:tcPr>
            <w:tcW w:w="0" w:type="dxa"/>
            <w:vAlign w:val="bottom"/>
          </w:tcPr>
          <w:p>
            <w:pPr>
              <w:spacing w:after="0"/>
              <w:rPr>
                <w:sz w:val="1"/>
                <w:szCs w:val="1"/>
                <w:color w:val="auto"/>
              </w:rPr>
            </w:pPr>
          </w:p>
        </w:tc>
      </w:tr>
      <w:tr>
        <w:trPr>
          <w:trHeight w:val="168"/>
        </w:trPr>
        <w:tc>
          <w:tcPr>
            <w:tcW w:w="4780" w:type="dxa"/>
            <w:vAlign w:val="bottom"/>
            <w:gridSpan w:val="2"/>
            <w:vMerge w:val="continue"/>
          </w:tcPr>
          <w:p>
            <w:pPr>
              <w:spacing w:after="0"/>
              <w:rPr>
                <w:sz w:val="14"/>
                <w:szCs w:val="14"/>
                <w:color w:val="auto"/>
              </w:rPr>
            </w:pPr>
          </w:p>
        </w:tc>
        <w:tc>
          <w:tcPr>
            <w:tcW w:w="2320" w:type="dxa"/>
            <w:vAlign w:val="bottom"/>
            <w:gridSpan w:val="2"/>
          </w:tcPr>
          <w:p>
            <w:pPr>
              <w:spacing w:after="0"/>
              <w:rPr>
                <w:sz w:val="14"/>
                <w:szCs w:val="14"/>
                <w:color w:val="auto"/>
              </w:rPr>
            </w:pPr>
          </w:p>
        </w:tc>
        <w:tc>
          <w:tcPr>
            <w:tcW w:w="3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i w:val="1"/>
                <w:iCs w:val="1"/>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top w:val="single" w:sz="8" w:color="auto"/>
            </w:tcBorders>
          </w:tcPr>
          <w:p>
            <w:pPr>
              <w:jc w:val="right"/>
              <w:ind w:right="133"/>
              <w:spacing w:after="0" w:line="168"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00"/>
        </w:trPr>
        <w:tc>
          <w:tcPr>
            <w:tcW w:w="4780" w:type="dxa"/>
            <w:vAlign w:val="bottom"/>
            <w:gridSpan w:val="2"/>
          </w:tcPr>
          <w:p>
            <w:pPr>
              <w:spacing w:after="0"/>
              <w:rPr>
                <w:sz w:val="20"/>
                <w:szCs w:val="20"/>
                <w:color w:val="auto"/>
              </w:rPr>
            </w:pPr>
            <w:r>
              <w:rPr>
                <w:rFonts w:ascii="Arial" w:cs="Arial" w:eastAsia="Arial" w:hAnsi="Arial"/>
                <w:sz w:val="16"/>
                <w:szCs w:val="16"/>
                <w:i w:val="1"/>
                <w:iCs w:val="1"/>
                <w:color w:val="auto"/>
              </w:rPr>
              <w:t>Total</w:t>
            </w:r>
          </w:p>
        </w:tc>
        <w:tc>
          <w:tcPr>
            <w:tcW w:w="2320" w:type="dxa"/>
            <w:vAlign w:val="bottom"/>
            <w:gridSpan w:val="2"/>
          </w:tcPr>
          <w:p>
            <w:pPr>
              <w:jc w:val="right"/>
              <w:ind w:right="17"/>
              <w:spacing w:after="0"/>
              <w:rPr>
                <w:sz w:val="20"/>
                <w:szCs w:val="20"/>
                <w:color w:val="auto"/>
              </w:rPr>
            </w:pPr>
            <w:r>
              <w:rPr>
                <w:rFonts w:ascii="Arial" w:cs="Arial" w:eastAsia="Arial" w:hAnsi="Arial"/>
                <w:sz w:val="16"/>
                <w:szCs w:val="16"/>
                <w:i w:val="1"/>
                <w:iCs w:val="1"/>
                <w:color w:val="auto"/>
              </w:rPr>
              <w:t>$</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gridSpan w:val="2"/>
          </w:tcPr>
          <w:p>
            <w:pPr>
              <w:jc w:val="right"/>
              <w:ind w:right="573"/>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75565</wp:posOffset>
            </wp:positionV>
            <wp:extent cx="666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4" w:lineRule="exact"/>
        <w:rPr>
          <w:sz w:val="20"/>
          <w:szCs w:val="20"/>
          <w:color w:val="auto"/>
        </w:rPr>
      </w:pPr>
    </w:p>
    <w:p>
      <w:pPr>
        <w:ind w:left="1200" w:hanging="386"/>
        <w:spacing w:after="0"/>
        <w:tabs>
          <w:tab w:leader="none" w:pos="120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the section titled “Underwriters” for a description of the compensation payable to the underwriters.</w:t>
      </w:r>
    </w:p>
    <w:p>
      <w:pPr>
        <w:spacing w:after="0" w:line="134" w:lineRule="exact"/>
        <w:rPr>
          <w:sz w:val="20"/>
          <w:szCs w:val="20"/>
          <w:color w:val="auto"/>
        </w:rPr>
      </w:pPr>
    </w:p>
    <w:p>
      <w:pPr>
        <w:ind w:left="820"/>
        <w:spacing w:after="0"/>
        <w:tabs>
          <w:tab w:leader="none" w:pos="5300" w:val="left"/>
        </w:tabs>
        <w:rPr>
          <w:sz w:val="20"/>
          <w:szCs w:val="20"/>
          <w:color w:val="auto"/>
        </w:rPr>
      </w:pPr>
      <w:r>
        <w:rPr>
          <w:rFonts w:ascii="Arial" w:cs="Arial" w:eastAsia="Arial" w:hAnsi="Arial"/>
          <w:sz w:val="16"/>
          <w:szCs w:val="16"/>
          <w:i w:val="1"/>
          <w:iCs w:val="1"/>
          <w:color w:val="auto"/>
        </w:rPr>
        <w:t>We have granted the underwriters the right to purchase up to</w:t>
      </w:r>
      <w:r>
        <w:rPr>
          <w:sz w:val="20"/>
          <w:szCs w:val="20"/>
          <w:color w:val="auto"/>
        </w:rPr>
        <w:tab/>
      </w:r>
      <w:r>
        <w:rPr>
          <w:rFonts w:ascii="Arial" w:cs="Arial" w:eastAsia="Arial" w:hAnsi="Arial"/>
          <w:sz w:val="13"/>
          <w:szCs w:val="13"/>
          <w:i w:val="1"/>
          <w:iCs w:val="1"/>
          <w:color w:val="auto"/>
        </w:rPr>
        <w:t>additional shares of our common stock to cover over-allotments, if any.</w:t>
      </w:r>
    </w:p>
    <w:p>
      <w:pPr>
        <w:spacing w:after="0" w:line="123" w:lineRule="exact"/>
        <w:rPr>
          <w:sz w:val="20"/>
          <w:szCs w:val="20"/>
          <w:color w:val="auto"/>
        </w:rPr>
      </w:pPr>
    </w:p>
    <w:p>
      <w:pPr>
        <w:ind w:left="820" w:right="300"/>
        <w:spacing w:after="0" w:line="266" w:lineRule="auto"/>
        <w:rPr>
          <w:sz w:val="20"/>
          <w:szCs w:val="20"/>
          <w:color w:val="auto"/>
        </w:rPr>
      </w:pPr>
      <w:r>
        <w:rPr>
          <w:rFonts w:ascii="Arial" w:cs="Arial" w:eastAsia="Arial" w:hAnsi="Arial"/>
          <w:sz w:val="16"/>
          <w:szCs w:val="16"/>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6620" w:type="dxa"/>
            <w:vAlign w:val="bottom"/>
          </w:tcPr>
          <w:p>
            <w:pPr>
              <w:spacing w:after="0"/>
              <w:rPr>
                <w:sz w:val="20"/>
                <w:szCs w:val="20"/>
                <w:color w:val="auto"/>
              </w:rPr>
            </w:pPr>
            <w:r>
              <w:rPr>
                <w:rFonts w:ascii="Arial" w:cs="Arial" w:eastAsia="Arial" w:hAnsi="Arial"/>
                <w:sz w:val="16"/>
                <w:szCs w:val="16"/>
                <w:i w:val="1"/>
                <w:iCs w:val="1"/>
                <w:color w:val="auto"/>
                <w:w w:val="94"/>
              </w:rPr>
              <w:t>The underwriters expect to deliver the shares against payment in New York, New York, on or about</w:t>
            </w: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180340</wp:posOffset>
            </wp:positionV>
            <wp:extent cx="12801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ectPr>
          <w:pgSz w:w="11900" w:h="16838" w:orient="portrait"/>
          <w:cols w:equalWidth="0" w:num="1">
            <w:col w:w="10440"/>
          </w:cols>
          <w:pgMar w:left="320" w:top="418" w:right="11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25"/>
          <w:szCs w:val="25"/>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1960"/>
        <w:spacing w:after="0"/>
        <w:rPr>
          <w:sz w:val="20"/>
          <w:szCs w:val="20"/>
          <w:color w:val="auto"/>
        </w:rPr>
      </w:pPr>
      <w:r>
        <w:rPr>
          <w:rFonts w:ascii="Arial" w:cs="Arial" w:eastAsia="Arial" w:hAnsi="Arial"/>
          <w:sz w:val="25"/>
          <w:szCs w:val="25"/>
          <w:i w:val="1"/>
          <w:iCs w:val="1"/>
          <w:color w:val="auto"/>
        </w:rPr>
        <w:t>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i w:val="1"/>
          <w:iCs w:val="1"/>
          <w:color w:val="auto"/>
        </w:rPr>
        <w:t>Piper Sandler</w:t>
      </w:r>
    </w:p>
    <w:p>
      <w:pPr>
        <w:spacing w:after="0" w:line="85" w:lineRule="exact"/>
        <w:rPr>
          <w:sz w:val="20"/>
          <w:szCs w:val="20"/>
          <w:color w:val="auto"/>
        </w:rPr>
      </w:pPr>
    </w:p>
    <w:p>
      <w:pPr>
        <w:sectPr>
          <w:pgSz w:w="11900" w:h="16838" w:orient="portrait"/>
          <w:cols w:equalWidth="0" w:num="3">
            <w:col w:w="4660" w:space="720"/>
            <w:col w:w="2760" w:space="720"/>
            <w:col w:w="1580"/>
          </w:cols>
          <w:pgMar w:left="320" w:top="418" w:right="1139" w:bottom="1440" w:gutter="0" w:footer="0" w:header="0"/>
          <w:type w:val="continuous"/>
        </w:sectPr>
      </w:pPr>
    </w:p>
    <w:p>
      <w:pPr>
        <w:ind w:left="5340"/>
        <w:spacing w:after="0"/>
        <w:rPr>
          <w:sz w:val="20"/>
          <w:szCs w:val="20"/>
          <w:color w:val="auto"/>
        </w:rPr>
      </w:pPr>
      <w:r>
        <w:rPr>
          <w:rFonts w:ascii="Arial" w:cs="Arial" w:eastAsia="Arial" w:hAnsi="Arial"/>
          <w:sz w:val="22"/>
          <w:szCs w:val="22"/>
          <w:i w:val="1"/>
          <w:iCs w:val="1"/>
          <w:color w:val="auto"/>
        </w:rPr>
        <w:t>Chardan</w:t>
      </w:r>
    </w:p>
    <w:p>
      <w:pPr>
        <w:spacing w:after="0" w:line="205" w:lineRule="exact"/>
        <w:rPr>
          <w:sz w:val="20"/>
          <w:szCs w:val="20"/>
          <w:color w:val="auto"/>
        </w:rPr>
      </w:pPr>
    </w:p>
    <w:p>
      <w:pPr>
        <w:ind w:left="1600"/>
        <w:spacing w:after="0"/>
        <w:rPr>
          <w:sz w:val="20"/>
          <w:szCs w:val="20"/>
          <w:color w:val="auto"/>
        </w:rPr>
      </w:pPr>
      <w:r>
        <w:rPr>
          <w:rFonts w:ascii="Arial" w:cs="Arial" w:eastAsia="Arial" w:hAnsi="Arial"/>
          <w:sz w:val="16"/>
          <w:szCs w:val="16"/>
          <w:i w:val="1"/>
          <w:iCs w:val="1"/>
          <w:color w:val="auto"/>
        </w:rPr>
        <w:t>, 2021</w:t>
      </w:r>
    </w:p>
    <w:p>
      <w:pPr>
        <w:sectPr>
          <w:pgSz w:w="11900" w:h="16838" w:orient="portrait"/>
          <w:cols w:equalWidth="0" w:num="1">
            <w:col w:w="10440"/>
          </w:cols>
          <w:pgMar w:left="320" w:top="418" w:right="11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TABLE OF CONTENTS</w:t>
      </w:r>
    </w:p>
    <w:p>
      <w:pPr>
        <w:spacing w:after="0" w:line="261"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820" w:type="dxa"/>
            <w:vAlign w:val="bottom"/>
            <w:gridSpan w:val="7"/>
            <w:vMerge w:val="restart"/>
          </w:tcPr>
          <w:p>
            <w:pPr>
              <w:spacing w:after="0"/>
              <w:rPr>
                <w:rFonts w:ascii="Arial" w:cs="Arial" w:eastAsia="Arial" w:hAnsi="Arial"/>
                <w:sz w:val="16"/>
                <w:szCs w:val="16"/>
                <w:color w:val="0000EE"/>
                <w:w w:val="91"/>
              </w:rPr>
            </w:pPr>
            <w:hyperlink w:anchor="page4">
              <w:r>
                <w:rPr>
                  <w:rFonts w:ascii="Arial" w:cs="Arial" w:eastAsia="Arial" w:hAnsi="Arial"/>
                  <w:sz w:val="16"/>
                  <w:szCs w:val="16"/>
                  <w:color w:val="0000EE"/>
                  <w:w w:val="91"/>
                </w:rPr>
                <w:t>PROSPECTUS SUMMARY</w:t>
              </w:r>
            </w:hyperlink>
          </w:p>
        </w:tc>
        <w:tc>
          <w:tcPr>
            <w:tcW w:w="2420" w:type="dxa"/>
            <w:vAlign w:val="bottom"/>
            <w:gridSpan w:val="6"/>
            <w:vMerge w:val="restart"/>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3"/>
              </w:rPr>
              <w:t>Page</w:t>
            </w:r>
          </w:p>
        </w:tc>
        <w:tc>
          <w:tcPr>
            <w:tcW w:w="340" w:type="dxa"/>
            <w:vAlign w:val="bottom"/>
          </w:tcPr>
          <w:p>
            <w:pPr>
              <w:spacing w:after="0"/>
              <w:rPr>
                <w:sz w:val="13"/>
                <w:szCs w:val="13"/>
                <w:color w:val="auto"/>
              </w:rPr>
            </w:pPr>
          </w:p>
        </w:tc>
        <w:tc>
          <w:tcPr>
            <w:tcW w:w="2140" w:type="dxa"/>
            <w:vAlign w:val="bottom"/>
            <w:gridSpan w:val="7"/>
            <w:vMerge w:val="restart"/>
          </w:tcPr>
          <w:p>
            <w:pPr>
              <w:spacing w:after="0"/>
              <w:rPr>
                <w:rFonts w:ascii="Arial" w:cs="Arial" w:eastAsia="Arial" w:hAnsi="Arial"/>
                <w:sz w:val="16"/>
                <w:szCs w:val="16"/>
                <w:color w:val="0000EE"/>
                <w:w w:val="94"/>
              </w:rPr>
            </w:pPr>
            <w:hyperlink w:anchor="page223">
              <w:r>
                <w:rPr>
                  <w:rFonts w:ascii="Arial" w:cs="Arial" w:eastAsia="Arial" w:hAnsi="Arial"/>
                  <w:sz w:val="16"/>
                  <w:szCs w:val="16"/>
                  <w:color w:val="0000EE"/>
                  <w:w w:val="94"/>
                </w:rPr>
                <w:t>EXECUTIVE COMPENSATION</w:t>
              </w:r>
            </w:hyperlink>
          </w:p>
        </w:tc>
        <w:tc>
          <w:tcPr>
            <w:tcW w:w="2220" w:type="dxa"/>
            <w:vAlign w:val="bottom"/>
            <w:gridSpan w:val="8"/>
            <w:vMerge w:val="restart"/>
          </w:tcPr>
          <w:p>
            <w:pPr>
              <w:spacing w:after="0"/>
              <w:rPr>
                <w:sz w:val="13"/>
                <w:szCs w:val="13"/>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50"/>
        </w:trPr>
        <w:tc>
          <w:tcPr>
            <w:tcW w:w="1820" w:type="dxa"/>
            <w:vAlign w:val="bottom"/>
            <w:tcBorders>
              <w:bottom w:val="single" w:sz="8" w:color="0000EE"/>
            </w:tcBorders>
            <w:gridSpan w:val="7"/>
            <w:vMerge w:val="continue"/>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3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2"/>
                <w:szCs w:val="12"/>
                <w:color w:val="auto"/>
              </w:rPr>
            </w:pPr>
          </w:p>
        </w:tc>
        <w:tc>
          <w:tcPr>
            <w:tcW w:w="2140" w:type="dxa"/>
            <w:vAlign w:val="bottom"/>
            <w:tcBorders>
              <w:bottom w:val="single" w:sz="8" w:color="0000EE"/>
            </w:tcBorders>
            <w:gridSpan w:val="7"/>
            <w:vMerge w:val="continue"/>
          </w:tcPr>
          <w:p>
            <w:pPr>
              <w:spacing w:after="0"/>
              <w:rPr>
                <w:sz w:val="12"/>
                <w:szCs w:val="12"/>
                <w:color w:val="auto"/>
              </w:rPr>
            </w:pPr>
          </w:p>
        </w:tc>
        <w:tc>
          <w:tcPr>
            <w:tcW w:w="2220" w:type="dxa"/>
            <w:vAlign w:val="bottom"/>
            <w:gridSpan w:val="8"/>
            <w:vMerge w:val="continue"/>
          </w:tcPr>
          <w:p>
            <w:pPr>
              <w:spacing w:after="0"/>
              <w:rPr>
                <w:sz w:val="12"/>
                <w:szCs w:val="12"/>
                <w:color w:val="auto"/>
              </w:rPr>
            </w:pPr>
          </w:p>
        </w:tc>
        <w:tc>
          <w:tcPr>
            <w:tcW w:w="280" w:type="dxa"/>
            <w:vAlign w:val="bottom"/>
            <w:tcBorders>
              <w:top w:val="single" w:sz="8" w:color="auto"/>
            </w:tcBorders>
          </w:tcPr>
          <w:p>
            <w:pPr>
              <w:ind w:left="60"/>
              <w:spacing w:after="0" w:line="145" w:lineRule="exact"/>
              <w:rPr>
                <w:sz w:val="20"/>
                <w:szCs w:val="20"/>
                <w:color w:val="auto"/>
              </w:rPr>
            </w:pPr>
            <w:r>
              <w:rPr>
                <w:rFonts w:ascii="Arial" w:cs="Arial" w:eastAsia="Arial" w:hAnsi="Arial"/>
                <w:sz w:val="16"/>
                <w:szCs w:val="16"/>
                <w:color w:val="auto"/>
                <w:w w:val="74"/>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40" w:type="dxa"/>
            <w:vAlign w:val="bottom"/>
            <w:gridSpan w:val="13"/>
          </w:tcPr>
          <w:p>
            <w:pPr>
              <w:spacing w:after="0" w:line="168" w:lineRule="exact"/>
              <w:rPr>
                <w:rFonts w:ascii="Arial" w:cs="Arial" w:eastAsia="Arial" w:hAnsi="Arial"/>
                <w:sz w:val="16"/>
                <w:szCs w:val="16"/>
                <w:color w:val="0000EE"/>
              </w:rPr>
            </w:pPr>
            <w:hyperlink w:anchor="page19">
              <w:r>
                <w:rPr>
                  <w:rFonts w:ascii="Arial" w:cs="Arial" w:eastAsia="Arial" w:hAnsi="Arial"/>
                  <w:sz w:val="16"/>
                  <w:szCs w:val="16"/>
                  <w:color w:val="0000EE"/>
                </w:rPr>
                <w:t>RISK FACTORS</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16</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36">
              <w:r>
                <w:rPr>
                  <w:rFonts w:ascii="Arial" w:cs="Arial" w:eastAsia="Arial" w:hAnsi="Arial"/>
                  <w:sz w:val="16"/>
                  <w:szCs w:val="16"/>
                  <w:color w:val="0000EE"/>
                </w:rPr>
                <w:t>CERTAIN RELATIONSHIPS AND RELATED PARTY</w:t>
              </w:r>
            </w:hyperlink>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tcBorders>
              <w:bottom w:val="single" w:sz="8" w:color="0000EE"/>
            </w:tcBorders>
            <w:gridSpan w:val="12"/>
          </w:tcPr>
          <w:p>
            <w:pPr>
              <w:spacing w:after="0" w:line="168" w:lineRule="exact"/>
              <w:rPr>
                <w:rFonts w:ascii="Arial" w:cs="Arial" w:eastAsia="Arial" w:hAnsi="Arial"/>
                <w:sz w:val="16"/>
                <w:szCs w:val="16"/>
                <w:color w:val="0000EE"/>
                <w:w w:val="94"/>
              </w:rPr>
            </w:pPr>
            <w:hyperlink w:anchor="page98">
              <w:r>
                <w:rPr>
                  <w:rFonts w:ascii="Arial" w:cs="Arial" w:eastAsia="Arial" w:hAnsi="Arial"/>
                  <w:sz w:val="16"/>
                  <w:szCs w:val="16"/>
                  <w:color w:val="0000EE"/>
                  <w:w w:val="94"/>
                </w:rPr>
                <w:t>SPECIAL NOTE REGARDING FORWARD- LOOKING</w:t>
              </w:r>
            </w:hyperlink>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0000EE"/>
            </w:tcBorders>
            <w:gridSpan w:val="4"/>
          </w:tcPr>
          <w:p>
            <w:pPr>
              <w:spacing w:after="0" w:line="168" w:lineRule="exact"/>
              <w:rPr>
                <w:rFonts w:ascii="Arial" w:cs="Arial" w:eastAsia="Arial" w:hAnsi="Arial"/>
                <w:sz w:val="16"/>
                <w:szCs w:val="16"/>
                <w:color w:val="0000EE"/>
                <w:w w:val="94"/>
              </w:rPr>
            </w:pPr>
            <w:hyperlink w:anchor="page236">
              <w:r>
                <w:rPr>
                  <w:rFonts w:ascii="Arial" w:cs="Arial" w:eastAsia="Arial" w:hAnsi="Arial"/>
                  <w:sz w:val="16"/>
                  <w:szCs w:val="16"/>
                  <w:color w:val="0000EE"/>
                  <w:w w:val="94"/>
                </w:rPr>
                <w:t>TRANSACTIONS</w:t>
              </w:r>
            </w:hyperlink>
          </w:p>
        </w:tc>
        <w:tc>
          <w:tcPr>
            <w:tcW w:w="3000" w:type="dxa"/>
            <w:vAlign w:val="bottom"/>
            <w:gridSpan w:val="10"/>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233</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080" w:type="dxa"/>
            <w:vAlign w:val="bottom"/>
            <w:gridSpan w:val="12"/>
          </w:tcPr>
          <w:p>
            <w:pPr>
              <w:spacing w:after="0" w:line="168" w:lineRule="exact"/>
              <w:rPr>
                <w:rFonts w:ascii="Arial" w:cs="Arial" w:eastAsia="Arial" w:hAnsi="Arial"/>
                <w:sz w:val="16"/>
                <w:szCs w:val="16"/>
                <w:color w:val="0000EE"/>
              </w:rPr>
            </w:pPr>
            <w:hyperlink w:anchor="page98">
              <w:r>
                <w:rPr>
                  <w:rFonts w:ascii="Arial" w:cs="Arial" w:eastAsia="Arial" w:hAnsi="Arial"/>
                  <w:sz w:val="16"/>
                  <w:szCs w:val="16"/>
                  <w:color w:val="0000EE"/>
                </w:rPr>
                <w:t>STATEMENTS</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95</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39">
              <w:r>
                <w:rPr>
                  <w:rFonts w:ascii="Arial" w:cs="Arial" w:eastAsia="Arial" w:hAnsi="Arial"/>
                  <w:sz w:val="16"/>
                  <w:szCs w:val="16"/>
                  <w:color w:val="0000EE"/>
                </w:rPr>
                <w:t>PRINCIPAL STOCKHOLDERS</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236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gridSpan w:val="13"/>
          </w:tcPr>
          <w:p>
            <w:pPr>
              <w:spacing w:after="0" w:line="168" w:lineRule="exact"/>
              <w:rPr>
                <w:rFonts w:ascii="Arial" w:cs="Arial" w:eastAsia="Arial" w:hAnsi="Arial"/>
                <w:sz w:val="16"/>
                <w:szCs w:val="16"/>
                <w:color w:val="0000EE"/>
              </w:rPr>
            </w:pPr>
            <w:hyperlink w:anchor="page100">
              <w:r>
                <w:rPr>
                  <w:rFonts w:ascii="Arial" w:cs="Arial" w:eastAsia="Arial" w:hAnsi="Arial"/>
                  <w:sz w:val="16"/>
                  <w:szCs w:val="16"/>
                  <w:color w:val="0000EE"/>
                </w:rPr>
                <w:t>MARKET, INDUSTRY AND OTHER DATA</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97</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42">
              <w:r>
                <w:rPr>
                  <w:rFonts w:ascii="Arial" w:cs="Arial" w:eastAsia="Arial" w:hAnsi="Arial"/>
                  <w:sz w:val="16"/>
                  <w:szCs w:val="16"/>
                  <w:color w:val="0000EE"/>
                </w:rPr>
                <w:t>DESCRIPTION OF CAPITAL STOCK</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239</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0" w:type="dxa"/>
            <w:vAlign w:val="bottom"/>
            <w:gridSpan w:val="6"/>
          </w:tcPr>
          <w:p>
            <w:pPr>
              <w:spacing w:after="0" w:line="168" w:lineRule="exact"/>
              <w:rPr>
                <w:rFonts w:ascii="Arial" w:cs="Arial" w:eastAsia="Arial" w:hAnsi="Arial"/>
                <w:sz w:val="16"/>
                <w:szCs w:val="16"/>
                <w:color w:val="0000EE"/>
                <w:w w:val="88"/>
              </w:rPr>
            </w:pPr>
            <w:hyperlink w:anchor="page101">
              <w:r>
                <w:rPr>
                  <w:rFonts w:ascii="Arial" w:cs="Arial" w:eastAsia="Arial" w:hAnsi="Arial"/>
                  <w:sz w:val="16"/>
                  <w:szCs w:val="16"/>
                  <w:color w:val="0000EE"/>
                  <w:w w:val="88"/>
                </w:rPr>
                <w:t>USE OF PROCEEDS</w:t>
              </w:r>
            </w:hyperlink>
          </w:p>
        </w:tc>
        <w:tc>
          <w:tcPr>
            <w:tcW w:w="1500" w:type="dxa"/>
            <w:vAlign w:val="bottom"/>
            <w:gridSpan w:val="3"/>
          </w:tcPr>
          <w:p>
            <w:pPr>
              <w:spacing w:after="0"/>
              <w:rPr>
                <w:sz w:val="14"/>
                <w:szCs w:val="14"/>
                <w:color w:val="auto"/>
              </w:rPr>
            </w:pPr>
          </w:p>
        </w:tc>
        <w:tc>
          <w:tcPr>
            <w:tcW w:w="1340" w:type="dxa"/>
            <w:vAlign w:val="bottom"/>
            <w:gridSpan w:val="4"/>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98</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48">
              <w:r>
                <w:rPr>
                  <w:rFonts w:ascii="Arial" w:cs="Arial" w:eastAsia="Arial" w:hAnsi="Arial"/>
                  <w:sz w:val="16"/>
                  <w:szCs w:val="16"/>
                  <w:color w:val="0000EE"/>
                </w:rPr>
                <w:t>SHARES ELIGIBLE FOR FUTURE SALE</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245</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0" w:type="dxa"/>
            <w:vAlign w:val="bottom"/>
            <w:tcBorders>
              <w:bottom w:val="single" w:sz="8" w:color="0000EE"/>
            </w:tcBorders>
            <w:gridSpan w:val="6"/>
          </w:tcPr>
          <w:p>
            <w:pPr>
              <w:spacing w:after="0" w:line="168" w:lineRule="exact"/>
              <w:rPr>
                <w:rFonts w:ascii="Arial" w:cs="Arial" w:eastAsia="Arial" w:hAnsi="Arial"/>
                <w:sz w:val="16"/>
                <w:szCs w:val="16"/>
                <w:color w:val="0000EE"/>
                <w:w w:val="97"/>
              </w:rPr>
            </w:pPr>
            <w:hyperlink w:anchor="page103">
              <w:r>
                <w:rPr>
                  <w:rFonts w:ascii="Arial" w:cs="Arial" w:eastAsia="Arial" w:hAnsi="Arial"/>
                  <w:sz w:val="16"/>
                  <w:szCs w:val="16"/>
                  <w:color w:val="0000EE"/>
                  <w:w w:val="97"/>
                </w:rPr>
                <w:t>DIVIDEND POLICY</w:t>
              </w:r>
            </w:hyperlink>
          </w:p>
        </w:tc>
        <w:tc>
          <w:tcPr>
            <w:tcW w:w="2840" w:type="dxa"/>
            <w:vAlign w:val="bottom"/>
            <w:gridSpan w:val="7"/>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100</w:t>
            </w:r>
          </w:p>
        </w:tc>
        <w:tc>
          <w:tcPr>
            <w:tcW w:w="340" w:type="dxa"/>
            <w:vAlign w:val="bottom"/>
          </w:tcPr>
          <w:p>
            <w:pPr>
              <w:spacing w:after="0"/>
              <w:rPr>
                <w:sz w:val="14"/>
                <w:szCs w:val="14"/>
                <w:color w:val="auto"/>
              </w:rPr>
            </w:pPr>
          </w:p>
        </w:tc>
        <w:tc>
          <w:tcPr>
            <w:tcW w:w="2880" w:type="dxa"/>
            <w:vAlign w:val="bottom"/>
            <w:tcBorders>
              <w:bottom w:val="single" w:sz="8" w:color="0000EE"/>
            </w:tcBorders>
            <w:gridSpan w:val="11"/>
          </w:tcPr>
          <w:p>
            <w:pPr>
              <w:spacing w:after="0" w:line="168" w:lineRule="exact"/>
              <w:rPr>
                <w:rFonts w:ascii="Arial" w:cs="Arial" w:eastAsia="Arial" w:hAnsi="Arial"/>
                <w:sz w:val="16"/>
                <w:szCs w:val="16"/>
                <w:color w:val="0000EE"/>
                <w:w w:val="96"/>
              </w:rPr>
            </w:pPr>
            <w:hyperlink w:anchor="page250">
              <w:r>
                <w:rPr>
                  <w:rFonts w:ascii="Arial" w:cs="Arial" w:eastAsia="Arial" w:hAnsi="Arial"/>
                  <w:sz w:val="16"/>
                  <w:szCs w:val="16"/>
                  <w:color w:val="0000EE"/>
                  <w:w w:val="96"/>
                </w:rPr>
                <w:t>MATERIAL U.S. FEDERAL INCOME TAX</w:t>
              </w:r>
            </w:hyperlink>
          </w:p>
        </w:tc>
        <w:tc>
          <w:tcPr>
            <w:tcW w:w="1480" w:type="dxa"/>
            <w:vAlign w:val="bottom"/>
            <w:gridSpan w:val="4"/>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13"/>
          </w:tcPr>
          <w:p>
            <w:pPr>
              <w:spacing w:after="0" w:line="168" w:lineRule="exact"/>
              <w:rPr>
                <w:rFonts w:ascii="Arial" w:cs="Arial" w:eastAsia="Arial" w:hAnsi="Arial"/>
                <w:sz w:val="16"/>
                <w:szCs w:val="16"/>
                <w:color w:val="0000EE"/>
              </w:rPr>
            </w:pPr>
            <w:hyperlink w:anchor="page104">
              <w:r>
                <w:rPr>
                  <w:rFonts w:ascii="Arial" w:cs="Arial" w:eastAsia="Arial" w:hAnsi="Arial"/>
                  <w:sz w:val="16"/>
                  <w:szCs w:val="16"/>
                  <w:color w:val="0000EE"/>
                </w:rPr>
                <w:t>CAPITALIZATION</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101</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14"/>
          </w:tcPr>
          <w:p>
            <w:pPr>
              <w:spacing w:after="0" w:line="168" w:lineRule="exact"/>
              <w:rPr>
                <w:rFonts w:ascii="Arial" w:cs="Arial" w:eastAsia="Arial" w:hAnsi="Arial"/>
                <w:sz w:val="16"/>
                <w:szCs w:val="16"/>
                <w:color w:val="0000EE"/>
              </w:rPr>
            </w:pPr>
            <w:hyperlink w:anchor="page250">
              <w:r>
                <w:rPr>
                  <w:rFonts w:ascii="Arial" w:cs="Arial" w:eastAsia="Arial" w:hAnsi="Arial"/>
                  <w:sz w:val="16"/>
                  <w:szCs w:val="16"/>
                  <w:color w:val="0000EE"/>
                </w:rPr>
                <w:t>CONSIDERATIONS FOR NON-U.S. HOLDERS</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247</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gridSpan w:val="2"/>
          </w:tcPr>
          <w:p>
            <w:pPr>
              <w:spacing w:after="0" w:line="168" w:lineRule="exact"/>
              <w:rPr>
                <w:rFonts w:ascii="Arial" w:cs="Arial" w:eastAsia="Arial" w:hAnsi="Arial"/>
                <w:sz w:val="16"/>
                <w:szCs w:val="16"/>
                <w:color w:val="0000EE"/>
                <w:w w:val="96"/>
              </w:rPr>
            </w:pPr>
            <w:hyperlink w:anchor="page106">
              <w:r>
                <w:rPr>
                  <w:rFonts w:ascii="Arial" w:cs="Arial" w:eastAsia="Arial" w:hAnsi="Arial"/>
                  <w:sz w:val="16"/>
                  <w:szCs w:val="16"/>
                  <w:color w:val="0000EE"/>
                  <w:w w:val="96"/>
                </w:rPr>
                <w:t>DILUTION</w:t>
              </w:r>
            </w:hyperlink>
          </w:p>
        </w:tc>
        <w:tc>
          <w:tcPr>
            <w:tcW w:w="500" w:type="dxa"/>
            <w:vAlign w:val="bottom"/>
            <w:gridSpan w:val="3"/>
          </w:tcPr>
          <w:p>
            <w:pPr>
              <w:spacing w:after="0"/>
              <w:rPr>
                <w:sz w:val="14"/>
                <w:szCs w:val="14"/>
                <w:color w:val="auto"/>
              </w:rPr>
            </w:pPr>
          </w:p>
        </w:tc>
        <w:tc>
          <w:tcPr>
            <w:tcW w:w="2980" w:type="dxa"/>
            <w:vAlign w:val="bottom"/>
            <w:gridSpan w:val="8"/>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103</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54">
              <w:r>
                <w:rPr>
                  <w:rFonts w:ascii="Arial" w:cs="Arial" w:eastAsia="Arial" w:hAnsi="Arial"/>
                  <w:sz w:val="16"/>
                  <w:szCs w:val="16"/>
                  <w:color w:val="0000EE"/>
                </w:rPr>
                <w:t>UNDERWRITERS</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251</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0000EE"/>
            </w:tcBorders>
            <w:gridSpan w:val="8"/>
          </w:tcPr>
          <w:p>
            <w:pPr>
              <w:spacing w:after="0" w:line="168" w:lineRule="exact"/>
              <w:rPr>
                <w:rFonts w:ascii="Arial" w:cs="Arial" w:eastAsia="Arial" w:hAnsi="Arial"/>
                <w:sz w:val="16"/>
                <w:szCs w:val="16"/>
                <w:color w:val="0000EE"/>
                <w:w w:val="95"/>
              </w:rPr>
            </w:pPr>
            <w:hyperlink w:anchor="page109">
              <w:r>
                <w:rPr>
                  <w:rFonts w:ascii="Arial" w:cs="Arial" w:eastAsia="Arial" w:hAnsi="Arial"/>
                  <w:sz w:val="16"/>
                  <w:szCs w:val="16"/>
                  <w:color w:val="0000EE"/>
                  <w:w w:val="95"/>
                </w:rPr>
                <w:t>SELECTED FINANCIAL DATA</w:t>
              </w:r>
            </w:hyperlink>
          </w:p>
        </w:tc>
        <w:tc>
          <w:tcPr>
            <w:tcW w:w="2120" w:type="dxa"/>
            <w:vAlign w:val="bottom"/>
            <w:gridSpan w:val="5"/>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106</w:t>
            </w:r>
          </w:p>
        </w:tc>
        <w:tc>
          <w:tcPr>
            <w:tcW w:w="340" w:type="dxa"/>
            <w:vAlign w:val="bottom"/>
          </w:tcPr>
          <w:p>
            <w:pPr>
              <w:spacing w:after="0"/>
              <w:rPr>
                <w:sz w:val="14"/>
                <w:szCs w:val="14"/>
                <w:color w:val="auto"/>
              </w:rPr>
            </w:pPr>
          </w:p>
        </w:tc>
        <w:tc>
          <w:tcPr>
            <w:tcW w:w="1280" w:type="dxa"/>
            <w:vAlign w:val="bottom"/>
            <w:tcBorders>
              <w:bottom w:val="single" w:sz="8" w:color="0000EE"/>
            </w:tcBorders>
            <w:gridSpan w:val="4"/>
          </w:tcPr>
          <w:p>
            <w:pPr>
              <w:spacing w:after="0" w:line="168" w:lineRule="exact"/>
              <w:rPr>
                <w:rFonts w:ascii="Arial" w:cs="Arial" w:eastAsia="Arial" w:hAnsi="Arial"/>
                <w:sz w:val="16"/>
                <w:szCs w:val="16"/>
                <w:color w:val="0000EE"/>
                <w:w w:val="95"/>
              </w:rPr>
            </w:pPr>
            <w:hyperlink w:anchor="page265">
              <w:r>
                <w:rPr>
                  <w:rFonts w:ascii="Arial" w:cs="Arial" w:eastAsia="Arial" w:hAnsi="Arial"/>
                  <w:sz w:val="16"/>
                  <w:szCs w:val="16"/>
                  <w:color w:val="0000EE"/>
                  <w:w w:val="95"/>
                </w:rPr>
                <w:t>LEGAL MATTERS</w:t>
              </w:r>
            </w:hyperlink>
          </w:p>
        </w:tc>
        <w:tc>
          <w:tcPr>
            <w:tcW w:w="3080" w:type="dxa"/>
            <w:vAlign w:val="bottom"/>
            <w:gridSpan w:val="11"/>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262</w:t>
            </w:r>
          </w:p>
        </w:tc>
        <w:tc>
          <w:tcPr>
            <w:tcW w:w="0" w:type="dxa"/>
            <w:vAlign w:val="bottom"/>
          </w:tcPr>
          <w:p>
            <w:pPr>
              <w:spacing w:after="0"/>
              <w:rPr>
                <w:sz w:val="1"/>
                <w:szCs w:val="1"/>
                <w:color w:val="auto"/>
              </w:rPr>
            </w:pPr>
          </w:p>
        </w:tc>
      </w:tr>
      <w:tr>
        <w:trPr>
          <w:trHeight w:val="169"/>
        </w:trPr>
        <w:tc>
          <w:tcPr>
            <w:tcW w:w="3660" w:type="dxa"/>
            <w:vAlign w:val="bottom"/>
            <w:tcBorders>
              <w:bottom w:val="single" w:sz="8" w:color="0000EE"/>
            </w:tcBorders>
            <w:gridSpan w:val="11"/>
          </w:tcPr>
          <w:p>
            <w:pPr>
              <w:spacing w:after="0" w:line="168" w:lineRule="exact"/>
              <w:rPr>
                <w:rFonts w:ascii="Arial" w:cs="Arial" w:eastAsia="Arial" w:hAnsi="Arial"/>
                <w:sz w:val="16"/>
                <w:szCs w:val="16"/>
                <w:color w:val="0000EE"/>
                <w:w w:val="95"/>
              </w:rPr>
            </w:pPr>
            <w:hyperlink w:anchor="page111">
              <w:r>
                <w:rPr>
                  <w:rFonts w:ascii="Arial" w:cs="Arial" w:eastAsia="Arial" w:hAnsi="Arial"/>
                  <w:sz w:val="16"/>
                  <w:szCs w:val="16"/>
                  <w:color w:val="0000EE"/>
                  <w:w w:val="95"/>
                </w:rPr>
                <w:t>MANAGEMENT’S DISCUSSION AND ANALYSIS OF</w:t>
              </w:r>
            </w:hyperlink>
          </w:p>
        </w:tc>
        <w:tc>
          <w:tcPr>
            <w:tcW w:w="58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0000EE"/>
            </w:tcBorders>
            <w:gridSpan w:val="2"/>
          </w:tcPr>
          <w:p>
            <w:pPr>
              <w:spacing w:after="0" w:line="168" w:lineRule="exact"/>
              <w:rPr>
                <w:rFonts w:ascii="Arial" w:cs="Arial" w:eastAsia="Arial" w:hAnsi="Arial"/>
                <w:sz w:val="16"/>
                <w:szCs w:val="16"/>
                <w:color w:val="0000EE"/>
                <w:w w:val="88"/>
              </w:rPr>
            </w:pPr>
            <w:hyperlink w:anchor="page265">
              <w:r>
                <w:rPr>
                  <w:rFonts w:ascii="Arial" w:cs="Arial" w:eastAsia="Arial" w:hAnsi="Arial"/>
                  <w:sz w:val="16"/>
                  <w:szCs w:val="16"/>
                  <w:color w:val="0000EE"/>
                  <w:w w:val="88"/>
                </w:rPr>
                <w:t>EXPERTS</w:t>
              </w:r>
            </w:hyperlink>
          </w:p>
        </w:tc>
        <w:tc>
          <w:tcPr>
            <w:tcW w:w="3680" w:type="dxa"/>
            <w:vAlign w:val="bottom"/>
            <w:gridSpan w:val="13"/>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262</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3080" w:type="dxa"/>
            <w:vAlign w:val="bottom"/>
            <w:tcBorders>
              <w:bottom w:val="single" w:sz="8" w:color="0000EE"/>
            </w:tcBorders>
            <w:gridSpan w:val="9"/>
          </w:tcPr>
          <w:p>
            <w:pPr>
              <w:spacing w:after="0" w:line="168" w:lineRule="exact"/>
              <w:rPr>
                <w:rFonts w:ascii="Arial" w:cs="Arial" w:eastAsia="Arial" w:hAnsi="Arial"/>
                <w:sz w:val="16"/>
                <w:szCs w:val="16"/>
                <w:color w:val="0000EE"/>
                <w:w w:val="95"/>
              </w:rPr>
            </w:pPr>
            <w:hyperlink w:anchor="page111">
              <w:r>
                <w:rPr>
                  <w:rFonts w:ascii="Arial" w:cs="Arial" w:eastAsia="Arial" w:hAnsi="Arial"/>
                  <w:sz w:val="16"/>
                  <w:szCs w:val="16"/>
                  <w:color w:val="0000EE"/>
                  <w:w w:val="95"/>
                </w:rPr>
                <w:t>FINANCIAL CONDITION AND RESULTS OF</w:t>
              </w:r>
            </w:hyperlink>
          </w:p>
        </w:tc>
        <w:tc>
          <w:tcPr>
            <w:tcW w:w="100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Borders>
              <w:bottom w:val="single" w:sz="8" w:color="0000EE"/>
            </w:tcBorders>
            <w:gridSpan w:val="13"/>
          </w:tcPr>
          <w:p>
            <w:pPr>
              <w:spacing w:after="0" w:line="168" w:lineRule="exact"/>
              <w:rPr>
                <w:rFonts w:ascii="Arial" w:cs="Arial" w:eastAsia="Arial" w:hAnsi="Arial"/>
                <w:sz w:val="16"/>
                <w:szCs w:val="16"/>
                <w:color w:val="0000EE"/>
                <w:w w:val="95"/>
              </w:rPr>
            </w:pPr>
            <w:hyperlink w:anchor="page265">
              <w:r>
                <w:rPr>
                  <w:rFonts w:ascii="Arial" w:cs="Arial" w:eastAsia="Arial" w:hAnsi="Arial"/>
                  <w:sz w:val="16"/>
                  <w:szCs w:val="16"/>
                  <w:color w:val="0000EE"/>
                  <w:w w:val="95"/>
                </w:rPr>
                <w:t>WHERE YOU CAN FIND MORE INFORMATION</w:t>
              </w:r>
            </w:hyperlink>
          </w:p>
        </w:tc>
        <w:tc>
          <w:tcPr>
            <w:tcW w:w="1020" w:type="dxa"/>
            <w:vAlign w:val="bottom"/>
            <w:gridSpan w:val="2"/>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262</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980" w:type="dxa"/>
            <w:vAlign w:val="bottom"/>
            <w:tcBorders>
              <w:bottom w:val="single" w:sz="8" w:color="0000EE"/>
            </w:tcBorders>
            <w:gridSpan w:val="3"/>
          </w:tcPr>
          <w:p>
            <w:pPr>
              <w:spacing w:after="0" w:line="168" w:lineRule="exact"/>
              <w:rPr>
                <w:rFonts w:ascii="Arial" w:cs="Arial" w:eastAsia="Arial" w:hAnsi="Arial"/>
                <w:sz w:val="16"/>
                <w:szCs w:val="16"/>
                <w:color w:val="0000EE"/>
                <w:w w:val="89"/>
              </w:rPr>
            </w:pPr>
            <w:hyperlink w:anchor="page111">
              <w:r>
                <w:rPr>
                  <w:rFonts w:ascii="Arial" w:cs="Arial" w:eastAsia="Arial" w:hAnsi="Arial"/>
                  <w:sz w:val="16"/>
                  <w:szCs w:val="16"/>
                  <w:color w:val="0000EE"/>
                  <w:w w:val="89"/>
                </w:rPr>
                <w:t>OPERATIONS</w:t>
              </w:r>
            </w:hyperlink>
          </w:p>
        </w:tc>
        <w:tc>
          <w:tcPr>
            <w:tcW w:w="3100" w:type="dxa"/>
            <w:vAlign w:val="bottom"/>
            <w:gridSpan w:val="9"/>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108</w:t>
            </w:r>
          </w:p>
        </w:tc>
        <w:tc>
          <w:tcPr>
            <w:tcW w:w="340" w:type="dxa"/>
            <w:vAlign w:val="bottom"/>
          </w:tcPr>
          <w:p>
            <w:pPr>
              <w:spacing w:after="0"/>
              <w:rPr>
                <w:sz w:val="14"/>
                <w:szCs w:val="14"/>
                <w:color w:val="auto"/>
              </w:rPr>
            </w:pPr>
          </w:p>
        </w:tc>
        <w:tc>
          <w:tcPr>
            <w:tcW w:w="2660" w:type="dxa"/>
            <w:vAlign w:val="bottom"/>
            <w:tcBorders>
              <w:bottom w:val="single" w:sz="8" w:color="0000EE"/>
            </w:tcBorders>
            <w:gridSpan w:val="9"/>
          </w:tcPr>
          <w:p>
            <w:pPr>
              <w:spacing w:after="0" w:line="168" w:lineRule="exact"/>
              <w:rPr>
                <w:rFonts w:ascii="Arial" w:cs="Arial" w:eastAsia="Arial" w:hAnsi="Arial"/>
                <w:sz w:val="16"/>
                <w:szCs w:val="16"/>
                <w:color w:val="0000EE"/>
                <w:w w:val="95"/>
              </w:rPr>
            </w:pPr>
            <w:hyperlink w:anchor="page266">
              <w:r>
                <w:rPr>
                  <w:rFonts w:ascii="Arial" w:cs="Arial" w:eastAsia="Arial" w:hAnsi="Arial"/>
                  <w:sz w:val="16"/>
                  <w:szCs w:val="16"/>
                  <w:color w:val="0000EE"/>
                  <w:w w:val="95"/>
                </w:rPr>
                <w:t>INDEX TO FINANCIAL STATEMENTS</w:t>
              </w:r>
            </w:hyperlink>
          </w:p>
        </w:tc>
        <w:tc>
          <w:tcPr>
            <w:tcW w:w="1700" w:type="dxa"/>
            <w:vAlign w:val="bottom"/>
            <w:gridSpan w:val="6"/>
          </w:tcPr>
          <w:p>
            <w:pPr>
              <w:spacing w:after="0"/>
              <w:rPr>
                <w:sz w:val="14"/>
                <w:szCs w:val="14"/>
                <w:color w:val="auto"/>
              </w:rPr>
            </w:pPr>
          </w:p>
        </w:tc>
        <w:tc>
          <w:tcPr>
            <w:tcW w:w="300" w:type="dxa"/>
            <w:vAlign w:val="bottom"/>
            <w:gridSpan w:val="2"/>
          </w:tcPr>
          <w:p>
            <w:pPr>
              <w:ind w:left="80"/>
              <w:spacing w:after="0" w:line="168" w:lineRule="exact"/>
              <w:rPr>
                <w:sz w:val="20"/>
                <w:szCs w:val="20"/>
                <w:color w:val="auto"/>
              </w:rPr>
            </w:pPr>
            <w:r>
              <w:rPr>
                <w:rFonts w:ascii="Arial" w:cs="Arial" w:eastAsia="Arial" w:hAnsi="Arial"/>
                <w:sz w:val="16"/>
                <w:szCs w:val="16"/>
                <w:color w:val="auto"/>
                <w:w w:val="83"/>
              </w:rPr>
              <w:t>F-1</w:t>
            </w:r>
          </w:p>
        </w:tc>
        <w:tc>
          <w:tcPr>
            <w:tcW w:w="0" w:type="dxa"/>
            <w:vAlign w:val="bottom"/>
          </w:tcPr>
          <w:p>
            <w:pPr>
              <w:spacing w:after="0"/>
              <w:rPr>
                <w:sz w:val="1"/>
                <w:szCs w:val="1"/>
                <w:color w:val="auto"/>
              </w:rPr>
            </w:pPr>
          </w:p>
        </w:tc>
      </w:tr>
      <w:tr>
        <w:trPr>
          <w:trHeight w:val="169"/>
        </w:trPr>
        <w:tc>
          <w:tcPr>
            <w:tcW w:w="760" w:type="dxa"/>
            <w:vAlign w:val="bottom"/>
            <w:tcBorders>
              <w:bottom w:val="single" w:sz="8" w:color="0000EE"/>
            </w:tcBorders>
            <w:gridSpan w:val="2"/>
          </w:tcPr>
          <w:p>
            <w:pPr>
              <w:spacing w:after="0" w:line="168" w:lineRule="exact"/>
              <w:rPr>
                <w:rFonts w:ascii="Arial" w:cs="Arial" w:eastAsia="Arial" w:hAnsi="Arial"/>
                <w:sz w:val="16"/>
                <w:szCs w:val="16"/>
                <w:color w:val="0000EE"/>
                <w:w w:val="88"/>
              </w:rPr>
            </w:pPr>
            <w:hyperlink w:anchor="page125">
              <w:r>
                <w:rPr>
                  <w:rFonts w:ascii="Arial" w:cs="Arial" w:eastAsia="Arial" w:hAnsi="Arial"/>
                  <w:sz w:val="16"/>
                  <w:szCs w:val="16"/>
                  <w:color w:val="0000EE"/>
                  <w:w w:val="88"/>
                </w:rPr>
                <w:t>BUSINESS</w:t>
              </w:r>
            </w:hyperlink>
          </w:p>
        </w:tc>
        <w:tc>
          <w:tcPr>
            <w:tcW w:w="3480" w:type="dxa"/>
            <w:vAlign w:val="bottom"/>
            <w:gridSpan w:val="11"/>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122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bottom w:val="single" w:sz="8" w:color="0000EE"/>
            </w:tcBorders>
            <w:gridSpan w:val="4"/>
          </w:tcPr>
          <w:p>
            <w:pPr>
              <w:spacing w:after="0" w:line="168" w:lineRule="exact"/>
              <w:rPr>
                <w:rFonts w:ascii="Arial" w:cs="Arial" w:eastAsia="Arial" w:hAnsi="Arial"/>
                <w:sz w:val="16"/>
                <w:szCs w:val="16"/>
                <w:color w:val="0000EE"/>
                <w:w w:val="95"/>
              </w:rPr>
            </w:pPr>
            <w:hyperlink w:anchor="page212">
              <w:r>
                <w:rPr>
                  <w:rFonts w:ascii="Arial" w:cs="Arial" w:eastAsia="Arial" w:hAnsi="Arial"/>
                  <w:sz w:val="16"/>
                  <w:szCs w:val="16"/>
                  <w:color w:val="0000EE"/>
                  <w:w w:val="95"/>
                </w:rPr>
                <w:t>MANAGEMENT</w:t>
              </w:r>
            </w:hyperlink>
          </w:p>
        </w:tc>
        <w:tc>
          <w:tcPr>
            <w:tcW w:w="3100" w:type="dxa"/>
            <w:vAlign w:val="bottom"/>
            <w:gridSpan w:val="9"/>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209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292100</wp:posOffset>
            </wp:positionV>
            <wp:extent cx="12801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right="80" w:firstLine="385"/>
        <w:spacing w:after="0" w:line="250" w:lineRule="auto"/>
        <w:rPr>
          <w:sz w:val="20"/>
          <w:szCs w:val="20"/>
          <w:color w:val="auto"/>
        </w:rPr>
      </w:pPr>
      <w:r>
        <w:rPr>
          <w:rFonts w:ascii="Arial" w:cs="Arial" w:eastAsia="Arial" w:hAnsi="Arial"/>
          <w:sz w:val="16"/>
          <w:szCs w:val="16"/>
          <w:color w:val="auto"/>
        </w:rPr>
        <w:t>Neither we nor the underwriters have authorized anyone to provide you any information or make any representations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198755</wp:posOffset>
            </wp:positionV>
            <wp:extent cx="12801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20" w:firstLine="385"/>
        <w:spacing w:after="0" w:line="284" w:lineRule="auto"/>
        <w:rPr>
          <w:sz w:val="20"/>
          <w:szCs w:val="20"/>
          <w:color w:val="auto"/>
        </w:rPr>
      </w:pPr>
      <w:r>
        <w:rPr>
          <w:rFonts w:ascii="Arial" w:cs="Arial" w:eastAsia="Arial" w:hAnsi="Arial"/>
          <w:sz w:val="15"/>
          <w:szCs w:val="15"/>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46" w:lineRule="exact"/>
        <w:rPr>
          <w:sz w:val="20"/>
          <w:szCs w:val="20"/>
          <w:color w:val="auto"/>
        </w:rPr>
      </w:pPr>
    </w:p>
    <w:p>
      <w:pPr>
        <w:ind w:left="820" w:right="60" w:firstLine="385"/>
        <w:spacing w:after="0" w:line="275" w:lineRule="auto"/>
        <w:rPr>
          <w:sz w:val="20"/>
          <w:szCs w:val="20"/>
          <w:color w:val="auto"/>
        </w:rPr>
      </w:pPr>
      <w:r>
        <w:rPr>
          <w:rFonts w:ascii="Arial" w:cs="Arial" w:eastAsia="Arial" w:hAnsi="Arial"/>
          <w:sz w:val="15"/>
          <w:szCs w:val="15"/>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440"/>
          </w:cols>
          <w:pgMar w:left="320" w:top="418" w:right="11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403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40321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979"/>
        <w:spacing w:after="0"/>
        <w:rPr>
          <w:sz w:val="20"/>
          <w:szCs w:val="20"/>
          <w:color w:val="auto"/>
        </w:rPr>
      </w:pPr>
      <w:r>
        <w:rPr>
          <w:rFonts w:ascii="Arial" w:cs="Arial" w:eastAsia="Arial" w:hAnsi="Arial"/>
          <w:sz w:val="16"/>
          <w:szCs w:val="16"/>
          <w:b w:val="1"/>
          <w:bCs w:val="1"/>
          <w:color w:val="auto"/>
        </w:rPr>
        <w:t>PROSPECTUS SUMMARY</w:t>
      </w:r>
    </w:p>
    <w:p>
      <w:pPr>
        <w:spacing w:after="0" w:line="197" w:lineRule="exact"/>
        <w:rPr>
          <w:sz w:val="20"/>
          <w:szCs w:val="20"/>
          <w:color w:val="auto"/>
        </w:rPr>
      </w:pPr>
    </w:p>
    <w:p>
      <w:pPr>
        <w:ind w:left="980" w:right="60" w:firstLine="372"/>
        <w:spacing w:after="0" w:line="25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titled “Risk Factors” and our financial statements and the related notes appearing elsewhere in this prospectus, before making an investment decision. As used in this prospectus, unless the context otherwise requires, references to “we,” “us,” “our,” “our company,” and “Tenaya” refer to Tenaya Therapeutics, Inc.</w:t>
      </w:r>
    </w:p>
    <w:p>
      <w:pPr>
        <w:spacing w:after="0" w:line="260"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Overview</w:t>
      </w:r>
    </w:p>
    <w:p>
      <w:pPr>
        <w:spacing w:after="0" w:line="103" w:lineRule="exact"/>
        <w:rPr>
          <w:sz w:val="20"/>
          <w:szCs w:val="20"/>
          <w:color w:val="auto"/>
        </w:rPr>
      </w:pPr>
    </w:p>
    <w:p>
      <w:pPr>
        <w:ind w:left="980" w:right="40" w:firstLine="372"/>
        <w:spacing w:after="0" w:line="251" w:lineRule="auto"/>
        <w:rPr>
          <w:sz w:val="20"/>
          <w:szCs w:val="20"/>
          <w:color w:val="auto"/>
        </w:rPr>
      </w:pPr>
      <w:r>
        <w:rPr>
          <w:rFonts w:ascii="Arial" w:cs="Arial" w:eastAsia="Arial" w:hAnsi="Arial"/>
          <w:sz w:val="16"/>
          <w:szCs w:val="16"/>
          <w:color w:val="auto"/>
        </w:rPr>
        <w:t>We are a biotechnology company committed to a bold mission: to discover, develop and deliver curative therapies that address the underlying drivers of heart disease. Our vision is to change the treatment paradigm for heart disease, the leading cause of death in the world, and in doing so improve and extend the lives of millions of individuals and families. We are advancing a pipeline of disease-modifying therapies developed using our product platforms and core internal capabilities to target defined sub-populations of patients with both rare and highly prevalent forms of heart disease.</w:t>
      </w:r>
    </w:p>
    <w:p>
      <w:pPr>
        <w:spacing w:after="0" w:line="170" w:lineRule="exact"/>
        <w:rPr>
          <w:sz w:val="20"/>
          <w:szCs w:val="20"/>
          <w:color w:val="auto"/>
        </w:rPr>
      </w:pPr>
    </w:p>
    <w:p>
      <w:pPr>
        <w:ind w:left="980" w:right="100" w:firstLine="372"/>
        <w:spacing w:after="0" w:line="251" w:lineRule="auto"/>
        <w:rPr>
          <w:sz w:val="20"/>
          <w:szCs w:val="20"/>
          <w:color w:val="auto"/>
        </w:rPr>
      </w:pPr>
      <w:r>
        <w:rPr>
          <w:rFonts w:ascii="Arial" w:cs="Arial" w:eastAsia="Arial" w:hAnsi="Arial"/>
          <w:sz w:val="16"/>
          <w:szCs w:val="16"/>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70" w:lineRule="exact"/>
        <w:rPr>
          <w:sz w:val="20"/>
          <w:szCs w:val="20"/>
          <w:color w:val="auto"/>
        </w:rPr>
      </w:pPr>
    </w:p>
    <w:p>
      <w:pPr>
        <w:ind w:left="980" w:firstLine="372"/>
        <w:spacing w:after="0" w:line="265" w:lineRule="auto"/>
        <w:rPr>
          <w:sz w:val="20"/>
          <w:szCs w:val="20"/>
          <w:color w:val="auto"/>
        </w:rPr>
      </w:pPr>
      <w:r>
        <w:rPr>
          <w:rFonts w:ascii="Arial" w:cs="Arial" w:eastAsia="Arial" w:hAnsi="Arial"/>
          <w:sz w:val="15"/>
          <w:szCs w:val="15"/>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TN-201, currently in IND-enabling studies, is designed to deliver a fully functional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driven by our proprietary heart-specific promoter to restore normal levels of MYBPC3 protein. We also intend to submit an IND to the FDA in 2022 for the most advanced product candidate from our Precision Medicine platform, TYA-11631, a highly specific small molecule inhibitor of histone deacetylase 6 (HDAC6i). TYA-11631, currently in IND-enabling studies, has potentially broad utility in both heart failure (HF) with preserved ejection fraction (HFpEF) as well as genetic dilated cardiomyopathy (gDCM). Our PKP2 program involves using an AAV-based gene therapy to address genetic arrhythmogenic right ventricular cardiomyopathy (gARVC) caused by plakophilin 2 (</w:t>
      </w:r>
      <w:r>
        <w:rPr>
          <w:rFonts w:ascii="Arial" w:cs="Arial" w:eastAsia="Arial" w:hAnsi="Arial"/>
          <w:sz w:val="15"/>
          <w:szCs w:val="15"/>
          <w:i w:val="1"/>
          <w:iCs w:val="1"/>
          <w:color w:val="auto"/>
        </w:rPr>
        <w:t>PKP2</w:t>
      </w:r>
      <w:r>
        <w:rPr>
          <w:rFonts w:ascii="Arial" w:cs="Arial" w:eastAsia="Arial" w:hAnsi="Arial"/>
          <w:sz w:val="15"/>
          <w:szCs w:val="15"/>
          <w:color w:val="auto"/>
        </w:rPr>
        <w:t>) gene mutations, and is currently at the candidate selection stage. Our DWORF program, an AAV-based gene therapy designed to express the Dwarf Open Reading Frame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56"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Product Platforms</w:t>
      </w:r>
    </w:p>
    <w:p>
      <w:pPr>
        <w:spacing w:after="0" w:line="99" w:lineRule="exact"/>
        <w:rPr>
          <w:sz w:val="20"/>
          <w:szCs w:val="20"/>
          <w:color w:val="auto"/>
        </w:rPr>
      </w:pPr>
    </w:p>
    <w:p>
      <w:pPr>
        <w:ind w:left="980" w:right="80" w:firstLine="372"/>
        <w:spacing w:after="0" w:line="256" w:lineRule="auto"/>
        <w:rPr>
          <w:sz w:val="20"/>
          <w:szCs w:val="20"/>
          <w:color w:val="auto"/>
        </w:rPr>
      </w:pPr>
      <w:r>
        <w:rPr>
          <w:rFonts w:ascii="Arial" w:cs="Arial" w:eastAsia="Arial" w:hAnsi="Arial"/>
          <w:sz w:val="16"/>
          <w:szCs w:val="16"/>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w:t>
      </w: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280"/>
          </w:cols>
          <w:pgMar w:left="320" w:top="418" w:right="129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627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62737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980" w:right="120"/>
        <w:spacing w:after="0" w:line="256" w:lineRule="auto"/>
        <w:rPr>
          <w:sz w:val="20"/>
          <w:szCs w:val="20"/>
          <w:color w:val="auto"/>
        </w:rPr>
      </w:pPr>
      <w:r>
        <w:rPr>
          <w:rFonts w:ascii="Arial" w:cs="Arial" w:eastAsia="Arial" w:hAnsi="Arial"/>
          <w:sz w:val="16"/>
          <w:szCs w:val="16"/>
          <w:color w:val="auto"/>
        </w:rPr>
        <w:t>to address different problems that have historically plagued the development of therapies for heart disease. We believe these three product platforms together yield better insight into disease processes, create more opportunities for successful drug development, mitigate scientific risks, and differentiate our efforts relative to competitors.</w:t>
      </w:r>
    </w:p>
    <w:p>
      <w:pPr>
        <w:spacing w:after="0" w:line="162"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Our Product Platforms Powering Multi-Modality Drug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80" w:right="80" w:hanging="288"/>
        <w:spacing w:after="0" w:line="270"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b w:val="1"/>
          <w:bCs w:val="1"/>
          <w:i w:val="1"/>
          <w:iCs w:val="1"/>
          <w:color w:val="auto"/>
        </w:rPr>
        <w:t>Gene Therapy</w:t>
      </w:r>
      <w:r>
        <w:rPr>
          <w:rFonts w:ascii="Arial" w:cs="Arial" w:eastAsia="Arial" w:hAnsi="Arial"/>
          <w:sz w:val="15"/>
          <w:szCs w:val="15"/>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to target cardiomyocytes (CMs), cardiac fibroblasts (CFs) or other cells important to the proper functioning of the heart.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73" w:lineRule="exact"/>
        <w:rPr>
          <w:rFonts w:ascii="Arial" w:cs="Arial" w:eastAsia="Arial" w:hAnsi="Arial"/>
          <w:sz w:val="15"/>
          <w:szCs w:val="15"/>
          <w:color w:val="auto"/>
        </w:rPr>
      </w:pPr>
    </w:p>
    <w:p>
      <w:pPr>
        <w:ind w:left="1780" w:right="180" w:hanging="288"/>
        <w:spacing w:after="0" w:line="251" w:lineRule="auto"/>
        <w:tabs>
          <w:tab w:leader="none" w:pos="1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Cellular Regeneration</w:t>
      </w:r>
      <w:r>
        <w:rPr>
          <w:rFonts w:ascii="Arial" w:cs="Arial" w:eastAsia="Arial" w:hAnsi="Arial"/>
          <w:sz w:val="16"/>
          <w:szCs w:val="16"/>
          <w:color w:val="auto"/>
        </w:rPr>
        <w:t xml:space="preserve"> platform uses viral vectors to deliver specific combinations of genes to existing cells in the heart to regenerate CMs </w:t>
      </w:r>
      <w:r>
        <w:rPr>
          <w:rFonts w:ascii="Arial" w:cs="Arial" w:eastAsia="Arial" w:hAnsi="Arial"/>
          <w:sz w:val="16"/>
          <w:szCs w:val="16"/>
          <w:i w:val="1"/>
          <w:iCs w:val="1"/>
          <w:color w:val="auto"/>
        </w:rPr>
        <w:t>in vivo</w:t>
      </w:r>
      <w:r>
        <w:rPr>
          <w:rFonts w:ascii="Arial" w:cs="Arial" w:eastAsia="Arial" w:hAnsi="Arial"/>
          <w:sz w:val="16"/>
          <w:szCs w:val="16"/>
          <w:color w:val="auto"/>
        </w:rPr>
        <w:t>. The product candidates arising from this platform are intended to overcome the shortcomings of traditional therapies that address symptoms but are not able to address the irreversible loss of CMs. We believe this platform has potentially broad utility across a range of heart conditions that result in the loss of CMs, including MI, chemotherapy-related toxicity, and viral infection.</w:t>
      </w:r>
    </w:p>
    <w:p>
      <w:pPr>
        <w:spacing w:after="0" w:line="87" w:lineRule="exact"/>
        <w:rPr>
          <w:rFonts w:ascii="Arial" w:cs="Arial" w:eastAsia="Arial" w:hAnsi="Arial"/>
          <w:sz w:val="16"/>
          <w:szCs w:val="16"/>
          <w:color w:val="auto"/>
        </w:rPr>
      </w:pPr>
    </w:p>
    <w:p>
      <w:pPr>
        <w:ind w:left="1780" w:hanging="288"/>
        <w:spacing w:after="0" w:line="249" w:lineRule="auto"/>
        <w:tabs>
          <w:tab w:leader="none" w:pos="1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Precision Medicine</w:t>
      </w:r>
      <w:r>
        <w:rPr>
          <w:rFonts w:ascii="Arial" w:cs="Arial" w:eastAsia="Arial" w:hAnsi="Arial"/>
          <w:sz w:val="16"/>
          <w:szCs w:val="16"/>
          <w:color w:val="auto"/>
        </w:rPr>
        <w:t xml:space="preserve"> platform uses human induced pluripotent stem cell-derived CMs (hiPSC-CMs) as proprietary disease models combined with analysis of human genetics and the use of machine learning algorithms for the identification of new targets, validation of known targets, and high-throughput screening for drug discovery. This platform is intended to overcome the shortcomings of traditional drug development efforts that rely more heavily on insights from animal models to identify targets and to develop therapies intended for human heart disease. We believe this platform has potentially broad utility for the identification of targets and therapies in a modality-agnostic manner—including gene therapy, small molecules, and biologics—for both genetic and non-genetic forms of heart disease.</w:t>
      </w:r>
    </w:p>
    <w:p>
      <w:pPr>
        <w:spacing w:after="0" w:line="33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240"/>
          </w:cols>
          <w:pgMar w:left="320" w:top="418" w:right="13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58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5829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Approach and Capabilities</w:t>
      </w:r>
    </w:p>
    <w:p>
      <w:pPr>
        <w:spacing w:after="0" w:line="99" w:lineRule="exact"/>
        <w:rPr>
          <w:sz w:val="20"/>
          <w:szCs w:val="20"/>
          <w:color w:val="auto"/>
        </w:rPr>
      </w:pPr>
    </w:p>
    <w:p>
      <w:pPr>
        <w:ind w:left="980" w:right="80" w:firstLine="372"/>
        <w:spacing w:after="0" w:line="329" w:lineRule="auto"/>
        <w:rPr>
          <w:sz w:val="20"/>
          <w:szCs w:val="20"/>
          <w:color w:val="auto"/>
        </w:rPr>
      </w:pPr>
      <w:r>
        <w:rPr>
          <w:rFonts w:ascii="Arial" w:cs="Arial" w:eastAsia="Arial" w:hAnsi="Arial"/>
          <w:sz w:val="13"/>
          <w:szCs w:val="13"/>
          <w:color w:val="auto"/>
        </w:rPr>
        <w:t>We have internalized and integrated core capabilities, as displayed below, to support our product platforms and our pipeline programs. We believe these capabilities provide us with several advantages and differentiate our efforts relative to competitors, particularly for our AAV-based drug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119"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Our Core Capabilities Supporting Our Differentiated Product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Our five core capabilities include:</w:t>
      </w:r>
    </w:p>
    <w:p>
      <w:pPr>
        <w:spacing w:after="0" w:line="111" w:lineRule="exact"/>
        <w:rPr>
          <w:sz w:val="20"/>
          <w:szCs w:val="20"/>
          <w:color w:val="auto"/>
        </w:rPr>
      </w:pPr>
    </w:p>
    <w:p>
      <w:pPr>
        <w:ind w:left="1780" w:hanging="288"/>
        <w:spacing w:after="0" w:line="270"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Disease Models</w:t>
      </w:r>
      <w:r>
        <w:rPr>
          <w:rFonts w:ascii="Arial" w:cs="Arial" w:eastAsia="Arial" w:hAnsi="Arial"/>
          <w:sz w:val="15"/>
          <w:szCs w:val="15"/>
          <w:color w:val="auto"/>
        </w:rPr>
        <w:t>. We have internalized the ability to create and integrate proprietary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 vitro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 vivo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models within our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organization. For our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disease models, we have a dedicated onsite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73" w:lineRule="exact"/>
        <w:rPr>
          <w:rFonts w:ascii="Arial" w:cs="Arial" w:eastAsia="Arial" w:hAnsi="Arial"/>
          <w:sz w:val="15"/>
          <w:szCs w:val="15"/>
          <w:color w:val="auto"/>
        </w:rPr>
      </w:pPr>
    </w:p>
    <w:p>
      <w:pPr>
        <w:ind w:left="1780" w:right="120" w:hanging="288"/>
        <w:spacing w:after="0" w:line="270"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Capsid Engineering</w:t>
      </w:r>
      <w:r>
        <w:rPr>
          <w:rFonts w:ascii="Arial" w:cs="Arial" w:eastAsia="Arial" w:hAnsi="Arial"/>
          <w:sz w:val="15"/>
          <w:szCs w:val="15"/>
          <w:color w:val="auto"/>
        </w:rPr>
        <w:t>. We have established in-house AAV capsid engineering capabilities and have successfully screened over one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billion variants from more than 30 diverse, proprietary AAV libraries in multiple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silico</w:t>
      </w:r>
      <w:r>
        <w:rPr>
          <w:rFonts w:ascii="Arial" w:cs="Arial" w:eastAsia="Arial" w:hAnsi="Arial"/>
          <w:sz w:val="15"/>
          <w:szCs w:val="15"/>
          <w:color w:val="auto"/>
        </w:rPr>
        <w:t xml:space="preserve"> models to discover novel AAV capsids that can target the different types of cells in the heart. These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73" w:lineRule="exact"/>
        <w:rPr>
          <w:rFonts w:ascii="Arial" w:cs="Arial" w:eastAsia="Arial" w:hAnsi="Arial"/>
          <w:sz w:val="15"/>
          <w:szCs w:val="15"/>
          <w:color w:val="auto"/>
        </w:rPr>
      </w:pPr>
    </w:p>
    <w:p>
      <w:pPr>
        <w:ind w:left="1780" w:right="40" w:hanging="288"/>
        <w:spacing w:after="0" w:line="253" w:lineRule="auto"/>
        <w:tabs>
          <w:tab w:leader="none" w:pos="1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Promoters and Regulatory Elements</w:t>
      </w:r>
      <w:r>
        <w:rPr>
          <w:rFonts w:ascii="Arial" w:cs="Arial" w:eastAsia="Arial" w:hAnsi="Arial"/>
          <w:sz w:val="16"/>
          <w:szCs w:val="16"/>
          <w:color w:val="auto"/>
        </w:rPr>
        <w:t>. We have created novel promoters and regulatory elements to support our gene therapy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cellular regeneration programs. We use these innovations to help ensure more precise and more robust expression of therapeutic payloads in the different cell types of the heart as compared to what can be achieved with currently available methods. We believe our innovations can</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60"/>
          </w:cols>
          <w:pgMar w:left="320" w:top="418" w:right="1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575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5753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support successful clinical development in part by improving the efficacy and safety profile of our product candidates.</w:t>
      </w:r>
    </w:p>
    <w:p>
      <w:pPr>
        <w:spacing w:after="0" w:line="111" w:lineRule="exact"/>
        <w:rPr>
          <w:sz w:val="20"/>
          <w:szCs w:val="20"/>
          <w:color w:val="auto"/>
        </w:rPr>
      </w:pPr>
    </w:p>
    <w:p>
      <w:pPr>
        <w:ind w:left="1780" w:right="80" w:hanging="288"/>
        <w:spacing w:after="0" w:line="256" w:lineRule="auto"/>
        <w:tabs>
          <w:tab w:leader="none" w:pos="17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Drug Delivery</w:t>
      </w:r>
      <w:r>
        <w:rPr>
          <w:rFonts w:ascii="Arial" w:cs="Arial" w:eastAsia="Arial" w:hAnsi="Arial"/>
          <w:sz w:val="16"/>
          <w:szCs w:val="16"/>
          <w:color w:val="auto"/>
        </w:rPr>
        <w:t>. We are actively exploring different routes of administration (ROAs) as well as different infusion- and injection-based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methods for delivering our AAV-based therapies. We have designed a new catheter to support more targeted delivery and more efficient uptake of therapeutic payloads in the heart.</w:t>
      </w:r>
    </w:p>
    <w:p>
      <w:pPr>
        <w:spacing w:after="0" w:line="83" w:lineRule="exact"/>
        <w:rPr>
          <w:rFonts w:ascii="Arial" w:cs="Arial" w:eastAsia="Arial" w:hAnsi="Arial"/>
          <w:sz w:val="16"/>
          <w:szCs w:val="16"/>
          <w:color w:val="auto"/>
        </w:rPr>
      </w:pPr>
    </w:p>
    <w:p>
      <w:pPr>
        <w:ind w:left="1780" w:right="20" w:hanging="288"/>
        <w:spacing w:after="0" w:line="267" w:lineRule="auto"/>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Manufacturing</w:t>
      </w:r>
      <w:r>
        <w:rPr>
          <w:rFonts w:ascii="Arial" w:cs="Arial" w:eastAsia="Arial" w:hAnsi="Arial"/>
          <w:sz w:val="15"/>
          <w:szCs w:val="15"/>
          <w:color w:val="auto"/>
        </w:rPr>
        <w:t>. We have taken important steps towards internalizing both current Good Manufacturing Practice (cGMP) and non-GMP AAV manufacturing capabilities to support our emerging portfolio of gene therapy and cellular regeneration product candidates. This includes a growing in-house team of approximately 25 personnel that can support process development (PD), analytical development (AD), and quality assurance (QA) and quality control (QC). We have produced non-clinical material involving both parental and novel AAV capsids at the 50L and 200L scales to support early research and IND-enabling studies in small and large animal models. We have initiated construction of a current cGMP facility in the San Francisco Bay Area near our research labs to enable smooth scale-up of production to support first-in-human (FIH) studies, initially at the 1000L scale. We expect this facility will be operational in the first half of 2022.</w:t>
      </w:r>
    </w:p>
    <w:p>
      <w:pPr>
        <w:spacing w:after="0" w:line="257"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Pipeline</w:t>
      </w:r>
    </w:p>
    <w:p>
      <w:pPr>
        <w:spacing w:after="0" w:line="99" w:lineRule="exact"/>
        <w:rPr>
          <w:sz w:val="20"/>
          <w:szCs w:val="20"/>
          <w:color w:val="auto"/>
        </w:rPr>
      </w:pPr>
    </w:p>
    <w:p>
      <w:pPr>
        <w:jc w:val="both"/>
        <w:ind w:left="980" w:right="80" w:firstLine="372"/>
        <w:spacing w:after="0" w:line="256" w:lineRule="auto"/>
        <w:rPr>
          <w:sz w:val="20"/>
          <w:szCs w:val="20"/>
          <w:color w:val="auto"/>
        </w:rPr>
      </w:pPr>
      <w:r>
        <w:rPr>
          <w:rFonts w:ascii="Arial" w:cs="Arial" w:eastAsia="Arial" w:hAnsi="Arial"/>
          <w:sz w:val="16"/>
          <w:szCs w:val="16"/>
          <w:color w:val="auto"/>
        </w:rPr>
        <w:t>We are advancing a deep and diverse pipeline of therapeutic programs intended for rare diseases, such as gHCM and gARVC, as well as for more prevalent forms of heart disease, such as DCM and HFpEF. We have exclusive worldwide rights to all of our programs. Our current pipeline is summarized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20" w:hanging="364"/>
        <w:spacing w:after="0"/>
        <w:tabs>
          <w:tab w:leader="none" w:pos="1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USA Prevalence refers to the number of patients in the United States with the indication based on publicly available market data</w:t>
      </w:r>
    </w:p>
    <w:p>
      <w:pPr>
        <w:spacing w:after="0" w:line="85" w:lineRule="exact"/>
        <w:rPr>
          <w:rFonts w:ascii="Arial" w:cs="Arial" w:eastAsia="Arial" w:hAnsi="Arial"/>
          <w:sz w:val="13"/>
          <w:szCs w:val="13"/>
          <w:color w:val="auto"/>
        </w:rPr>
      </w:pPr>
    </w:p>
    <w:p>
      <w:pPr>
        <w:ind w:left="1780" w:hanging="441"/>
        <w:spacing w:after="0" w:line="268" w:lineRule="auto"/>
        <w:tabs>
          <w:tab w:leader="none" w:pos="1780" w:val="left"/>
        </w:tabs>
        <w:numPr>
          <w:ilvl w:val="1"/>
          <w:numId w:val="6"/>
        </w:numPr>
        <w:rPr>
          <w:rFonts w:ascii="Arial" w:cs="Arial" w:eastAsia="Arial" w:hAnsi="Arial"/>
          <w:sz w:val="15"/>
          <w:szCs w:val="15"/>
          <w:color w:val="auto"/>
        </w:rPr>
      </w:pPr>
      <w:r>
        <w:rPr>
          <w:rFonts w:ascii="Arial" w:cs="Arial" w:eastAsia="Arial" w:hAnsi="Arial"/>
          <w:sz w:val="15"/>
          <w:szCs w:val="15"/>
          <w:b w:val="1"/>
          <w:bCs w:val="1"/>
          <w:color w:val="auto"/>
        </w:rPr>
        <w:t>MYBPC3 Program for gHCM</w:t>
      </w:r>
      <w:r>
        <w:rPr>
          <w:rFonts w:ascii="Arial" w:cs="Arial" w:eastAsia="Arial" w:hAnsi="Arial"/>
          <w:sz w:val="15"/>
          <w:szCs w:val="15"/>
          <w:color w:val="auto"/>
        </w:rPr>
        <w:t>. We are developing an AAV-based gene therapy designed to deliver a functional</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MYBPC3</w:t>
      </w:r>
      <w:r>
        <w:rPr>
          <w:rFonts w:ascii="Arial" w:cs="Arial" w:eastAsia="Arial" w:hAnsi="Arial"/>
          <w:sz w:val="15"/>
          <w:szCs w:val="15"/>
          <w:b w:val="1"/>
          <w:bCs w:val="1"/>
          <w:color w:val="auto"/>
        </w:rPr>
        <w:t xml:space="preserve"> </w:t>
      </w:r>
      <w:r>
        <w:rPr>
          <w:rFonts w:ascii="Arial" w:cs="Arial" w:eastAsia="Arial" w:hAnsi="Arial"/>
          <w:sz w:val="15"/>
          <w:szCs w:val="15"/>
          <w:color w:val="auto"/>
        </w:rPr>
        <w:t>gene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adults and children with gHCM due to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designed to enable robust expression of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in the heart. We have demonstrated significant and durable disease reversal and survival benefit in a relevant murine model after a single dose, as well as tolerability in mice and non-human primates (NHPs). The program</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40"/>
          </w:cols>
          <w:pgMar w:left="320" w:top="418" w:right="13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4953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49536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left="1800" w:right="140"/>
        <w:spacing w:after="0" w:line="256" w:lineRule="auto"/>
        <w:rPr>
          <w:sz w:val="20"/>
          <w:szCs w:val="20"/>
          <w:color w:val="auto"/>
        </w:rPr>
      </w:pPr>
      <w:r>
        <w:rPr>
          <w:rFonts w:ascii="Arial" w:cs="Arial" w:eastAsia="Arial" w:hAnsi="Arial"/>
          <w:sz w:val="16"/>
          <w:szCs w:val="16"/>
          <w:color w:val="auto"/>
        </w:rPr>
        <w:t>is currently in IND-enabling studies, and we have obtained feedback from multiple regulatory agencies, including the FDA, to guide our path to clinical development. TN-201 has also been granted Orphan Drug Designation (ODD) by the FDA. We intend to submit an IND or CTA to the FDA or EMA, respectively, in 2022.</w:t>
      </w:r>
    </w:p>
    <w:p>
      <w:pPr>
        <w:spacing w:after="0" w:line="79" w:lineRule="exact"/>
        <w:rPr>
          <w:sz w:val="20"/>
          <w:szCs w:val="20"/>
          <w:color w:val="auto"/>
        </w:rPr>
      </w:pPr>
    </w:p>
    <w:p>
      <w:pPr>
        <w:ind w:left="1780" w:right="60" w:hanging="441"/>
        <w:spacing w:after="0" w:line="315" w:lineRule="auto"/>
        <w:tabs>
          <w:tab w:leader="none" w:pos="178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HDAC6i Program for HFpEF</w:t>
      </w:r>
      <w:r>
        <w:rPr>
          <w:rFonts w:ascii="Arial" w:cs="Arial" w:eastAsia="Arial" w:hAnsi="Arial"/>
          <w:sz w:val="13"/>
          <w:szCs w:val="13"/>
          <w:color w:val="auto"/>
        </w:rPr>
        <w:t>. We are developing an HDAC6i small molecule for various forms of HF, including HFpEF. This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disease 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activity of our HDAC6i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45" w:lineRule="exact"/>
        <w:rPr>
          <w:rFonts w:ascii="Arial" w:cs="Arial" w:eastAsia="Arial" w:hAnsi="Arial"/>
          <w:sz w:val="13"/>
          <w:szCs w:val="13"/>
          <w:color w:val="auto"/>
        </w:rPr>
      </w:pPr>
    </w:p>
    <w:p>
      <w:pPr>
        <w:ind w:left="1780" w:right="20" w:hanging="441"/>
        <w:spacing w:after="0" w:line="314" w:lineRule="auto"/>
        <w:tabs>
          <w:tab w:leader="none" w:pos="178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PKP2 Program for gARVC</w:t>
      </w:r>
      <w:r>
        <w:rPr>
          <w:rFonts w:ascii="Arial" w:cs="Arial" w:eastAsia="Arial" w:hAnsi="Arial"/>
          <w:sz w:val="13"/>
          <w:szCs w:val="13"/>
          <w:color w:val="auto"/>
        </w:rPr>
        <w:t>. We are developing an AAV-based gene therapy designed to deliver a functional</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PKP2</w:t>
      </w:r>
      <w:r>
        <w:rPr>
          <w:rFonts w:ascii="Arial" w:cs="Arial" w:eastAsia="Arial" w:hAnsi="Arial"/>
          <w:sz w:val="13"/>
          <w:szCs w:val="13"/>
          <w:b w:val="1"/>
          <w:bCs w:val="1"/>
          <w:color w:val="auto"/>
        </w:rPr>
        <w:t xml:space="preserve"> </w:t>
      </w:r>
      <w:r>
        <w:rPr>
          <w:rFonts w:ascii="Arial" w:cs="Arial" w:eastAsia="Arial" w:hAnsi="Arial"/>
          <w:sz w:val="13"/>
          <w:szCs w:val="13"/>
          <w:color w:val="auto"/>
        </w:rPr>
        <w:t>gene in adults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with gARVC due to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mutation, estimated to affect more than 70,000 patients in the United States. These mutations can cause enlargement of the right ventricle in 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239" w:lineRule="exact"/>
        <w:rPr>
          <w:rFonts w:ascii="Arial" w:cs="Arial" w:eastAsia="Arial" w:hAnsi="Arial"/>
          <w:sz w:val="13"/>
          <w:szCs w:val="13"/>
          <w:color w:val="auto"/>
        </w:rPr>
      </w:pPr>
    </w:p>
    <w:p>
      <w:pPr>
        <w:ind w:left="1780" w:right="20" w:hanging="441"/>
        <w:spacing w:after="0" w:line="267" w:lineRule="auto"/>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DWORF Program for DCM</w:t>
      </w:r>
      <w:r>
        <w:rPr>
          <w:rFonts w:ascii="Arial" w:cs="Arial" w:eastAsia="Arial" w:hAnsi="Arial"/>
          <w:sz w:val="15"/>
          <w:szCs w:val="15"/>
          <w:color w:val="auto"/>
        </w:rPr>
        <w:t>. We are developing an AAV-based gene therapy designed to deliver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DWORF</w:t>
      </w:r>
      <w:r>
        <w:rPr>
          <w:rFonts w:ascii="Arial" w:cs="Arial" w:eastAsia="Arial" w:hAnsi="Arial"/>
          <w:sz w:val="15"/>
          <w:szCs w:val="15"/>
          <w:b w:val="1"/>
          <w:bCs w:val="1"/>
          <w:color w:val="auto"/>
        </w:rPr>
        <w:t xml:space="preserve"> </w:t>
      </w:r>
      <w:r>
        <w:rPr>
          <w:rFonts w:ascii="Arial" w:cs="Arial" w:eastAsia="Arial" w:hAnsi="Arial"/>
          <w:sz w:val="15"/>
          <w:szCs w:val="15"/>
          <w:color w:val="auto"/>
        </w:rPr>
        <w:t>gene for patients with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DCM, 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evidence for the therapeutic benefit of over-expression of the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73" w:lineRule="exact"/>
        <w:rPr>
          <w:rFonts w:ascii="Arial" w:cs="Arial" w:eastAsia="Arial" w:hAnsi="Arial"/>
          <w:sz w:val="15"/>
          <w:szCs w:val="15"/>
          <w:color w:val="auto"/>
        </w:rPr>
      </w:pPr>
    </w:p>
    <w:p>
      <w:pPr>
        <w:ind w:left="1780" w:hanging="441"/>
        <w:spacing w:after="0" w:line="317" w:lineRule="auto"/>
        <w:tabs>
          <w:tab w:leader="none" w:pos="178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Reprogramming Program for HF due to prior MI</w:t>
      </w:r>
      <w:r>
        <w:rPr>
          <w:rFonts w:ascii="Arial" w:cs="Arial" w:eastAsia="Arial" w:hAnsi="Arial"/>
          <w:sz w:val="13"/>
          <w:szCs w:val="13"/>
          <w:color w:val="auto"/>
        </w:rPr>
        <w:t>. We are developing an AAV-based approach to cellular regeneration that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involves 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 have discovered a proprietary combination of three genes that can drive robust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reprogramming</w:t>
      </w:r>
    </w:p>
    <w:p>
      <w:pPr>
        <w:spacing w:after="0" w:line="29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60"/>
          </w:cols>
          <w:pgMar w:left="320" w:top="418" w:right="13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2767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276796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00" w:right="100"/>
        <w:spacing w:after="0" w:line="275" w:lineRule="auto"/>
        <w:rPr>
          <w:sz w:val="20"/>
          <w:szCs w:val="20"/>
          <w:color w:val="auto"/>
        </w:rPr>
      </w:pPr>
      <w:r>
        <w:rPr>
          <w:rFonts w:ascii="Arial" w:cs="Arial" w:eastAsia="Arial" w:hAnsi="Arial"/>
          <w:sz w:val="15"/>
          <w:szCs w:val="15"/>
          <w:color w:val="auto"/>
        </w:rPr>
        <w:t>of CFs to CMs when delivered together in a single AAV capsid. We have demonstrated significant and durable disease reversal as well as tolerability in multiple small and large animal models.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247"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Overview of Heart Disease</w:t>
      </w:r>
    </w:p>
    <w:p>
      <w:pPr>
        <w:spacing w:after="0" w:line="99" w:lineRule="exact"/>
        <w:rPr>
          <w:sz w:val="20"/>
          <w:szCs w:val="20"/>
          <w:color w:val="auto"/>
        </w:rPr>
      </w:pPr>
    </w:p>
    <w:p>
      <w:pPr>
        <w:ind w:left="980" w:firstLine="372"/>
        <w:spacing w:after="0" w:line="267" w:lineRule="auto"/>
        <w:rPr>
          <w:sz w:val="20"/>
          <w:szCs w:val="20"/>
          <w:color w:val="auto"/>
        </w:rPr>
      </w:pPr>
      <w:r>
        <w:rPr>
          <w:rFonts w:ascii="Arial" w:cs="Arial" w:eastAsia="Arial" w:hAnsi="Arial"/>
          <w:sz w:val="15"/>
          <w:szCs w:val="15"/>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congenital heart disease (CHD), and CHD is the leading cause of birth defect-related morbidity and mortality. There are over 250 known genetically defined disorders where the primary source of morbidity and mortality involves the heart, but there are few approved products that target the underlying cause of such diseases. Recent analysis has shown that after decades of reduction in the mortality rate due to HF, these rates are once again rising, highlighting the need for improved treatments.</w:t>
      </w:r>
    </w:p>
    <w:p>
      <w:pPr>
        <w:spacing w:after="0" w:line="163" w:lineRule="exact"/>
        <w:rPr>
          <w:sz w:val="20"/>
          <w:szCs w:val="20"/>
          <w:color w:val="auto"/>
        </w:rPr>
      </w:pPr>
    </w:p>
    <w:p>
      <w:pPr>
        <w:ind w:left="980" w:right="80" w:firstLine="372"/>
        <w:spacing w:after="0" w:line="323" w:lineRule="auto"/>
        <w:rPr>
          <w:sz w:val="20"/>
          <w:szCs w:val="20"/>
          <w:color w:val="auto"/>
        </w:rPr>
      </w:pPr>
      <w:r>
        <w:rPr>
          <w:rFonts w:ascii="Arial" w:cs="Arial" w:eastAsia="Arial" w:hAnsi="Arial"/>
          <w:sz w:val="13"/>
          <w:szCs w:val="13"/>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60"/>
          </w:cols>
          <w:pgMar w:left="320" w:top="418" w:right="131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859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85978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table below illustrates four broad categories of heart disease:</w:t>
      </w:r>
    </w:p>
    <w:p>
      <w:pPr>
        <w:spacing w:after="0" w:line="209" w:lineRule="exact"/>
        <w:rPr>
          <w:sz w:val="20"/>
          <w:szCs w:val="20"/>
          <w:color w:val="auto"/>
        </w:rPr>
      </w:pPr>
    </w:p>
    <w:tbl>
      <w:tblPr>
        <w:tblLayout w:type="fixed"/>
        <w:tblInd w:w="970" w:type="dxa"/>
        <w:tblCellMar>
          <w:top w:w="0" w:type="dxa"/>
          <w:left w:w="0" w:type="dxa"/>
          <w:bottom w:w="0" w:type="dxa"/>
          <w:right w:w="0" w:type="dxa"/>
        </w:tblCellMar>
      </w:tblPr>
      <w:tr>
        <w:trPr>
          <w:trHeight w:val="224"/>
        </w:trPr>
        <w:tc>
          <w:tcPr>
            <w:tcW w:w="3300" w:type="dxa"/>
            <w:vAlign w:val="bottom"/>
            <w:tcBorders>
              <w:top w:val="single" w:sz="8" w:color="auto"/>
              <w:left w:val="single" w:sz="8" w:color="auto"/>
              <w:bottom w:val="single" w:sz="8" w:color="auto"/>
              <w:right w:val="single" w:sz="8" w:color="auto"/>
            </w:tcBorders>
          </w:tcPr>
          <w:p>
            <w:pPr>
              <w:jc w:val="center"/>
              <w:ind w:left="65"/>
              <w:spacing w:after="0"/>
              <w:rPr>
                <w:sz w:val="20"/>
                <w:szCs w:val="20"/>
                <w:color w:val="auto"/>
              </w:rPr>
            </w:pPr>
            <w:r>
              <w:rPr>
                <w:rFonts w:ascii="Arial" w:cs="Arial" w:eastAsia="Arial" w:hAnsi="Arial"/>
                <w:sz w:val="13"/>
                <w:szCs w:val="13"/>
                <w:b w:val="1"/>
                <w:bCs w:val="1"/>
                <w:color w:val="auto"/>
                <w:w w:val="97"/>
              </w:rPr>
              <w:t>CATEGORIES</w:t>
            </w:r>
          </w:p>
        </w:tc>
        <w:tc>
          <w:tcPr>
            <w:tcW w:w="6020" w:type="dxa"/>
            <w:vAlign w:val="bottom"/>
            <w:tcBorders>
              <w:top w:val="single" w:sz="8" w:color="auto"/>
              <w:bottom w:val="single" w:sz="8" w:color="auto"/>
              <w:right w:val="single" w:sz="8" w:color="auto"/>
            </w:tcBorders>
          </w:tcPr>
          <w:p>
            <w:pPr>
              <w:ind w:left="26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357"/>
        </w:trPr>
        <w:tc>
          <w:tcPr>
            <w:tcW w:w="33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2"/>
              </w:rPr>
              <w:t>HF is a heart condition in which the heart’s pumping capacity is not adequate to meet the</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2"/>
              </w:rPr>
              <w:t>demands for blood and oxygen required by the rest of the body. HF can be the result of a</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5"/>
              </w:rPr>
              <w:t>range of conditions that lead to weakening of the heart muscle. Conditions that can be</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5"/>
              </w:rPr>
              <w:t>associated with the development of HF include a heart attack, uncontrolled high blood</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pressure, congenital heart disease (heart defects present at birth), and genetic</w:t>
            </w:r>
          </w:p>
        </w:tc>
        <w:tc>
          <w:tcPr>
            <w:tcW w:w="0" w:type="dxa"/>
            <w:vAlign w:val="bottom"/>
          </w:tcPr>
          <w:p>
            <w:pPr>
              <w:spacing w:after="0"/>
              <w:rPr>
                <w:sz w:val="1"/>
                <w:szCs w:val="1"/>
                <w:color w:val="auto"/>
              </w:rPr>
            </w:pPr>
          </w:p>
        </w:tc>
      </w:tr>
      <w:tr>
        <w:trPr>
          <w:trHeight w:val="200"/>
        </w:trPr>
        <w:tc>
          <w:tcPr>
            <w:tcW w:w="3300" w:type="dxa"/>
            <w:vAlign w:val="bottom"/>
            <w:tcBorders>
              <w:left w:val="single" w:sz="8" w:color="auto"/>
              <w:right w:val="single" w:sz="8" w:color="auto"/>
            </w:tcBorders>
            <w:vMerge w:val="restart"/>
          </w:tcPr>
          <w:p>
            <w:pPr>
              <w:jc w:val="center"/>
              <w:ind w:left="65"/>
              <w:spacing w:after="0"/>
              <w:rPr>
                <w:sz w:val="20"/>
                <w:szCs w:val="20"/>
                <w:color w:val="auto"/>
              </w:rPr>
            </w:pPr>
            <w:r>
              <w:rPr>
                <w:rFonts w:ascii="Arial" w:cs="Arial" w:eastAsia="Arial" w:hAnsi="Arial"/>
                <w:sz w:val="16"/>
                <w:szCs w:val="16"/>
                <w:color w:val="auto"/>
                <w:w w:val="89"/>
              </w:rPr>
              <w:t>Heart Failure (HF)</w:t>
            </w: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cardiomyopathies.</w:t>
            </w:r>
          </w:p>
        </w:tc>
        <w:tc>
          <w:tcPr>
            <w:tcW w:w="0" w:type="dxa"/>
            <w:vAlign w:val="bottom"/>
          </w:tcPr>
          <w:p>
            <w:pPr>
              <w:spacing w:after="0"/>
              <w:rPr>
                <w:sz w:val="1"/>
                <w:szCs w:val="1"/>
                <w:color w:val="auto"/>
              </w:rPr>
            </w:pPr>
          </w:p>
        </w:tc>
      </w:tr>
      <w:tr>
        <w:trPr>
          <w:trHeight w:val="148"/>
        </w:trPr>
        <w:tc>
          <w:tcPr>
            <w:tcW w:w="33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60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99"/>
        </w:trPr>
        <w:tc>
          <w:tcPr>
            <w:tcW w:w="33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0"/>
              </w:rPr>
              <w:t>Arrhythmia is one of the most common heart conditions and is described as any change in</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5"/>
              </w:rPr>
              <w:t>the heart’s normal electrical impulses. Electrical impulses from within the heart initiate</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89"/>
              </w:rPr>
              <w:t>each heartbeat and ensure its normal pumping function. Arrhythmias can cause the heart to</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0"/>
              </w:rPr>
              <w:t>beat too quickly, too slowly or irregularly, resulting in a broad range of symptoms as well as</w:t>
            </w:r>
          </w:p>
        </w:tc>
        <w:tc>
          <w:tcPr>
            <w:tcW w:w="0" w:type="dxa"/>
            <w:vAlign w:val="bottom"/>
          </w:tcPr>
          <w:p>
            <w:pPr>
              <w:spacing w:after="0"/>
              <w:rPr>
                <w:sz w:val="1"/>
                <w:szCs w:val="1"/>
                <w:color w:val="auto"/>
              </w:rPr>
            </w:pPr>
          </w:p>
        </w:tc>
      </w:tr>
      <w:tr>
        <w:trPr>
          <w:trHeight w:val="200"/>
        </w:trPr>
        <w:tc>
          <w:tcPr>
            <w:tcW w:w="3300" w:type="dxa"/>
            <w:vAlign w:val="bottom"/>
            <w:tcBorders>
              <w:left w:val="single" w:sz="8" w:color="auto"/>
              <w:right w:val="single" w:sz="8" w:color="auto"/>
            </w:tcBorders>
          </w:tcPr>
          <w:p>
            <w:pPr>
              <w:spacing w:after="0"/>
              <w:rPr>
                <w:sz w:val="17"/>
                <w:szCs w:val="17"/>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sudden death and stroke.</w:t>
            </w:r>
          </w:p>
        </w:tc>
        <w:tc>
          <w:tcPr>
            <w:tcW w:w="0" w:type="dxa"/>
            <w:vAlign w:val="bottom"/>
          </w:tcPr>
          <w:p>
            <w:pPr>
              <w:spacing w:after="0"/>
              <w:rPr>
                <w:sz w:val="1"/>
                <w:szCs w:val="1"/>
                <w:color w:val="auto"/>
              </w:rPr>
            </w:pPr>
          </w:p>
        </w:tc>
      </w:tr>
      <w:tr>
        <w:trPr>
          <w:trHeight w:val="242"/>
        </w:trPr>
        <w:tc>
          <w:tcPr>
            <w:tcW w:w="3300" w:type="dxa"/>
            <w:vAlign w:val="bottom"/>
            <w:tcBorders>
              <w:left w:val="single" w:sz="8" w:color="auto"/>
              <w:bottom w:val="single" w:sz="8" w:color="auto"/>
              <w:right w:val="single" w:sz="8" w:color="auto"/>
            </w:tcBorders>
          </w:tcPr>
          <w:p>
            <w:pPr>
              <w:jc w:val="center"/>
              <w:ind w:left="65"/>
              <w:spacing w:after="0"/>
              <w:rPr>
                <w:sz w:val="20"/>
                <w:szCs w:val="20"/>
                <w:color w:val="auto"/>
              </w:rPr>
            </w:pPr>
            <w:r>
              <w:rPr>
                <w:rFonts w:ascii="Arial" w:cs="Arial" w:eastAsia="Arial" w:hAnsi="Arial"/>
                <w:sz w:val="16"/>
                <w:szCs w:val="16"/>
                <w:color w:val="auto"/>
                <w:w w:val="93"/>
              </w:rPr>
              <w:t>Arrhythmia</w:t>
            </w:r>
          </w:p>
        </w:tc>
        <w:tc>
          <w:tcPr>
            <w:tcW w:w="6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87"/>
        </w:trPr>
        <w:tc>
          <w:tcPr>
            <w:tcW w:w="33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89"/>
              </w:rPr>
              <w:t>Heart value disease occurs when there is a problem with one or more of the four valves that</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1"/>
              </w:rPr>
              <w:t>normally work in unison to make sure that blood is pumped in the proper direction through</w:t>
            </w:r>
          </w:p>
        </w:tc>
        <w:tc>
          <w:tcPr>
            <w:tcW w:w="0" w:type="dxa"/>
            <w:vAlign w:val="bottom"/>
          </w:tcPr>
          <w:p>
            <w:pPr>
              <w:spacing w:after="0"/>
              <w:rPr>
                <w:sz w:val="1"/>
                <w:szCs w:val="1"/>
                <w:color w:val="auto"/>
              </w:rPr>
            </w:pPr>
          </w:p>
        </w:tc>
      </w:tr>
      <w:tr>
        <w:trPr>
          <w:trHeight w:val="200"/>
        </w:trPr>
        <w:tc>
          <w:tcPr>
            <w:tcW w:w="3300" w:type="dxa"/>
            <w:vAlign w:val="bottom"/>
            <w:tcBorders>
              <w:left w:val="single" w:sz="8" w:color="auto"/>
              <w:right w:val="single" w:sz="8" w:color="auto"/>
            </w:tcBorders>
          </w:tcPr>
          <w:p>
            <w:pPr>
              <w:spacing w:after="0"/>
              <w:rPr>
                <w:sz w:val="17"/>
                <w:szCs w:val="17"/>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the four chambers of the heart.</w:t>
            </w:r>
          </w:p>
        </w:tc>
        <w:tc>
          <w:tcPr>
            <w:tcW w:w="0" w:type="dxa"/>
            <w:vAlign w:val="bottom"/>
          </w:tcPr>
          <w:p>
            <w:pPr>
              <w:spacing w:after="0"/>
              <w:rPr>
                <w:sz w:val="1"/>
                <w:szCs w:val="1"/>
                <w:color w:val="auto"/>
              </w:rPr>
            </w:pPr>
          </w:p>
        </w:tc>
      </w:tr>
      <w:tr>
        <w:trPr>
          <w:trHeight w:val="431"/>
        </w:trPr>
        <w:tc>
          <w:tcPr>
            <w:tcW w:w="3300" w:type="dxa"/>
            <w:vAlign w:val="bottom"/>
            <w:tcBorders>
              <w:left w:val="single" w:sz="8" w:color="auto"/>
              <w:bottom w:val="single" w:sz="8" w:color="auto"/>
              <w:right w:val="single" w:sz="8" w:color="auto"/>
            </w:tcBorders>
          </w:tcPr>
          <w:p>
            <w:pPr>
              <w:jc w:val="center"/>
              <w:ind w:left="65"/>
              <w:spacing w:after="0"/>
              <w:rPr>
                <w:sz w:val="20"/>
                <w:szCs w:val="20"/>
                <w:color w:val="auto"/>
              </w:rPr>
            </w:pPr>
            <w:r>
              <w:rPr>
                <w:rFonts w:ascii="Arial" w:cs="Arial" w:eastAsia="Arial" w:hAnsi="Arial"/>
                <w:sz w:val="16"/>
                <w:szCs w:val="16"/>
                <w:color w:val="auto"/>
                <w:w w:val="87"/>
              </w:rPr>
              <w:t>Heart Valve Disease</w:t>
            </w:r>
          </w:p>
        </w:tc>
        <w:tc>
          <w:tcPr>
            <w:tcW w:w="6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7"/>
        </w:trPr>
        <w:tc>
          <w:tcPr>
            <w:tcW w:w="33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2"/>
              </w:rPr>
              <w:t>CAD is among the most common type of heart disease and occurs when plaque grows in</w:t>
            </w:r>
          </w:p>
        </w:tc>
        <w:tc>
          <w:tcPr>
            <w:tcW w:w="0" w:type="dxa"/>
            <w:vAlign w:val="bottom"/>
          </w:tcPr>
          <w:p>
            <w:pPr>
              <w:spacing w:after="0"/>
              <w:rPr>
                <w:sz w:val="1"/>
                <w:szCs w:val="1"/>
                <w:color w:val="auto"/>
              </w:rPr>
            </w:pPr>
          </w:p>
        </w:tc>
      </w:tr>
      <w:tr>
        <w:trPr>
          <w:trHeight w:val="189"/>
        </w:trPr>
        <w:tc>
          <w:tcPr>
            <w:tcW w:w="3300" w:type="dxa"/>
            <w:vAlign w:val="bottom"/>
            <w:tcBorders>
              <w:left w:val="single" w:sz="8" w:color="auto"/>
              <w:right w:val="single" w:sz="8" w:color="auto"/>
            </w:tcBorders>
          </w:tcPr>
          <w:p>
            <w:pPr>
              <w:spacing w:after="0"/>
              <w:rPr>
                <w:sz w:val="16"/>
                <w:szCs w:val="16"/>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3"/>
              </w:rPr>
              <w:t>the walls of the coronary arteries, limiting the blood flow to the heart’s muscle. CAD can</w:t>
            </w:r>
          </w:p>
        </w:tc>
        <w:tc>
          <w:tcPr>
            <w:tcW w:w="0" w:type="dxa"/>
            <w:vAlign w:val="bottom"/>
          </w:tcPr>
          <w:p>
            <w:pPr>
              <w:spacing w:after="0"/>
              <w:rPr>
                <w:sz w:val="1"/>
                <w:szCs w:val="1"/>
                <w:color w:val="auto"/>
              </w:rPr>
            </w:pPr>
          </w:p>
        </w:tc>
      </w:tr>
      <w:tr>
        <w:trPr>
          <w:trHeight w:val="200"/>
        </w:trPr>
        <w:tc>
          <w:tcPr>
            <w:tcW w:w="3300" w:type="dxa"/>
            <w:vAlign w:val="bottom"/>
            <w:tcBorders>
              <w:left w:val="single" w:sz="8" w:color="auto"/>
              <w:right w:val="single" w:sz="8" w:color="auto"/>
            </w:tcBorders>
          </w:tcPr>
          <w:p>
            <w:pPr>
              <w:spacing w:after="0"/>
              <w:rPr>
                <w:sz w:val="17"/>
                <w:szCs w:val="17"/>
                <w:color w:val="auto"/>
              </w:rPr>
            </w:pPr>
          </w:p>
        </w:tc>
        <w:tc>
          <w:tcPr>
            <w:tcW w:w="60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ultimately lead to a heart attack.</w:t>
            </w:r>
          </w:p>
        </w:tc>
        <w:tc>
          <w:tcPr>
            <w:tcW w:w="0" w:type="dxa"/>
            <w:vAlign w:val="bottom"/>
          </w:tcPr>
          <w:p>
            <w:pPr>
              <w:spacing w:after="0"/>
              <w:rPr>
                <w:sz w:val="1"/>
                <w:szCs w:val="1"/>
                <w:color w:val="auto"/>
              </w:rPr>
            </w:pPr>
          </w:p>
        </w:tc>
      </w:tr>
      <w:tr>
        <w:trPr>
          <w:trHeight w:val="431"/>
        </w:trPr>
        <w:tc>
          <w:tcPr>
            <w:tcW w:w="3300" w:type="dxa"/>
            <w:vAlign w:val="bottom"/>
            <w:tcBorders>
              <w:left w:val="single" w:sz="8" w:color="auto"/>
              <w:bottom w:val="single" w:sz="8" w:color="auto"/>
              <w:right w:val="single" w:sz="8" w:color="auto"/>
            </w:tcBorders>
          </w:tcPr>
          <w:p>
            <w:pPr>
              <w:jc w:val="center"/>
              <w:ind w:left="65"/>
              <w:spacing w:after="0"/>
              <w:rPr>
                <w:sz w:val="20"/>
                <w:szCs w:val="20"/>
                <w:color w:val="auto"/>
              </w:rPr>
            </w:pPr>
            <w:r>
              <w:rPr>
                <w:rFonts w:ascii="Arial" w:cs="Arial" w:eastAsia="Arial" w:hAnsi="Arial"/>
                <w:sz w:val="16"/>
                <w:szCs w:val="16"/>
                <w:color w:val="auto"/>
                <w:w w:val="91"/>
              </w:rPr>
              <w:t>Coronary Artery Disease (CAD)</w:t>
            </w:r>
          </w:p>
        </w:tc>
        <w:tc>
          <w:tcPr>
            <w:tcW w:w="6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Current Challenges in the Development of Novel Therapies for Heart Disease</w:t>
      </w:r>
    </w:p>
    <w:p>
      <w:pPr>
        <w:spacing w:after="0" w:line="99" w:lineRule="exact"/>
        <w:rPr>
          <w:sz w:val="20"/>
          <w:szCs w:val="20"/>
          <w:color w:val="auto"/>
        </w:rPr>
      </w:pPr>
    </w:p>
    <w:p>
      <w:pPr>
        <w:ind w:left="980" w:right="220" w:firstLine="372"/>
        <w:spacing w:after="0" w:line="266" w:lineRule="auto"/>
        <w:rPr>
          <w:sz w:val="20"/>
          <w:szCs w:val="20"/>
          <w:color w:val="auto"/>
        </w:rPr>
      </w:pPr>
      <w:r>
        <w:rPr>
          <w:rFonts w:ascii="Arial" w:cs="Arial" w:eastAsia="Arial" w:hAnsi="Arial"/>
          <w:sz w:val="16"/>
          <w:szCs w:val="16"/>
          <w:color w:val="auto"/>
        </w:rPr>
        <w:t>While there is significant unmet need in the field of heart disease, historically there have been challenges in developing novel therapies for the different forms of heart disease. These challenges include, but are not limited to:</w:t>
      </w:r>
    </w:p>
    <w:p>
      <w:pPr>
        <w:spacing w:after="0" w:line="76" w:lineRule="exact"/>
        <w:rPr>
          <w:sz w:val="20"/>
          <w:szCs w:val="20"/>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Most development efforts focus on treating symptoms rather than targeting the underlying causes of diseases;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Identifying new disease-modifying targets is challenging;</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Genetic diagnosis and genetic counseling are limited;</w:t>
      </w: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280"/>
          </w:cols>
          <w:pgMar w:left="320" w:top="418" w:right="129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6024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60242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Regenerative therapy science is still in its early stages;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 therapy science for the heart is still maturing;</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requirements are stringent;</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of development are high; and</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Patient access barriers are challenging.</w:t>
      </w:r>
    </w:p>
    <w:p>
      <w:pPr>
        <w:spacing w:after="0" w:line="193" w:lineRule="exact"/>
        <w:rPr>
          <w:sz w:val="20"/>
          <w:szCs w:val="20"/>
          <w:color w:val="auto"/>
        </w:rPr>
      </w:pPr>
    </w:p>
    <w:p>
      <w:pPr>
        <w:ind w:left="980" w:firstLine="372"/>
        <w:spacing w:after="0" w:line="267" w:lineRule="auto"/>
        <w:rPr>
          <w:sz w:val="20"/>
          <w:szCs w:val="20"/>
          <w:color w:val="auto"/>
        </w:rPr>
      </w:pPr>
      <w:r>
        <w:rPr>
          <w:rFonts w:ascii="Arial" w:cs="Arial" w:eastAsia="Arial" w:hAnsi="Arial"/>
          <w:sz w:val="15"/>
          <w:szCs w:val="15"/>
          <w:color w:val="auto"/>
        </w:rPr>
        <w:t>These factors have contributed to a decline in successful heart disease drug development. However, there are recent signs of improvement. There is increasing insight into the genetic causes of heart disease and a greater push for more consistent genetic testing and family counseling supported by (1) updated clinical practice guidelines such as 2020 American College of Cardiology (ACC) and American Heart Association (AHA) recommendations for patients with hypertrophic cardiomyopathy (HCM), (2) the push by patient advocacy organizations for mandatory screening of young adults, and (3) increased availability of accessible genetic testing covering more than 150 relevant genes associated with inherited arrhythmia and cardiomyopathy conditions. We believe with the evolving understanding of heart disease in the scientific community and general public, there are significant opportunities where we can benefit from and support the evolution towards more precise diagnosis, drug development, and treatment for heart disease, as depicted in the diagram below.</w:t>
      </w:r>
    </w:p>
    <w:p>
      <w:pPr>
        <w:spacing w:after="0" w:line="159"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The Evolving Landscape of Heart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Strategy</w:t>
      </w:r>
    </w:p>
    <w:p>
      <w:pPr>
        <w:spacing w:after="0" w:line="99" w:lineRule="exact"/>
        <w:rPr>
          <w:sz w:val="20"/>
          <w:szCs w:val="20"/>
          <w:color w:val="auto"/>
        </w:rPr>
      </w:pPr>
    </w:p>
    <w:p>
      <w:pPr>
        <w:ind w:left="980" w:right="240" w:firstLine="372"/>
        <w:spacing w:after="0" w:line="253" w:lineRule="auto"/>
        <w:rPr>
          <w:sz w:val="20"/>
          <w:szCs w:val="20"/>
          <w:color w:val="auto"/>
        </w:rPr>
      </w:pPr>
      <w:r>
        <w:rPr>
          <w:rFonts w:ascii="Arial" w:cs="Arial" w:eastAsia="Arial" w:hAnsi="Arial"/>
          <w:sz w:val="16"/>
          <w:szCs w:val="16"/>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scientific advancements to discover, develop, manufacture and ultimately commercialize a deep and diverse pipeline of novel therapies. The key components of our strategy to achieve these goals are:</w:t>
      </w:r>
    </w:p>
    <w:p>
      <w:pPr>
        <w:spacing w:after="0" w:line="85" w:lineRule="exact"/>
        <w:rPr>
          <w:sz w:val="20"/>
          <w:szCs w:val="20"/>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Focus exclusively on underlying causes of genetic forms of heart disease;</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 disease-modifying therapies;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Discover novel therapies using three product platforms in parallel;</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Target defined sub-populations of patients most likely to respond to our therapies;</w:t>
      </w: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280"/>
          </w:cols>
          <w:pgMar w:left="320" w:top="418" w:right="129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582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5829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hanging="441"/>
        <w:spacing w:after="0"/>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Advance a deep and diverse pipeline of therapies;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Internalize and integrate core capabilities to support our innovation; and</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Become a fully integrated biopharmaceutical company with commercial capabilities.</w:t>
      </w:r>
    </w:p>
    <w:p>
      <w:pPr>
        <w:spacing w:after="0" w:line="288"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History and Team</w:t>
      </w:r>
    </w:p>
    <w:p>
      <w:pPr>
        <w:spacing w:after="0" w:line="99" w:lineRule="exact"/>
        <w:rPr>
          <w:sz w:val="20"/>
          <w:szCs w:val="20"/>
          <w:color w:val="auto"/>
        </w:rPr>
      </w:pPr>
    </w:p>
    <w:p>
      <w:pPr>
        <w:ind w:left="980" w:right="20" w:firstLine="372"/>
        <w:spacing w:after="0" w:line="281" w:lineRule="auto"/>
        <w:rPr>
          <w:sz w:val="20"/>
          <w:szCs w:val="20"/>
          <w:color w:val="auto"/>
        </w:rPr>
      </w:pPr>
      <w:r>
        <w:rPr>
          <w:rFonts w:ascii="Arial" w:cs="Arial" w:eastAsia="Arial" w:hAnsi="Arial"/>
          <w:sz w:val="15"/>
          <w:szCs w:val="15"/>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that, as of June 30, 2021, comprises over 85 employees.</w:t>
      </w:r>
    </w:p>
    <w:p>
      <w:pPr>
        <w:spacing w:after="0" w:line="149" w:lineRule="exact"/>
        <w:rPr>
          <w:sz w:val="20"/>
          <w:szCs w:val="20"/>
          <w:color w:val="auto"/>
        </w:rPr>
      </w:pPr>
    </w:p>
    <w:p>
      <w:pPr>
        <w:ind w:left="980" w:right="20" w:firstLine="372"/>
        <w:spacing w:after="0" w:line="329" w:lineRule="auto"/>
        <w:rPr>
          <w:sz w:val="20"/>
          <w:szCs w:val="20"/>
          <w:color w:val="auto"/>
        </w:rPr>
      </w:pPr>
      <w:r>
        <w:rPr>
          <w:rFonts w:ascii="Arial" w:cs="Arial" w:eastAsia="Arial" w:hAnsi="Arial"/>
          <w:sz w:val="13"/>
          <w:szCs w:val="13"/>
          <w:color w:val="auto"/>
        </w:rPr>
        <w:t>We are led by a team of executives and directors with significant experience in the discovery, development, manufacture, and commercialization of novel therapeutics, specifically in the fields of rare diseases, gene therapies, and heart disease. Faraz Ali, M.B.A.,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23" w:lineRule="exact"/>
        <w:rPr>
          <w:sz w:val="20"/>
          <w:szCs w:val="20"/>
          <w:color w:val="auto"/>
        </w:rPr>
      </w:pPr>
    </w:p>
    <w:p>
      <w:pPr>
        <w:ind w:left="980" w:right="20" w:firstLine="372"/>
        <w:spacing w:after="0" w:line="253" w:lineRule="auto"/>
        <w:rPr>
          <w:sz w:val="20"/>
          <w:szCs w:val="20"/>
          <w:color w:val="auto"/>
        </w:rPr>
      </w:pPr>
      <w:r>
        <w:rPr>
          <w:rFonts w:ascii="Arial" w:cs="Arial" w:eastAsia="Arial" w:hAnsi="Arial"/>
          <w:sz w:val="16"/>
          <w:szCs w:val="16"/>
          <w:color w:val="auto"/>
        </w:rPr>
        <w:t>Since inception, we have raised approximately $248 million in equity financing from leading venture, strategic and public investors, including The Column Group, Casdin Capital, SymBiosis II, LLC, Fidelity Management &amp; Research Company, RTW Investments, and others who share our vision to build a highly innovative, integrated biotechnology company delivering next-generation therapies that address the underlying causes of heart disease.</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Risks Associated with Our Business</w:t>
      </w:r>
    </w:p>
    <w:p>
      <w:pPr>
        <w:spacing w:after="0" w:line="103" w:lineRule="exact"/>
        <w:rPr>
          <w:sz w:val="20"/>
          <w:szCs w:val="20"/>
          <w:color w:val="auto"/>
        </w:rPr>
      </w:pPr>
    </w:p>
    <w:p>
      <w:pPr>
        <w:jc w:val="both"/>
        <w:ind w:left="980" w:right="340" w:firstLine="372"/>
        <w:spacing w:after="0" w:line="256" w:lineRule="auto"/>
        <w:rPr>
          <w:sz w:val="20"/>
          <w:szCs w:val="20"/>
          <w:color w:val="auto"/>
        </w:rPr>
      </w:pPr>
      <w:r>
        <w:rPr>
          <w:rFonts w:ascii="Arial" w:cs="Arial" w:eastAsia="Arial" w:hAnsi="Arial"/>
          <w:sz w:val="16"/>
          <w:szCs w:val="16"/>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83" w:lineRule="exact"/>
        <w:rPr>
          <w:sz w:val="20"/>
          <w:szCs w:val="20"/>
          <w:color w:val="auto"/>
        </w:rPr>
      </w:pPr>
    </w:p>
    <w:p>
      <w:pPr>
        <w:ind w:left="1780" w:right="100" w:hanging="441"/>
        <w:spacing w:after="0" w:line="25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83" w:lineRule="exact"/>
        <w:rPr>
          <w:rFonts w:ascii="Arial" w:cs="Arial" w:eastAsia="Arial" w:hAnsi="Arial"/>
          <w:sz w:val="16"/>
          <w:szCs w:val="16"/>
          <w:color w:val="auto"/>
        </w:rPr>
      </w:pPr>
    </w:p>
    <w:p>
      <w:pPr>
        <w:ind w:left="1780" w:right="60" w:hanging="441"/>
        <w:spacing w:after="0" w:line="26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not generated any product revenue to date, have incurred significant net losses since our inception, and expect to continue to incur significant net losses for the foreseeable future.</w:t>
      </w:r>
    </w:p>
    <w:p>
      <w:pPr>
        <w:spacing w:after="0" w:line="75" w:lineRule="exact"/>
        <w:rPr>
          <w:rFonts w:ascii="Arial" w:cs="Arial" w:eastAsia="Arial" w:hAnsi="Arial"/>
          <w:sz w:val="16"/>
          <w:szCs w:val="16"/>
          <w:color w:val="auto"/>
        </w:rPr>
      </w:pPr>
    </w:p>
    <w:p>
      <w:pPr>
        <w:ind w:left="1780" w:right="140" w:hanging="441"/>
        <w:spacing w:after="0" w:line="26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75" w:lineRule="exact"/>
        <w:rPr>
          <w:rFonts w:ascii="Arial" w:cs="Arial" w:eastAsia="Arial" w:hAnsi="Arial"/>
          <w:sz w:val="16"/>
          <w:szCs w:val="16"/>
          <w:color w:val="auto"/>
        </w:rPr>
      </w:pPr>
    </w:p>
    <w:p>
      <w:pPr>
        <w:ind w:left="1780" w:hanging="441"/>
        <w:spacing w:after="0" w:line="25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3" w:lineRule="exact"/>
        <w:rPr>
          <w:rFonts w:ascii="Arial" w:cs="Arial" w:eastAsia="Arial" w:hAnsi="Arial"/>
          <w:sz w:val="16"/>
          <w:szCs w:val="16"/>
          <w:color w:val="auto"/>
        </w:rPr>
      </w:pPr>
    </w:p>
    <w:p>
      <w:pPr>
        <w:ind w:left="1780" w:right="120" w:hanging="441"/>
        <w:spacing w:after="0" w:line="26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operations and financial results could be adversely impacted by the COVID-19 pandemic in the United States and the rest of the world.</w:t>
      </w:r>
    </w:p>
    <w:p>
      <w:pPr>
        <w:spacing w:after="0" w:line="75" w:lineRule="exact"/>
        <w:rPr>
          <w:rFonts w:ascii="Arial" w:cs="Arial" w:eastAsia="Arial" w:hAnsi="Arial"/>
          <w:sz w:val="16"/>
          <w:szCs w:val="16"/>
          <w:color w:val="auto"/>
        </w:rPr>
      </w:pPr>
    </w:p>
    <w:p>
      <w:pPr>
        <w:ind w:left="1780" w:right="420" w:hanging="441"/>
        <w:spacing w:after="0" w:line="343" w:lineRule="auto"/>
        <w:tabs>
          <w:tab w:leader="none" w:pos="1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240"/>
          </w:cols>
          <w:pgMar w:left="320" w:top="418" w:right="1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051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0514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right="20" w:hanging="441"/>
        <w:spacing w:after="0" w:line="343" w:lineRule="auto"/>
        <w:tabs>
          <w:tab w:leader="none" w:pos="17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31" w:lineRule="exact"/>
        <w:rPr>
          <w:rFonts w:ascii="Arial" w:cs="Arial" w:eastAsia="Arial" w:hAnsi="Arial"/>
          <w:sz w:val="13"/>
          <w:szCs w:val="13"/>
          <w:color w:val="auto"/>
        </w:rPr>
      </w:pPr>
    </w:p>
    <w:p>
      <w:pPr>
        <w:ind w:left="1780" w:right="140" w:hanging="441"/>
        <w:spacing w:after="0" w:line="266"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mechanisms of action of our product candidates are unproven, and we do not know whether we will be able to develop any drug of commercial value.</w:t>
      </w:r>
    </w:p>
    <w:p>
      <w:pPr>
        <w:spacing w:after="0" w:line="75" w:lineRule="exact"/>
        <w:rPr>
          <w:rFonts w:ascii="Arial" w:cs="Arial" w:eastAsia="Arial" w:hAnsi="Arial"/>
          <w:sz w:val="16"/>
          <w:szCs w:val="16"/>
          <w:color w:val="auto"/>
        </w:rPr>
      </w:pPr>
    </w:p>
    <w:p>
      <w:pPr>
        <w:ind w:left="1780" w:right="20" w:hanging="441"/>
        <w:spacing w:after="0" w:line="272" w:lineRule="auto"/>
        <w:tabs>
          <w:tab w:leader="none" w:pos="1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1" w:lineRule="exact"/>
        <w:rPr>
          <w:rFonts w:ascii="Arial" w:cs="Arial" w:eastAsia="Arial" w:hAnsi="Arial"/>
          <w:sz w:val="15"/>
          <w:szCs w:val="15"/>
          <w:color w:val="auto"/>
        </w:rPr>
      </w:pPr>
    </w:p>
    <w:p>
      <w:pPr>
        <w:ind w:left="1780" w:hanging="441"/>
        <w:spacing w:after="0" w:line="281" w:lineRule="auto"/>
        <w:tabs>
          <w:tab w:leader="none" w:pos="1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6" w:lineRule="exact"/>
        <w:rPr>
          <w:rFonts w:ascii="Arial" w:cs="Arial" w:eastAsia="Arial" w:hAnsi="Arial"/>
          <w:sz w:val="15"/>
          <w:szCs w:val="15"/>
          <w:color w:val="auto"/>
        </w:rPr>
      </w:pPr>
    </w:p>
    <w:p>
      <w:pPr>
        <w:ind w:left="1780" w:right="20" w:hanging="441"/>
        <w:spacing w:after="0" w:line="253"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4" w:lineRule="exact"/>
        <w:rPr>
          <w:rFonts w:ascii="Arial" w:cs="Arial" w:eastAsia="Arial" w:hAnsi="Arial"/>
          <w:sz w:val="16"/>
          <w:szCs w:val="16"/>
          <w:color w:val="auto"/>
        </w:rPr>
      </w:pPr>
    </w:p>
    <w:p>
      <w:pPr>
        <w:ind w:left="1780" w:right="120" w:hanging="441"/>
        <w:spacing w:after="0" w:line="256"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3" w:lineRule="exact"/>
        <w:rPr>
          <w:rFonts w:ascii="Arial" w:cs="Arial" w:eastAsia="Arial" w:hAnsi="Arial"/>
          <w:sz w:val="16"/>
          <w:szCs w:val="16"/>
          <w:color w:val="auto"/>
        </w:rPr>
      </w:pPr>
    </w:p>
    <w:p>
      <w:pPr>
        <w:jc w:val="both"/>
        <w:ind w:left="1780" w:right="40" w:hanging="441"/>
        <w:spacing w:after="0" w:line="256"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3" w:lineRule="exact"/>
        <w:rPr>
          <w:rFonts w:ascii="Arial" w:cs="Arial" w:eastAsia="Arial" w:hAnsi="Arial"/>
          <w:sz w:val="16"/>
          <w:szCs w:val="16"/>
          <w:color w:val="auto"/>
        </w:rPr>
      </w:pPr>
    </w:p>
    <w:p>
      <w:pPr>
        <w:ind w:left="1780" w:right="40" w:hanging="441"/>
        <w:spacing w:after="0" w:line="251"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July 1, 2021, 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87" w:lineRule="exact"/>
        <w:rPr>
          <w:rFonts w:ascii="Arial" w:cs="Arial" w:eastAsia="Arial" w:hAnsi="Arial"/>
          <w:sz w:val="16"/>
          <w:szCs w:val="16"/>
          <w:color w:val="auto"/>
        </w:rPr>
      </w:pPr>
    </w:p>
    <w:p>
      <w:pPr>
        <w:ind w:left="1780" w:right="20" w:hanging="441"/>
        <w:spacing w:after="0" w:line="329" w:lineRule="auto"/>
        <w:tabs>
          <w:tab w:leader="none" w:pos="17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40" w:lineRule="exact"/>
        <w:rPr>
          <w:rFonts w:ascii="Arial" w:cs="Arial" w:eastAsia="Arial" w:hAnsi="Arial"/>
          <w:sz w:val="13"/>
          <w:szCs w:val="13"/>
          <w:color w:val="auto"/>
        </w:rPr>
      </w:pPr>
    </w:p>
    <w:p>
      <w:pPr>
        <w:ind w:left="1780" w:right="140" w:hanging="441"/>
        <w:spacing w:after="0" w:line="256"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60"/>
          </w:cols>
          <w:pgMar w:left="320" w:top="418" w:right="131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223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2235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Corporate Information</w:t>
      </w:r>
    </w:p>
    <w:p>
      <w:pPr>
        <w:spacing w:after="0" w:line="103" w:lineRule="exact"/>
        <w:rPr>
          <w:sz w:val="20"/>
          <w:szCs w:val="20"/>
          <w:color w:val="auto"/>
        </w:rPr>
      </w:pPr>
    </w:p>
    <w:p>
      <w:pPr>
        <w:ind w:left="980" w:right="20" w:firstLine="372"/>
        <w:spacing w:after="0" w:line="275" w:lineRule="auto"/>
        <w:rPr>
          <w:sz w:val="20"/>
          <w:szCs w:val="20"/>
          <w:color w:val="auto"/>
        </w:rPr>
      </w:pPr>
      <w:r>
        <w:rPr>
          <w:rFonts w:ascii="Arial" w:cs="Arial" w:eastAsia="Arial" w:hAnsi="Arial"/>
          <w:sz w:val="15"/>
          <w:szCs w:val="15"/>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Trademarks</w:t>
      </w:r>
    </w:p>
    <w:p>
      <w:pPr>
        <w:spacing w:after="0" w:line="103" w:lineRule="exact"/>
        <w:rPr>
          <w:sz w:val="20"/>
          <w:szCs w:val="20"/>
          <w:color w:val="auto"/>
        </w:rPr>
      </w:pPr>
    </w:p>
    <w:p>
      <w:pPr>
        <w:ind w:left="980" w:right="20" w:firstLine="372"/>
        <w:spacing w:after="0" w:line="250" w:lineRule="auto"/>
        <w:rPr>
          <w:sz w:val="20"/>
          <w:szCs w:val="20"/>
          <w:color w:val="auto"/>
        </w:rPr>
      </w:pPr>
      <w:r>
        <w:rPr>
          <w:rFonts w:ascii="Arial" w:cs="Arial" w:eastAsia="Arial" w:hAnsi="Arial"/>
          <w:sz w:val="16"/>
          <w:szCs w:val="16"/>
          <w:color w:val="auto"/>
        </w:rPr>
        <w:t>We use the Tenaya logo and other marks as unregistered trademarks in the United States and certain other countries. This prospectus contains references to our trademarks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owner of these trademarks and trade names. We do not intend our use or display of other entities’ trade names or trademarks to imply a relationship with, or endorsement or sponsorship of us by, any other entity.</w:t>
      </w:r>
    </w:p>
    <w:p>
      <w:pPr>
        <w:spacing w:after="0" w:line="26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Implications of Being an Emerging Growth Company and a Smaller Reporting Company</w:t>
      </w:r>
    </w:p>
    <w:p>
      <w:pPr>
        <w:spacing w:after="0" w:line="103" w:lineRule="exact"/>
        <w:rPr>
          <w:sz w:val="20"/>
          <w:szCs w:val="20"/>
          <w:color w:val="auto"/>
        </w:rPr>
      </w:pPr>
    </w:p>
    <w:p>
      <w:pPr>
        <w:ind w:left="980" w:firstLine="372"/>
        <w:spacing w:after="0" w:line="309" w:lineRule="auto"/>
        <w:rPr>
          <w:sz w:val="20"/>
          <w:szCs w:val="20"/>
          <w:color w:val="auto"/>
        </w:rPr>
      </w:pPr>
      <w:r>
        <w:rPr>
          <w:rFonts w:ascii="Arial" w:cs="Arial" w:eastAsia="Arial" w:hAnsi="Arial"/>
          <w:sz w:val="13"/>
          <w:szCs w:val="13"/>
          <w:color w:val="auto"/>
        </w:rPr>
        <w:t>We are an “emerging growth company” as defined in the Jumpstart Our Business Startups Act of 2012, as amended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U.S.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27" w:lineRule="exact"/>
        <w:rPr>
          <w:sz w:val="20"/>
          <w:szCs w:val="20"/>
          <w:color w:val="auto"/>
        </w:rPr>
      </w:pPr>
    </w:p>
    <w:p>
      <w:pPr>
        <w:ind w:left="980" w:firstLine="372"/>
        <w:spacing w:after="0" w:line="267" w:lineRule="auto"/>
        <w:rPr>
          <w:sz w:val="20"/>
          <w:szCs w:val="20"/>
          <w:color w:val="auto"/>
        </w:rPr>
      </w:pPr>
      <w:r>
        <w:rPr>
          <w:rFonts w:ascii="Arial" w:cs="Arial" w:eastAsia="Arial" w:hAnsi="Arial"/>
          <w:sz w:val="15"/>
          <w:szCs w:val="15"/>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60"/>
          </w:cols>
          <w:pgMar w:left="320" w:top="418" w:right="1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020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0209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980" w:type="dxa"/>
        <w:tblCellMar>
          <w:top w:w="0" w:type="dxa"/>
          <w:left w:w="0" w:type="dxa"/>
          <w:bottom w:w="0" w:type="dxa"/>
          <w:right w:w="0" w:type="dxa"/>
        </w:tblCellMar>
      </w:tblPr>
      <w:tr>
        <w:trPr>
          <w:trHeight w:val="204"/>
        </w:trPr>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2"/>
          </w:tcPr>
          <w:p>
            <w:pPr>
              <w:ind w:left="200"/>
              <w:spacing w:after="0"/>
              <w:rPr>
                <w:sz w:val="20"/>
                <w:szCs w:val="20"/>
                <w:color w:val="auto"/>
              </w:rPr>
            </w:pPr>
            <w:r>
              <w:rPr>
                <w:rFonts w:ascii="Arial" w:cs="Arial" w:eastAsia="Arial" w:hAnsi="Arial"/>
                <w:sz w:val="16"/>
                <w:szCs w:val="16"/>
                <w:b w:val="1"/>
                <w:bCs w:val="1"/>
                <w:color w:val="auto"/>
              </w:rPr>
              <w:t>THE OFFERING</w:t>
            </w:r>
          </w:p>
        </w:tc>
      </w:tr>
      <w:tr>
        <w:trPr>
          <w:trHeight w:val="401"/>
        </w:trPr>
        <w:tc>
          <w:tcPr>
            <w:tcW w:w="3500" w:type="dxa"/>
            <w:vAlign w:val="bottom"/>
          </w:tcPr>
          <w:p>
            <w:pPr>
              <w:spacing w:after="0"/>
              <w:rPr>
                <w:sz w:val="20"/>
                <w:szCs w:val="20"/>
                <w:color w:val="auto"/>
              </w:rPr>
            </w:pPr>
            <w:r>
              <w:rPr>
                <w:rFonts w:ascii="Arial" w:cs="Arial" w:eastAsia="Arial" w:hAnsi="Arial"/>
                <w:sz w:val="16"/>
                <w:szCs w:val="16"/>
                <w:color w:val="auto"/>
              </w:rPr>
              <w:t>Common stock offered by us</w:t>
            </w:r>
          </w:p>
        </w:tc>
        <w:tc>
          <w:tcPr>
            <w:tcW w:w="34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16"/>
                <w:szCs w:val="16"/>
                <w:color w:val="auto"/>
              </w:rPr>
              <w:t>shares.</w:t>
            </w:r>
          </w:p>
        </w:tc>
        <w:tc>
          <w:tcPr>
            <w:tcW w:w="4480" w:type="dxa"/>
            <w:vAlign w:val="bottom"/>
          </w:tcPr>
          <w:p>
            <w:pPr>
              <w:spacing w:after="0"/>
              <w:rPr>
                <w:sz w:val="24"/>
                <w:szCs w:val="24"/>
                <w:color w:val="auto"/>
              </w:rPr>
            </w:pPr>
          </w:p>
        </w:tc>
      </w:tr>
      <w:tr>
        <w:trPr>
          <w:trHeight w:val="260"/>
        </w:trPr>
        <w:tc>
          <w:tcPr>
            <w:tcW w:w="3500" w:type="dxa"/>
            <w:vAlign w:val="bottom"/>
          </w:tcPr>
          <w:p>
            <w:pPr>
              <w:spacing w:after="0"/>
              <w:rPr>
                <w:sz w:val="20"/>
                <w:szCs w:val="20"/>
                <w:color w:val="auto"/>
              </w:rPr>
            </w:pPr>
            <w:r>
              <w:rPr>
                <w:rFonts w:ascii="Arial" w:cs="Arial" w:eastAsia="Arial" w:hAnsi="Arial"/>
                <w:sz w:val="16"/>
                <w:szCs w:val="16"/>
                <w:color w:val="auto"/>
              </w:rPr>
              <w:t>Option to purchase additional shares</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8"/>
              </w:rPr>
              <w:t>We have granted the underwriters an option for a period of 30 days to purchase up</w:t>
            </w:r>
          </w:p>
        </w:tc>
      </w:tr>
      <w:tr>
        <w:trPr>
          <w:trHeight w:val="200"/>
        </w:trPr>
        <w:tc>
          <w:tcPr>
            <w:tcW w:w="350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to</w:t>
            </w: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additional shares of our common stock.</w:t>
            </w:r>
          </w:p>
        </w:tc>
      </w:tr>
      <w:tr>
        <w:trPr>
          <w:trHeight w:val="248"/>
        </w:trPr>
        <w:tc>
          <w:tcPr>
            <w:tcW w:w="3500" w:type="dxa"/>
            <w:vAlign w:val="bottom"/>
          </w:tcPr>
          <w:p>
            <w:pPr>
              <w:spacing w:after="0"/>
              <w:rPr>
                <w:sz w:val="20"/>
                <w:szCs w:val="20"/>
                <w:color w:val="auto"/>
              </w:rPr>
            </w:pPr>
            <w:r>
              <w:rPr>
                <w:rFonts w:ascii="Arial" w:cs="Arial" w:eastAsia="Arial" w:hAnsi="Arial"/>
                <w:sz w:val="16"/>
                <w:szCs w:val="16"/>
                <w:color w:val="auto"/>
                <w:w w:val="89"/>
              </w:rPr>
              <w:t>Common stock to be outstanding immediately after this</w:t>
            </w:r>
          </w:p>
        </w:tc>
        <w:tc>
          <w:tcPr>
            <w:tcW w:w="340" w:type="dxa"/>
            <w:vAlign w:val="bottom"/>
          </w:tcPr>
          <w:p>
            <w:pPr>
              <w:spacing w:after="0"/>
              <w:rPr>
                <w:sz w:val="21"/>
                <w:szCs w:val="21"/>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w w:val="83"/>
              </w:rPr>
              <w:t>shares (or</w:t>
            </w:r>
          </w:p>
        </w:tc>
        <w:tc>
          <w:tcPr>
            <w:tcW w:w="4480" w:type="dxa"/>
            <w:vAlign w:val="bottom"/>
          </w:tcPr>
          <w:p>
            <w:pPr>
              <w:ind w:left="700"/>
              <w:spacing w:after="0"/>
              <w:rPr>
                <w:sz w:val="20"/>
                <w:szCs w:val="20"/>
                <w:color w:val="auto"/>
              </w:rPr>
            </w:pPr>
            <w:r>
              <w:rPr>
                <w:rFonts w:ascii="Arial" w:cs="Arial" w:eastAsia="Arial" w:hAnsi="Arial"/>
                <w:sz w:val="16"/>
                <w:szCs w:val="16"/>
                <w:color w:val="auto"/>
                <w:w w:val="97"/>
              </w:rPr>
              <w:t>shares if the underwriters exercise in full their option to</w:t>
            </w:r>
          </w:p>
        </w:tc>
      </w:tr>
      <w:tr>
        <w:trPr>
          <w:trHeight w:val="200"/>
        </w:trPr>
        <w:tc>
          <w:tcPr>
            <w:tcW w:w="3500" w:type="dxa"/>
            <w:vAlign w:val="bottom"/>
          </w:tcPr>
          <w:p>
            <w:pPr>
              <w:ind w:left="60"/>
              <w:spacing w:after="0"/>
              <w:rPr>
                <w:sz w:val="20"/>
                <w:szCs w:val="20"/>
                <w:color w:val="auto"/>
              </w:rPr>
            </w:pPr>
            <w:r>
              <w:rPr>
                <w:rFonts w:ascii="Arial" w:cs="Arial" w:eastAsia="Arial" w:hAnsi="Arial"/>
                <w:sz w:val="16"/>
                <w:szCs w:val="16"/>
                <w:color w:val="auto"/>
              </w:rPr>
              <w:t>offering</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purchase additional shares).</w:t>
            </w:r>
          </w:p>
        </w:tc>
      </w:tr>
      <w:tr>
        <w:trPr>
          <w:trHeight w:val="260"/>
        </w:trPr>
        <w:tc>
          <w:tcPr>
            <w:tcW w:w="3500" w:type="dxa"/>
            <w:vAlign w:val="bottom"/>
          </w:tcPr>
          <w:p>
            <w:pPr>
              <w:spacing w:after="0"/>
              <w:rPr>
                <w:sz w:val="20"/>
                <w:szCs w:val="20"/>
                <w:color w:val="auto"/>
              </w:rPr>
            </w:pPr>
            <w:r>
              <w:rPr>
                <w:rFonts w:ascii="Arial" w:cs="Arial" w:eastAsia="Arial" w:hAnsi="Arial"/>
                <w:sz w:val="16"/>
                <w:szCs w:val="16"/>
                <w:color w:val="auto"/>
              </w:rPr>
              <w:t>Use of proceeds</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We estimate that the net proceeds from this offering will be approximately $</w:t>
            </w:r>
          </w:p>
        </w:tc>
      </w:tr>
      <w:tr>
        <w:trPr>
          <w:trHeight w:val="189"/>
        </w:trPr>
        <w:tc>
          <w:tcPr>
            <w:tcW w:w="350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color w:val="auto"/>
              </w:rPr>
              <w:t>million, or $</w:t>
            </w:r>
          </w:p>
        </w:tc>
        <w:tc>
          <w:tcPr>
            <w:tcW w:w="4480" w:type="dxa"/>
            <w:vAlign w:val="bottom"/>
          </w:tcPr>
          <w:p>
            <w:pPr>
              <w:ind w:left="20"/>
              <w:spacing w:after="0"/>
              <w:rPr>
                <w:sz w:val="20"/>
                <w:szCs w:val="20"/>
                <w:color w:val="auto"/>
              </w:rPr>
            </w:pPr>
            <w:r>
              <w:rPr>
                <w:rFonts w:ascii="Arial" w:cs="Arial" w:eastAsia="Arial" w:hAnsi="Arial"/>
                <w:sz w:val="16"/>
                <w:szCs w:val="16"/>
                <w:color w:val="auto"/>
                <w:w w:val="97"/>
              </w:rPr>
              <w:t>million if the underwriters exercise in full their option to purchase</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additional shares of common stock, assuming an initial public offering price of $</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6"/>
              </w:rPr>
              <w:t>per share, which is the midpoint of the price range set forth on the cover page of this</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88"/>
              </w:rPr>
              <w:t>prospectus, and after deducting the underwriting discounts and commissions and estimated</w:t>
            </w:r>
          </w:p>
        </w:tc>
      </w:tr>
      <w:tr>
        <w:trPr>
          <w:trHeight w:val="200"/>
        </w:trPr>
        <w:tc>
          <w:tcPr>
            <w:tcW w:w="3500" w:type="dxa"/>
            <w:vAlign w:val="bottom"/>
          </w:tcPr>
          <w:p>
            <w:pPr>
              <w:spacing w:after="0"/>
              <w:rPr>
                <w:sz w:val="17"/>
                <w:szCs w:val="17"/>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offering expenses payable by us.</w:t>
            </w:r>
          </w:p>
        </w:tc>
      </w:tr>
      <w:tr>
        <w:trPr>
          <w:trHeight w:val="248"/>
        </w:trPr>
        <w:tc>
          <w:tcPr>
            <w:tcW w:w="3500" w:type="dxa"/>
            <w:vAlign w:val="bottom"/>
          </w:tcPr>
          <w:p>
            <w:pPr>
              <w:spacing w:after="0"/>
              <w:rPr>
                <w:sz w:val="21"/>
                <w:szCs w:val="21"/>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2"/>
              </w:rPr>
              <w:t>We currently intend to use the net proceeds from this offering, together with our existing</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7"/>
              </w:rPr>
              <w:t>cash and cash equivalents, to fund our ongoing and planned preclinical and clinical</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6"/>
              </w:rPr>
              <w:t>development of our most advanced product candidates in our MYBPC3 and HDAC6i</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89"/>
              </w:rPr>
              <w:t>programs, the continued development of our other programs, including our PKP2, DWORF</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6"/>
              </w:rPr>
              <w:t>and Reprogramming programs, the expansion of our manufacturing capabilities and</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9"/>
              </w:rPr>
              <w:t>facilities and the remainder, if any, for working capital and other general corporate</w:t>
            </w:r>
          </w:p>
        </w:tc>
      </w:tr>
      <w:tr>
        <w:trPr>
          <w:trHeight w:val="200"/>
        </w:trPr>
        <w:tc>
          <w:tcPr>
            <w:tcW w:w="3500" w:type="dxa"/>
            <w:vAlign w:val="bottom"/>
          </w:tcPr>
          <w:p>
            <w:pPr>
              <w:spacing w:after="0"/>
              <w:rPr>
                <w:sz w:val="17"/>
                <w:szCs w:val="17"/>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purposes. See the section titled “Use of Proceeds.”</w:t>
            </w:r>
          </w:p>
        </w:tc>
      </w:tr>
      <w:tr>
        <w:trPr>
          <w:trHeight w:val="248"/>
        </w:trPr>
        <w:tc>
          <w:tcPr>
            <w:tcW w:w="3500" w:type="dxa"/>
            <w:vAlign w:val="bottom"/>
          </w:tcPr>
          <w:p>
            <w:pPr>
              <w:spacing w:after="0"/>
              <w:rPr>
                <w:sz w:val="20"/>
                <w:szCs w:val="20"/>
                <w:color w:val="auto"/>
              </w:rPr>
            </w:pPr>
            <w:r>
              <w:rPr>
                <w:rFonts w:ascii="Arial" w:cs="Arial" w:eastAsia="Arial" w:hAnsi="Arial"/>
                <w:sz w:val="16"/>
                <w:szCs w:val="16"/>
                <w:color w:val="auto"/>
              </w:rPr>
              <w:t>Risk factors</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3"/>
              </w:rPr>
              <w:t>See the section titled “Risk Factors” for a discussion of factors that you should carefully</w:t>
            </w:r>
          </w:p>
        </w:tc>
      </w:tr>
      <w:tr>
        <w:trPr>
          <w:trHeight w:val="200"/>
        </w:trPr>
        <w:tc>
          <w:tcPr>
            <w:tcW w:w="3500" w:type="dxa"/>
            <w:vAlign w:val="bottom"/>
          </w:tcPr>
          <w:p>
            <w:pPr>
              <w:spacing w:after="0"/>
              <w:rPr>
                <w:sz w:val="17"/>
                <w:szCs w:val="17"/>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consider before deciding to invest in shares of our common stock.</w:t>
            </w:r>
          </w:p>
        </w:tc>
      </w:tr>
      <w:tr>
        <w:trPr>
          <w:trHeight w:val="259"/>
        </w:trPr>
        <w:tc>
          <w:tcPr>
            <w:tcW w:w="3500" w:type="dxa"/>
            <w:vAlign w:val="bottom"/>
          </w:tcPr>
          <w:p>
            <w:pPr>
              <w:spacing w:after="0"/>
              <w:rPr>
                <w:sz w:val="20"/>
                <w:szCs w:val="20"/>
                <w:color w:val="auto"/>
              </w:rPr>
            </w:pPr>
            <w:r>
              <w:rPr>
                <w:rFonts w:ascii="Arial" w:cs="Arial" w:eastAsia="Arial" w:hAnsi="Arial"/>
                <w:sz w:val="16"/>
                <w:szCs w:val="16"/>
                <w:color w:val="auto"/>
              </w:rPr>
              <w:t>Proposed Nasdaq Stock Market trading symbol</w:t>
            </w:r>
          </w:p>
        </w:tc>
        <w:tc>
          <w:tcPr>
            <w:tcW w:w="1300" w:type="dxa"/>
            <w:vAlign w:val="bottom"/>
            <w:gridSpan w:val="2"/>
          </w:tcPr>
          <w:p>
            <w:pPr>
              <w:ind w:left="20"/>
              <w:spacing w:after="0"/>
              <w:rPr>
                <w:sz w:val="20"/>
                <w:szCs w:val="20"/>
                <w:color w:val="auto"/>
              </w:rPr>
            </w:pPr>
            <w:r>
              <w:rPr>
                <w:rFonts w:ascii="Arial" w:cs="Arial" w:eastAsia="Arial" w:hAnsi="Arial"/>
                <w:sz w:val="16"/>
                <w:szCs w:val="16"/>
                <w:color w:val="auto"/>
              </w:rPr>
              <w:t>“TNYA”</w:t>
            </w:r>
          </w:p>
        </w:tc>
        <w:tc>
          <w:tcPr>
            <w:tcW w:w="4480" w:type="dxa"/>
            <w:vAlign w:val="bottom"/>
          </w:tcPr>
          <w:p>
            <w:pPr>
              <w:spacing w:after="0"/>
              <w:rPr>
                <w:sz w:val="22"/>
                <w:szCs w:val="22"/>
                <w:color w:val="auto"/>
              </w:rPr>
            </w:pPr>
          </w:p>
        </w:tc>
      </w:tr>
    </w:tbl>
    <w:p>
      <w:pPr>
        <w:spacing w:after="0" w:line="189" w:lineRule="exact"/>
        <w:rPr>
          <w:sz w:val="20"/>
          <w:szCs w:val="20"/>
          <w:color w:val="auto"/>
        </w:rPr>
      </w:pPr>
    </w:p>
    <w:p>
      <w:pPr>
        <w:ind w:left="980" w:right="540" w:firstLine="372"/>
        <w:spacing w:after="0" w:line="383" w:lineRule="auto"/>
        <w:rPr>
          <w:sz w:val="20"/>
          <w:szCs w:val="20"/>
          <w:color w:val="auto"/>
        </w:rPr>
      </w:pPr>
      <w:r>
        <w:rPr>
          <w:rFonts w:ascii="Arial" w:cs="Arial" w:eastAsia="Arial" w:hAnsi="Arial"/>
          <w:sz w:val="13"/>
          <w:szCs w:val="13"/>
          <w:color w:val="auto"/>
        </w:rPr>
        <w:t>The number of shares of our common stock to be outstanding after this offering is based on 163,948,679 shares of our common stock outstanding as of March 31, 2021 (including our convertible preferred stock on an as-converted basis), and excludes:</w:t>
      </w:r>
    </w:p>
    <w:p>
      <w:pPr>
        <w:spacing w:after="0" w:line="6" w:lineRule="exact"/>
        <w:rPr>
          <w:sz w:val="20"/>
          <w:szCs w:val="20"/>
          <w:color w:val="auto"/>
        </w:rPr>
      </w:pPr>
    </w:p>
    <w:p>
      <w:pPr>
        <w:ind w:left="1780" w:right="340" w:hanging="441"/>
        <w:spacing w:after="0" w:line="266" w:lineRule="auto"/>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10,368,032 shares of common stock issuable upon exercise of options outstanding as of March 31, 2021 with a weighted-average exercise price of $0.51 per share;</w:t>
      </w:r>
    </w:p>
    <w:p>
      <w:pPr>
        <w:spacing w:after="0" w:line="75" w:lineRule="exact"/>
        <w:rPr>
          <w:rFonts w:ascii="Arial" w:cs="Arial" w:eastAsia="Arial" w:hAnsi="Arial"/>
          <w:sz w:val="16"/>
          <w:szCs w:val="16"/>
          <w:color w:val="auto"/>
        </w:rPr>
      </w:pPr>
    </w:p>
    <w:p>
      <w:pPr>
        <w:ind w:left="1780" w:right="100" w:hanging="441"/>
        <w:spacing w:after="0" w:line="266" w:lineRule="auto"/>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5,012,900 shares of common stock issuable upon exercise of options granted after March 31, 2021, with a weighted-average exercise price of $1.67 per share;</w:t>
      </w:r>
    </w:p>
    <w:p>
      <w:pPr>
        <w:spacing w:after="0" w:line="75" w:lineRule="exact"/>
        <w:rPr>
          <w:rFonts w:ascii="Arial" w:cs="Arial" w:eastAsia="Arial" w:hAnsi="Arial"/>
          <w:sz w:val="16"/>
          <w:szCs w:val="16"/>
          <w:color w:val="auto"/>
        </w:rPr>
      </w:pPr>
    </w:p>
    <w:p>
      <w:pPr>
        <w:ind w:left="1780" w:right="400" w:hanging="441"/>
        <w:spacing w:after="0" w:line="266" w:lineRule="auto"/>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2,275,357 shares of common stock reserved for future issuance under our Amended and Restated 2016 Equity Incentive Plan, as amended, as of March 31, 2021;</w:t>
      </w:r>
    </w:p>
    <w:p>
      <w:pPr>
        <w:spacing w:after="0" w:line="75" w:lineRule="exact"/>
        <w:rPr>
          <w:rFonts w:ascii="Arial" w:cs="Arial" w:eastAsia="Arial" w:hAnsi="Arial"/>
          <w:sz w:val="16"/>
          <w:szCs w:val="16"/>
          <w:color w:val="auto"/>
        </w:rPr>
      </w:pPr>
    </w:p>
    <w:p>
      <w:pPr>
        <w:ind w:left="1780" w:hanging="441"/>
        <w:spacing w:after="0" w:line="343" w:lineRule="auto"/>
        <w:tabs>
          <w:tab w:leader="none" w:pos="2409" w:val="left"/>
        </w:tabs>
        <w:numPr>
          <w:ilvl w:val="0"/>
          <w:numId w:val="14"/>
        </w:numPr>
        <w:rPr>
          <w:rFonts w:ascii="Arial" w:cs="Arial" w:eastAsia="Arial" w:hAnsi="Arial"/>
          <w:sz w:val="13"/>
          <w:szCs w:val="13"/>
          <w:color w:val="auto"/>
        </w:rPr>
      </w:pPr>
      <w:r>
        <w:rPr>
          <w:rFonts w:ascii="Arial" w:cs="Arial" w:eastAsia="Arial" w:hAnsi="Arial"/>
          <w:sz w:val="13"/>
          <w:szCs w:val="13"/>
          <w:color w:val="auto"/>
        </w:rPr>
        <w:t>shares of common stock reserved for future issuance under our 2021 Equity Incentive Plan (2021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60"/>
          </w:cols>
          <w:pgMar w:left="320" w:top="418" w:right="131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1958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19589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right="99" w:hanging="441"/>
        <w:spacing w:after="0" w:line="253" w:lineRule="auto"/>
        <w:tabs>
          <w:tab w:leader="none" w:pos="24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2021 Employee Stock Purchase Plan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Unless otherwise indicated, this prospectus reflects and assumes the following:</w:t>
      </w:r>
    </w:p>
    <w:p>
      <w:pPr>
        <w:spacing w:after="0" w:line="111" w:lineRule="exact"/>
        <w:rPr>
          <w:sz w:val="20"/>
          <w:szCs w:val="20"/>
          <w:color w:val="auto"/>
        </w:rPr>
      </w:pPr>
    </w:p>
    <w:p>
      <w:pPr>
        <w:ind w:left="1780" w:hanging="441"/>
        <w:spacing w:after="0"/>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exercise of the outstanding options referred to above;</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common stock from us in this offering;</w:t>
      </w:r>
    </w:p>
    <w:p>
      <w:pPr>
        <w:spacing w:after="0" w:line="122" w:lineRule="exact"/>
        <w:rPr>
          <w:rFonts w:ascii="Arial" w:cs="Arial" w:eastAsia="Arial" w:hAnsi="Arial"/>
          <w:sz w:val="15"/>
          <w:szCs w:val="15"/>
          <w:color w:val="auto"/>
        </w:rPr>
      </w:pPr>
    </w:p>
    <w:p>
      <w:pPr>
        <w:ind w:left="1780" w:right="379" w:hanging="441"/>
        <w:spacing w:after="0" w:line="300"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automatic conversion of all outstanding shares of our convertible preferred stock as of March 31, 2021 into an aggregate of 156,613,818 shares of our common stock immediately prior to the completion of this offering; and</w:t>
      </w:r>
    </w:p>
    <w:p>
      <w:pPr>
        <w:spacing w:after="0" w:line="52" w:lineRule="exact"/>
        <w:rPr>
          <w:rFonts w:ascii="Arial" w:cs="Arial" w:eastAsia="Arial" w:hAnsi="Arial"/>
          <w:sz w:val="15"/>
          <w:szCs w:val="15"/>
          <w:color w:val="auto"/>
        </w:rPr>
      </w:pPr>
    </w:p>
    <w:p>
      <w:pPr>
        <w:ind w:left="1780" w:right="219" w:hanging="441"/>
        <w:spacing w:after="0" w:line="266" w:lineRule="auto"/>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adoption of our amended and restated bylaws, each of which will occur immediately prior to the completion of this offering.</w:t>
      </w:r>
    </w:p>
    <w:p>
      <w:pPr>
        <w:spacing w:after="0" w:line="3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139"/>
          </w:cols>
          <w:pgMar w:left="320" w:top="418" w:right="1440"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14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1485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SUMMARY FINANCIAL DATA</w:t>
      </w:r>
    </w:p>
    <w:p>
      <w:pPr>
        <w:spacing w:after="0" w:line="197" w:lineRule="exact"/>
        <w:rPr>
          <w:sz w:val="20"/>
          <w:szCs w:val="20"/>
          <w:color w:val="auto"/>
        </w:rPr>
      </w:pPr>
    </w:p>
    <w:p>
      <w:pPr>
        <w:ind w:left="980" w:right="300" w:firstLine="372"/>
        <w:spacing w:after="0" w:line="268" w:lineRule="auto"/>
        <w:rPr>
          <w:sz w:val="20"/>
          <w:szCs w:val="20"/>
          <w:color w:val="auto"/>
        </w:rPr>
      </w:pPr>
      <w:r>
        <w:rPr>
          <w:rFonts w:ascii="Arial" w:cs="Arial" w:eastAsia="Arial" w:hAnsi="Arial"/>
          <w:sz w:val="15"/>
          <w:szCs w:val="15"/>
          <w:color w:val="auto"/>
        </w:rPr>
        <w:t>The following tables set forth our summary financial data for the periods and as of the dates indicated. We have derived the summary statements of operations data for the years ended December 31, 2019 and 2020 from our audited financial statements included elsewhere in this prospectus. The summary statements of operations data for the three months ended March 31, 2020 and 2021 and the summary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61" w:lineRule="exact"/>
        <w:rPr>
          <w:sz w:val="20"/>
          <w:szCs w:val="20"/>
          <w:color w:val="auto"/>
        </w:rPr>
      </w:pPr>
    </w:p>
    <w:p>
      <w:pPr>
        <w:ind w:left="980" w:right="320" w:firstLine="372"/>
        <w:spacing w:after="0" w:line="323" w:lineRule="auto"/>
        <w:rPr>
          <w:sz w:val="20"/>
          <w:szCs w:val="20"/>
          <w:color w:val="auto"/>
        </w:rPr>
      </w:pPr>
      <w:r>
        <w:rPr>
          <w:rFonts w:ascii="Arial" w:cs="Arial" w:eastAsia="Arial" w:hAnsi="Arial"/>
          <w:sz w:val="13"/>
          <w:szCs w:val="13"/>
          <w:color w:val="auto"/>
        </w:rPr>
        <w:t>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may be expected in the future, and our results for the three months ended March 31, 2021 are not necessarily indicative of results to be expected for the full year.</w:t>
      </w:r>
    </w:p>
    <w:p>
      <w:pPr>
        <w:spacing w:after="0" w:line="12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ind w:right="7"/>
              <w:spacing w:after="0"/>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tcPr>
          <w:p>
            <w:pPr>
              <w:ind w:left="26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5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44"/>
              <w:spacing w:after="0" w:line="12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40"/>
              <w:spacing w:after="0" w:line="122"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4"/>
              <w:spacing w:after="0" w:line="122"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140"/>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gridSpan w:val="7"/>
          </w:tcPr>
          <w:p>
            <w:pPr>
              <w:jc w:val="right"/>
              <w:ind w:right="1"/>
              <w:spacing w:after="0" w:line="122" w:lineRule="exact"/>
              <w:rPr>
                <w:sz w:val="20"/>
                <w:szCs w:val="20"/>
                <w:color w:val="auto"/>
              </w:rPr>
            </w:pPr>
            <w:r>
              <w:rPr>
                <w:rFonts w:ascii="Arial" w:cs="Arial" w:eastAsia="Arial" w:hAnsi="Arial"/>
                <w:sz w:val="13"/>
                <w:szCs w:val="13"/>
                <w:b w:val="1"/>
                <w:bCs w:val="1"/>
                <w:color w:val="auto"/>
                <w:w w:val="85"/>
              </w:rPr>
              <w:t>(in thousands, except share and per share data)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23,148</w:t>
            </w:r>
          </w:p>
        </w:tc>
        <w:tc>
          <w:tcPr>
            <w:tcW w:w="54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31,099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7,297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9,590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4,564</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6"/>
                <w:szCs w:val="16"/>
                <w:color w:val="auto"/>
              </w:rPr>
              <w:t>7,813</w:t>
            </w:r>
          </w:p>
        </w:tc>
        <w:tc>
          <w:tcPr>
            <w:tcW w:w="100" w:type="dxa"/>
            <w:vAlign w:val="bottom"/>
          </w:tcPr>
          <w:p>
            <w:pPr>
              <w:spacing w:after="0"/>
              <w:rPr>
                <w:sz w:val="16"/>
                <w:szCs w:val="16"/>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3,515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27,712</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38,912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9,266</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13,105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Loss from operations</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3"/>
              </w:rPr>
              <w:t>(38,912)</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(9,266)</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453</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6"/>
                <w:szCs w:val="16"/>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1,017</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6"/>
                <w:szCs w:val="16"/>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other income (expense), net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1,481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Net loss before income tax expense</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3"/>
              </w:rPr>
              <w:t>(38,395)</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(9,051)</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4"/>
              </w:rPr>
              <w:t>(38,395</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(9,051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81"/>
              </w:rPr>
              <w:t>(13,098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0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(5.78)</w:t>
            </w:r>
          </w:p>
        </w:tc>
        <w:tc>
          <w:tcPr>
            <w:tcW w:w="54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81"/>
              <w:spacing w:after="0" w:line="176" w:lineRule="exact"/>
              <w:rPr>
                <w:sz w:val="20"/>
                <w:szCs w:val="20"/>
                <w:color w:val="auto"/>
              </w:rPr>
            </w:pPr>
            <w:r>
              <w:rPr>
                <w:rFonts w:ascii="Arial" w:cs="Arial" w:eastAsia="Arial" w:hAnsi="Arial"/>
                <w:sz w:val="16"/>
                <w:szCs w:val="16"/>
                <w:color w:val="auto"/>
              </w:rPr>
              <w:t>(6.58)</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81"/>
              <w:spacing w:after="0" w:line="176" w:lineRule="exact"/>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6"/>
                <w:szCs w:val="16"/>
                <w:color w:val="auto"/>
                <w:w w:val="95"/>
              </w:rPr>
              <w:t>Weighted-average shares used in computing net loss per share,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5040" w:type="dxa"/>
            <w:vAlign w:val="bottom"/>
          </w:tcPr>
          <w:p>
            <w:pPr>
              <w:ind w:left="16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w w:val="87"/>
              </w:rPr>
              <w:t>4,534,692</w:t>
            </w:r>
          </w:p>
        </w:tc>
        <w:tc>
          <w:tcPr>
            <w:tcW w:w="1480" w:type="dxa"/>
            <w:vAlign w:val="bottom"/>
            <w:gridSpan w:val="4"/>
          </w:tcPr>
          <w:p>
            <w:pPr>
              <w:jc w:val="right"/>
              <w:ind w:right="341"/>
              <w:spacing w:after="0"/>
              <w:rPr>
                <w:sz w:val="20"/>
                <w:szCs w:val="20"/>
                <w:color w:val="auto"/>
              </w:rPr>
            </w:pPr>
            <w:r>
              <w:rPr>
                <w:rFonts w:ascii="Arial" w:cs="Arial" w:eastAsia="Arial" w:hAnsi="Arial"/>
                <w:sz w:val="16"/>
                <w:szCs w:val="16"/>
                <w:color w:val="auto"/>
              </w:rPr>
              <w:t>5,832,594</w:t>
            </w:r>
          </w:p>
        </w:tc>
        <w:tc>
          <w:tcPr>
            <w:tcW w:w="100" w:type="dxa"/>
            <w:vAlign w:val="bottom"/>
          </w:tcPr>
          <w:p>
            <w:pPr>
              <w:spacing w:after="0"/>
              <w:rPr>
                <w:sz w:val="17"/>
                <w:szCs w:val="17"/>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w w:val="87"/>
              </w:rPr>
              <w:t>5,351,978</w:t>
            </w:r>
          </w:p>
        </w:tc>
        <w:tc>
          <w:tcPr>
            <w:tcW w:w="100" w:type="dxa"/>
            <w:vAlign w:val="bottom"/>
          </w:tcPr>
          <w:p>
            <w:pPr>
              <w:spacing w:after="0"/>
              <w:rPr>
                <w:sz w:val="17"/>
                <w:szCs w:val="17"/>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w w:val="87"/>
              </w:rPr>
              <w:t>6,586,917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0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Pro forma net loss per share, basic and diluted</w:t>
            </w: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7"/>
              <w:spacing w:after="0" w:line="177"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6"/>
                <w:szCs w:val="16"/>
                <w:color w:val="auto"/>
                <w:w w:val="95"/>
              </w:rPr>
              <w:t>Weighted-average shares used in computing pro forma net loss per share,</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5040" w:type="dxa"/>
            <w:vAlign w:val="bottom"/>
          </w:tcPr>
          <w:p>
            <w:pPr>
              <w:ind w:left="160"/>
              <w:spacing w:after="0"/>
              <w:rPr>
                <w:sz w:val="20"/>
                <w:szCs w:val="20"/>
                <w:color w:val="auto"/>
              </w:rPr>
            </w:pPr>
            <w:r>
              <w:rPr>
                <w:rFonts w:ascii="Arial" w:cs="Arial" w:eastAsia="Arial" w:hAnsi="Arial"/>
                <w:sz w:val="16"/>
                <w:szCs w:val="16"/>
                <w:color w:val="auto"/>
              </w:rPr>
              <w:t>basic and diluted</w:t>
            </w: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5200" w:type="dxa"/>
            <w:vAlign w:val="bottom"/>
            <w:gridSpan w:val="2"/>
          </w:tcPr>
          <w:p>
            <w:pPr>
              <w:jc w:val="right"/>
              <w:ind w:right="241"/>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4773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477393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340" w:right="20" w:hanging="367"/>
        <w:spacing w:after="0" w:line="253" w:lineRule="auto"/>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unaudited pro forma net loss per share for the year ended December 31, 2020 and the three months ended March 31, 2021 was computed using the weighted-average number of shares of common stock outstanding, including the pro forma effect of the conversation of all outstanding shares of our convertible preferred stock into shares of common stock, as if such conversion had occurred at the beginning of the period, or their issuance dates, if later.</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150"/>
        </w:trPr>
        <w:tc>
          <w:tcPr>
            <w:tcW w:w="63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w w:val="93"/>
              </w:rPr>
              <w:t>As of March 31, 2021</w:t>
            </w: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2"/>
        </w:trPr>
        <w:tc>
          <w:tcPr>
            <w:tcW w:w="6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0" w:type="dxa"/>
            <w:vAlign w:val="bottom"/>
          </w:tcPr>
          <w:p>
            <w:pPr>
              <w:ind w:left="80"/>
              <w:spacing w:after="0" w:line="102" w:lineRule="exact"/>
              <w:rPr>
                <w:sz w:val="20"/>
                <w:szCs w:val="20"/>
                <w:color w:val="auto"/>
              </w:rPr>
            </w:pPr>
            <w:r>
              <w:rPr>
                <w:rFonts w:ascii="Arial" w:cs="Arial" w:eastAsia="Arial" w:hAnsi="Arial"/>
                <w:sz w:val="10"/>
                <w:szCs w:val="10"/>
                <w:b w:val="1"/>
                <w:bCs w:val="1"/>
                <w:color w:val="auto"/>
              </w:rPr>
              <w:t>Pro Forma as</w:t>
            </w:r>
          </w:p>
        </w:tc>
        <w:tc>
          <w:tcPr>
            <w:tcW w:w="40" w:type="dxa"/>
            <w:vAlign w:val="bottom"/>
          </w:tcPr>
          <w:p>
            <w:pPr>
              <w:spacing w:after="0"/>
              <w:rPr>
                <w:sz w:val="8"/>
                <w:szCs w:val="8"/>
                <w:color w:val="auto"/>
              </w:rPr>
            </w:pPr>
          </w:p>
        </w:tc>
      </w:tr>
      <w:tr>
        <w:trPr>
          <w:trHeight w:val="150"/>
        </w:trPr>
        <w:tc>
          <w:tcPr>
            <w:tcW w:w="6340" w:type="dxa"/>
            <w:vAlign w:val="bottom"/>
          </w:tcPr>
          <w:p>
            <w:pPr>
              <w:spacing w:after="0"/>
              <w:rPr>
                <w:sz w:val="13"/>
                <w:szCs w:val="13"/>
                <w:color w:val="auto"/>
              </w:rPr>
            </w:pPr>
          </w:p>
        </w:tc>
        <w:tc>
          <w:tcPr>
            <w:tcW w:w="760" w:type="dxa"/>
            <w:vAlign w:val="bottom"/>
          </w:tcPr>
          <w:p>
            <w:pPr>
              <w:jc w:val="right"/>
              <w:ind w:right="203"/>
              <w:spacing w:after="0"/>
              <w:rPr>
                <w:sz w:val="20"/>
                <w:szCs w:val="20"/>
                <w:color w:val="auto"/>
              </w:rPr>
            </w:pPr>
            <w:r>
              <w:rPr>
                <w:rFonts w:ascii="Arial" w:cs="Arial" w:eastAsia="Arial" w:hAnsi="Arial"/>
                <w:sz w:val="13"/>
                <w:szCs w:val="13"/>
                <w:b w:val="1"/>
                <w:bCs w:val="1"/>
                <w:color w:val="auto"/>
              </w:rPr>
              <w:t>Actual</w:t>
            </w:r>
          </w:p>
        </w:tc>
        <w:tc>
          <w:tcPr>
            <w:tcW w:w="1340" w:type="dxa"/>
            <w:vAlign w:val="bottom"/>
          </w:tcPr>
          <w:p>
            <w:pPr>
              <w:ind w:left="300"/>
              <w:spacing w:after="0"/>
              <w:rPr>
                <w:sz w:val="20"/>
                <w:szCs w:val="20"/>
                <w:color w:val="auto"/>
              </w:rPr>
            </w:pPr>
            <w:r>
              <w:rPr>
                <w:rFonts w:ascii="Arial" w:cs="Arial" w:eastAsia="Arial" w:hAnsi="Arial"/>
                <w:sz w:val="13"/>
                <w:szCs w:val="13"/>
                <w:b w:val="1"/>
                <w:bCs w:val="1"/>
                <w:color w:val="auto"/>
              </w:rPr>
              <w:t>Pro Forma</w:t>
            </w:r>
            <w:r>
              <w:rPr>
                <w:rFonts w:ascii="Arial" w:cs="Arial" w:eastAsia="Arial" w:hAnsi="Arial"/>
                <w:sz w:val="10"/>
                <w:szCs w:val="10"/>
                <w:b w:val="1"/>
                <w:bCs w:val="1"/>
                <w:color w:val="auto"/>
              </w:rPr>
              <w:t>(1)</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w w:val="94"/>
              </w:rPr>
              <w:t>adjusted</w:t>
            </w:r>
            <w:r>
              <w:rPr>
                <w:rFonts w:ascii="Arial" w:cs="Arial" w:eastAsia="Arial" w:hAnsi="Arial"/>
                <w:sz w:val="10"/>
                <w:szCs w:val="10"/>
                <w:b w:val="1"/>
                <w:bCs w:val="1"/>
                <w:color w:val="auto"/>
                <w:w w:val="94"/>
              </w:rPr>
              <w:t>(2)(3)</w:t>
            </w:r>
          </w:p>
        </w:tc>
      </w:tr>
      <w:tr>
        <w:trPr>
          <w:trHeight w:val="121"/>
        </w:trPr>
        <w:tc>
          <w:tcPr>
            <w:tcW w:w="63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ind w:left="300"/>
              <w:spacing w:after="0" w:line="122" w:lineRule="exact"/>
              <w:rPr>
                <w:sz w:val="20"/>
                <w:szCs w:val="20"/>
                <w:color w:val="auto"/>
              </w:rPr>
            </w:pPr>
            <w:r>
              <w:rPr>
                <w:rFonts w:ascii="Arial" w:cs="Arial" w:eastAsia="Arial" w:hAnsi="Arial"/>
                <w:sz w:val="13"/>
                <w:szCs w:val="13"/>
                <w:b w:val="1"/>
                <w:bCs w:val="1"/>
                <w:color w:val="auto"/>
              </w:rPr>
              <w:t>(in thousands)</w:t>
            </w: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7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tcPr>
          <w:p>
            <w:pPr>
              <w:jc w:val="right"/>
              <w:ind w:right="83"/>
              <w:spacing w:after="0"/>
              <w:rPr>
                <w:sz w:val="20"/>
                <w:szCs w:val="20"/>
                <w:color w:val="auto"/>
              </w:rPr>
            </w:pPr>
            <w:r>
              <w:rPr>
                <w:rFonts w:ascii="Arial" w:cs="Arial" w:eastAsia="Arial" w:hAnsi="Arial"/>
                <w:sz w:val="16"/>
                <w:szCs w:val="16"/>
                <w:color w:val="auto"/>
                <w:w w:val="86"/>
              </w:rPr>
              <w:t>$128,439</w:t>
            </w:r>
          </w:p>
        </w:tc>
        <w:tc>
          <w:tcPr>
            <w:tcW w:w="1340" w:type="dxa"/>
            <w:vAlign w:val="bottom"/>
          </w:tcPr>
          <w:p>
            <w:pPr>
              <w:ind w:left="300"/>
              <w:spacing w:after="0"/>
              <w:rPr>
                <w:sz w:val="20"/>
                <w:szCs w:val="20"/>
                <w:color w:val="auto"/>
              </w:rPr>
            </w:pPr>
            <w:r>
              <w:rPr>
                <w:rFonts w:ascii="Arial" w:cs="Arial" w:eastAsia="Arial" w:hAnsi="Arial"/>
                <w:sz w:val="16"/>
                <w:szCs w:val="16"/>
                <w:color w:val="auto"/>
              </w:rPr>
              <w:t>$</w:t>
            </w:r>
          </w:p>
        </w:tc>
        <w:tc>
          <w:tcPr>
            <w:tcW w:w="800" w:type="dxa"/>
            <w:vAlign w:val="bottom"/>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r>
              <w:rPr>
                <w:rFonts w:ascii="Arial" w:cs="Arial" w:eastAsia="Arial" w:hAnsi="Arial"/>
                <w:sz w:val="13"/>
                <w:szCs w:val="13"/>
                <w:color w:val="auto"/>
              </w:rPr>
              <w:t>(4)</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123,840</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Total assets</w:t>
            </w: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159,757</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240,735</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2,053</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(95,910)</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0"/>
        </w:trPr>
        <w:tc>
          <w:tcPr>
            <w:tcW w:w="6340" w:type="dxa"/>
            <w:vAlign w:val="bottom"/>
          </w:tcPr>
          <w:p>
            <w:pPr>
              <w:spacing w:after="0"/>
              <w:rPr>
                <w:sz w:val="20"/>
                <w:szCs w:val="20"/>
                <w:color w:val="auto"/>
              </w:rPr>
            </w:pPr>
            <w:r>
              <w:rPr>
                <w:rFonts w:ascii="Arial" w:cs="Arial" w:eastAsia="Arial" w:hAnsi="Arial"/>
                <w:sz w:val="16"/>
                <w:szCs w:val="16"/>
                <w:color w:val="auto"/>
              </w:rPr>
              <w:t>Total stockholders’ (deficit) equity</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(93,943)</w:t>
            </w: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29" w:lineRule="exact"/>
        <w:rPr>
          <w:sz w:val="20"/>
          <w:szCs w:val="20"/>
          <w:color w:val="auto"/>
        </w:rPr>
      </w:pPr>
    </w:p>
    <w:p>
      <w:pPr>
        <w:ind w:left="1340" w:right="40" w:hanging="367"/>
        <w:spacing w:after="0" w:line="307" w:lineRule="auto"/>
        <w:tabs>
          <w:tab w:leader="none" w:pos="1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pro forma balance sheet data gives effect to: (i) the automatic conversion of all outstanding shares of our convertible preferred stock into an aggregate of 156,613,818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w:t>
      </w:r>
    </w:p>
    <w:p>
      <w:pPr>
        <w:spacing w:after="0" w:line="1" w:lineRule="exact"/>
        <w:rPr>
          <w:rFonts w:ascii="Arial" w:cs="Arial" w:eastAsia="Arial" w:hAnsi="Arial"/>
          <w:sz w:val="13"/>
          <w:szCs w:val="13"/>
          <w:color w:val="auto"/>
        </w:rPr>
      </w:pPr>
    </w:p>
    <w:p>
      <w:pPr>
        <w:ind w:left="1340" w:hanging="367"/>
        <w:spacing w:after="0"/>
        <w:tabs>
          <w:tab w:leader="none" w:pos="1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pro forma as adjusted balance sheet data gives effect to: (i) the pro forma adjustments set forth in footnote (1) above; and (ii) the</w:t>
      </w:r>
    </w:p>
    <w:p>
      <w:pPr>
        <w:spacing w:after="0" w:line="16" w:lineRule="exact"/>
        <w:rPr>
          <w:sz w:val="20"/>
          <w:szCs w:val="20"/>
          <w:color w:val="auto"/>
        </w:rPr>
      </w:pPr>
    </w:p>
    <w:p>
      <w:pPr>
        <w:ind w:left="1340" w:right="40"/>
        <w:spacing w:after="0" w:line="246" w:lineRule="auto"/>
        <w:rPr>
          <w:sz w:val="20"/>
          <w:szCs w:val="20"/>
          <w:color w:val="auto"/>
        </w:rPr>
      </w:pPr>
      <w:r>
        <w:rPr>
          <w:rFonts w:ascii="Arial" w:cs="Arial" w:eastAsia="Arial" w:hAnsi="Arial"/>
          <w:sz w:val="16"/>
          <w:szCs w:val="16"/>
          <w:color w:val="auto"/>
        </w:rPr>
        <w:t>issuance and sale of shares of our common stock in this offering at an assumed initial public offering price of $ per share (which is the midpoint of the estimated price range set forth on the cover page of this prospectus), and after deducting underwriting discounts and commissions and estimated offering expenses payable by us.</w:t>
      </w:r>
    </w:p>
    <w:p>
      <w:pPr>
        <w:ind w:left="1340" w:hanging="367"/>
        <w:spacing w:after="0"/>
        <w:tabs>
          <w:tab w:leader="none" w:pos="1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as adjusted information discussed above is illustrative only and will depend on the actual initial public offering price and other</w:t>
      </w:r>
    </w:p>
    <w:p>
      <w:pPr>
        <w:spacing w:after="0" w:line="39" w:lineRule="exact"/>
        <w:rPr>
          <w:sz w:val="20"/>
          <w:szCs w:val="20"/>
          <w:color w:val="auto"/>
        </w:rPr>
      </w:pPr>
    </w:p>
    <w:p>
      <w:pPr>
        <w:ind w:left="1340" w:right="20"/>
        <w:spacing w:after="0" w:line="302" w:lineRule="auto"/>
        <w:rPr>
          <w:sz w:val="20"/>
          <w:szCs w:val="20"/>
          <w:color w:val="auto"/>
        </w:rPr>
      </w:pPr>
      <w:r>
        <w:rPr>
          <w:rFonts w:ascii="Arial" w:cs="Arial" w:eastAsia="Arial" w:hAnsi="Arial"/>
          <w:sz w:val="13"/>
          <w:szCs w:val="13"/>
          <w:color w:val="auto"/>
        </w:rPr>
        <w:t>terms of this offering determined at pricing. Each $1.00 increase (decrease) in the assumed initial public offering price of $ per share (which is the midpoint of the estimated price range set forth on the cover page of this prospectus), would increase (decrease) each of cash and</w:t>
      </w:r>
    </w:p>
    <w:p>
      <w:pPr>
        <w:spacing w:after="0" w:line="1" w:lineRule="exact"/>
        <w:rPr>
          <w:sz w:val="20"/>
          <w:szCs w:val="20"/>
          <w:color w:val="auto"/>
        </w:rPr>
      </w:pPr>
    </w:p>
    <w:p>
      <w:pPr>
        <w:ind w:left="1340" w:right="20"/>
        <w:spacing w:after="0" w:line="831" w:lineRule="auto"/>
        <w:rPr>
          <w:sz w:val="20"/>
          <w:szCs w:val="20"/>
          <w:color w:val="auto"/>
        </w:rPr>
      </w:pPr>
      <w:r>
        <w:rPr>
          <w:rFonts w:ascii="Arial" w:cs="Arial" w:eastAsia="Arial" w:hAnsi="Arial"/>
          <w:sz w:val="13"/>
          <w:szCs w:val="13"/>
          <w:color w:val="auto"/>
        </w:rPr>
        <w:t>cash equivalents, working capital, total assets, additional paid-in capital and total stockholders’ (deficit) equity by $ million, assuming that the number of shares of common stock offered by us, as set forth on the cover page of this prospectus, remains the same, and after deducting underwriting discounts and commissions and estimated offering expenses payable by us. Similarly, each increase (decrease) of 1,000,000 shares in the number of shares of common stock offered by us would increase (decrease) each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40" w:right="320"/>
        <w:spacing w:after="0" w:line="251" w:lineRule="auto"/>
        <w:rPr>
          <w:sz w:val="20"/>
          <w:szCs w:val="20"/>
          <w:color w:val="auto"/>
        </w:rPr>
      </w:pPr>
      <w:r>
        <w:rPr>
          <w:rFonts w:ascii="Arial" w:cs="Arial" w:eastAsia="Arial" w:hAnsi="Arial"/>
          <w:sz w:val="16"/>
          <w:szCs w:val="16"/>
          <w:color w:val="auto"/>
        </w:rPr>
        <w:t>working capital, total assets, additional paid-in capital and total stockholders’ (deficit) equity by $ million, assuming the assumed initial public offering price of $ per share remains the same, and after deducting underwriting discounts and commissions and estimated offering expenses payable by us.</w:t>
      </w:r>
    </w:p>
    <w:p>
      <w:pPr>
        <w:ind w:left="1340" w:right="220" w:hanging="367"/>
        <w:spacing w:after="0" w:line="252" w:lineRule="auto"/>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3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260"/>
          </w:cols>
          <w:pgMar w:left="320" w:top="418" w:right="131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RISK FACTORS</w:t>
      </w:r>
    </w:p>
    <w:p>
      <w:pPr>
        <w:spacing w:after="0" w:line="197"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prospectus, including our audited financial statements and the related notes included elsewhere in this prospectus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Our Financial Position, Need for Additional Capital and Limited Operating History</w:t>
      </w:r>
    </w:p>
    <w:p>
      <w:pPr>
        <w:spacing w:after="0" w:line="197" w:lineRule="exact"/>
        <w:rPr>
          <w:sz w:val="20"/>
          <w:szCs w:val="20"/>
          <w:color w:val="auto"/>
        </w:rPr>
      </w:pPr>
    </w:p>
    <w:p>
      <w:pPr>
        <w:ind w:left="1200" w:right="280"/>
        <w:spacing w:after="0" w:line="256" w:lineRule="auto"/>
        <w:rPr>
          <w:sz w:val="20"/>
          <w:szCs w:val="20"/>
          <w:color w:val="auto"/>
        </w:rPr>
      </w:pPr>
      <w:r>
        <w:rPr>
          <w:rFonts w:ascii="Arial" w:cs="Arial" w:eastAsia="Arial" w:hAnsi="Arial"/>
          <w:sz w:val="16"/>
          <w:szCs w:val="16"/>
          <w:b w:val="1"/>
          <w:bCs w:val="1"/>
          <w:i w:val="1"/>
          <w:iCs w:val="1"/>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71" w:lineRule="exact"/>
        <w:rPr>
          <w:sz w:val="20"/>
          <w:szCs w:val="20"/>
          <w:color w:val="auto"/>
        </w:rPr>
      </w:pPr>
    </w:p>
    <w:p>
      <w:pPr>
        <w:ind w:left="820" w:right="140" w:firstLine="385"/>
        <w:spacing w:after="0" w:line="267" w:lineRule="auto"/>
        <w:rPr>
          <w:sz w:val="20"/>
          <w:szCs w:val="20"/>
          <w:color w:val="auto"/>
        </w:rPr>
      </w:pPr>
      <w:r>
        <w:rPr>
          <w:rFonts w:ascii="Arial" w:cs="Arial" w:eastAsia="Arial" w:hAnsi="Arial"/>
          <w:sz w:val="15"/>
          <w:szCs w:val="15"/>
          <w:color w:val="auto"/>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16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We have not yet demonstrated our ability to successfully initiate and complete any clinical trials, obtain marketing approvals, manufacture a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167"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64" w:lineRule="exact"/>
        <w:rPr>
          <w:sz w:val="20"/>
          <w:szCs w:val="20"/>
          <w:color w:val="auto"/>
        </w:rPr>
      </w:pPr>
    </w:p>
    <w:p>
      <w:pPr>
        <w:ind w:left="1200" w:right="160"/>
        <w:spacing w:after="0" w:line="266" w:lineRule="auto"/>
        <w:rPr>
          <w:sz w:val="20"/>
          <w:szCs w:val="20"/>
          <w:color w:val="auto"/>
        </w:rPr>
      </w:pPr>
      <w:r>
        <w:rPr>
          <w:rFonts w:ascii="Arial" w:cs="Arial" w:eastAsia="Arial" w:hAnsi="Arial"/>
          <w:sz w:val="16"/>
          <w:szCs w:val="16"/>
          <w:b w:val="1"/>
          <w:bCs w:val="1"/>
          <w:i w:val="1"/>
          <w:iCs w:val="1"/>
          <w:color w:val="auto"/>
        </w:rPr>
        <w:t>We have not generated any product revenue to date, have incurred significant net losses since our inception, and expect to continue to incur significant net losses for the foreseeable future.</w:t>
      </w:r>
    </w:p>
    <w:p>
      <w:pPr>
        <w:spacing w:after="0" w:line="64" w:lineRule="exact"/>
        <w:rPr>
          <w:sz w:val="20"/>
          <w:szCs w:val="20"/>
          <w:color w:val="auto"/>
        </w:rPr>
      </w:pPr>
    </w:p>
    <w:p>
      <w:pPr>
        <w:ind w:left="820" w:right="100" w:firstLine="385"/>
        <w:spacing w:after="0" w:line="272" w:lineRule="auto"/>
        <w:rPr>
          <w:sz w:val="20"/>
          <w:szCs w:val="20"/>
          <w:color w:val="auto"/>
        </w:rPr>
      </w:pPr>
      <w:r>
        <w:rPr>
          <w:rFonts w:ascii="Arial" w:cs="Arial" w:eastAsia="Arial" w:hAnsi="Arial"/>
          <w:sz w:val="15"/>
          <w:szCs w:val="15"/>
          <w:color w:val="auto"/>
        </w:rPr>
        <w:t>We have incurred significant net losses since our inception, have not generated any product revenue to date and have financed our operations through private placements of our convertible preferred stock. Our net loss was $38.4 million for the year ended December 31, 2020 and $13.1 million for the three months ended March 31, 2021. As of March 31, 2021, we had an accumulated deficit of $95.9 million. Substantially all of our losses have resulted from expenses incurred in connection with our research and development programs and from general and administrative costs associated with our operations. We are still in the early stages of development of our</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400"/>
          </w:cols>
          <w:pgMar w:left="320" w:top="418" w:right="117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323" w:lineRule="auto"/>
        <w:rPr>
          <w:sz w:val="20"/>
          <w:szCs w:val="20"/>
          <w:color w:val="auto"/>
        </w:rPr>
      </w:pPr>
      <w:r>
        <w:rPr>
          <w:rFonts w:ascii="Arial" w:cs="Arial" w:eastAsia="Arial" w:hAnsi="Arial"/>
          <w:sz w:val="13"/>
          <w:szCs w:val="13"/>
          <w:color w:val="auto"/>
        </w:rPr>
        <w:t>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26"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65" w:lineRule="exact"/>
        <w:rPr>
          <w:sz w:val="20"/>
          <w:szCs w:val="20"/>
          <w:color w:val="auto"/>
        </w:rPr>
      </w:pPr>
    </w:p>
    <w:p>
      <w:pPr>
        <w:ind w:left="1200" w:right="480"/>
        <w:spacing w:after="0" w:line="266" w:lineRule="auto"/>
        <w:rPr>
          <w:sz w:val="20"/>
          <w:szCs w:val="20"/>
          <w:color w:val="auto"/>
        </w:rPr>
      </w:pPr>
      <w:r>
        <w:rPr>
          <w:rFonts w:ascii="Arial" w:cs="Arial" w:eastAsia="Arial" w:hAnsi="Arial"/>
          <w:sz w:val="16"/>
          <w:szCs w:val="16"/>
          <w:b w:val="1"/>
          <w:bCs w:val="1"/>
          <w:i w:val="1"/>
          <w:iCs w:val="1"/>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4"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85" w:lineRule="exact"/>
        <w:rPr>
          <w:sz w:val="20"/>
          <w:szCs w:val="20"/>
          <w:color w:val="auto"/>
        </w:rPr>
      </w:pPr>
    </w:p>
    <w:p>
      <w:pPr>
        <w:ind w:left="1660" w:right="500" w:hanging="469"/>
        <w:spacing w:after="0" w:line="300" w:lineRule="auto"/>
        <w:tabs>
          <w:tab w:leader="none" w:pos="1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regulatory approval to commence clinical trials of our product candidates;</w:t>
      </w:r>
    </w:p>
    <w:p>
      <w:pPr>
        <w:spacing w:after="0" w:line="110" w:lineRule="exact"/>
        <w:rPr>
          <w:rFonts w:ascii="Arial" w:cs="Arial" w:eastAsia="Arial" w:hAnsi="Arial"/>
          <w:sz w:val="16"/>
          <w:szCs w:val="16"/>
          <w:color w:val="auto"/>
        </w:rPr>
      </w:pPr>
    </w:p>
    <w:p>
      <w:pPr>
        <w:ind w:left="1660" w:right="20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and maintaining relationships with contract research organizations (CROs) and clinical sites for the clinical development of our product candidates and any other future product candidates;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initiation and successful patient enrollment and completion of clinical trials on a timely basis;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acceptable frequency and severity of adverse events in the clinical trials;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efficacy and safety profiles that are satisfactory to the U.S. Food and Drug Administration (FDA) or any comparable foreign regulatory authority for marketing approval;</w:t>
      </w:r>
    </w:p>
    <w:p>
      <w:pPr>
        <w:spacing w:after="0" w:line="75" w:lineRule="exact"/>
        <w:rPr>
          <w:rFonts w:ascii="Arial" w:cs="Arial" w:eastAsia="Arial" w:hAnsi="Arial"/>
          <w:sz w:val="16"/>
          <w:szCs w:val="16"/>
          <w:color w:val="auto"/>
        </w:rPr>
      </w:pPr>
    </w:p>
    <w:p>
      <w:pPr>
        <w:ind w:left="1660" w:right="58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timely receipt of marketing approvals from applicable regulatory authorities for any product candidates for which we successfully complete clinical development;</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complying with any required post-marketing approval commitments to applicable regulatory authorities;</w:t>
      </w:r>
    </w:p>
    <w:p>
      <w:pPr>
        <w:spacing w:after="0" w:line="110" w:lineRule="exact"/>
        <w:rPr>
          <w:rFonts w:ascii="Arial" w:cs="Arial" w:eastAsia="Arial" w:hAnsi="Arial"/>
          <w:sz w:val="16"/>
          <w:szCs w:val="16"/>
          <w:color w:val="auto"/>
        </w:rPr>
      </w:pPr>
    </w:p>
    <w:p>
      <w:pPr>
        <w:ind w:left="1660" w:right="54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and operating a manufacturing facility and developing an efficient and scalable manufacturing process for our product candidates;</w:t>
      </w:r>
    </w:p>
    <w:p>
      <w:pPr>
        <w:spacing w:after="0" w:line="75" w:lineRule="exact"/>
        <w:rPr>
          <w:rFonts w:ascii="Arial" w:cs="Arial" w:eastAsia="Arial" w:hAnsi="Arial"/>
          <w:sz w:val="16"/>
          <w:szCs w:val="16"/>
          <w:color w:val="auto"/>
        </w:rPr>
      </w:pPr>
    </w:p>
    <w:p>
      <w:pPr>
        <w:ind w:left="1660" w:right="60" w:hanging="469"/>
        <w:spacing w:after="0" w:line="25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420"/>
          </w:cols>
          <w:pgMar w:left="320" w:top="418" w:right="11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40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successful commercial launch following any marketing approval, including the development of a commercial infrastructure, whether in-house or with one or more collaborators;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successful outputs from our capsid engineering and promotor and regulator elements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continued acceptable safety profile following any marketing approval of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commercial acceptance of our product candidates by patients, the medical community and third-party payors;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satisfying any required post-marketing approval commitments to applicable regulatory authorities;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identifying, assessing and developing new product candidates;</w:t>
      </w:r>
    </w:p>
    <w:p>
      <w:pPr>
        <w:spacing w:after="0" w:line="110"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maintaining, and expanding patent and other intellectual property protection, trade secret protection and regulatory exclusivity, both in the United States and internationally;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protecting and enforcing our rights in our intellectual property portfolio;</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defending against third-party infringement, misappropriation, or other claims, if any;</w:t>
      </w:r>
    </w:p>
    <w:p>
      <w:pPr>
        <w:spacing w:after="0" w:line="110" w:lineRule="exact"/>
        <w:rPr>
          <w:rFonts w:ascii="Arial" w:cs="Arial" w:eastAsia="Arial" w:hAnsi="Arial"/>
          <w:sz w:val="16"/>
          <w:szCs w:val="16"/>
          <w:color w:val="auto"/>
        </w:rPr>
      </w:pPr>
    </w:p>
    <w:p>
      <w:pPr>
        <w:ind w:left="1660" w:right="52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entering into, on favorable terms, any collaboration, licensing or other arrangements that may be necessary or desirable to develop, manufacture or commercialize our product candidates;</w:t>
      </w:r>
    </w:p>
    <w:p>
      <w:pPr>
        <w:spacing w:after="0" w:line="75"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coverage and adequate reimbursement by third-party payors for our products and patients’ willingness to pay in the absence of such coverage and adequate reimbursement;</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additional funding to develop, manufacture and commercialize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addressing any competing therapies and technological and market developments;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managing costs, including any unforeseen costs, that we may incur as a result of nonclinical study or clinical trial delays due to COVID-19 or other causes;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 including clinical, scientific, management and administrative personnel.</w:t>
      </w:r>
    </w:p>
    <w:p>
      <w:pPr>
        <w:spacing w:after="0" w:line="193" w:lineRule="exact"/>
        <w:rPr>
          <w:sz w:val="20"/>
          <w:szCs w:val="20"/>
          <w:color w:val="auto"/>
        </w:rPr>
      </w:pPr>
    </w:p>
    <w:p>
      <w:pPr>
        <w:ind w:left="820" w:right="160" w:firstLine="385"/>
        <w:spacing w:after="0" w:line="275" w:lineRule="auto"/>
        <w:rPr>
          <w:sz w:val="20"/>
          <w:szCs w:val="20"/>
          <w:color w:val="auto"/>
        </w:rPr>
      </w:pPr>
      <w:r>
        <w:rPr>
          <w:rFonts w:ascii="Arial" w:cs="Arial" w:eastAsia="Arial" w:hAnsi="Arial"/>
          <w:sz w:val="15"/>
          <w:szCs w:val="15"/>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53" w:lineRule="exact"/>
        <w:rPr>
          <w:sz w:val="20"/>
          <w:szCs w:val="20"/>
          <w:color w:val="auto"/>
        </w:rPr>
      </w:pPr>
    </w:p>
    <w:p>
      <w:pPr>
        <w:ind w:left="820" w:right="360" w:firstLine="385"/>
        <w:spacing w:after="0" w:line="256" w:lineRule="auto"/>
        <w:rPr>
          <w:sz w:val="20"/>
          <w:szCs w:val="20"/>
          <w:color w:val="auto"/>
        </w:rPr>
      </w:pPr>
      <w:r>
        <w:rPr>
          <w:rFonts w:ascii="Arial" w:cs="Arial" w:eastAsia="Arial" w:hAnsi="Arial"/>
          <w:sz w:val="16"/>
          <w:szCs w:val="16"/>
          <w:color w:val="auto"/>
        </w:rPr>
        <w:t>We may also experience delays in establishing our manufacturing facility, developing a sustainable, reproducible and scalable manufacturing process or transferring that process to commercial partners, which may prevent us from initiating and completing our planned clinical trials or commercializing our product candidates on a timely or profitable basis, if at all.</w:t>
      </w:r>
    </w:p>
    <w:p>
      <w:pPr>
        <w:spacing w:after="0" w:line="260" w:lineRule="exact"/>
        <w:rPr>
          <w:sz w:val="20"/>
          <w:szCs w:val="20"/>
          <w:color w:val="auto"/>
        </w:rPr>
      </w:pPr>
    </w:p>
    <w:p>
      <w:pPr>
        <w:jc w:val="both"/>
        <w:ind w:left="1200" w:right="440"/>
        <w:spacing w:after="0" w:line="256" w:lineRule="auto"/>
        <w:rPr>
          <w:sz w:val="20"/>
          <w:szCs w:val="20"/>
          <w:color w:val="auto"/>
        </w:rPr>
      </w:pPr>
      <w:r>
        <w:rPr>
          <w:rFonts w:ascii="Arial" w:cs="Arial" w:eastAsia="Arial" w:hAnsi="Arial"/>
          <w:sz w:val="16"/>
          <w:szCs w:val="16"/>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As of March 31, 2021, we had $128.4 million in cash and cash equivalents. Based on our current operating plan, we believe that the net proceeds</w:t>
      </w:r>
    </w:p>
    <w:p>
      <w:pPr>
        <w:spacing w:after="0" w:line="51"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from this offering, together with our existing cash and cash equivalents, will be sufficient to fund our operations .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420"/>
          </w:cols>
          <w:pgMar w:left="320" w:top="418" w:right="11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programs as well as develop our proprietary drug discovery platforms.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Following this offering, we also expect to incur additional costs associated with operating as a public company. Accordingly, we will need to obtain substantial additional funding in order to continue our operations.</w:t>
      </w:r>
    </w:p>
    <w:p>
      <w:pPr>
        <w:spacing w:after="0" w:line="3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future capital requirements will depend on may factors, including, but not limited to:</w:t>
      </w:r>
    </w:p>
    <w:p>
      <w:pPr>
        <w:spacing w:after="0" w:line="111" w:lineRule="exact"/>
        <w:rPr>
          <w:sz w:val="20"/>
          <w:szCs w:val="20"/>
          <w:color w:val="auto"/>
        </w:rPr>
      </w:pPr>
    </w:p>
    <w:p>
      <w:pPr>
        <w:ind w:left="16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developing and testing our product candidates including conducting preclinical studies and clinical trials;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 or any future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and characteristics of other product candidates that we pursue or acquire;</w:t>
      </w:r>
    </w:p>
    <w:p>
      <w:pPr>
        <w:spacing w:after="0" w:line="110"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establishing and operating our own manufacturing facility;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manufacturing commercial-grade products and sufficient inventory to support commercial launch;</w:t>
      </w:r>
    </w:p>
    <w:p>
      <w:pPr>
        <w:spacing w:after="0" w:line="110" w:lineRule="exact"/>
        <w:rPr>
          <w:rFonts w:ascii="Arial" w:cs="Arial" w:eastAsia="Arial" w:hAnsi="Arial"/>
          <w:sz w:val="16"/>
          <w:szCs w:val="16"/>
          <w:color w:val="auto"/>
        </w:rPr>
      </w:pPr>
    </w:p>
    <w:p>
      <w:pPr>
        <w:ind w:left="1660" w:right="5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commercialization activities, include the cost of building a sales force in anticipation of product commercialization and distribution costs;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revenue, if any, received from commercial sale of our products, should any of our product candidates receive marketing approval;</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and timing of hiring new employees to support our continued growth;</w:t>
      </w:r>
    </w:p>
    <w:p>
      <w:pPr>
        <w:spacing w:after="0" w:line="110"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protecting and enforcing our intellectual property rights and defending intellectual property-related claims;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competing products that may limit market penetration of our products;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to establish and maintain collaborations on favorable terms, if at all;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product candidates and technologies;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timing, receipt and amount of sales of, or milestone payments related to or royalties on, our current or future product candidates, if any;</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compliance and administrative costs associated with being a public company; and</w:t>
      </w:r>
    </w:p>
    <w:p>
      <w:pPr>
        <w:spacing w:after="0" w:line="110" w:lineRule="exact"/>
        <w:rPr>
          <w:rFonts w:ascii="Arial" w:cs="Arial" w:eastAsia="Arial" w:hAnsi="Arial"/>
          <w:sz w:val="16"/>
          <w:szCs w:val="16"/>
          <w:color w:val="auto"/>
        </w:rPr>
      </w:pPr>
    </w:p>
    <w:p>
      <w:pPr>
        <w:ind w:left="1660" w:right="6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 although we currently have no commitments or agreements relating to any of these types of transactions.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420"/>
          </w:cols>
          <w:pgMar w:left="320" w:top="418" w:right="11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171"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We currently plan to use the net proceeds from this offering, together with our existing resources, as described in the section titled “Use of Proceeds.” Advancing the development of our programs will require a significant amount of capital. The net proceeds from this offering, together with our cash and cash equivalents, will not be sufficient for us to fund any of our product candidates through regulatory approval, and we will need to raise additional capital to complete the development and commercialization of our product candidates.</w:t>
      </w:r>
    </w:p>
    <w:p>
      <w:pPr>
        <w:spacing w:after="0" w:line="153"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Our operations and financial results could be adversely impacted by the COVID-19 pandemic in the United States and the rest of the world.</w:t>
      </w:r>
    </w:p>
    <w:p>
      <w:pPr>
        <w:spacing w:after="0" w:line="133" w:lineRule="exact"/>
        <w:rPr>
          <w:sz w:val="20"/>
          <w:szCs w:val="20"/>
          <w:color w:val="auto"/>
        </w:rPr>
      </w:pPr>
    </w:p>
    <w:p>
      <w:pPr>
        <w:ind w:left="820" w:right="180" w:firstLine="385"/>
        <w:spacing w:after="0" w:line="249" w:lineRule="auto"/>
        <w:rPr>
          <w:sz w:val="20"/>
          <w:szCs w:val="20"/>
          <w:color w:val="auto"/>
        </w:rPr>
      </w:pPr>
      <w:r>
        <w:rPr>
          <w:rFonts w:ascii="Arial" w:cs="Arial" w:eastAsia="Arial" w:hAnsi="Arial"/>
          <w:sz w:val="16"/>
          <w:szCs w:val="16"/>
          <w:color w:val="auto"/>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that could severely impact our business, including:</w:t>
      </w:r>
    </w:p>
    <w:p>
      <w:pPr>
        <w:spacing w:after="0" w:line="90" w:lineRule="exact"/>
        <w:rPr>
          <w:sz w:val="20"/>
          <w:szCs w:val="20"/>
          <w:color w:val="auto"/>
        </w:rPr>
      </w:pPr>
    </w:p>
    <w:p>
      <w:pPr>
        <w:ind w:left="1660" w:right="360" w:hanging="469"/>
        <w:spacing w:after="0" w:line="266"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interruptions, difficulties or delays arising in our existing operations and company culture as a result of all of our employees working remotely, including those hired during the COVID-19 pandemic;</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the build out of our manufacturing facility;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receiving approval from local regulatory authorities to initiate our planned clinical trials;</w:t>
      </w:r>
    </w:p>
    <w:p>
      <w:pPr>
        <w:spacing w:after="0" w:line="110"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or difficulties in enrolling and retaining patients in clinical trials and incurrence of additional costs as a result of preclinical study and clinical trial delays and adjustments;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challenges related to ongoing and increased operational expenses related to the COVID-19 pandemic;</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clinical site investigators and clinical site staff;</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difficulties or increased costs to comply with COVID-19 protocols at our leased facilities and clinical sites;</w:t>
      </w:r>
    </w:p>
    <w:p>
      <w:pPr>
        <w:spacing w:after="0" w:line="110" w:lineRule="exact"/>
        <w:rPr>
          <w:rFonts w:ascii="Arial" w:cs="Arial" w:eastAsia="Arial" w:hAnsi="Arial"/>
          <w:sz w:val="16"/>
          <w:szCs w:val="16"/>
          <w:color w:val="auto"/>
        </w:rPr>
      </w:pPr>
    </w:p>
    <w:p>
      <w:pPr>
        <w:ind w:left="1660" w:right="460" w:hanging="469"/>
        <w:spacing w:after="0" w:line="266"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diversion of healthcare resources away from the conduct of clinical trials, including the diversion of hospitals that may serve as our potential clinical trial sites and hospital staff supporting the conduct of clinical trials;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380"/>
          </w:cols>
          <w:pgMar w:left="320" w:top="418" w:right="119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40" w:hanging="469"/>
        <w:spacing w:after="0" w:line="26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6"/>
          <w:szCs w:val="16"/>
          <w:color w:val="auto"/>
        </w:rPr>
      </w:pPr>
    </w:p>
    <w:p>
      <w:pPr>
        <w:jc w:val="both"/>
        <w:ind w:left="1660" w:right="60" w:hanging="469"/>
        <w:spacing w:after="0" w:line="25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preclinical and clinical sites receiving the supplies and materials needed to conduct our planned clinical trials;</w:t>
      </w:r>
    </w:p>
    <w:p>
      <w:pPr>
        <w:spacing w:after="0" w:line="110"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 in global shipping that may affect the transport of clinical trial materials, such as investigational drug product to be used in our clinical trials;</w:t>
      </w:r>
    </w:p>
    <w:p>
      <w:pPr>
        <w:spacing w:after="0" w:line="75" w:lineRule="exact"/>
        <w:rPr>
          <w:rFonts w:ascii="Arial" w:cs="Arial" w:eastAsia="Arial" w:hAnsi="Arial"/>
          <w:sz w:val="16"/>
          <w:szCs w:val="16"/>
          <w:color w:val="auto"/>
        </w:rPr>
      </w:pPr>
    </w:p>
    <w:p>
      <w:pPr>
        <w:ind w:left="1660" w:right="300" w:hanging="469"/>
        <w:spacing w:after="0" w:line="300"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52" w:lineRule="exact"/>
        <w:rPr>
          <w:rFonts w:ascii="Arial" w:cs="Arial" w:eastAsia="Arial" w:hAnsi="Arial"/>
          <w:sz w:val="15"/>
          <w:szCs w:val="15"/>
          <w:color w:val="auto"/>
        </w:rPr>
      </w:pPr>
    </w:p>
    <w:p>
      <w:pPr>
        <w:ind w:left="1660" w:right="440" w:hanging="469"/>
        <w:spacing w:after="0" w:line="26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necessary interactions with regulators, ethics committees and other important agencies and contractors due to limitations in employee resources or forced furlough of government or contractor personnel;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refusal of the FDA to accept data from clinical trials in affected geographies outside the United States;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increased competition for CROs, contract development and manufacturing organizations (CDMOs), suppliers and vendors; and</w:t>
      </w:r>
    </w:p>
    <w:p>
      <w:pPr>
        <w:spacing w:after="0" w:line="122" w:lineRule="exact"/>
        <w:rPr>
          <w:rFonts w:ascii="Arial" w:cs="Arial" w:eastAsia="Arial" w:hAnsi="Arial"/>
          <w:sz w:val="15"/>
          <w:szCs w:val="15"/>
          <w:color w:val="auto"/>
        </w:rPr>
      </w:pPr>
    </w:p>
    <w:p>
      <w:pPr>
        <w:ind w:left="1660" w:right="220" w:hanging="469"/>
        <w:spacing w:after="0" w:line="383" w:lineRule="auto"/>
        <w:tabs>
          <w:tab w:leader="none" w:pos="1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89"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166"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322" w:lineRule="exact"/>
        <w:rPr>
          <w:sz w:val="20"/>
          <w:szCs w:val="20"/>
          <w:color w:val="auto"/>
        </w:rPr>
      </w:pPr>
    </w:p>
    <w:p>
      <w:pPr>
        <w:jc w:val="both"/>
        <w:ind w:left="820" w:right="160" w:firstLine="385"/>
        <w:spacing w:after="0" w:line="275" w:lineRule="auto"/>
        <w:rPr>
          <w:sz w:val="20"/>
          <w:szCs w:val="20"/>
          <w:color w:val="auto"/>
        </w:rPr>
      </w:pPr>
      <w:r>
        <w:rPr>
          <w:rFonts w:ascii="Arial" w:cs="Arial" w:eastAsia="Arial" w:hAnsi="Arial"/>
          <w:sz w:val="15"/>
          <w:szCs w:val="15"/>
          <w:color w:val="auto"/>
        </w:rPr>
        <w:t>Three vaccines for COVID-19 have been granted Emergency Use Authorization by the FDA, and more are likely to be authorized in the coming months. The resultant demand for vaccines and potential for manufacturing facilities and materials to be commandeered under the Defense Production Act of 1950, or equivalent foreign legislation, has made it more difficult to obtain materials and manufacturing slots for our product candidates needed for our preclinical studies and clinical trials, which could lead to delays in these studies and trials.</w:t>
      </w:r>
    </w:p>
    <w:p>
      <w:pPr>
        <w:spacing w:after="0" w:line="15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The global outbreak of COVID-19 continues to rapidly evolve. The extent to which the COVID-19 pandemic impacts our business will depend on future developments such as the rate of the spread of the disease,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440"/>
          </w:cols>
          <w:pgMar w:left="320" w:top="418" w:right="11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49" w:lineRule="auto"/>
        <w:rPr>
          <w:sz w:val="20"/>
          <w:szCs w:val="20"/>
          <w:color w:val="auto"/>
        </w:rPr>
      </w:pPr>
      <w:r>
        <w:rPr>
          <w:rFonts w:ascii="Arial" w:cs="Arial" w:eastAsia="Arial" w:hAnsi="Arial"/>
          <w:sz w:val="16"/>
          <w:szCs w:val="16"/>
          <w:color w:val="auto"/>
        </w:rPr>
        <w:t>travel restrictions and social distancing in the United States and other countries, business closures or business disruptions, supply of and demand for vaccines, and the effectiveness of actions taken in the United States and other countries to contain and treat the disease and to address its impact, including on financial markets or otherwise. Further, a lack of coordinated response on risk mitigation and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73"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To the extent the COVID-19 pandemic adversely affects our business, financial condition and operating results, it may also have the effect of heightening many of the risks described in this “Risk Factors” section.</w:t>
      </w:r>
    </w:p>
    <w:p>
      <w:pPr>
        <w:spacing w:after="0" w:line="252" w:lineRule="exact"/>
        <w:rPr>
          <w:sz w:val="20"/>
          <w:szCs w:val="20"/>
          <w:color w:val="auto"/>
        </w:rPr>
      </w:pPr>
    </w:p>
    <w:p>
      <w:pPr>
        <w:ind w:left="1200" w:right="380"/>
        <w:spacing w:after="0" w:line="266" w:lineRule="auto"/>
        <w:rPr>
          <w:sz w:val="20"/>
          <w:szCs w:val="20"/>
          <w:color w:val="auto"/>
        </w:rPr>
      </w:pPr>
      <w:r>
        <w:rPr>
          <w:rFonts w:ascii="Arial" w:cs="Arial" w:eastAsia="Arial" w:hAnsi="Arial"/>
          <w:sz w:val="16"/>
          <w:szCs w:val="16"/>
          <w:b w:val="1"/>
          <w:bCs w:val="1"/>
          <w:i w:val="1"/>
          <w:iCs w:val="1"/>
          <w:color w:val="auto"/>
        </w:rPr>
        <w:t>Raising additional capital will cause dilution to our stockholders, including purchasers of our common stock in this offering, restrict our operations or require us to relinquish rights to our technologies or product candidates.</w:t>
      </w:r>
    </w:p>
    <w:p>
      <w:pPr>
        <w:spacing w:after="0" w:line="64" w:lineRule="exact"/>
        <w:rPr>
          <w:sz w:val="20"/>
          <w:szCs w:val="20"/>
          <w:color w:val="auto"/>
        </w:rPr>
      </w:pPr>
    </w:p>
    <w:p>
      <w:pPr>
        <w:ind w:left="820" w:right="40" w:firstLine="385"/>
        <w:spacing w:after="0" w:line="314" w:lineRule="auto"/>
        <w:rPr>
          <w:sz w:val="20"/>
          <w:szCs w:val="20"/>
          <w:color w:val="auto"/>
        </w:rPr>
      </w:pPr>
      <w:r>
        <w:rPr>
          <w:rFonts w:ascii="Arial" w:cs="Arial" w:eastAsia="Arial" w:hAnsi="Arial"/>
          <w:sz w:val="13"/>
          <w:szCs w:val="13"/>
          <w:color w:val="auto"/>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322" w:lineRule="exact"/>
        <w:rPr>
          <w:sz w:val="20"/>
          <w:szCs w:val="20"/>
          <w:color w:val="auto"/>
        </w:rPr>
      </w:pPr>
    </w:p>
    <w:p>
      <w:pPr>
        <w:ind w:left="820" w:right="40" w:firstLine="385"/>
        <w:spacing w:after="0" w:line="323" w:lineRule="auto"/>
        <w:rPr>
          <w:sz w:val="20"/>
          <w:szCs w:val="20"/>
          <w:color w:val="auto"/>
        </w:rPr>
      </w:pPr>
      <w:r>
        <w:rPr>
          <w:rFonts w:ascii="Arial" w:cs="Arial" w:eastAsia="Arial" w:hAnsi="Arial"/>
          <w:sz w:val="13"/>
          <w:szCs w:val="13"/>
          <w:color w:val="auto"/>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Our ability to utilize our net operating loss carryforwards and certain other tax attributes to offset future taxable income may be limited.</w:t>
      </w:r>
    </w:p>
    <w:p>
      <w:pPr>
        <w:spacing w:after="0" w:line="133" w:lineRule="exact"/>
        <w:rPr>
          <w:sz w:val="20"/>
          <w:szCs w:val="20"/>
          <w:color w:val="auto"/>
        </w:rPr>
      </w:pPr>
    </w:p>
    <w:p>
      <w:pPr>
        <w:ind w:left="820" w:right="60" w:firstLine="385"/>
        <w:spacing w:after="0" w:line="306" w:lineRule="auto"/>
        <w:rPr>
          <w:sz w:val="20"/>
          <w:szCs w:val="20"/>
          <w:color w:val="auto"/>
        </w:rPr>
      </w:pPr>
      <w:r>
        <w:rPr>
          <w:rFonts w:ascii="Arial" w:cs="Arial" w:eastAsia="Arial" w:hAnsi="Arial"/>
          <w:sz w:val="13"/>
          <w:szCs w:val="13"/>
          <w:color w:val="auto"/>
        </w:rPr>
        <w:t>Our net operating loss (NOL) carryforwards may be unavailable to offset future taxable income because of restrictions under U.S. tax law. Our NOLs generated in tax years ending on or prior to December 31, 2017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w:t>
      </w:r>
    </w:p>
    <w:p>
      <w:pPr>
        <w:spacing w:after="0" w:line="2" w:lineRule="exact"/>
        <w:rPr>
          <w:sz w:val="20"/>
          <w:szCs w:val="20"/>
          <w:color w:val="auto"/>
        </w:rPr>
      </w:pPr>
    </w:p>
    <w:p>
      <w:pPr>
        <w:jc w:val="both"/>
        <w:ind w:left="820"/>
        <w:spacing w:after="0" w:line="249" w:lineRule="auto"/>
        <w:rPr>
          <w:sz w:val="20"/>
          <w:szCs w:val="20"/>
          <w:color w:val="auto"/>
        </w:rPr>
      </w:pPr>
      <w:r>
        <w:rPr>
          <w:rFonts w:ascii="Arial" w:cs="Arial" w:eastAsia="Arial" w:hAnsi="Arial"/>
          <w:sz w:val="16"/>
          <w:szCs w:val="16"/>
          <w:color w:val="auto"/>
        </w:rPr>
        <w:t>tax years beginning after December 31, 2017 is limited to 80% of our current year taxable income. It is uncertain if and to what extent various states will conform to the Tax Act. As of December 31, 2020, we had available federal NOL carry forwards of approximately $78.5 million, of which $75.4 million do not expire.</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420"/>
          </w:cols>
          <w:pgMar w:left="320" w:top="418" w:right="11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5"/>
          <w:szCs w:val="15"/>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this offering or subsequent shifts in our stock ownership, some of which are outside our control. As of December 31, 2020, a formal study was conducted and concluded that we experienced an ownership change during 2020. As a result, we have removed $3.1 million of deferred tax assets related to NOLs and research tax credit carryforwards due to Section 382 limitations.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the Discovery, Development, Manufacturing and Commercialization of Our Product Candidates</w:t>
      </w:r>
    </w:p>
    <w:p>
      <w:pPr>
        <w:spacing w:after="0" w:line="197" w:lineRule="exact"/>
        <w:rPr>
          <w:sz w:val="20"/>
          <w:szCs w:val="20"/>
          <w:color w:val="auto"/>
        </w:rPr>
      </w:pPr>
    </w:p>
    <w:p>
      <w:pPr>
        <w:jc w:val="both"/>
        <w:ind w:left="1200" w:right="260"/>
        <w:spacing w:after="0" w:line="343" w:lineRule="auto"/>
        <w:rPr>
          <w:sz w:val="20"/>
          <w:szCs w:val="20"/>
          <w:color w:val="auto"/>
        </w:rPr>
      </w:pPr>
      <w:r>
        <w:rPr>
          <w:rFonts w:ascii="Arial" w:cs="Arial" w:eastAsia="Arial" w:hAnsi="Arial"/>
          <w:sz w:val="13"/>
          <w:szCs w:val="13"/>
          <w:b w:val="1"/>
          <w:bCs w:val="1"/>
          <w:i w:val="1"/>
          <w:iCs w:val="1"/>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19" w:lineRule="exact"/>
        <w:rPr>
          <w:sz w:val="20"/>
          <w:szCs w:val="20"/>
          <w:color w:val="auto"/>
        </w:rPr>
      </w:pPr>
    </w:p>
    <w:p>
      <w:pPr>
        <w:ind w:left="820" w:right="140" w:firstLine="385"/>
        <w:spacing w:after="0" w:line="316" w:lineRule="auto"/>
        <w:rPr>
          <w:sz w:val="20"/>
          <w:szCs w:val="20"/>
          <w:color w:val="auto"/>
        </w:rPr>
      </w:pPr>
      <w:r>
        <w:rPr>
          <w:rFonts w:ascii="Arial" w:cs="Arial" w:eastAsia="Arial" w:hAnsi="Arial"/>
          <w:sz w:val="13"/>
          <w:szCs w:val="13"/>
          <w:color w:val="auto"/>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131"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71"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76" w:lineRule="exact"/>
        <w:rPr>
          <w:sz w:val="20"/>
          <w:szCs w:val="20"/>
          <w:color w:val="auto"/>
        </w:rPr>
      </w:pPr>
    </w:p>
    <w:p>
      <w:pPr>
        <w:ind w:left="1660" w:hanging="469"/>
        <w:spacing w:after="0"/>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successful and timely completion of our ongoing preclinical studies;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generating sufficient data to support the initiation or continuation of clinical trials;</w:t>
      </w:r>
    </w:p>
    <w:p>
      <w:pPr>
        <w:spacing w:after="0" w:line="110" w:lineRule="exact"/>
        <w:rPr>
          <w:rFonts w:ascii="Arial" w:cs="Arial" w:eastAsia="Arial" w:hAnsi="Arial"/>
          <w:sz w:val="16"/>
          <w:szCs w:val="16"/>
          <w:color w:val="auto"/>
        </w:rPr>
      </w:pPr>
    </w:p>
    <w:p>
      <w:pPr>
        <w:ind w:left="1660" w:right="80" w:hanging="469"/>
        <w:spacing w:after="0" w:line="266" w:lineRule="auto"/>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addressing any delays, necessary adjustments and additional costs in preclinical studies and clinical trials resulting from factors related to the COVID-19 pandemic;</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380"/>
          </w:cols>
          <w:pgMar w:left="320" w:top="418" w:right="119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30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submission of INDs or other regulatory applications for our planned clinical trials and authorizations from regulators to initiate clinical trials;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contracting with the necessary parties to conduct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 on a timely basis;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achieving favorable results from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timely manufacture of sufficient quantities of a product candidate for use in clinical trials and, if approved, commercialization;</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outputs from our capsid engineering and promotor and regulator elements efforts;</w:t>
      </w:r>
    </w:p>
    <w:p>
      <w:pPr>
        <w:spacing w:after="0" w:line="110" w:lineRule="exact"/>
        <w:rPr>
          <w:rFonts w:ascii="Arial" w:cs="Arial" w:eastAsia="Arial" w:hAnsi="Arial"/>
          <w:sz w:val="16"/>
          <w:szCs w:val="16"/>
          <w:color w:val="auto"/>
        </w:rPr>
      </w:pPr>
    </w:p>
    <w:p>
      <w:pPr>
        <w:ind w:left="1660" w:right="38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sufficiency of our financial and other resources to complete the necessary preclinical studies and clinical trials and commercialization activities;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frequency and severity of adverse events in clinical trials;</w:t>
      </w:r>
    </w:p>
    <w:p>
      <w:pPr>
        <w:spacing w:after="0" w:line="110" w:lineRule="exact"/>
        <w:rPr>
          <w:rFonts w:ascii="Arial" w:cs="Arial" w:eastAsia="Arial" w:hAnsi="Arial"/>
          <w:sz w:val="16"/>
          <w:szCs w:val="16"/>
          <w:color w:val="auto"/>
        </w:rPr>
      </w:pPr>
    </w:p>
    <w:p>
      <w:pPr>
        <w:ind w:left="1660" w:right="54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demonstrating efficacy, safety and tolerability profiles that are satisfactory to the FDA, EMA or any comparable foreign regulatory authority for marketing approval;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timely receipt of marketing approvals from applicable regulatory authorities;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of any required post-marketing approval commitments to applicable regulatory authorities;</w:t>
      </w:r>
    </w:p>
    <w:p>
      <w:pPr>
        <w:spacing w:after="0" w:line="110"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operational, technical and clinical development challenges associated with pediatric indications that we may pursue, including challenges associated with recruiting and enrolling eligible pediatric patients in clinical trials;</w:t>
      </w:r>
    </w:p>
    <w:p>
      <w:pPr>
        <w:spacing w:after="0" w:line="75" w:lineRule="exact"/>
        <w:rPr>
          <w:rFonts w:ascii="Arial" w:cs="Arial" w:eastAsia="Arial" w:hAnsi="Arial"/>
          <w:sz w:val="16"/>
          <w:szCs w:val="16"/>
          <w:color w:val="auto"/>
        </w:rPr>
      </w:pPr>
    </w:p>
    <w:p>
      <w:pPr>
        <w:ind w:left="1660" w:right="460" w:hanging="469"/>
        <w:spacing w:after="0" w:line="25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83"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maintenance of existing or the establishment of new supply arrangements with third-party drug product suppliers and manufacturers for clinical development and, if approved, commercialization;</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maintaining consistent quality, purity, and potency across clinical supplies and commercial supplies for any approved products;</w:t>
      </w:r>
    </w:p>
    <w:p>
      <w:pPr>
        <w:spacing w:after="0" w:line="122" w:lineRule="exact"/>
        <w:rPr>
          <w:rFonts w:ascii="Arial" w:cs="Arial" w:eastAsia="Arial" w:hAnsi="Arial"/>
          <w:sz w:val="15"/>
          <w:szCs w:val="15"/>
          <w:color w:val="auto"/>
        </w:rPr>
      </w:pPr>
    </w:p>
    <w:p>
      <w:pPr>
        <w:ind w:left="1660" w:right="20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and maintaining patent and other intellectual property protection, trade secret protection and regulatory exclusivity, both in the United States and internationally;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protecting, enforcing and defending our rights in our intellectual property portfolio;</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expand into multiple indications;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successful launch of commercial sales following any marketing approval;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continued acceptable safety profile and sustained therapeutic effect of our therapies following any marketing approval;</w:t>
      </w:r>
    </w:p>
    <w:p>
      <w:pPr>
        <w:spacing w:after="0" w:line="110" w:lineRule="exact"/>
        <w:rPr>
          <w:rFonts w:ascii="Arial" w:cs="Arial" w:eastAsia="Arial" w:hAnsi="Arial"/>
          <w:sz w:val="16"/>
          <w:szCs w:val="16"/>
          <w:color w:val="auto"/>
        </w:rPr>
      </w:pPr>
    </w:p>
    <w:p>
      <w:pPr>
        <w:ind w:left="1660" w:right="42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actual market-size, ability to identify patients and the demographics of patients eligible for our product candidates, which may be different than expected;</w:t>
      </w:r>
    </w:p>
    <w:p>
      <w:pPr>
        <w:spacing w:after="0" w:line="75" w:lineRule="exact"/>
        <w:rPr>
          <w:rFonts w:ascii="Arial" w:cs="Arial" w:eastAsia="Arial" w:hAnsi="Arial"/>
          <w:sz w:val="16"/>
          <w:szCs w:val="16"/>
          <w:color w:val="auto"/>
        </w:rPr>
      </w:pPr>
    </w:p>
    <w:p>
      <w:pPr>
        <w:ind w:left="1660" w:right="20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commercial acceptance by patients, the medical community and third-party payors, particularly since the product candidates we develop may be novel;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compete with other therapies.</w:t>
      </w:r>
    </w:p>
    <w:p>
      <w:pPr>
        <w:spacing w:after="0" w:line="19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440"/>
          </w:cols>
          <w:pgMar w:left="320" w:top="418" w:right="11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firstLine="385"/>
        <w:spacing w:after="0" w:line="270" w:lineRule="auto"/>
        <w:rPr>
          <w:sz w:val="20"/>
          <w:szCs w:val="20"/>
          <w:color w:val="auto"/>
        </w:rPr>
      </w:pPr>
      <w:r>
        <w:rPr>
          <w:rFonts w:ascii="Arial" w:cs="Arial" w:eastAsia="Arial" w:hAnsi="Arial"/>
          <w:sz w:val="15"/>
          <w:szCs w:val="15"/>
          <w:color w:val="auto"/>
        </w:rPr>
        <w:t>To become and remain profitable, we must develop, obtain approval for and eventually commercialize products candidates, if approved,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156"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167" w:lineRule="exact"/>
        <w:rPr>
          <w:sz w:val="20"/>
          <w:szCs w:val="20"/>
          <w:color w:val="auto"/>
        </w:rPr>
      </w:pPr>
    </w:p>
    <w:p>
      <w:pPr>
        <w:jc w:val="both"/>
        <w:ind w:left="820" w:right="340" w:firstLine="385"/>
        <w:spacing w:after="0" w:line="343" w:lineRule="auto"/>
        <w:rPr>
          <w:sz w:val="20"/>
          <w:szCs w:val="20"/>
          <w:color w:val="auto"/>
        </w:rPr>
      </w:pPr>
      <w:r>
        <w:rPr>
          <w:rFonts w:ascii="Arial" w:cs="Arial" w:eastAsia="Arial" w:hAnsi="Arial"/>
          <w:sz w:val="13"/>
          <w:szCs w:val="13"/>
          <w:color w:val="auto"/>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08" w:lineRule="exact"/>
        <w:rPr>
          <w:sz w:val="20"/>
          <w:szCs w:val="20"/>
          <w:color w:val="auto"/>
        </w:rPr>
      </w:pPr>
    </w:p>
    <w:p>
      <w:pPr>
        <w:ind w:left="1200" w:right="60"/>
        <w:spacing w:after="0" w:line="343" w:lineRule="auto"/>
        <w:rPr>
          <w:sz w:val="20"/>
          <w:szCs w:val="20"/>
          <w:color w:val="auto"/>
        </w:rPr>
      </w:pPr>
      <w:r>
        <w:rPr>
          <w:rFonts w:ascii="Arial" w:cs="Arial" w:eastAsia="Arial" w:hAnsi="Arial"/>
          <w:sz w:val="13"/>
          <w:szCs w:val="13"/>
          <w:b w:val="1"/>
          <w:bCs w:val="1"/>
          <w:i w:val="1"/>
          <w:iCs w:val="1"/>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19"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171" w:lineRule="exact"/>
        <w:rPr>
          <w:sz w:val="20"/>
          <w:szCs w:val="20"/>
          <w:color w:val="auto"/>
        </w:rPr>
      </w:pPr>
    </w:p>
    <w:p>
      <w:pPr>
        <w:ind w:left="820" w:right="260" w:firstLine="385"/>
        <w:spacing w:after="0" w:line="251" w:lineRule="auto"/>
        <w:rPr>
          <w:sz w:val="20"/>
          <w:szCs w:val="20"/>
          <w:color w:val="auto"/>
        </w:rPr>
      </w:pPr>
      <w:r>
        <w:rPr>
          <w:rFonts w:ascii="Arial" w:cs="Arial" w:eastAsia="Arial" w:hAnsi="Arial"/>
          <w:sz w:val="16"/>
          <w:szCs w:val="16"/>
          <w:color w:val="auto"/>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70"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the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400"/>
          </w:cols>
          <w:pgMar w:left="320" w:top="418" w:right="117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56" w:lineRule="auto"/>
        <w:rPr>
          <w:sz w:val="20"/>
          <w:szCs w:val="20"/>
          <w:color w:val="auto"/>
        </w:rPr>
      </w:pPr>
      <w:r>
        <w:rPr>
          <w:rFonts w:ascii="Arial" w:cs="Arial" w:eastAsia="Arial" w:hAnsi="Arial"/>
          <w:sz w:val="16"/>
          <w:szCs w:val="16"/>
          <w:color w:val="auto"/>
        </w:rPr>
        <w:t>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166" w:lineRule="exact"/>
        <w:rPr>
          <w:sz w:val="20"/>
          <w:szCs w:val="20"/>
          <w:color w:val="auto"/>
        </w:rPr>
      </w:pPr>
    </w:p>
    <w:p>
      <w:pPr>
        <w:ind w:left="820" w:right="80" w:firstLine="385"/>
        <w:spacing w:after="0" w:line="314" w:lineRule="auto"/>
        <w:rPr>
          <w:sz w:val="20"/>
          <w:szCs w:val="20"/>
          <w:color w:val="auto"/>
        </w:rPr>
      </w:pPr>
      <w:r>
        <w:rPr>
          <w:rFonts w:ascii="Arial" w:cs="Arial" w:eastAsia="Arial" w:hAnsi="Arial"/>
          <w:sz w:val="13"/>
          <w:szCs w:val="13"/>
          <w:color w:val="auto"/>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322" w:lineRule="exact"/>
        <w:rPr>
          <w:sz w:val="20"/>
          <w:szCs w:val="20"/>
          <w:color w:val="auto"/>
        </w:rPr>
      </w:pPr>
    </w:p>
    <w:p>
      <w:pPr>
        <w:ind w:left="820" w:right="160" w:firstLine="385"/>
        <w:spacing w:after="0" w:line="316" w:lineRule="auto"/>
        <w:rPr>
          <w:sz w:val="20"/>
          <w:szCs w:val="20"/>
          <w:color w:val="auto"/>
        </w:rPr>
      </w:pPr>
      <w:r>
        <w:rPr>
          <w:rFonts w:ascii="Arial" w:cs="Arial" w:eastAsia="Arial" w:hAnsi="Arial"/>
          <w:sz w:val="13"/>
          <w:szCs w:val="13"/>
          <w:color w:val="auto"/>
        </w:rPr>
        <w:t>The same applies in the European Union.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31"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166"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Adverse developments in preclinical studies or clinical trials conducted by others in the field of gene therapy and gene regulation products may cause the FDA, the EMA, and other regulatory bodies to revise the requirements for the conduct of the clinical studies and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420"/>
          </w:cols>
          <w:pgMar w:left="320" w:top="418" w:right="11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0"/>
        <w:spacing w:after="0" w:line="266" w:lineRule="auto"/>
        <w:rPr>
          <w:sz w:val="20"/>
          <w:szCs w:val="20"/>
          <w:color w:val="auto"/>
        </w:rPr>
      </w:pPr>
      <w:r>
        <w:rPr>
          <w:rFonts w:ascii="Arial" w:cs="Arial" w:eastAsia="Arial" w:hAnsi="Arial"/>
          <w:sz w:val="16"/>
          <w:szCs w:val="16"/>
          <w:color w:val="auto"/>
        </w:rPr>
        <w:t>expenses, delays, or other impediments to our research programs or the commercialization of resulting products. Further, approvals by one regulatory agency may not be indicative of what other regulatory agencies may require for approval.</w:t>
      </w:r>
    </w:p>
    <w:p>
      <w:pPr>
        <w:spacing w:after="0" w:line="158"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54" w:lineRule="exact"/>
        <w:rPr>
          <w:sz w:val="20"/>
          <w:szCs w:val="20"/>
          <w:color w:val="auto"/>
        </w:rPr>
      </w:pPr>
    </w:p>
    <w:p>
      <w:pPr>
        <w:ind w:left="1200" w:right="500"/>
        <w:spacing w:after="0" w:line="266" w:lineRule="auto"/>
        <w:rPr>
          <w:sz w:val="20"/>
          <w:szCs w:val="20"/>
          <w:color w:val="auto"/>
        </w:rPr>
      </w:pPr>
      <w:r>
        <w:rPr>
          <w:rFonts w:ascii="Arial" w:cs="Arial" w:eastAsia="Arial" w:hAnsi="Arial"/>
          <w:sz w:val="16"/>
          <w:szCs w:val="16"/>
          <w:b w:val="1"/>
          <w:bCs w:val="1"/>
          <w:i w:val="1"/>
          <w:iCs w:val="1"/>
          <w:color w:val="auto"/>
        </w:rPr>
        <w:t>The mechanisms of action of our product candidates are unproven, and we do not know whether we will be able to develop any drug of commercial value.</w:t>
      </w:r>
    </w:p>
    <w:p>
      <w:pPr>
        <w:spacing w:after="0" w:line="64"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have seen for our compounds in preclinical models may not translate into similar results in humans, and results of early clinical trials in humans may not be predictive of the results of larger clinical trials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138"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51" w:lineRule="exact"/>
        <w:rPr>
          <w:sz w:val="20"/>
          <w:szCs w:val="20"/>
          <w:color w:val="auto"/>
        </w:rPr>
      </w:pPr>
    </w:p>
    <w:p>
      <w:pPr>
        <w:ind w:left="1200" w:right="200"/>
        <w:spacing w:after="0" w:line="272" w:lineRule="auto"/>
        <w:rPr>
          <w:sz w:val="20"/>
          <w:szCs w:val="20"/>
          <w:color w:val="auto"/>
        </w:rPr>
      </w:pPr>
      <w:r>
        <w:rPr>
          <w:rFonts w:ascii="Arial" w:cs="Arial" w:eastAsia="Arial" w:hAnsi="Arial"/>
          <w:sz w:val="15"/>
          <w:szCs w:val="15"/>
          <w:b w:val="1"/>
          <w:bCs w:val="1"/>
          <w:i w:val="1"/>
          <w:iCs w:val="1"/>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0" w:lineRule="exact"/>
        <w:rPr>
          <w:sz w:val="20"/>
          <w:szCs w:val="20"/>
          <w:color w:val="auto"/>
        </w:rPr>
      </w:pPr>
    </w:p>
    <w:p>
      <w:pPr>
        <w:ind w:left="820" w:right="440" w:firstLine="385"/>
        <w:spacing w:after="0" w:line="266" w:lineRule="auto"/>
        <w:rPr>
          <w:sz w:val="20"/>
          <w:szCs w:val="20"/>
          <w:color w:val="auto"/>
        </w:rPr>
      </w:pPr>
      <w:r>
        <w:rPr>
          <w:rFonts w:ascii="Arial" w:cs="Arial" w:eastAsia="Arial" w:hAnsi="Arial"/>
          <w:sz w:val="16"/>
          <w:szCs w:val="16"/>
          <w:color w:val="auto"/>
        </w:rPr>
        <w:t>It is impossible to predict when or if any product candidate that we develop will prove effective or safe in humans or will receive marketing approval. Before obtaining marketing approval from the FDA, EMA or other</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420"/>
          </w:cols>
          <w:pgMar w:left="320" w:top="418" w:right="11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266" w:lineRule="auto"/>
        <w:rPr>
          <w:sz w:val="20"/>
          <w:szCs w:val="20"/>
          <w:color w:val="auto"/>
        </w:rPr>
      </w:pPr>
      <w:r>
        <w:rPr>
          <w:rFonts w:ascii="Arial" w:cs="Arial" w:eastAsia="Arial" w:hAnsi="Arial"/>
          <w:sz w:val="16"/>
          <w:szCs w:val="16"/>
          <w:color w:val="auto"/>
        </w:rPr>
        <w:t>comparable foreign regulatory authorities for the sale of our product candidates, we must complete preclinical development and extensive clinical trials to demonstrate with substantial evidence the safety and efficacy of such product candidates.</w:t>
      </w:r>
    </w:p>
    <w:p>
      <w:pPr>
        <w:spacing w:after="0" w:line="158"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Clinical testing is expensive, difficult to design and implement, can take many years to complete and its ultimate outcome is uncertain.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clinical trials that we conduct will demonstrate consistent or adequate efficacy and safety to support marketing approval.</w:t>
      </w:r>
    </w:p>
    <w:p>
      <w:pPr>
        <w:spacing w:after="0" w:line="131"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326"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420"/>
          </w:cols>
          <w:pgMar w:left="320" w:top="418" w:right="11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80" w:firstLine="385"/>
        <w:spacing w:after="0" w:line="256" w:lineRule="auto"/>
        <w:rPr>
          <w:sz w:val="20"/>
          <w:szCs w:val="20"/>
          <w:color w:val="auto"/>
        </w:rPr>
      </w:pPr>
      <w:r>
        <w:rPr>
          <w:rFonts w:ascii="Arial" w:cs="Arial" w:eastAsia="Arial" w:hAnsi="Arial"/>
          <w:sz w:val="16"/>
          <w:szCs w:val="16"/>
          <w:color w:val="auto"/>
        </w:rPr>
        <w:t>To date, we have not initiated or completed any clinical trials required for the approval of our product candidates. We may experience numerous unforeseen events during, or as a result of, preclinical studies or clinical trials that could delay or prevent receipt of marketing approval or our ability to commercialize our product candidates, including:</w:t>
      </w:r>
    </w:p>
    <w:p>
      <w:pPr>
        <w:spacing w:after="0" w:line="83" w:lineRule="exact"/>
        <w:rPr>
          <w:sz w:val="20"/>
          <w:szCs w:val="20"/>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inability to generate sufficient preclinical, toxicology, or other </w:t>
      </w:r>
      <w:r>
        <w:rPr>
          <w:rFonts w:ascii="Arial" w:cs="Arial" w:eastAsia="Arial" w:hAnsi="Arial"/>
          <w:sz w:val="16"/>
          <w:szCs w:val="16"/>
          <w:i w:val="1"/>
          <w:iCs w:val="1"/>
          <w:color w:val="auto"/>
        </w:rPr>
        <w:t>in vivo or in vitro data to support the initiation of clinical trials;</w:t>
      </w:r>
    </w:p>
    <w:p>
      <w:pPr>
        <w:spacing w:after="0" w:line="110"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 including our natural history studies;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receipt of feedback from regulatory authorities that requires us to modify the design of our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clinical trial observations or results that require us to modify the design of our clinical trials;</w:t>
      </w:r>
    </w:p>
    <w:p>
      <w:pPr>
        <w:spacing w:after="0" w:line="110"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negative or inconclusive clinical trial results that may require us to conduct additional clinical trials or abandon certain drug development programs;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approval from one or more IRBs;</w:t>
      </w:r>
    </w:p>
    <w:p>
      <w:pPr>
        <w:spacing w:after="0" w:line="110" w:lineRule="exact"/>
        <w:rPr>
          <w:rFonts w:ascii="Arial" w:cs="Arial" w:eastAsia="Arial" w:hAnsi="Arial"/>
          <w:sz w:val="16"/>
          <w:szCs w:val="16"/>
          <w:color w:val="auto"/>
        </w:rPr>
      </w:pPr>
    </w:p>
    <w:p>
      <w:pPr>
        <w:ind w:left="1660" w:right="58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75"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failure or delay in reaching an agreement with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6"/>
          <w:szCs w:val="16"/>
          <w:color w:val="auto"/>
        </w:rPr>
      </w:pPr>
    </w:p>
    <w:p>
      <w:pPr>
        <w:ind w:left="1660" w:right="40" w:hanging="469"/>
        <w:spacing w:after="0" w:line="300"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to clinical trial protocol;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clinical sites deviating from trial protocol or dropping out of a trial;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being greater than anticipated;</w:t>
      </w:r>
    </w:p>
    <w:p>
      <w:pPr>
        <w:spacing w:after="0" w:line="110" w:lineRule="exact"/>
        <w:rPr>
          <w:rFonts w:ascii="Arial" w:cs="Arial" w:eastAsia="Arial" w:hAnsi="Arial"/>
          <w:sz w:val="16"/>
          <w:szCs w:val="16"/>
          <w:color w:val="auto"/>
        </w:rPr>
      </w:pPr>
    </w:p>
    <w:p>
      <w:pPr>
        <w:ind w:left="1660" w:right="44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being insufficient or inadequate;</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subjects experiencing severe or unexpected drug-related adverse effects;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selection of clinical end points that require prolonged periods of clinical observation or analysis of the resulting data;</w:t>
      </w:r>
    </w:p>
    <w:p>
      <w:pPr>
        <w:spacing w:after="0" w:line="110" w:lineRule="exact"/>
        <w:rPr>
          <w:rFonts w:ascii="Arial" w:cs="Arial" w:eastAsia="Arial" w:hAnsi="Arial"/>
          <w:sz w:val="16"/>
          <w:szCs w:val="16"/>
          <w:color w:val="auto"/>
        </w:rPr>
      </w:pPr>
    </w:p>
    <w:p>
      <w:pPr>
        <w:ind w:left="1660" w:right="240" w:hanging="469"/>
        <w:spacing w:after="0" w:line="343" w:lineRule="auto"/>
        <w:tabs>
          <w:tab w:leader="none" w:pos="1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31" w:lineRule="exact"/>
        <w:rPr>
          <w:rFonts w:ascii="Arial" w:cs="Arial" w:eastAsia="Arial" w:hAnsi="Arial"/>
          <w:sz w:val="13"/>
          <w:szCs w:val="13"/>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changes to our manufacturing process that may be necessary or desired;</w:t>
      </w:r>
    </w:p>
    <w:p>
      <w:pPr>
        <w:spacing w:after="0" w:line="110" w:lineRule="exact"/>
        <w:rPr>
          <w:rFonts w:ascii="Arial" w:cs="Arial" w:eastAsia="Arial" w:hAnsi="Arial"/>
          <w:sz w:val="16"/>
          <w:szCs w:val="16"/>
          <w:color w:val="auto"/>
        </w:rPr>
      </w:pPr>
    </w:p>
    <w:p>
      <w:pPr>
        <w:ind w:left="1660" w:right="80" w:hanging="469"/>
        <w:spacing w:after="0" w:line="383" w:lineRule="auto"/>
        <w:tabs>
          <w:tab w:leader="none" w:pos="1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6" w:lineRule="exact"/>
        <w:rPr>
          <w:rFonts w:ascii="Arial" w:cs="Arial" w:eastAsia="Arial" w:hAnsi="Arial"/>
          <w:sz w:val="13"/>
          <w:szCs w:val="13"/>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third-party contractors not performing data collection or analysis in a timely or accurate manner;</w:t>
      </w:r>
    </w:p>
    <w:p>
      <w:pPr>
        <w:spacing w:after="0" w:line="110" w:lineRule="exact"/>
        <w:rPr>
          <w:rFonts w:ascii="Arial" w:cs="Arial" w:eastAsia="Arial" w:hAnsi="Arial"/>
          <w:sz w:val="16"/>
          <w:szCs w:val="16"/>
          <w:color w:val="auto"/>
        </w:rPr>
      </w:pPr>
    </w:p>
    <w:p>
      <w:pPr>
        <w:ind w:left="1660" w:hanging="469"/>
        <w:spacing w:after="0" w:line="281"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6" w:lineRule="exact"/>
        <w:rPr>
          <w:rFonts w:ascii="Arial" w:cs="Arial" w:eastAsia="Arial" w:hAnsi="Arial"/>
          <w:sz w:val="15"/>
          <w:szCs w:val="15"/>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regulators revising the requirements for approving our product candidates;</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420"/>
          </w:cols>
          <w:pgMar w:left="320" w:top="418" w:right="11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absence in some countries of established groups with sufficient regulatory expertise for review of AAV gene therapy protocols; and</w:t>
      </w:r>
    </w:p>
    <w:p>
      <w:pPr>
        <w:spacing w:after="0" w:line="122" w:lineRule="exact"/>
        <w:rPr>
          <w:rFonts w:ascii="Arial" w:cs="Arial" w:eastAsia="Arial" w:hAnsi="Arial"/>
          <w:sz w:val="15"/>
          <w:szCs w:val="15"/>
          <w:color w:val="auto"/>
        </w:rPr>
      </w:pPr>
    </w:p>
    <w:p>
      <w:pPr>
        <w:ind w:left="1660" w:right="140" w:hanging="469"/>
        <w:spacing w:after="0" w:line="266" w:lineRule="auto"/>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158"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54"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31" w:lineRule="exact"/>
        <w:rPr>
          <w:sz w:val="20"/>
          <w:szCs w:val="20"/>
          <w:color w:val="auto"/>
        </w:rPr>
      </w:pPr>
    </w:p>
    <w:p>
      <w:pPr>
        <w:ind w:left="820" w:right="100" w:firstLine="385"/>
        <w:spacing w:after="0" w:line="268" w:lineRule="auto"/>
        <w:rPr>
          <w:sz w:val="20"/>
          <w:szCs w:val="20"/>
          <w:color w:val="auto"/>
        </w:rPr>
      </w:pPr>
      <w:r>
        <w:rPr>
          <w:rFonts w:ascii="Arial" w:cs="Arial" w:eastAsia="Arial" w:hAnsi="Arial"/>
          <w:sz w:val="15"/>
          <w:szCs w:val="15"/>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which could result in increased costs and expenses and/or delays. Any delays in completing our clinical trials will increase our costs, slow down our product candidate development and approval process and jeopardize our ability to commence product sales and generate revenues.</w:t>
      </w:r>
    </w:p>
    <w:p>
      <w:pPr>
        <w:spacing w:after="0" w:line="161" w:lineRule="exact"/>
        <w:rPr>
          <w:sz w:val="20"/>
          <w:szCs w:val="20"/>
          <w:color w:val="auto"/>
        </w:rPr>
      </w:pPr>
    </w:p>
    <w:p>
      <w:pPr>
        <w:ind w:left="820" w:right="140" w:firstLine="385"/>
        <w:spacing w:after="0" w:line="272" w:lineRule="auto"/>
        <w:rPr>
          <w:sz w:val="20"/>
          <w:szCs w:val="20"/>
          <w:color w:val="auto"/>
        </w:rPr>
      </w:pPr>
      <w:r>
        <w:rPr>
          <w:rFonts w:ascii="Arial" w:cs="Arial" w:eastAsia="Arial" w:hAnsi="Arial"/>
          <w:sz w:val="15"/>
          <w:szCs w:val="15"/>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49" w:lineRule="exact"/>
        <w:rPr>
          <w:sz w:val="20"/>
          <w:szCs w:val="20"/>
          <w:color w:val="auto"/>
        </w:rPr>
      </w:pPr>
    </w:p>
    <w:p>
      <w:pPr>
        <w:ind w:left="1200" w:right="40"/>
        <w:spacing w:after="0" w:line="281" w:lineRule="auto"/>
        <w:rPr>
          <w:sz w:val="20"/>
          <w:szCs w:val="20"/>
          <w:color w:val="auto"/>
        </w:rPr>
      </w:pPr>
      <w:r>
        <w:rPr>
          <w:rFonts w:ascii="Arial" w:cs="Arial" w:eastAsia="Arial" w:hAnsi="Arial"/>
          <w:sz w:val="15"/>
          <w:szCs w:val="15"/>
          <w:b w:val="1"/>
          <w:bCs w:val="1"/>
          <w:i w:val="1"/>
          <w:iCs w:val="1"/>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54"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440"/>
          </w:cols>
          <w:pgMar w:left="320" w:top="418" w:right="11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23" w:lineRule="auto"/>
        <w:rPr>
          <w:sz w:val="20"/>
          <w:szCs w:val="20"/>
          <w:color w:val="auto"/>
        </w:rPr>
      </w:pPr>
      <w:r>
        <w:rPr>
          <w:rFonts w:ascii="Arial" w:cs="Arial" w:eastAsia="Arial" w:hAnsi="Arial"/>
          <w:sz w:val="13"/>
          <w:szCs w:val="13"/>
          <w:color w:val="auto"/>
        </w:rPr>
        <w:t>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26"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156" w:lineRule="exact"/>
        <w:rPr>
          <w:sz w:val="20"/>
          <w:szCs w:val="20"/>
          <w:color w:val="auto"/>
        </w:rPr>
      </w:pPr>
    </w:p>
    <w:p>
      <w:pPr>
        <w:ind w:left="820" w:right="40" w:firstLine="385"/>
        <w:spacing w:after="0" w:line="310" w:lineRule="auto"/>
        <w:rPr>
          <w:sz w:val="20"/>
          <w:szCs w:val="20"/>
          <w:color w:val="auto"/>
        </w:rPr>
      </w:pPr>
      <w:r>
        <w:rPr>
          <w:rFonts w:ascii="Arial" w:cs="Arial" w:eastAsia="Arial" w:hAnsi="Arial"/>
          <w:sz w:val="13"/>
          <w:szCs w:val="13"/>
          <w:color w:val="auto"/>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00" w:lineRule="exact"/>
        <w:rPr>
          <w:sz w:val="20"/>
          <w:szCs w:val="20"/>
          <w:color w:val="auto"/>
        </w:rPr>
      </w:pPr>
    </w:p>
    <w:p>
      <w:pPr>
        <w:spacing w:after="0" w:line="223" w:lineRule="exact"/>
        <w:rPr>
          <w:sz w:val="20"/>
          <w:szCs w:val="20"/>
          <w:color w:val="auto"/>
        </w:rPr>
      </w:pPr>
    </w:p>
    <w:p>
      <w:pPr>
        <w:ind w:left="1200" w:right="240"/>
        <w:spacing w:after="0" w:line="378" w:lineRule="auto"/>
        <w:rPr>
          <w:sz w:val="20"/>
          <w:szCs w:val="20"/>
          <w:color w:val="auto"/>
        </w:rPr>
      </w:pPr>
      <w:r>
        <w:rPr>
          <w:rFonts w:ascii="Arial" w:cs="Arial" w:eastAsia="Arial" w:hAnsi="Arial"/>
          <w:sz w:val="13"/>
          <w:szCs w:val="13"/>
          <w:b w:val="1"/>
          <w:bCs w:val="1"/>
          <w:i w:val="1"/>
          <w:iCs w:val="1"/>
          <w:color w:val="auto"/>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1"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163"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400"/>
          </w:cols>
          <w:pgMar w:left="320" w:top="418" w:right="117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272" w:lineRule="auto"/>
        <w:rPr>
          <w:sz w:val="20"/>
          <w:szCs w:val="20"/>
          <w:color w:val="auto"/>
        </w:rPr>
      </w:pPr>
      <w:r>
        <w:rPr>
          <w:rFonts w:ascii="Arial" w:cs="Arial" w:eastAsia="Arial" w:hAnsi="Arial"/>
          <w:sz w:val="15"/>
          <w:szCs w:val="15"/>
          <w:color w:val="auto"/>
        </w:rPr>
        <w:t>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54" w:lineRule="exact"/>
        <w:rPr>
          <w:sz w:val="20"/>
          <w:szCs w:val="20"/>
          <w:color w:val="auto"/>
        </w:rPr>
      </w:pPr>
    </w:p>
    <w:p>
      <w:pPr>
        <w:ind w:left="820" w:right="460" w:firstLine="385"/>
        <w:spacing w:after="0" w:line="266" w:lineRule="auto"/>
        <w:rPr>
          <w:sz w:val="20"/>
          <w:szCs w:val="20"/>
          <w:color w:val="auto"/>
        </w:rPr>
      </w:pPr>
      <w:r>
        <w:rPr>
          <w:rFonts w:ascii="Arial" w:cs="Arial" w:eastAsia="Arial" w:hAnsi="Arial"/>
          <w:sz w:val="16"/>
          <w:szCs w:val="16"/>
          <w:color w:val="auto"/>
        </w:rPr>
        <w:t>We do not know whether any clinical trials we may conduct will demonstrate consistent or adequate efficacy and safety sufficient to obtain approval to market any of our product candidates.</w:t>
      </w:r>
    </w:p>
    <w:p>
      <w:pPr>
        <w:spacing w:after="0" w:line="252" w:lineRule="exact"/>
        <w:rPr>
          <w:sz w:val="20"/>
          <w:szCs w:val="20"/>
          <w:color w:val="auto"/>
        </w:rPr>
      </w:pPr>
    </w:p>
    <w:p>
      <w:pPr>
        <w:ind w:left="1200" w:right="20"/>
        <w:spacing w:after="0" w:line="266" w:lineRule="auto"/>
        <w:rPr>
          <w:sz w:val="20"/>
          <w:szCs w:val="20"/>
          <w:color w:val="auto"/>
        </w:rPr>
      </w:pPr>
      <w:r>
        <w:rPr>
          <w:rFonts w:ascii="Arial" w:cs="Arial" w:eastAsia="Arial" w:hAnsi="Arial"/>
          <w:sz w:val="16"/>
          <w:szCs w:val="16"/>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4" w:lineRule="exact"/>
        <w:rPr>
          <w:sz w:val="20"/>
          <w:szCs w:val="20"/>
          <w:color w:val="auto"/>
        </w:rPr>
      </w:pPr>
    </w:p>
    <w:p>
      <w:pPr>
        <w:ind w:left="820" w:right="80" w:firstLine="385"/>
        <w:spacing w:after="0" w:line="25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167" w:lineRule="exact"/>
        <w:rPr>
          <w:sz w:val="20"/>
          <w:szCs w:val="20"/>
          <w:color w:val="auto"/>
        </w:rPr>
      </w:pPr>
    </w:p>
    <w:p>
      <w:pPr>
        <w:jc w:val="both"/>
        <w:ind w:left="820" w:firstLine="385"/>
        <w:spacing w:after="0" w:line="329" w:lineRule="auto"/>
        <w:rPr>
          <w:sz w:val="20"/>
          <w:szCs w:val="20"/>
          <w:color w:val="auto"/>
        </w:rPr>
      </w:pPr>
      <w:r>
        <w:rPr>
          <w:rFonts w:ascii="Arial" w:cs="Arial" w:eastAsia="Arial" w:hAnsi="Arial"/>
          <w:sz w:val="13"/>
          <w:szCs w:val="13"/>
          <w:color w:val="auto"/>
        </w:rPr>
        <w:t>We may experience delays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23" w:lineRule="exact"/>
        <w:rPr>
          <w:sz w:val="20"/>
          <w:szCs w:val="20"/>
          <w:color w:val="auto"/>
        </w:rPr>
      </w:pPr>
    </w:p>
    <w:p>
      <w:pPr>
        <w:ind w:left="820" w:right="320" w:firstLine="385"/>
        <w:spacing w:after="0" w:line="272" w:lineRule="auto"/>
        <w:rPr>
          <w:sz w:val="20"/>
          <w:szCs w:val="20"/>
          <w:color w:val="auto"/>
        </w:rPr>
      </w:pPr>
      <w:r>
        <w:rPr>
          <w:rFonts w:ascii="Arial" w:cs="Arial" w:eastAsia="Arial" w:hAnsi="Arial"/>
          <w:sz w:val="15"/>
          <w:szCs w:val="15"/>
          <w:color w:val="auto"/>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154"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31" w:lineRule="exact"/>
        <w:rPr>
          <w:sz w:val="20"/>
          <w:szCs w:val="20"/>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size and nature of the patient population;</w:t>
      </w:r>
    </w:p>
    <w:p>
      <w:pPr>
        <w:spacing w:after="0" w:line="110" w:lineRule="exact"/>
        <w:rPr>
          <w:rFonts w:ascii="Arial" w:cs="Arial" w:eastAsia="Arial" w:hAnsi="Arial"/>
          <w:sz w:val="16"/>
          <w:szCs w:val="16"/>
          <w:color w:val="auto"/>
        </w:rPr>
      </w:pPr>
    </w:p>
    <w:p>
      <w:pPr>
        <w:ind w:left="1660" w:right="120" w:hanging="469"/>
        <w:spacing w:after="0" w:line="253" w:lineRule="auto"/>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under-diagnosis or challenges associated with diagnosing pediatric populations with the applicable target disease or condition;</w:t>
      </w:r>
    </w:p>
    <w:p>
      <w:pPr>
        <w:spacing w:after="0" w:line="84"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perceived risks and benefits of novel, unproven approaches;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severity of the disease under investigation;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availability and efficacy of approved drugs for the disease under investigation;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patient eligibility criteria for the trial in question as defined in the protocol;</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400"/>
          </w:cols>
          <w:pgMar w:left="320" w:top="418" w:right="117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w:t>
      </w:r>
    </w:p>
    <w:p>
      <w:pPr>
        <w:spacing w:after="0" w:line="110" w:lineRule="exact"/>
        <w:rPr>
          <w:rFonts w:ascii="Arial" w:cs="Arial" w:eastAsia="Arial" w:hAnsi="Arial"/>
          <w:sz w:val="16"/>
          <w:szCs w:val="16"/>
          <w:color w:val="auto"/>
        </w:rPr>
      </w:pPr>
    </w:p>
    <w:p>
      <w:pPr>
        <w:jc w:val="both"/>
        <w:ind w:left="1660" w:right="320" w:hanging="469"/>
        <w:spacing w:after="0" w:line="256" w:lineRule="auto"/>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patient referral practices of physicians;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activities of key opinion leaders (KOLs) and patient advocacy groups;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proximity and availability of clinical trial sites for prospective patients; and</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risk that patients enrolled in clinical trials will drop out of the trials before completion or, because they may have an advanced disease, will not survive the full terms of the clinical trials.</w:t>
      </w:r>
    </w:p>
    <w:p>
      <w:pPr>
        <w:spacing w:after="0" w:line="158" w:lineRule="exact"/>
        <w:rPr>
          <w:sz w:val="20"/>
          <w:szCs w:val="20"/>
          <w:color w:val="auto"/>
        </w:rPr>
      </w:pPr>
    </w:p>
    <w:p>
      <w:pPr>
        <w:ind w:left="820" w:right="60" w:firstLine="385"/>
        <w:spacing w:after="0" w:line="329" w:lineRule="auto"/>
        <w:rPr>
          <w:sz w:val="20"/>
          <w:szCs w:val="20"/>
          <w:color w:val="auto"/>
        </w:rPr>
      </w:pPr>
      <w:r>
        <w:rPr>
          <w:rFonts w:ascii="Arial" w:cs="Arial" w:eastAsia="Arial" w:hAnsi="Arial"/>
          <w:sz w:val="13"/>
          <w:szCs w:val="13"/>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18" w:lineRule="exact"/>
        <w:rPr>
          <w:sz w:val="20"/>
          <w:szCs w:val="20"/>
          <w:color w:val="auto"/>
        </w:rPr>
      </w:pPr>
    </w:p>
    <w:p>
      <w:pPr>
        <w:jc w:val="both"/>
        <w:ind w:left="1200" w:right="80"/>
        <w:spacing w:after="0" w:line="253" w:lineRule="auto"/>
        <w:rPr>
          <w:sz w:val="20"/>
          <w:szCs w:val="20"/>
          <w:color w:val="auto"/>
        </w:rPr>
      </w:pPr>
      <w:r>
        <w:rPr>
          <w:rFonts w:ascii="Arial" w:cs="Arial" w:eastAsia="Arial" w:hAnsi="Arial"/>
          <w:sz w:val="16"/>
          <w:szCs w:val="16"/>
          <w:b w:val="1"/>
          <w:bCs w:val="1"/>
          <w:i w:val="1"/>
          <w:iCs w:val="1"/>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3"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00" w:lineRule="exact"/>
        <w:rPr>
          <w:sz w:val="20"/>
          <w:szCs w:val="20"/>
          <w:color w:val="auto"/>
        </w:rPr>
      </w:pPr>
    </w:p>
    <w:p>
      <w:pPr>
        <w:spacing w:after="0" w:line="223" w:lineRule="exact"/>
        <w:rPr>
          <w:sz w:val="20"/>
          <w:szCs w:val="20"/>
          <w:color w:val="auto"/>
        </w:rPr>
      </w:pPr>
    </w:p>
    <w:p>
      <w:pPr>
        <w:ind w:left="1200" w:right="60"/>
        <w:spacing w:after="0" w:line="378" w:lineRule="auto"/>
        <w:rPr>
          <w:sz w:val="20"/>
          <w:szCs w:val="20"/>
          <w:color w:val="auto"/>
        </w:rPr>
      </w:pPr>
      <w:r>
        <w:rPr>
          <w:rFonts w:ascii="Arial" w:cs="Arial" w:eastAsia="Arial" w:hAnsi="Arial"/>
          <w:sz w:val="13"/>
          <w:szCs w:val="13"/>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1" w:lineRule="exact"/>
        <w:rPr>
          <w:sz w:val="20"/>
          <w:szCs w:val="20"/>
          <w:color w:val="auto"/>
        </w:rPr>
      </w:pPr>
    </w:p>
    <w:p>
      <w:pPr>
        <w:ind w:left="820" w:right="60" w:firstLine="385"/>
        <w:spacing w:after="0" w:line="281" w:lineRule="auto"/>
        <w:rPr>
          <w:sz w:val="20"/>
          <w:szCs w:val="20"/>
          <w:color w:val="auto"/>
        </w:rPr>
      </w:pPr>
      <w:r>
        <w:rPr>
          <w:rFonts w:ascii="Arial" w:cs="Arial" w:eastAsia="Arial" w:hAnsi="Arial"/>
          <w:sz w:val="15"/>
          <w:szCs w:val="15"/>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400"/>
          </w:cols>
          <w:pgMar w:left="320" w:top="418" w:right="117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spacing w:after="0" w:line="256" w:lineRule="auto"/>
        <w:rPr>
          <w:sz w:val="20"/>
          <w:szCs w:val="20"/>
          <w:color w:val="auto"/>
        </w:rPr>
      </w:pPr>
      <w:r>
        <w:rPr>
          <w:rFonts w:ascii="Arial" w:cs="Arial" w:eastAsia="Arial" w:hAnsi="Arial"/>
          <w:sz w:val="16"/>
          <w:szCs w:val="16"/>
          <w:color w:val="auto"/>
        </w:rPr>
        <w:t>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166"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70" w:lineRule="exact"/>
        <w:rPr>
          <w:sz w:val="20"/>
          <w:szCs w:val="20"/>
          <w:color w:val="auto"/>
        </w:rPr>
      </w:pPr>
    </w:p>
    <w:p>
      <w:pPr>
        <w:ind w:left="820" w:right="360" w:firstLine="385"/>
        <w:spacing w:after="0" w:line="266" w:lineRule="auto"/>
        <w:rPr>
          <w:sz w:val="20"/>
          <w:szCs w:val="20"/>
          <w:color w:val="auto"/>
        </w:rPr>
      </w:pPr>
      <w:r>
        <w:rPr>
          <w:rFonts w:ascii="Arial" w:cs="Arial" w:eastAsia="Arial" w:hAnsi="Arial"/>
          <w:sz w:val="16"/>
          <w:szCs w:val="16"/>
          <w:color w:val="auto"/>
        </w:rPr>
        <w:t>We expect to face competition from existing products and products in development for each of our programs. We anticipate substantial direct competition from a variety of competitors, including:</w:t>
      </w:r>
    </w:p>
    <w:p>
      <w:pPr>
        <w:spacing w:after="0" w:line="76" w:lineRule="exact"/>
        <w:rPr>
          <w:sz w:val="20"/>
          <w:szCs w:val="20"/>
          <w:color w:val="auto"/>
        </w:rPr>
      </w:pPr>
    </w:p>
    <w:p>
      <w:pPr>
        <w:ind w:left="1660" w:right="580" w:hanging="469"/>
        <w:spacing w:after="0" w:line="281" w:lineRule="auto"/>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cardiovascular drug development: Companies known to have approved product and active drug development efforts for cardiovascular disease include but are not limited to AstraZeneca, Bayer, Bristol Myers Squibb, Cytokinetics, Eli Lilly, Johnson &amp; Johnson/Janssen, Maze Therapeutics, Merck, Novartis, and Novo Nordisk;</w:t>
      </w:r>
    </w:p>
    <w:p>
      <w:pPr>
        <w:spacing w:after="0" w:line="66" w:lineRule="exact"/>
        <w:rPr>
          <w:rFonts w:ascii="Arial" w:cs="Arial" w:eastAsia="Arial" w:hAnsi="Arial"/>
          <w:sz w:val="15"/>
          <w:szCs w:val="15"/>
          <w:color w:val="auto"/>
        </w:rPr>
      </w:pPr>
    </w:p>
    <w:p>
      <w:pPr>
        <w:ind w:left="1660" w:right="140" w:hanging="469"/>
        <w:spacing w:after="0" w:line="256" w:lineRule="auto"/>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 Therapy platform: Companies known to be pursuing gene therapy approaches for the heart include but are not limited to 4D Molecular Therapeutics, Bayer, Bristol Myers Squibb, BioMarin Pharmaceutical, DiNAQOR, Nuevocor, Precigen, Renova Therapeutics, Renovacor, Rocket Pharmaceuticals, Sardicor, Stride Bio, and uniQure;</w:t>
      </w:r>
    </w:p>
    <w:p>
      <w:pPr>
        <w:spacing w:after="0" w:line="83" w:lineRule="exact"/>
        <w:rPr>
          <w:rFonts w:ascii="Arial" w:cs="Arial" w:eastAsia="Arial" w:hAnsi="Arial"/>
          <w:sz w:val="16"/>
          <w:szCs w:val="16"/>
          <w:color w:val="auto"/>
        </w:rPr>
      </w:pPr>
    </w:p>
    <w:p>
      <w:pPr>
        <w:ind w:left="1660" w:right="120" w:hanging="469"/>
        <w:spacing w:after="0" w:line="256" w:lineRule="auto"/>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Cellular Regeneration platform: Companies known to be pursuing approaches to cellular regeneration for the heart include but are not limited to AstraZeneca, Bayer, BioCardia, Cardior Pharmaceuticals, Jaan Biotherapeutics, Khloris Biosciences, Mesoblast, Mogrify, Sana Biotechnologies and Xylocor Therapeutics; and</w:t>
      </w:r>
    </w:p>
    <w:p>
      <w:pPr>
        <w:spacing w:after="0" w:line="83"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Precision Medicine platform: Companies known to be pursuing approaches to drug discovery for the heart using disease models based on iPSC-CMs include but are not limited to DiNAQOR and Tara Biosystems.</w:t>
      </w:r>
    </w:p>
    <w:p>
      <w:pPr>
        <w:spacing w:after="0" w:line="158" w:lineRule="exact"/>
        <w:rPr>
          <w:sz w:val="20"/>
          <w:szCs w:val="20"/>
          <w:color w:val="auto"/>
        </w:rPr>
      </w:pPr>
    </w:p>
    <w:p>
      <w:pPr>
        <w:ind w:left="820" w:right="100" w:firstLine="385"/>
        <w:spacing w:after="0" w:line="312" w:lineRule="auto"/>
        <w:rPr>
          <w:sz w:val="20"/>
          <w:szCs w:val="20"/>
          <w:color w:val="auto"/>
        </w:rPr>
      </w:pPr>
      <w:r>
        <w:rPr>
          <w:rFonts w:ascii="Arial" w:cs="Arial" w:eastAsia="Arial" w:hAnsi="Arial"/>
          <w:sz w:val="13"/>
          <w:szCs w:val="13"/>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326" w:lineRule="exact"/>
        <w:rPr>
          <w:sz w:val="20"/>
          <w:szCs w:val="20"/>
          <w:color w:val="auto"/>
        </w:rPr>
      </w:pPr>
    </w:p>
    <w:p>
      <w:pPr>
        <w:ind w:left="820" w:right="20" w:firstLine="385"/>
        <w:spacing w:after="0" w:line="275"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440"/>
          </w:cols>
          <w:pgMar w:left="320" w:top="418" w:right="11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40"/>
        <w:spacing w:after="0" w:line="251" w:lineRule="auto"/>
        <w:rPr>
          <w:sz w:val="20"/>
          <w:szCs w:val="20"/>
          <w:color w:val="auto"/>
        </w:rPr>
      </w:pPr>
      <w:r>
        <w:rPr>
          <w:rFonts w:ascii="Arial" w:cs="Arial" w:eastAsia="Arial" w:hAnsi="Arial"/>
          <w:sz w:val="16"/>
          <w:szCs w:val="16"/>
          <w:color w:val="auto"/>
        </w:rPr>
        <w:t>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64" w:lineRule="exact"/>
        <w:rPr>
          <w:sz w:val="20"/>
          <w:szCs w:val="20"/>
          <w:color w:val="auto"/>
        </w:rPr>
      </w:pPr>
    </w:p>
    <w:p>
      <w:pPr>
        <w:ind w:left="1200" w:right="80"/>
        <w:spacing w:after="0" w:line="300" w:lineRule="auto"/>
        <w:rPr>
          <w:sz w:val="20"/>
          <w:szCs w:val="20"/>
          <w:color w:val="auto"/>
        </w:rPr>
      </w:pPr>
      <w:r>
        <w:rPr>
          <w:rFonts w:ascii="Arial" w:cs="Arial" w:eastAsia="Arial" w:hAnsi="Arial"/>
          <w:sz w:val="15"/>
          <w:szCs w:val="15"/>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40" w:lineRule="exact"/>
        <w:rPr>
          <w:sz w:val="20"/>
          <w:szCs w:val="20"/>
          <w:color w:val="auto"/>
        </w:rPr>
      </w:pPr>
    </w:p>
    <w:p>
      <w:pPr>
        <w:ind w:left="820" w:right="80" w:firstLine="385"/>
        <w:spacing w:after="0" w:line="311" w:lineRule="auto"/>
        <w:rPr>
          <w:sz w:val="20"/>
          <w:szCs w:val="20"/>
          <w:color w:val="auto"/>
        </w:rPr>
      </w:pPr>
      <w:r>
        <w:rPr>
          <w:rFonts w:ascii="Arial" w:cs="Arial" w:eastAsia="Arial" w:hAnsi="Arial"/>
          <w:sz w:val="13"/>
          <w:szCs w:val="13"/>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326" w:lineRule="exact"/>
        <w:rPr>
          <w:sz w:val="20"/>
          <w:szCs w:val="20"/>
          <w:color w:val="auto"/>
        </w:rPr>
      </w:pPr>
    </w:p>
    <w:p>
      <w:pPr>
        <w:ind w:left="820" w:right="100" w:firstLine="385"/>
        <w:spacing w:after="0" w:line="316" w:lineRule="auto"/>
        <w:rPr>
          <w:sz w:val="20"/>
          <w:szCs w:val="20"/>
          <w:color w:val="auto"/>
        </w:rPr>
      </w:pPr>
      <w:r>
        <w:rPr>
          <w:rFonts w:ascii="Arial" w:cs="Arial" w:eastAsia="Arial" w:hAnsi="Arial"/>
          <w:sz w:val="13"/>
          <w:szCs w:val="13"/>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We may not be successful in our efforts to utilize our proprietary drug discovery platforms to develop a pipeline of product candidates.</w:t>
      </w:r>
    </w:p>
    <w:p>
      <w:pPr>
        <w:spacing w:after="0" w:line="133"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7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420"/>
          </w:cols>
          <w:pgMar w:left="320" w:top="418" w:right="11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80"/>
        <w:spacing w:after="0" w:line="251" w:lineRule="auto"/>
        <w:rPr>
          <w:sz w:val="20"/>
          <w:szCs w:val="20"/>
          <w:color w:val="auto"/>
        </w:rPr>
      </w:pPr>
      <w:r>
        <w:rPr>
          <w:rFonts w:ascii="Arial" w:cs="Arial" w:eastAsia="Arial" w:hAnsi="Arial"/>
          <w:sz w:val="16"/>
          <w:szCs w:val="16"/>
          <w:color w:val="auto"/>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170" w:lineRule="exact"/>
        <w:rPr>
          <w:sz w:val="20"/>
          <w:szCs w:val="20"/>
          <w:color w:val="auto"/>
        </w:rPr>
      </w:pPr>
    </w:p>
    <w:p>
      <w:pPr>
        <w:ind w:left="820" w:right="40" w:firstLine="385"/>
        <w:spacing w:after="0" w:line="314" w:lineRule="auto"/>
        <w:rPr>
          <w:sz w:val="20"/>
          <w:szCs w:val="20"/>
          <w:color w:val="auto"/>
        </w:rPr>
      </w:pPr>
      <w:r>
        <w:rPr>
          <w:rFonts w:ascii="Arial" w:cs="Arial" w:eastAsia="Arial" w:hAnsi="Arial"/>
          <w:sz w:val="13"/>
          <w:szCs w:val="13"/>
          <w:color w:val="auto"/>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200" w:lineRule="exact"/>
        <w:rPr>
          <w:sz w:val="20"/>
          <w:szCs w:val="20"/>
          <w:color w:val="auto"/>
        </w:rPr>
      </w:pPr>
    </w:p>
    <w:p>
      <w:pPr>
        <w:spacing w:after="0" w:line="216" w:lineRule="exact"/>
        <w:rPr>
          <w:sz w:val="20"/>
          <w:szCs w:val="20"/>
          <w:color w:val="auto"/>
        </w:rPr>
      </w:pPr>
    </w:p>
    <w:p>
      <w:pPr>
        <w:jc w:val="both"/>
        <w:ind w:left="1200" w:right="100"/>
        <w:spacing w:after="0" w:line="281" w:lineRule="auto"/>
        <w:rPr>
          <w:sz w:val="20"/>
          <w:szCs w:val="20"/>
          <w:color w:val="auto"/>
        </w:rPr>
      </w:pPr>
      <w:r>
        <w:rPr>
          <w:rFonts w:ascii="Arial" w:cs="Arial" w:eastAsia="Arial" w:hAnsi="Arial"/>
          <w:sz w:val="15"/>
          <w:szCs w:val="15"/>
          <w:b w:val="1"/>
          <w:bCs w:val="1"/>
          <w:i w:val="1"/>
          <w:iCs w:val="1"/>
          <w:color w:val="auto"/>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54"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54" w:lineRule="exact"/>
        <w:rPr>
          <w:sz w:val="20"/>
          <w:szCs w:val="20"/>
          <w:color w:val="auto"/>
        </w:rPr>
      </w:pPr>
    </w:p>
    <w:p>
      <w:pPr>
        <w:ind w:left="1200"/>
        <w:spacing w:after="0" w:line="378" w:lineRule="auto"/>
        <w:rPr>
          <w:sz w:val="20"/>
          <w:szCs w:val="20"/>
          <w:color w:val="auto"/>
        </w:rPr>
      </w:pPr>
      <w:r>
        <w:rPr>
          <w:rFonts w:ascii="Arial" w:cs="Arial" w:eastAsia="Arial" w:hAnsi="Arial"/>
          <w:sz w:val="13"/>
          <w:szCs w:val="13"/>
          <w:b w:val="1"/>
          <w:bCs w:val="1"/>
          <w:i w:val="1"/>
          <w:iCs w:val="1"/>
          <w:color w:val="auto"/>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420"/>
          </w:cols>
          <w:pgMar w:left="320" w:top="418" w:right="11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comparable applicable foreign regulatory authorities standards or specifications with consistent and acceptable production yields and costs.</w:t>
      </w:r>
    </w:p>
    <w:p>
      <w:pPr>
        <w:spacing w:after="0" w:line="193" w:lineRule="exact"/>
        <w:rPr>
          <w:sz w:val="20"/>
          <w:szCs w:val="20"/>
          <w:color w:val="auto"/>
        </w:rPr>
      </w:pPr>
    </w:p>
    <w:p>
      <w:pPr>
        <w:ind w:left="820" w:right="260" w:firstLine="385"/>
        <w:spacing w:after="0" w:line="250" w:lineRule="auto"/>
        <w:rPr>
          <w:sz w:val="20"/>
          <w:szCs w:val="20"/>
          <w:color w:val="auto"/>
        </w:rPr>
      </w:pPr>
      <w:r>
        <w:rPr>
          <w:rFonts w:ascii="Arial" w:cs="Arial" w:eastAsia="Arial" w:hAnsi="Arial"/>
          <w:sz w:val="16"/>
          <w:szCs w:val="16"/>
          <w:color w:val="auto"/>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171" w:lineRule="exact"/>
        <w:rPr>
          <w:sz w:val="20"/>
          <w:szCs w:val="20"/>
          <w:color w:val="auto"/>
        </w:rPr>
      </w:pPr>
    </w:p>
    <w:p>
      <w:pPr>
        <w:ind w:left="820" w:right="180" w:firstLine="385"/>
        <w:spacing w:after="0" w:line="256"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66" w:lineRule="exact"/>
        <w:rPr>
          <w:sz w:val="20"/>
          <w:szCs w:val="20"/>
          <w:color w:val="auto"/>
        </w:rPr>
      </w:pPr>
    </w:p>
    <w:p>
      <w:pPr>
        <w:ind w:left="820" w:right="80" w:firstLine="385"/>
        <w:spacing w:after="0" w:line="323" w:lineRule="auto"/>
        <w:rPr>
          <w:sz w:val="20"/>
          <w:szCs w:val="20"/>
          <w:color w:val="auto"/>
        </w:rPr>
      </w:pPr>
      <w:r>
        <w:rPr>
          <w:rFonts w:ascii="Arial" w:cs="Arial" w:eastAsia="Arial" w:hAnsi="Arial"/>
          <w:sz w:val="13"/>
          <w:szCs w:val="13"/>
          <w:color w:val="auto"/>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20" w:lineRule="exact"/>
        <w:rPr>
          <w:sz w:val="20"/>
          <w:szCs w:val="20"/>
          <w:color w:val="auto"/>
        </w:rPr>
      </w:pPr>
    </w:p>
    <w:p>
      <w:pPr>
        <w:jc w:val="both"/>
        <w:ind w:left="1200" w:right="160"/>
        <w:spacing w:after="0" w:line="256" w:lineRule="auto"/>
        <w:rPr>
          <w:sz w:val="20"/>
          <w:szCs w:val="20"/>
          <w:color w:val="auto"/>
        </w:rPr>
      </w:pPr>
      <w:r>
        <w:rPr>
          <w:rFonts w:ascii="Arial" w:cs="Arial" w:eastAsia="Arial" w:hAnsi="Arial"/>
          <w:sz w:val="16"/>
          <w:szCs w:val="16"/>
          <w:b w:val="1"/>
          <w:bCs w:val="1"/>
          <w:i w:val="1"/>
          <w:iCs w:val="1"/>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71" w:lineRule="exact"/>
        <w:rPr>
          <w:sz w:val="20"/>
          <w:szCs w:val="20"/>
          <w:color w:val="auto"/>
        </w:rPr>
      </w:pPr>
    </w:p>
    <w:p>
      <w:pPr>
        <w:ind w:left="820" w:right="80" w:firstLine="385"/>
        <w:spacing w:after="0" w:line="267" w:lineRule="auto"/>
        <w:rPr>
          <w:sz w:val="20"/>
          <w:szCs w:val="20"/>
          <w:color w:val="auto"/>
        </w:rPr>
      </w:pPr>
      <w:r>
        <w:rPr>
          <w:rFonts w:ascii="Arial" w:cs="Arial" w:eastAsia="Arial" w:hAnsi="Arial"/>
          <w:sz w:val="15"/>
          <w:szCs w:val="15"/>
          <w:color w:val="auto"/>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in the first half of 2022.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intend to initiate cGMP manufacturing for our HDAC6 inhibitor program, TYA-11631, before the end of 2021.</w:t>
      </w:r>
    </w:p>
    <w:p>
      <w:pPr>
        <w:spacing w:after="0" w:line="163"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once operational, and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420"/>
          </w:cols>
          <w:pgMar w:left="320" w:top="418" w:right="115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56" w:lineRule="auto"/>
        <w:rPr>
          <w:sz w:val="20"/>
          <w:szCs w:val="20"/>
          <w:color w:val="auto"/>
        </w:rPr>
      </w:pPr>
      <w:r>
        <w:rPr>
          <w:rFonts w:ascii="Arial" w:cs="Arial" w:eastAsia="Arial" w:hAnsi="Arial"/>
          <w:sz w:val="16"/>
          <w:szCs w:val="16"/>
          <w:color w:val="auto"/>
        </w:rPr>
        <w:t>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166"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70" w:lineRule="exact"/>
        <w:rPr>
          <w:sz w:val="20"/>
          <w:szCs w:val="20"/>
          <w:color w:val="auto"/>
        </w:rPr>
      </w:pPr>
    </w:p>
    <w:p>
      <w:pPr>
        <w:ind w:left="820" w:right="180" w:firstLine="385"/>
        <w:spacing w:after="0" w:line="256" w:lineRule="auto"/>
        <w:rPr>
          <w:sz w:val="20"/>
          <w:szCs w:val="20"/>
          <w:color w:val="auto"/>
        </w:rPr>
      </w:pPr>
      <w:r>
        <w:rPr>
          <w:rFonts w:ascii="Arial" w:cs="Arial" w:eastAsia="Arial" w:hAnsi="Arial"/>
          <w:sz w:val="16"/>
          <w:szCs w:val="16"/>
          <w:color w:val="auto"/>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260" w:lineRule="exact"/>
        <w:rPr>
          <w:sz w:val="20"/>
          <w:szCs w:val="20"/>
          <w:color w:val="auto"/>
        </w:rPr>
      </w:pPr>
    </w:p>
    <w:p>
      <w:pPr>
        <w:ind w:left="1200" w:right="220"/>
        <w:spacing w:after="0" w:line="300" w:lineRule="auto"/>
        <w:rPr>
          <w:sz w:val="20"/>
          <w:szCs w:val="20"/>
          <w:color w:val="auto"/>
        </w:rPr>
      </w:pPr>
      <w:r>
        <w:rPr>
          <w:rFonts w:ascii="Arial" w:cs="Arial" w:eastAsia="Arial" w:hAnsi="Arial"/>
          <w:sz w:val="15"/>
          <w:szCs w:val="15"/>
          <w:b w:val="1"/>
          <w:bCs w:val="1"/>
          <w:i w:val="1"/>
          <w:iCs w:val="1"/>
          <w:color w:val="auto"/>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40"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00" w:lineRule="exact"/>
        <w:rPr>
          <w:sz w:val="20"/>
          <w:szCs w:val="20"/>
          <w:color w:val="auto"/>
        </w:rPr>
      </w:pPr>
    </w:p>
    <w:p>
      <w:pPr>
        <w:spacing w:after="0" w:line="218" w:lineRule="exact"/>
        <w:rPr>
          <w:sz w:val="20"/>
          <w:szCs w:val="20"/>
          <w:color w:val="auto"/>
        </w:rPr>
      </w:pPr>
    </w:p>
    <w:p>
      <w:pPr>
        <w:ind w:left="1200" w:right="260"/>
        <w:spacing w:after="0" w:line="300" w:lineRule="auto"/>
        <w:rPr>
          <w:sz w:val="20"/>
          <w:szCs w:val="20"/>
          <w:color w:val="auto"/>
        </w:rPr>
      </w:pPr>
      <w:r>
        <w:rPr>
          <w:rFonts w:ascii="Arial" w:cs="Arial" w:eastAsia="Arial" w:hAnsi="Arial"/>
          <w:sz w:val="15"/>
          <w:szCs w:val="15"/>
          <w:b w:val="1"/>
          <w:bCs w:val="1"/>
          <w:i w:val="1"/>
          <w:iCs w:val="1"/>
          <w:color w:val="auto"/>
        </w:rPr>
        <w:t>We may not be able to successfully manufacture our product candidates in sufficient quality and quantity, which would delay or prevent us from developing our product candidates and commercializing resulting approved products, if any.</w:t>
      </w:r>
    </w:p>
    <w:p>
      <w:pPr>
        <w:spacing w:after="0" w:line="40"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420"/>
          </w:cols>
          <w:pgMar w:left="320" w:top="418" w:right="11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99" w:lineRule="exact"/>
        <w:rPr>
          <w:sz w:val="20"/>
          <w:szCs w:val="20"/>
          <w:color w:val="auto"/>
        </w:rPr>
      </w:pPr>
    </w:p>
    <w:p>
      <w:pPr>
        <w:ind w:left="820" w:right="220" w:firstLine="385"/>
        <w:spacing w:after="0" w:line="268" w:lineRule="auto"/>
        <w:rPr>
          <w:sz w:val="20"/>
          <w:szCs w:val="20"/>
          <w:color w:val="auto"/>
        </w:rPr>
      </w:pPr>
      <w:r>
        <w:rPr>
          <w:rFonts w:ascii="Arial" w:cs="Arial" w:eastAsia="Arial" w:hAnsi="Arial"/>
          <w:sz w:val="15"/>
          <w:szCs w:val="15"/>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Even if approved, we may not successfully commercialize our product candidates.</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85" w:lineRule="exact"/>
        <w:rPr>
          <w:sz w:val="20"/>
          <w:szCs w:val="20"/>
          <w:color w:val="auto"/>
        </w:rPr>
      </w:pPr>
    </w:p>
    <w:p>
      <w:pPr>
        <w:ind w:left="1660" w:right="100" w:hanging="469"/>
        <w:spacing w:after="0" w:line="256" w:lineRule="auto"/>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83" w:lineRule="exact"/>
        <w:rPr>
          <w:rFonts w:ascii="Arial" w:cs="Arial" w:eastAsia="Arial" w:hAnsi="Arial"/>
          <w:sz w:val="16"/>
          <w:szCs w:val="16"/>
          <w:color w:val="auto"/>
        </w:rPr>
      </w:pPr>
    </w:p>
    <w:p>
      <w:pPr>
        <w:ind w:left="1660" w:right="500" w:hanging="469"/>
        <w:spacing w:after="0" w:line="266" w:lineRule="auto"/>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may be difficult to manufacture or market our product candidates on a scale that is necessary to ultimately deliver our products to end-users;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intellectual property and proprietary rights of third parties may preclude us from marketing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nature of our indications as rare diseases means that the potential market size may be limited; and</w:t>
      </w:r>
    </w:p>
    <w:p>
      <w:pPr>
        <w:spacing w:after="0" w:line="110" w:lineRule="exact"/>
        <w:rPr>
          <w:rFonts w:ascii="Arial" w:cs="Arial" w:eastAsia="Arial" w:hAnsi="Arial"/>
          <w:sz w:val="16"/>
          <w:szCs w:val="16"/>
          <w:color w:val="auto"/>
        </w:rPr>
      </w:pPr>
    </w:p>
    <w:p>
      <w:pPr>
        <w:ind w:left="1660" w:right="280" w:hanging="469"/>
        <w:spacing w:after="0" w:line="266" w:lineRule="auto"/>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third parties may market superior or equivalent drugs which could adversely affect the commercial viability and success of our product candidates.</w:t>
      </w:r>
    </w:p>
    <w:p>
      <w:pPr>
        <w:spacing w:after="0" w:line="252" w:lineRule="exact"/>
        <w:rPr>
          <w:sz w:val="20"/>
          <w:szCs w:val="20"/>
          <w:color w:val="auto"/>
        </w:rPr>
      </w:pPr>
    </w:p>
    <w:p>
      <w:pPr>
        <w:ind w:left="1200" w:right="20"/>
        <w:spacing w:after="0" w:line="266" w:lineRule="auto"/>
        <w:rPr>
          <w:sz w:val="20"/>
          <w:szCs w:val="20"/>
          <w:color w:val="auto"/>
        </w:rPr>
      </w:pPr>
      <w:r>
        <w:rPr>
          <w:rFonts w:ascii="Arial" w:cs="Arial" w:eastAsia="Arial" w:hAnsi="Arial"/>
          <w:sz w:val="16"/>
          <w:szCs w:val="16"/>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4" w:lineRule="exact"/>
        <w:rPr>
          <w:sz w:val="20"/>
          <w:szCs w:val="20"/>
          <w:color w:val="auto"/>
        </w:rPr>
      </w:pPr>
    </w:p>
    <w:p>
      <w:pPr>
        <w:jc w:val="both"/>
        <w:ind w:left="820" w:firstLine="385"/>
        <w:spacing w:after="0" w:line="253"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85" w:lineRule="exact"/>
        <w:rPr>
          <w:sz w:val="20"/>
          <w:szCs w:val="20"/>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efficacy and safety profile as demonstrated in clinical trials compared to alternative treatments;</w:t>
      </w:r>
    </w:p>
    <w:p>
      <w:pPr>
        <w:spacing w:after="0" w:line="110"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size of the relevant pediatric patient population if approved for a pediatric indication, including challenges associated with diagnosing or identifying pediatric populations with the applicable target disease or condition;</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perceive safety and efficacy profile and ease of use for pediatric patient population if approved for a pediatric indication;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of market introduction of the product candidate as well as competitive products;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clinical indications for which a product candidate is approved;</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420"/>
          </w:cols>
          <w:pgMar w:left="320" w:top="418" w:right="11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120" w:hanging="469"/>
        <w:spacing w:after="0" w:line="256" w:lineRule="auto"/>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physicians, hospitals, treatment centers and patients considering our product candidates as a safe, pure and effective treatment;</w:t>
      </w:r>
    </w:p>
    <w:p>
      <w:pPr>
        <w:spacing w:after="0" w:line="122" w:lineRule="exact"/>
        <w:rPr>
          <w:rFonts w:ascii="Arial" w:cs="Arial" w:eastAsia="Arial" w:hAnsi="Arial"/>
          <w:sz w:val="15"/>
          <w:szCs w:val="15"/>
          <w:color w:val="auto"/>
        </w:rPr>
      </w:pPr>
    </w:p>
    <w:p>
      <w:pPr>
        <w:ind w:left="1660" w:right="160" w:hanging="469"/>
        <w:spacing w:after="0" w:line="266" w:lineRule="auto"/>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perceived prevalence and severity of any side effects for our product candidates compared to the prevalence and severity of any side effects for conventional products and other gene therapies;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potential and perceived advantages of our product candidates over alternative treatments;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relative convenience and ease of administration;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willingness of the target patient population or their caregivers to try new therapies and of physicians to prescribe these therapies;</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availability of coverage and adequate reimbursement by third-party payors, including government authorities;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patients’ willingness to pay for these therapies in the absence of such coverage and adequate reimbursement;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effectiveness of sales and marketing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support from KOLs and patient advocacy groups;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unfavorable publicity relating to our product candidates;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approval of other new therapies for the same indications.</w:t>
      </w:r>
    </w:p>
    <w:p>
      <w:pPr>
        <w:spacing w:after="0" w:line="193" w:lineRule="exact"/>
        <w:rPr>
          <w:sz w:val="20"/>
          <w:szCs w:val="20"/>
          <w:color w:val="auto"/>
        </w:rPr>
      </w:pPr>
    </w:p>
    <w:p>
      <w:pPr>
        <w:ind w:left="820" w:right="80" w:firstLine="385"/>
        <w:spacing w:after="0" w:line="383" w:lineRule="auto"/>
        <w:rPr>
          <w:sz w:val="20"/>
          <w:szCs w:val="20"/>
          <w:color w:val="auto"/>
        </w:rPr>
      </w:pPr>
      <w:r>
        <w:rPr>
          <w:rFonts w:ascii="Arial" w:cs="Arial" w:eastAsia="Arial" w:hAnsi="Arial"/>
          <w:sz w:val="13"/>
          <w:szCs w:val="13"/>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83" w:lineRule="exact"/>
        <w:rPr>
          <w:sz w:val="20"/>
          <w:szCs w:val="20"/>
          <w:color w:val="auto"/>
        </w:rPr>
      </w:pPr>
    </w:p>
    <w:p>
      <w:pPr>
        <w:ind w:left="1200" w:right="260"/>
        <w:spacing w:after="0" w:line="300" w:lineRule="auto"/>
        <w:rPr>
          <w:sz w:val="20"/>
          <w:szCs w:val="20"/>
          <w:color w:val="auto"/>
        </w:rPr>
      </w:pPr>
      <w:r>
        <w:rPr>
          <w:rFonts w:ascii="Arial" w:cs="Arial" w:eastAsia="Arial" w:hAnsi="Arial"/>
          <w:sz w:val="15"/>
          <w:szCs w:val="15"/>
          <w:b w:val="1"/>
          <w:bCs w:val="1"/>
          <w:i w:val="1"/>
          <w:iCs w:val="1"/>
          <w:color w:val="auto"/>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40"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167"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color w:val="auto"/>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173"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Publicity of any adverse events in, or unfavorable results of, preclinical studies or clinical trials for any current or future product candidates, or with respect to the studies or trials of our competitors or of academic</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360"/>
          </w:cols>
          <w:pgMar w:left="320" w:top="418" w:right="121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5" w:lineRule="auto"/>
        <w:rPr>
          <w:sz w:val="20"/>
          <w:szCs w:val="20"/>
          <w:color w:val="auto"/>
        </w:rPr>
      </w:pPr>
      <w:r>
        <w:rPr>
          <w:rFonts w:ascii="Arial" w:cs="Arial" w:eastAsia="Arial" w:hAnsi="Arial"/>
          <w:sz w:val="15"/>
          <w:szCs w:val="15"/>
          <w:color w:val="auto"/>
        </w:rPr>
        <w:t>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247" w:lineRule="exact"/>
        <w:rPr>
          <w:sz w:val="20"/>
          <w:szCs w:val="20"/>
          <w:color w:val="auto"/>
        </w:rPr>
      </w:pPr>
    </w:p>
    <w:p>
      <w:pPr>
        <w:ind w:left="1200" w:right="60"/>
        <w:spacing w:after="0" w:line="272" w:lineRule="auto"/>
        <w:rPr>
          <w:sz w:val="20"/>
          <w:szCs w:val="20"/>
          <w:color w:val="auto"/>
        </w:rPr>
      </w:pPr>
      <w:r>
        <w:rPr>
          <w:rFonts w:ascii="Arial" w:cs="Arial" w:eastAsia="Arial" w:hAnsi="Arial"/>
          <w:sz w:val="15"/>
          <w:szCs w:val="15"/>
          <w:b w:val="1"/>
          <w:bCs w:val="1"/>
          <w:i w:val="1"/>
          <w:iCs w:val="1"/>
          <w:color w:val="auto"/>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60" w:lineRule="exact"/>
        <w:rPr>
          <w:sz w:val="20"/>
          <w:szCs w:val="20"/>
          <w:color w:val="auto"/>
        </w:rPr>
      </w:pPr>
    </w:p>
    <w:p>
      <w:pPr>
        <w:ind w:left="820" w:right="20" w:firstLine="385"/>
        <w:spacing w:after="0" w:line="265" w:lineRule="auto"/>
        <w:rPr>
          <w:sz w:val="20"/>
          <w:szCs w:val="20"/>
          <w:color w:val="auto"/>
        </w:rPr>
      </w:pPr>
      <w:r>
        <w:rPr>
          <w:rFonts w:ascii="Arial" w:cs="Arial" w:eastAsia="Arial" w:hAnsi="Arial"/>
          <w:sz w:val="15"/>
          <w:szCs w:val="15"/>
          <w:color w:val="auto"/>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167" w:lineRule="exact"/>
        <w:rPr>
          <w:sz w:val="20"/>
          <w:szCs w:val="20"/>
          <w:color w:val="auto"/>
        </w:rPr>
      </w:pPr>
    </w:p>
    <w:p>
      <w:pPr>
        <w:ind w:left="820" w:right="100" w:firstLine="385"/>
        <w:spacing w:after="0" w:line="275" w:lineRule="auto"/>
        <w:rPr>
          <w:sz w:val="20"/>
          <w:szCs w:val="20"/>
          <w:color w:val="auto"/>
        </w:rPr>
      </w:pPr>
      <w:r>
        <w:rPr>
          <w:rFonts w:ascii="Arial" w:cs="Arial" w:eastAsia="Arial" w:hAnsi="Arial"/>
          <w:sz w:val="15"/>
          <w:szCs w:val="15"/>
          <w:color w:val="auto"/>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247" w:lineRule="exact"/>
        <w:rPr>
          <w:sz w:val="20"/>
          <w:szCs w:val="20"/>
          <w:color w:val="auto"/>
        </w:rPr>
      </w:pPr>
    </w:p>
    <w:p>
      <w:pPr>
        <w:ind w:left="1200" w:right="140"/>
        <w:spacing w:after="0" w:line="266" w:lineRule="auto"/>
        <w:rPr>
          <w:sz w:val="20"/>
          <w:szCs w:val="20"/>
          <w:color w:val="auto"/>
        </w:rPr>
      </w:pPr>
      <w:r>
        <w:rPr>
          <w:rFonts w:ascii="Arial" w:cs="Arial" w:eastAsia="Arial" w:hAnsi="Arial"/>
          <w:sz w:val="16"/>
          <w:szCs w:val="16"/>
          <w:b w:val="1"/>
          <w:bCs w:val="1"/>
          <w:i w:val="1"/>
          <w:iCs w:val="1"/>
          <w:color w:val="auto"/>
        </w:rPr>
        <w:t>Any product candidates we develop may become subject to unfavorable third-party coverage and reimbursement practices, as well as pricing regulations.</w:t>
      </w:r>
    </w:p>
    <w:p>
      <w:pPr>
        <w:spacing w:after="0" w:line="64"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171" w:lineRule="exact"/>
        <w:rPr>
          <w:sz w:val="20"/>
          <w:szCs w:val="20"/>
          <w:color w:val="auto"/>
        </w:rPr>
      </w:pPr>
    </w:p>
    <w:p>
      <w:pPr>
        <w:ind w:left="820" w:right="80" w:firstLine="385"/>
        <w:spacing w:after="0" w:line="343" w:lineRule="auto"/>
        <w:rPr>
          <w:sz w:val="20"/>
          <w:szCs w:val="20"/>
          <w:color w:val="auto"/>
        </w:rPr>
      </w:pPr>
      <w:r>
        <w:rPr>
          <w:rFonts w:ascii="Arial" w:cs="Arial" w:eastAsia="Arial" w:hAnsi="Arial"/>
          <w:sz w:val="13"/>
          <w:szCs w:val="13"/>
          <w:color w:val="auto"/>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400"/>
          </w:cols>
          <w:pgMar w:left="320" w:top="418" w:right="117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53" w:lineRule="auto"/>
        <w:rPr>
          <w:sz w:val="20"/>
          <w:szCs w:val="20"/>
          <w:color w:val="auto"/>
        </w:rPr>
      </w:pPr>
      <w:r>
        <w:rPr>
          <w:rFonts w:ascii="Arial" w:cs="Arial" w:eastAsia="Arial" w:hAnsi="Arial"/>
          <w:sz w:val="16"/>
          <w:szCs w:val="16"/>
          <w:color w:val="auto"/>
        </w:rPr>
        <w:t>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33"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63"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38"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400"/>
          </w:cols>
          <w:pgMar w:left="320" w:top="418" w:right="11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140"/>
        <w:spacing w:after="0" w:line="256" w:lineRule="auto"/>
        <w:rPr>
          <w:sz w:val="20"/>
          <w:szCs w:val="20"/>
          <w:color w:val="auto"/>
        </w:rPr>
      </w:pPr>
      <w:r>
        <w:rPr>
          <w:rFonts w:ascii="Arial" w:cs="Arial" w:eastAsia="Arial" w:hAnsi="Arial"/>
          <w:sz w:val="16"/>
          <w:szCs w:val="16"/>
          <w:b w:val="1"/>
          <w:bCs w:val="1"/>
          <w:i w:val="1"/>
          <w:iCs w:val="1"/>
          <w:color w:val="auto"/>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1"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33" w:lineRule="exact"/>
        <w:rPr>
          <w:sz w:val="20"/>
          <w:szCs w:val="20"/>
          <w:color w:val="auto"/>
        </w:rPr>
      </w:pPr>
    </w:p>
    <w:p>
      <w:pPr>
        <w:ind w:left="820" w:right="60" w:firstLine="385"/>
        <w:spacing w:after="0" w:line="323" w:lineRule="auto"/>
        <w:rPr>
          <w:sz w:val="20"/>
          <w:szCs w:val="20"/>
          <w:color w:val="auto"/>
        </w:rPr>
      </w:pPr>
      <w:r>
        <w:rPr>
          <w:rFonts w:ascii="Arial" w:cs="Arial" w:eastAsia="Arial" w:hAnsi="Arial"/>
          <w:sz w:val="13"/>
          <w:szCs w:val="13"/>
          <w:color w:val="auto"/>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1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Regardless of the merits or eventual outcome, liability claims may result in:</w:t>
      </w:r>
    </w:p>
    <w:p>
      <w:pPr>
        <w:spacing w:after="0" w:line="111" w:lineRule="exact"/>
        <w:rPr>
          <w:sz w:val="20"/>
          <w:szCs w:val="20"/>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delays in the development of our product candidates;</w:t>
      </w:r>
    </w:p>
    <w:p>
      <w:pPr>
        <w:spacing w:after="0" w:line="110"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FDA, EMA or other regulatory authority investigation of the safety and effectiveness of our products, our manufacturing processes and facilities or our marketing programs;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decreased or interrupted demand for our products;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injury to our reputation;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withdrawal of clinical trial participants and inability to continue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initiation of investigations by regulators;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exhaustion of any available insurance and our capital resources;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inability to commercialize any products.</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420"/>
          </w:cols>
          <w:pgMar w:left="320" w:top="418" w:right="115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Regulatory Approval and Other Legal Compliance Matters</w:t>
      </w:r>
    </w:p>
    <w:p>
      <w:pPr>
        <w:spacing w:after="0" w:line="197" w:lineRule="exact"/>
        <w:rPr>
          <w:sz w:val="20"/>
          <w:szCs w:val="20"/>
          <w:color w:val="auto"/>
        </w:rPr>
      </w:pPr>
    </w:p>
    <w:p>
      <w:pPr>
        <w:jc w:val="both"/>
        <w:ind w:left="1200" w:right="220"/>
        <w:spacing w:after="0" w:line="256" w:lineRule="auto"/>
        <w:rPr>
          <w:sz w:val="20"/>
          <w:szCs w:val="20"/>
          <w:color w:val="auto"/>
        </w:rPr>
      </w:pPr>
      <w:r>
        <w:rPr>
          <w:rFonts w:ascii="Arial" w:cs="Arial" w:eastAsia="Arial" w:hAnsi="Arial"/>
          <w:sz w:val="16"/>
          <w:szCs w:val="16"/>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1" w:lineRule="exact"/>
        <w:rPr>
          <w:sz w:val="20"/>
          <w:szCs w:val="20"/>
          <w:color w:val="auto"/>
        </w:rPr>
      </w:pPr>
    </w:p>
    <w:p>
      <w:pPr>
        <w:ind w:left="820" w:right="20" w:firstLine="385"/>
        <w:spacing w:after="0" w:line="308" w:lineRule="auto"/>
        <w:rPr>
          <w:sz w:val="20"/>
          <w:szCs w:val="20"/>
          <w:color w:val="auto"/>
        </w:rPr>
      </w:pPr>
      <w:r>
        <w:rPr>
          <w:rFonts w:ascii="Arial" w:cs="Arial" w:eastAsia="Arial" w:hAnsi="Arial"/>
          <w:sz w:val="13"/>
          <w:szCs w:val="13"/>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329" w:lineRule="exact"/>
        <w:rPr>
          <w:sz w:val="20"/>
          <w:szCs w:val="20"/>
          <w:color w:val="auto"/>
        </w:rPr>
      </w:pPr>
    </w:p>
    <w:p>
      <w:pPr>
        <w:ind w:left="820" w:right="140" w:firstLine="385"/>
        <w:spacing w:after="0" w:line="383" w:lineRule="auto"/>
        <w:rPr>
          <w:sz w:val="20"/>
          <w:szCs w:val="20"/>
          <w:color w:val="auto"/>
        </w:rPr>
      </w:pPr>
      <w:r>
        <w:rPr>
          <w:rFonts w:ascii="Arial" w:cs="Arial" w:eastAsia="Arial" w:hAnsi="Arial"/>
          <w:sz w:val="13"/>
          <w:szCs w:val="13"/>
          <w:color w:val="auto"/>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6" w:lineRule="exact"/>
        <w:rPr>
          <w:sz w:val="20"/>
          <w:szCs w:val="20"/>
          <w:color w:val="auto"/>
        </w:rPr>
      </w:pPr>
    </w:p>
    <w:p>
      <w:pPr>
        <w:ind w:left="1660" w:right="120" w:hanging="469"/>
        <w:spacing w:after="0" w:line="266"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disagree with the design, implementation or results of our clinical trials;</w:t>
      </w:r>
    </w:p>
    <w:p>
      <w:pPr>
        <w:spacing w:after="0" w:line="75" w:lineRule="exact"/>
        <w:rPr>
          <w:rFonts w:ascii="Arial" w:cs="Arial" w:eastAsia="Arial" w:hAnsi="Arial"/>
          <w:sz w:val="16"/>
          <w:szCs w:val="16"/>
          <w:color w:val="auto"/>
        </w:rPr>
      </w:pPr>
    </w:p>
    <w:p>
      <w:pPr>
        <w:ind w:left="1660" w:hanging="469"/>
        <w:spacing w:after="0" w:line="256"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3"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population studied in the clinical trial may not be sufficiently broad or representative to assure efficacy and safety in the full population for which we seek approval;</w:t>
      </w:r>
    </w:p>
    <w:p>
      <w:pPr>
        <w:spacing w:after="0" w:line="75"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disagree with our interpretation of data from preclinical studies or clinical trials;</w:t>
      </w:r>
    </w:p>
    <w:p>
      <w:pPr>
        <w:spacing w:after="0" w:line="75"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be unable to demonstrate to the FDA, EMA or other comparable foreign regulatory authorities that our product candidate’s risk-benefit ratio for its proposed indication is acceptable;</w:t>
      </w:r>
    </w:p>
    <w:p>
      <w:pPr>
        <w:spacing w:after="0" w:line="75" w:lineRule="exact"/>
        <w:rPr>
          <w:rFonts w:ascii="Arial" w:cs="Arial" w:eastAsia="Arial" w:hAnsi="Arial"/>
          <w:sz w:val="16"/>
          <w:szCs w:val="16"/>
          <w:color w:val="auto"/>
        </w:rPr>
      </w:pPr>
    </w:p>
    <w:p>
      <w:pPr>
        <w:ind w:left="1660" w:right="220" w:hanging="469"/>
        <w:spacing w:after="0" w:line="383" w:lineRule="auto"/>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6" w:lineRule="exact"/>
        <w:rPr>
          <w:rFonts w:ascii="Arial" w:cs="Arial" w:eastAsia="Arial" w:hAnsi="Arial"/>
          <w:sz w:val="13"/>
          <w:szCs w:val="13"/>
          <w:color w:val="auto"/>
        </w:rPr>
      </w:pPr>
    </w:p>
    <w:p>
      <w:pPr>
        <w:ind w:left="1660" w:right="280" w:hanging="469"/>
        <w:spacing w:after="0" w:line="266"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approval policies or regulations of the FDA, EMA or other comparable foreign regulatory authorities may significantly change in a manner rendering our clinical data insufficient for approval.</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420"/>
          </w:cols>
          <w:pgMar w:left="320" w:top="418" w:right="11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63" w:lineRule="exact"/>
        <w:rPr>
          <w:sz w:val="20"/>
          <w:szCs w:val="20"/>
          <w:color w:val="auto"/>
        </w:rPr>
      </w:pPr>
    </w:p>
    <w:p>
      <w:pPr>
        <w:ind w:left="820" w:firstLine="385"/>
        <w:spacing w:after="0" w:line="329" w:lineRule="auto"/>
        <w:rPr>
          <w:sz w:val="20"/>
          <w:szCs w:val="20"/>
          <w:color w:val="auto"/>
        </w:rPr>
      </w:pPr>
      <w:r>
        <w:rPr>
          <w:rFonts w:ascii="Arial" w:cs="Arial" w:eastAsia="Arial" w:hAnsi="Arial"/>
          <w:sz w:val="13"/>
          <w:szCs w:val="13"/>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218" w:lineRule="exact"/>
        <w:rPr>
          <w:sz w:val="20"/>
          <w:szCs w:val="20"/>
          <w:color w:val="auto"/>
        </w:rPr>
      </w:pPr>
    </w:p>
    <w:p>
      <w:pPr>
        <w:ind w:left="1200" w:right="180"/>
        <w:spacing w:after="0" w:line="266" w:lineRule="auto"/>
        <w:rPr>
          <w:sz w:val="20"/>
          <w:szCs w:val="20"/>
          <w:color w:val="auto"/>
        </w:rPr>
      </w:pPr>
      <w:r>
        <w:rPr>
          <w:rFonts w:ascii="Arial" w:cs="Arial" w:eastAsia="Arial" w:hAnsi="Arial"/>
          <w:sz w:val="16"/>
          <w:szCs w:val="16"/>
          <w:b w:val="1"/>
          <w:bCs w:val="1"/>
          <w:i w:val="1"/>
          <w:iCs w:val="1"/>
          <w:color w:val="auto"/>
        </w:rPr>
        <w:t>The FDA, EMA and other comparable foreign regulatory authorities may not accept data from trials conducted in locations outside of their jurisdiction.</w:t>
      </w:r>
    </w:p>
    <w:p>
      <w:pPr>
        <w:spacing w:after="0" w:line="64"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26" w:lineRule="exact"/>
        <w:rPr>
          <w:sz w:val="20"/>
          <w:szCs w:val="20"/>
          <w:color w:val="auto"/>
        </w:rPr>
      </w:pPr>
    </w:p>
    <w:p>
      <w:pPr>
        <w:ind w:left="1200" w:right="360"/>
        <w:spacing w:after="0" w:line="266" w:lineRule="auto"/>
        <w:rPr>
          <w:sz w:val="20"/>
          <w:szCs w:val="20"/>
          <w:color w:val="auto"/>
        </w:rPr>
      </w:pPr>
      <w:r>
        <w:rPr>
          <w:rFonts w:ascii="Arial" w:cs="Arial" w:eastAsia="Arial" w:hAnsi="Arial"/>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4" w:lineRule="exact"/>
        <w:rPr>
          <w:sz w:val="20"/>
          <w:szCs w:val="20"/>
          <w:color w:val="auto"/>
        </w:rPr>
      </w:pPr>
    </w:p>
    <w:p>
      <w:pPr>
        <w:ind w:left="820" w:right="60" w:firstLine="385"/>
        <w:spacing w:after="0" w:line="267" w:lineRule="auto"/>
        <w:rPr>
          <w:sz w:val="20"/>
          <w:szCs w:val="20"/>
          <w:color w:val="auto"/>
        </w:rPr>
      </w:pPr>
      <w:r>
        <w:rPr>
          <w:rFonts w:ascii="Arial" w:cs="Arial" w:eastAsia="Arial" w:hAnsi="Arial"/>
          <w:sz w:val="15"/>
          <w:szCs w:val="15"/>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9" w:lineRule="exact"/>
        <w:rPr>
          <w:sz w:val="20"/>
          <w:szCs w:val="20"/>
          <w:color w:val="auto"/>
        </w:rPr>
      </w:pPr>
    </w:p>
    <w:p>
      <w:pPr>
        <w:ind w:left="820" w:right="580" w:firstLine="385"/>
        <w:spacing w:after="0" w:line="266" w:lineRule="auto"/>
        <w:rPr>
          <w:sz w:val="20"/>
          <w:szCs w:val="20"/>
          <w:color w:val="auto"/>
        </w:rPr>
      </w:pPr>
      <w:r>
        <w:rPr>
          <w:rFonts w:ascii="Arial" w:cs="Arial" w:eastAsia="Arial" w:hAnsi="Arial"/>
          <w:sz w:val="16"/>
          <w:szCs w:val="16"/>
          <w:color w:val="auto"/>
        </w:rPr>
        <w:t>Obtaining foreign regulatory approvals and establishing and maintaining compliance with foreign regulatory requirements could result in significant delays, difficulties and costs for us and could delay or prevent the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400"/>
          </w:cols>
          <w:pgMar w:left="320" w:top="418" w:right="117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56" w:lineRule="auto"/>
        <w:rPr>
          <w:sz w:val="20"/>
          <w:szCs w:val="20"/>
          <w:color w:val="auto"/>
        </w:rPr>
      </w:pPr>
      <w:r>
        <w:rPr>
          <w:rFonts w:ascii="Arial" w:cs="Arial" w:eastAsia="Arial" w:hAnsi="Arial"/>
          <w:sz w:val="16"/>
          <w:szCs w:val="16"/>
          <w:color w:val="auto"/>
        </w:rPr>
        <w:t>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60" w:lineRule="exact"/>
        <w:rPr>
          <w:sz w:val="20"/>
          <w:szCs w:val="20"/>
          <w:color w:val="auto"/>
        </w:rPr>
      </w:pPr>
    </w:p>
    <w:p>
      <w:pPr>
        <w:ind w:left="1200" w:right="160"/>
        <w:spacing w:after="0" w:line="378" w:lineRule="auto"/>
        <w:rPr>
          <w:sz w:val="20"/>
          <w:szCs w:val="20"/>
          <w:color w:val="auto"/>
        </w:rPr>
      </w:pPr>
      <w:r>
        <w:rPr>
          <w:rFonts w:ascii="Arial" w:cs="Arial" w:eastAsia="Arial" w:hAnsi="Arial"/>
          <w:sz w:val="13"/>
          <w:szCs w:val="13"/>
          <w:b w:val="1"/>
          <w:bCs w:val="1"/>
          <w:i w:val="1"/>
          <w:iCs w:val="1"/>
          <w:color w:val="auto"/>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1"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5"/>
          <w:szCs w:val="15"/>
          <w:color w:val="auto"/>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 In addition, we may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163" w:lineRule="exact"/>
        <w:rPr>
          <w:sz w:val="20"/>
          <w:szCs w:val="20"/>
          <w:color w:val="auto"/>
        </w:rPr>
      </w:pPr>
    </w:p>
    <w:p>
      <w:pPr>
        <w:ind w:left="820" w:right="80" w:firstLine="385"/>
        <w:spacing w:after="0" w:line="268" w:lineRule="auto"/>
        <w:rPr>
          <w:sz w:val="20"/>
          <w:szCs w:val="20"/>
          <w:color w:val="auto"/>
        </w:rPr>
      </w:pPr>
      <w:r>
        <w:rPr>
          <w:rFonts w:ascii="Arial" w:cs="Arial" w:eastAsia="Arial" w:hAnsi="Arial"/>
          <w:sz w:val="15"/>
          <w:szCs w:val="15"/>
          <w:color w:val="auto"/>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255" w:lineRule="exact"/>
        <w:rPr>
          <w:sz w:val="20"/>
          <w:szCs w:val="20"/>
          <w:color w:val="auto"/>
        </w:rPr>
      </w:pPr>
    </w:p>
    <w:p>
      <w:pPr>
        <w:ind w:left="1200" w:right="300"/>
        <w:spacing w:after="0" w:line="266" w:lineRule="auto"/>
        <w:rPr>
          <w:sz w:val="20"/>
          <w:szCs w:val="20"/>
          <w:color w:val="auto"/>
        </w:rPr>
      </w:pPr>
      <w:r>
        <w:rPr>
          <w:rFonts w:ascii="Arial" w:cs="Arial" w:eastAsia="Arial" w:hAnsi="Arial"/>
          <w:sz w:val="16"/>
          <w:szCs w:val="16"/>
          <w:b w:val="1"/>
          <w:bCs w:val="1"/>
          <w:i w:val="1"/>
          <w:iCs w:val="1"/>
          <w:color w:val="auto"/>
        </w:rPr>
        <w:t>Even if our product candidates receive regulatory approval, they will be subject to significant post-marketing regulatory requirements and oversight.</w:t>
      </w:r>
    </w:p>
    <w:p>
      <w:pPr>
        <w:spacing w:after="0" w:line="64"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420"/>
          </w:cols>
          <w:pgMar w:left="320" w:top="418" w:right="11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343" w:lineRule="auto"/>
        <w:rPr>
          <w:sz w:val="20"/>
          <w:szCs w:val="20"/>
          <w:color w:val="auto"/>
        </w:rPr>
      </w:pPr>
      <w:r>
        <w:rPr>
          <w:rFonts w:ascii="Arial" w:cs="Arial" w:eastAsia="Arial" w:hAnsi="Arial"/>
          <w:sz w:val="13"/>
          <w:szCs w:val="13"/>
          <w:color w:val="auto"/>
        </w:rPr>
        <w:t>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31" w:lineRule="exact"/>
        <w:rPr>
          <w:sz w:val="20"/>
          <w:szCs w:val="20"/>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delays in or the rejection of product approvals;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restrictions on our ability to conduct clinical trials, including full or partial clinical holds on ongoing or planned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restrictions on the products, manufacturers or manufacturing process;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warning or untitled letters;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civil and criminal penalties;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injunctions;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suspension or withdrawal of regulatory approvals;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product seizures, detentions or import bans;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voluntary or mandatory product recalls and publicity requirements;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or partial suspension of production;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imposition of restrictions on operations, including costly new manufacturing requirements.</w:t>
      </w:r>
    </w:p>
    <w:p>
      <w:pPr>
        <w:spacing w:after="0" w:line="193" w:lineRule="exact"/>
        <w:rPr>
          <w:sz w:val="20"/>
          <w:szCs w:val="20"/>
          <w:color w:val="auto"/>
        </w:rPr>
      </w:pPr>
    </w:p>
    <w:p>
      <w:pPr>
        <w:ind w:left="820" w:right="280" w:firstLine="385"/>
        <w:spacing w:after="0" w:line="343" w:lineRule="auto"/>
        <w:rPr>
          <w:sz w:val="20"/>
          <w:szCs w:val="20"/>
          <w:color w:val="auto"/>
        </w:rPr>
      </w:pPr>
      <w:r>
        <w:rPr>
          <w:rFonts w:ascii="Arial" w:cs="Arial" w:eastAsia="Arial" w:hAnsi="Arial"/>
          <w:sz w:val="13"/>
          <w:szCs w:val="13"/>
          <w:color w:val="auto"/>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208" w:lineRule="exact"/>
        <w:rPr>
          <w:sz w:val="20"/>
          <w:szCs w:val="20"/>
          <w:color w:val="auto"/>
        </w:rPr>
      </w:pPr>
    </w:p>
    <w:p>
      <w:pPr>
        <w:ind w:left="1200" w:right="140"/>
        <w:spacing w:after="0" w:line="256"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71"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328" w:lineRule="exact"/>
        <w:rPr>
          <w:sz w:val="20"/>
          <w:szCs w:val="20"/>
          <w:color w:val="auto"/>
        </w:rPr>
      </w:pPr>
    </w:p>
    <w:p>
      <w:pPr>
        <w:jc w:val="both"/>
        <w:ind w:left="820" w:right="180" w:firstLine="385"/>
        <w:spacing w:after="0" w:line="256"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420"/>
          </w:cols>
          <w:pgMar w:left="320" w:top="418" w:right="11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275" w:lineRule="auto"/>
        <w:rPr>
          <w:sz w:val="20"/>
          <w:szCs w:val="20"/>
          <w:color w:val="auto"/>
        </w:rPr>
      </w:pPr>
      <w:r>
        <w:rPr>
          <w:rFonts w:ascii="Arial" w:cs="Arial" w:eastAsia="Arial" w:hAnsi="Arial"/>
          <w:sz w:val="15"/>
          <w:szCs w:val="15"/>
          <w:color w:val="auto"/>
        </w:rPr>
        <w:t>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153"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The FDA has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5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may face difficulties from changes to current FDA and healthcare regulations and future legislation.</w:t>
      </w:r>
    </w:p>
    <w:p>
      <w:pPr>
        <w:spacing w:after="0" w:line="99"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0" w:lineRule="exact"/>
        <w:rPr>
          <w:sz w:val="20"/>
          <w:szCs w:val="20"/>
          <w:color w:val="auto"/>
        </w:rPr>
      </w:pPr>
    </w:p>
    <w:p>
      <w:pPr>
        <w:ind w:left="820" w:right="80" w:firstLine="385"/>
        <w:spacing w:after="0" w:line="267" w:lineRule="auto"/>
        <w:rPr>
          <w:sz w:val="20"/>
          <w:szCs w:val="20"/>
          <w:color w:val="auto"/>
        </w:rPr>
      </w:pPr>
      <w:r>
        <w:rPr>
          <w:rFonts w:ascii="Arial" w:cs="Arial" w:eastAsia="Arial" w:hAnsi="Arial"/>
          <w:sz w:val="15"/>
          <w:szCs w:val="15"/>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159" w:lineRule="exact"/>
        <w:rPr>
          <w:sz w:val="20"/>
          <w:szCs w:val="20"/>
          <w:color w:val="auto"/>
        </w:rPr>
      </w:pPr>
    </w:p>
    <w:p>
      <w:pPr>
        <w:ind w:left="820" w:firstLine="385"/>
        <w:spacing w:after="0" w:line="343" w:lineRule="auto"/>
        <w:rPr>
          <w:sz w:val="20"/>
          <w:szCs w:val="20"/>
          <w:color w:val="auto"/>
        </w:rPr>
      </w:pPr>
      <w:r>
        <w:rPr>
          <w:rFonts w:ascii="Arial" w:cs="Arial" w:eastAsia="Arial" w:hAnsi="Arial"/>
          <w:sz w:val="13"/>
          <w:szCs w:val="13"/>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420"/>
          </w:cols>
          <w:pgMar w:left="320" w:top="418" w:right="11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314" w:lineRule="auto"/>
        <w:rPr>
          <w:sz w:val="20"/>
          <w:szCs w:val="20"/>
          <w:color w:val="auto"/>
        </w:rPr>
      </w:pPr>
      <w:r>
        <w:rPr>
          <w:rFonts w:ascii="Arial" w:cs="Arial" w:eastAsia="Arial" w:hAnsi="Arial"/>
          <w:sz w:val="13"/>
          <w:szCs w:val="13"/>
          <w:color w:val="auto"/>
        </w:rPr>
        <w:t>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322" w:lineRule="exact"/>
        <w:rPr>
          <w:sz w:val="20"/>
          <w:szCs w:val="20"/>
          <w:color w:val="auto"/>
        </w:rPr>
      </w:pPr>
    </w:p>
    <w:p>
      <w:pPr>
        <w:ind w:left="820" w:right="160" w:firstLine="385"/>
        <w:spacing w:after="0" w:line="316" w:lineRule="auto"/>
        <w:rPr>
          <w:sz w:val="20"/>
          <w:szCs w:val="20"/>
          <w:color w:val="auto"/>
        </w:rPr>
      </w:pPr>
      <w:r>
        <w:rPr>
          <w:rFonts w:ascii="Arial" w:cs="Arial" w:eastAsia="Arial" w:hAnsi="Arial"/>
          <w:sz w:val="13"/>
          <w:szCs w:val="13"/>
          <w:color w:val="auto"/>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31" w:lineRule="exact"/>
        <w:rPr>
          <w:sz w:val="20"/>
          <w:szCs w:val="20"/>
          <w:color w:val="auto"/>
        </w:rPr>
      </w:pPr>
    </w:p>
    <w:p>
      <w:pPr>
        <w:ind w:left="820" w:right="120" w:firstLine="385"/>
        <w:spacing w:after="0" w:line="306" w:lineRule="auto"/>
        <w:rPr>
          <w:sz w:val="20"/>
          <w:szCs w:val="20"/>
          <w:color w:val="auto"/>
        </w:rPr>
      </w:pPr>
      <w:r>
        <w:rPr>
          <w:rFonts w:ascii="Arial" w:cs="Arial" w:eastAsia="Arial" w:hAnsi="Arial"/>
          <w:sz w:val="13"/>
          <w:szCs w:val="13"/>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w:t>
      </w:r>
    </w:p>
    <w:p>
      <w:pPr>
        <w:spacing w:after="0" w:line="2" w:lineRule="exact"/>
        <w:rPr>
          <w:sz w:val="20"/>
          <w:szCs w:val="20"/>
          <w:color w:val="auto"/>
        </w:rPr>
      </w:pPr>
    </w:p>
    <w:p>
      <w:pPr>
        <w:ind w:left="820"/>
        <w:spacing w:after="0" w:line="309" w:lineRule="auto"/>
        <w:rPr>
          <w:sz w:val="20"/>
          <w:szCs w:val="20"/>
          <w:color w:val="auto"/>
        </w:rPr>
      </w:pPr>
      <w:r>
        <w:rPr>
          <w:rFonts w:ascii="Arial" w:cs="Arial" w:eastAsia="Arial" w:hAnsi="Arial"/>
          <w:sz w:val="13"/>
          <w:szCs w:val="13"/>
          <w:color w:val="auto"/>
        </w:rPr>
        <w:t>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The impact of these lawsuits as well as legislative, executive, and administrative actions of the Biden administration on us and the pharmaceutical industry as a whole is unclear.</w:t>
      </w:r>
    </w:p>
    <w:p>
      <w:pPr>
        <w:spacing w:after="0" w:line="324" w:lineRule="exact"/>
        <w:rPr>
          <w:sz w:val="20"/>
          <w:szCs w:val="20"/>
          <w:color w:val="auto"/>
        </w:rPr>
      </w:pPr>
    </w:p>
    <w:p>
      <w:pPr>
        <w:ind w:left="820" w:right="200" w:firstLine="385"/>
        <w:spacing w:after="0" w:line="275" w:lineRule="auto"/>
        <w:rPr>
          <w:sz w:val="20"/>
          <w:szCs w:val="20"/>
          <w:color w:val="auto"/>
        </w:rPr>
      </w:pPr>
      <w:r>
        <w:rPr>
          <w:rFonts w:ascii="Arial" w:cs="Arial" w:eastAsia="Arial" w:hAnsi="Arial"/>
          <w:sz w:val="15"/>
          <w:szCs w:val="15"/>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420"/>
          </w:cols>
          <w:pgMar w:left="320" w:top="418" w:right="11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60"/>
        <w:spacing w:after="0" w:line="383" w:lineRule="auto"/>
        <w:rPr>
          <w:sz w:val="20"/>
          <w:szCs w:val="20"/>
          <w:color w:val="auto"/>
        </w:rPr>
      </w:pPr>
      <w:r>
        <w:rPr>
          <w:rFonts w:ascii="Arial" w:cs="Arial" w:eastAsia="Arial" w:hAnsi="Arial"/>
          <w:sz w:val="13"/>
          <w:szCs w:val="13"/>
          <w:color w:val="auto"/>
        </w:rPr>
        <w:t>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9"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154" w:lineRule="exact"/>
        <w:rPr>
          <w:sz w:val="20"/>
          <w:szCs w:val="20"/>
          <w:color w:val="auto"/>
        </w:rPr>
      </w:pPr>
    </w:p>
    <w:p>
      <w:pPr>
        <w:ind w:left="820" w:right="200" w:firstLine="385"/>
        <w:spacing w:after="0" w:line="272"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49" w:lineRule="exact"/>
        <w:rPr>
          <w:sz w:val="20"/>
          <w:szCs w:val="20"/>
          <w:color w:val="auto"/>
        </w:rPr>
      </w:pPr>
    </w:p>
    <w:p>
      <w:pPr>
        <w:ind w:left="1200" w:right="420"/>
        <w:spacing w:after="0" w:line="275" w:lineRule="auto"/>
        <w:rPr>
          <w:sz w:val="20"/>
          <w:szCs w:val="20"/>
          <w:color w:val="auto"/>
        </w:rPr>
      </w:pPr>
      <w:r>
        <w:rPr>
          <w:rFonts w:ascii="Arial" w:cs="Arial" w:eastAsia="Arial" w:hAnsi="Arial"/>
          <w:sz w:val="15"/>
          <w:szCs w:val="15"/>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58"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167"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color w:val="auto"/>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European Court of Justice (ECJ) invalidated the EU-U.S. Privacy Shield, which had enabled the transfer of personal data from the European Union to the United States for companies that had self-certified to the Privacy Shield. The ECJ decision also raised questions about the continued validity of one of the primary</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420"/>
          </w:cols>
          <w:pgMar w:left="320" w:top="418" w:right="11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314" w:lineRule="auto"/>
        <w:rPr>
          <w:sz w:val="20"/>
          <w:szCs w:val="20"/>
          <w:color w:val="auto"/>
        </w:rPr>
      </w:pPr>
      <w:r>
        <w:rPr>
          <w:rFonts w:ascii="Arial" w:cs="Arial" w:eastAsia="Arial" w:hAnsi="Arial"/>
          <w:sz w:val="13"/>
          <w:szCs w:val="13"/>
          <w:color w:val="auto"/>
        </w:rPr>
        <w:t>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European Union has presented a new draft set of contractual clauses, at present, there are few, if any, viable alternatives to the EU-U.S. Privacy Shield and the Standard Contractual Clauses and it remains to be seen whether additional means for lawful data transfers will become available.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European Union and Switzerland to the United States, each of which could restrict our activities in those jurisdictions, limit our ability to provide our products and services in those jurisdictions, or increase our costs and obligations and impose limitations upon our ability to efficiently transfer personal data from the European Union and Switzerland to the United States.</w:t>
      </w:r>
    </w:p>
    <w:p>
      <w:pPr>
        <w:spacing w:after="0" w:line="322"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Additionally, under the post-Brexit Trade and Cooperation Agreement between the European Union and the United Kingdom, the United Kingdom and European Union have agreed that transfers of personal data to the United Kingdom from EEA member states will not be treated as ‘restricted transfers’ to a non-EEA country for a period that, including an extension, has a maximum duration of six months from January 1, 2021 (the “Extended Adequacy Assessment Period”). Although the current maximum duration of the Extended Adequacy Assessment Period is six months, it may end sooner, for example, in the event that the European Commission adopts an ‘adequacy decision’ in respect of the United Kingdom, or the United Kingdom amends the UK GDPR and/or makes certain changes regarding data transfers under the UK GDPR/Data Protection Act 2018 without the consent of the European Union (unless those amendments or decisions are made simply to keep relevant UK laws aligned with the EU’s data protection regime). If the European Commission does not adopt an ‘adequacy decision’ in respect of the United Kingdom prior to the expiry of the Extended Adequacy Assessment Period, from that point onwards the United Kingdom will be an ‘inadequate third country’ under the GDPR and transfers of personal data from the EEA to the United Kingdom will require a ‘transfer mechanism’ such as the Standard Contractual Clauses. As of January 1, 2021, the United Kingdom is a ‘third country’ under the GDPR, and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200" w:lineRule="exact"/>
        <w:rPr>
          <w:sz w:val="20"/>
          <w:szCs w:val="20"/>
          <w:color w:val="auto"/>
        </w:rPr>
      </w:pPr>
    </w:p>
    <w:p>
      <w:pPr>
        <w:spacing w:after="0" w:line="319" w:lineRule="exact"/>
        <w:rPr>
          <w:sz w:val="20"/>
          <w:szCs w:val="20"/>
          <w:color w:val="auto"/>
        </w:rPr>
      </w:pPr>
    </w:p>
    <w:p>
      <w:pPr>
        <w:ind w:left="820" w:right="60" w:firstLine="385"/>
        <w:spacing w:after="0" w:line="312" w:lineRule="auto"/>
        <w:rPr>
          <w:sz w:val="20"/>
          <w:szCs w:val="20"/>
          <w:color w:val="auto"/>
        </w:rPr>
      </w:pPr>
      <w:r>
        <w:rPr>
          <w:rFonts w:ascii="Arial" w:cs="Arial" w:eastAsia="Arial" w:hAnsi="Arial"/>
          <w:sz w:val="13"/>
          <w:szCs w:val="13"/>
          <w:color w:val="auto"/>
        </w:rPr>
        <w:t>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420"/>
          </w:cols>
          <w:pgMar w:left="320" w:top="418" w:right="11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312" w:lineRule="auto"/>
        <w:rPr>
          <w:sz w:val="20"/>
          <w:szCs w:val="20"/>
          <w:color w:val="auto"/>
        </w:rPr>
      </w:pPr>
      <w:r>
        <w:rPr>
          <w:rFonts w:ascii="Arial" w:cs="Arial" w:eastAsia="Arial" w:hAnsi="Arial"/>
          <w:sz w:val="13"/>
          <w:szCs w:val="13"/>
          <w:color w:val="auto"/>
        </w:rPr>
        <w:t>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w:t>
      </w:r>
    </w:p>
    <w:p>
      <w:pPr>
        <w:spacing w:after="0" w:line="326"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133"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257" w:lineRule="exact"/>
        <w:rPr>
          <w:sz w:val="20"/>
          <w:szCs w:val="20"/>
          <w:color w:val="auto"/>
        </w:rPr>
      </w:pPr>
    </w:p>
    <w:p>
      <w:pPr>
        <w:ind w:left="1200" w:right="220"/>
        <w:spacing w:after="0" w:line="253"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3"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left="820" w:right="580" w:firstLine="385"/>
        <w:spacing w:after="0" w:line="26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380"/>
          </w:cols>
          <w:pgMar w:left="320" w:top="418" w:right="119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72" w:lineRule="auto"/>
        <w:rPr>
          <w:sz w:val="20"/>
          <w:szCs w:val="20"/>
          <w:color w:val="auto"/>
        </w:rPr>
      </w:pPr>
      <w:r>
        <w:rPr>
          <w:rFonts w:ascii="Arial" w:cs="Arial" w:eastAsia="Arial" w:hAnsi="Arial"/>
          <w:sz w:val="15"/>
          <w:szCs w:val="15"/>
          <w:color w:val="auto"/>
        </w:rPr>
        <w:t>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49" w:lineRule="exact"/>
        <w:rPr>
          <w:sz w:val="20"/>
          <w:szCs w:val="20"/>
          <w:color w:val="auto"/>
        </w:rPr>
      </w:pPr>
    </w:p>
    <w:p>
      <w:pPr>
        <w:ind w:left="1200"/>
        <w:spacing w:after="0" w:line="272" w:lineRule="auto"/>
        <w:rPr>
          <w:sz w:val="20"/>
          <w:szCs w:val="20"/>
          <w:color w:val="auto"/>
        </w:rPr>
      </w:pPr>
      <w:r>
        <w:rPr>
          <w:rFonts w:ascii="Arial" w:cs="Arial" w:eastAsia="Arial" w:hAnsi="Arial"/>
          <w:sz w:val="15"/>
          <w:szCs w:val="15"/>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60" w:lineRule="exact"/>
        <w:rPr>
          <w:sz w:val="20"/>
          <w:szCs w:val="20"/>
          <w:color w:val="auto"/>
        </w:rPr>
      </w:pPr>
    </w:p>
    <w:p>
      <w:pPr>
        <w:ind w:left="820" w:right="120" w:firstLine="385"/>
        <w:spacing w:after="0" w:line="323" w:lineRule="auto"/>
        <w:rPr>
          <w:sz w:val="20"/>
          <w:szCs w:val="20"/>
          <w:color w:val="auto"/>
        </w:rPr>
      </w:pPr>
      <w:r>
        <w:rPr>
          <w:rFonts w:ascii="Arial" w:cs="Arial" w:eastAsia="Arial" w:hAnsi="Arial"/>
          <w:sz w:val="13"/>
          <w:szCs w:val="13"/>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43" w:lineRule="exact"/>
        <w:rPr>
          <w:sz w:val="20"/>
          <w:szCs w:val="20"/>
          <w:color w:val="auto"/>
        </w:rPr>
      </w:pPr>
    </w:p>
    <w:p>
      <w:pPr>
        <w:ind w:left="1660" w:right="120" w:hanging="469"/>
        <w:spacing w:after="0" w:line="253" w:lineRule="auto"/>
        <w:tabs>
          <w:tab w:leader="none" w:pos="1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4" w:lineRule="exact"/>
        <w:rPr>
          <w:rFonts w:ascii="Arial" w:cs="Arial" w:eastAsia="Arial" w:hAnsi="Arial"/>
          <w:sz w:val="16"/>
          <w:szCs w:val="16"/>
          <w:color w:val="auto"/>
        </w:rPr>
      </w:pPr>
    </w:p>
    <w:p>
      <w:pPr>
        <w:ind w:left="1660" w:hanging="469"/>
        <w:spacing w:after="0" w:line="253" w:lineRule="auto"/>
        <w:tabs>
          <w:tab w:leader="none" w:pos="1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4" w:lineRule="exact"/>
        <w:rPr>
          <w:rFonts w:ascii="Arial" w:cs="Arial" w:eastAsia="Arial" w:hAnsi="Arial"/>
          <w:sz w:val="16"/>
          <w:szCs w:val="16"/>
          <w:color w:val="auto"/>
        </w:rPr>
      </w:pPr>
    </w:p>
    <w:p>
      <w:pPr>
        <w:ind w:left="1660" w:right="140" w:hanging="469"/>
        <w:spacing w:after="0" w:line="383" w:lineRule="auto"/>
        <w:tabs>
          <w:tab w:leader="none" w:pos="1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6" w:lineRule="exact"/>
        <w:rPr>
          <w:rFonts w:ascii="Arial" w:cs="Arial" w:eastAsia="Arial" w:hAnsi="Arial"/>
          <w:sz w:val="13"/>
          <w:szCs w:val="13"/>
          <w:color w:val="auto"/>
        </w:rPr>
      </w:pPr>
    </w:p>
    <w:p>
      <w:pPr>
        <w:ind w:left="1660" w:right="40" w:hanging="469"/>
        <w:spacing w:after="0" w:line="272" w:lineRule="auto"/>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1" w:lineRule="exact"/>
        <w:rPr>
          <w:rFonts w:ascii="Arial" w:cs="Arial" w:eastAsia="Arial" w:hAnsi="Arial"/>
          <w:sz w:val="15"/>
          <w:szCs w:val="15"/>
          <w:color w:val="auto"/>
        </w:rPr>
      </w:pPr>
    </w:p>
    <w:p>
      <w:pPr>
        <w:ind w:left="1660" w:right="140" w:hanging="469"/>
        <w:spacing w:after="0" w:line="329" w:lineRule="auto"/>
        <w:tabs>
          <w:tab w:leader="none" w:pos="1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40" w:lineRule="exact"/>
        <w:rPr>
          <w:rFonts w:ascii="Arial" w:cs="Arial" w:eastAsia="Arial" w:hAnsi="Arial"/>
          <w:sz w:val="13"/>
          <w:szCs w:val="13"/>
          <w:color w:val="auto"/>
        </w:rPr>
      </w:pPr>
    </w:p>
    <w:p>
      <w:pPr>
        <w:ind w:left="1660" w:right="40" w:hanging="469"/>
        <w:spacing w:after="0" w:line="266" w:lineRule="auto"/>
        <w:tabs>
          <w:tab w:leader="none" w:pos="1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420"/>
          </w:cols>
          <w:pgMar w:left="320" w:top="418" w:right="115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0" w:hanging="469"/>
        <w:spacing w:after="0" w:line="267"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with data reporting in 2022, reporting obligations with respect to covered recipients will be expanded to include physician assistants, nurse practitioners, clinical nurse specialists, certified registered nurse anesthetists and anesthesiologist assistants, and certified nurse midwives for payments and transfers of value made during the previous year; and</w:t>
      </w:r>
    </w:p>
    <w:p>
      <w:pPr>
        <w:spacing w:after="0" w:line="80" w:lineRule="exact"/>
        <w:rPr>
          <w:rFonts w:ascii="Arial" w:cs="Arial" w:eastAsia="Arial" w:hAnsi="Arial"/>
          <w:sz w:val="15"/>
          <w:szCs w:val="15"/>
          <w:color w:val="auto"/>
        </w:rPr>
      </w:pPr>
    </w:p>
    <w:p>
      <w:pPr>
        <w:ind w:left="1660" w:right="20" w:hanging="469"/>
        <w:spacing w:after="0" w:line="267"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163"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18" w:lineRule="exact"/>
        <w:rPr>
          <w:sz w:val="20"/>
          <w:szCs w:val="20"/>
          <w:color w:val="auto"/>
        </w:rPr>
      </w:pPr>
    </w:p>
    <w:p>
      <w:pPr>
        <w:jc w:val="both"/>
        <w:ind w:left="1200" w:right="520"/>
        <w:spacing w:after="0" w:line="378" w:lineRule="auto"/>
        <w:rPr>
          <w:sz w:val="20"/>
          <w:szCs w:val="20"/>
          <w:color w:val="auto"/>
        </w:rPr>
      </w:pPr>
      <w:r>
        <w:rPr>
          <w:rFonts w:ascii="Arial" w:cs="Arial" w:eastAsia="Arial" w:hAnsi="Arial"/>
          <w:sz w:val="13"/>
          <w:szCs w:val="13"/>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1"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440"/>
          </w:cols>
          <w:pgMar w:left="320" w:top="418" w:right="11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6" w:lineRule="auto"/>
        <w:rPr>
          <w:sz w:val="20"/>
          <w:szCs w:val="20"/>
          <w:color w:val="auto"/>
        </w:rPr>
      </w:pPr>
      <w:r>
        <w:rPr>
          <w:rFonts w:ascii="Arial" w:cs="Arial" w:eastAsia="Arial" w:hAnsi="Arial"/>
          <w:sz w:val="15"/>
          <w:szCs w:val="15"/>
          <w:color w:val="auto"/>
        </w:rPr>
        <w:t>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will adopt a code of conduct, which will become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55" w:lineRule="exact"/>
        <w:rPr>
          <w:sz w:val="20"/>
          <w:szCs w:val="20"/>
          <w:color w:val="auto"/>
        </w:rPr>
      </w:pPr>
    </w:p>
    <w:p>
      <w:pPr>
        <w:ind w:left="1200" w:right="220"/>
        <w:spacing w:after="0" w:line="266"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4"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6" w:lineRule="exact"/>
        <w:rPr>
          <w:sz w:val="20"/>
          <w:szCs w:val="20"/>
          <w:color w:val="auto"/>
        </w:rPr>
      </w:pPr>
    </w:p>
    <w:p>
      <w:pPr>
        <w:ind w:left="820" w:right="320" w:firstLine="385"/>
        <w:spacing w:after="0" w:line="253"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67"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60" w:lineRule="exact"/>
        <w:rPr>
          <w:sz w:val="20"/>
          <w:szCs w:val="20"/>
          <w:color w:val="auto"/>
        </w:rPr>
      </w:pPr>
    </w:p>
    <w:p>
      <w:pPr>
        <w:ind w:left="1200" w:right="240"/>
        <w:spacing w:after="0" w:line="343" w:lineRule="auto"/>
        <w:rPr>
          <w:sz w:val="20"/>
          <w:szCs w:val="20"/>
          <w:color w:val="auto"/>
        </w:rPr>
      </w:pPr>
      <w:r>
        <w:rPr>
          <w:rFonts w:ascii="Arial" w:cs="Arial" w:eastAsia="Arial" w:hAnsi="Arial"/>
          <w:sz w:val="13"/>
          <w:szCs w:val="13"/>
          <w:b w:val="1"/>
          <w:bCs w:val="1"/>
          <w:i w:val="1"/>
          <w:iCs w:val="1"/>
          <w:color w:val="auto"/>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440"/>
          </w:cols>
          <w:pgMar w:left="320" w:top="418" w:right="11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0"/>
        <w:spacing w:after="0" w:line="266" w:lineRule="auto"/>
        <w:rPr>
          <w:sz w:val="20"/>
          <w:szCs w:val="20"/>
          <w:color w:val="auto"/>
        </w:rPr>
      </w:pPr>
      <w:r>
        <w:rPr>
          <w:rFonts w:ascii="Arial" w:cs="Arial" w:eastAsia="Arial" w:hAnsi="Arial"/>
          <w:sz w:val="16"/>
          <w:szCs w:val="16"/>
          <w:color w:val="auto"/>
        </w:rPr>
        <w:t>under the FCPA. Recently, the SEC and Department of Justice (DOJ) have increased their FCPA enforcement activities with respect to biotechnology and pharmaceutical companies.</w:t>
      </w:r>
    </w:p>
    <w:p>
      <w:pPr>
        <w:spacing w:after="0" w:line="158" w:lineRule="exact"/>
        <w:rPr>
          <w:sz w:val="20"/>
          <w:szCs w:val="20"/>
          <w:color w:val="auto"/>
        </w:rPr>
      </w:pPr>
    </w:p>
    <w:p>
      <w:pPr>
        <w:ind w:left="820" w:right="40" w:firstLine="385"/>
        <w:spacing w:after="0" w:line="270" w:lineRule="auto"/>
        <w:rPr>
          <w:sz w:val="20"/>
          <w:szCs w:val="20"/>
          <w:color w:val="auto"/>
        </w:rPr>
      </w:pPr>
      <w:r>
        <w:rPr>
          <w:rFonts w:ascii="Arial" w:cs="Arial" w:eastAsia="Arial" w:hAnsi="Arial"/>
          <w:sz w:val="15"/>
          <w:szCs w:val="15"/>
          <w:color w:val="auto"/>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156" w:lineRule="exact"/>
        <w:rPr>
          <w:sz w:val="20"/>
          <w:szCs w:val="20"/>
          <w:color w:val="auto"/>
        </w:rPr>
      </w:pPr>
    </w:p>
    <w:p>
      <w:pPr>
        <w:ind w:left="820" w:right="120" w:firstLine="385"/>
        <w:spacing w:after="0" w:line="275" w:lineRule="auto"/>
        <w:rPr>
          <w:sz w:val="20"/>
          <w:szCs w:val="20"/>
          <w:color w:val="auto"/>
        </w:rPr>
      </w:pPr>
      <w:r>
        <w:rPr>
          <w:rFonts w:ascii="Arial" w:cs="Arial" w:eastAsia="Arial" w:hAnsi="Arial"/>
          <w:sz w:val="15"/>
          <w:szCs w:val="15"/>
          <w:color w:val="auto"/>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There is no certainty that all of our employees, agents, representatives, business partners and third-party intermediaries, or those of our affiliates, will comply with applicable laws and regulations, for which we may be ultimately held responsible.</w:t>
      </w:r>
    </w:p>
    <w:p>
      <w:pPr>
        <w:spacing w:after="0" w:line="153"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128" w:lineRule="exact"/>
        <w:rPr>
          <w:sz w:val="20"/>
          <w:szCs w:val="20"/>
          <w:color w:val="auto"/>
        </w:rPr>
      </w:pPr>
    </w:p>
    <w:p>
      <w:pPr>
        <w:ind w:left="820" w:right="20" w:firstLine="385"/>
        <w:spacing w:after="0" w:line="312" w:lineRule="auto"/>
        <w:rPr>
          <w:sz w:val="20"/>
          <w:szCs w:val="20"/>
          <w:color w:val="auto"/>
        </w:rPr>
      </w:pPr>
      <w:r>
        <w:rPr>
          <w:rFonts w:ascii="Arial" w:cs="Arial" w:eastAsia="Arial" w:hAnsi="Arial"/>
          <w:sz w:val="13"/>
          <w:szCs w:val="13"/>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200" w:lineRule="exact"/>
        <w:rPr>
          <w:sz w:val="20"/>
          <w:szCs w:val="20"/>
          <w:color w:val="auto"/>
        </w:rPr>
      </w:pPr>
    </w:p>
    <w:p>
      <w:pPr>
        <w:spacing w:after="0" w:line="220" w:lineRule="exact"/>
        <w:rPr>
          <w:sz w:val="20"/>
          <w:szCs w:val="20"/>
          <w:color w:val="auto"/>
        </w:rPr>
      </w:pPr>
    </w:p>
    <w:p>
      <w:pPr>
        <w:ind w:left="1200" w:right="20"/>
        <w:spacing w:after="0" w:line="266" w:lineRule="auto"/>
        <w:rPr>
          <w:sz w:val="20"/>
          <w:szCs w:val="20"/>
          <w:color w:val="auto"/>
        </w:rPr>
      </w:pPr>
      <w:r>
        <w:rPr>
          <w:rFonts w:ascii="Arial" w:cs="Arial" w:eastAsia="Arial" w:hAnsi="Arial"/>
          <w:sz w:val="16"/>
          <w:szCs w:val="16"/>
          <w:b w:val="1"/>
          <w:bCs w:val="1"/>
          <w:i w:val="1"/>
          <w:iCs w:val="1"/>
          <w:color w:val="auto"/>
        </w:rPr>
        <w:t>Comprehensive U.S. tax reform legislation could increase the tax burden on our orphan drug programs and adversely affect our business and financial condition.</w:t>
      </w:r>
    </w:p>
    <w:p>
      <w:pPr>
        <w:spacing w:after="0" w:line="64"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In 2017, the U.S. government enacted the Tax Act, which as modified by the CARES Act, includes significant changes to the taxation of business entities. These changes include, among others, (i) a permanent reduction to the corporate income tax rate, (ii) a partial limitation on the deductibility of business interest expense and NOL carryforwards and (iii) a shift of the U.S. taxation of multinational corporations from a tax on worldwide income to a territorial system (along with certain rules designed to prevent erosion of the U.S. income tax base). Further, the comprehensive tax legislation reduces the orphan drug tax credit from 50% to 25% of qualifying expenditures. When and if we become profitable, this reduction in tax credits may result in an increased federal income tax burden</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400"/>
          </w:cols>
          <w:pgMar w:left="320" w:top="418" w:right="117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75" w:lineRule="auto"/>
        <w:rPr>
          <w:sz w:val="20"/>
          <w:szCs w:val="20"/>
          <w:color w:val="auto"/>
        </w:rPr>
      </w:pPr>
      <w:r>
        <w:rPr>
          <w:rFonts w:ascii="Arial" w:cs="Arial" w:eastAsia="Arial" w:hAnsi="Arial"/>
          <w:sz w:val="15"/>
          <w:szCs w:val="15"/>
          <w:color w:val="auto"/>
        </w:rPr>
        <w:t>on our orphan drug programs as it may cause us to pay federal income taxes earlier under the revised tax law than under the prior law and, despite being partially off-set by a reduction in the corporate tax rate from a top marginal rate of 35% to a flat rate of 21%, may increase our total federal tax liability attributable to such programs. Additionally, President Biden has proposed an increase of the corporate tax rate from 21% to 28%, which, if enacted would further increase our total federal tax liability when and if we become profitable.</w:t>
      </w:r>
    </w:p>
    <w:p>
      <w:pPr>
        <w:spacing w:after="0" w:line="58" w:lineRule="exact"/>
        <w:rPr>
          <w:sz w:val="20"/>
          <w:szCs w:val="20"/>
          <w:color w:val="auto"/>
        </w:rPr>
      </w:pPr>
    </w:p>
    <w:p>
      <w:pPr>
        <w:ind w:left="820" w:right="100" w:firstLine="385"/>
        <w:spacing w:after="0" w:line="316" w:lineRule="auto"/>
        <w:rPr>
          <w:sz w:val="20"/>
          <w:szCs w:val="20"/>
          <w:color w:val="auto"/>
        </w:rPr>
      </w:pPr>
      <w:r>
        <w:rPr>
          <w:rFonts w:ascii="Arial" w:cs="Arial" w:eastAsia="Arial" w:hAnsi="Arial"/>
          <w:sz w:val="13"/>
          <w:szCs w:val="13"/>
          <w:color w:val="auto"/>
        </w:rPr>
        <w:t>Notwithstanding the changes in the corporate income tax rate, the overall impact of this comprehensive tax legislation resulted in an overall reduction in our deferred tax assets, and our business and financial condition could still be adversely affected as additional guidance and regulations are issued with respect to the original tax law change. In addition, it is uncertain if and to what extent various states will conform to this comprehensive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this comprehensive tax legislation on holders of our common stock is also uncertain and could be adverse. Investors should consult with their legal and tax advisors with respect to this comprehensive tax legislation and the potential tax consequences of investing in or holding our common stock.</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Employee Matters, Managing Our Growth and Other Risks Related to Our Business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success is highly dependent on our ability to attract and retain highly skilled executive officers and employees.</w:t>
      </w:r>
    </w:p>
    <w:p>
      <w:pPr>
        <w:spacing w:after="0" w:line="99"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COVID-19 pandemic may interfere with our ability to hire or retain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163"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54" w:lineRule="exact"/>
        <w:rPr>
          <w:sz w:val="20"/>
          <w:szCs w:val="20"/>
          <w:color w:val="auto"/>
        </w:rPr>
      </w:pPr>
    </w:p>
    <w:p>
      <w:pPr>
        <w:ind w:left="820" w:right="160" w:firstLine="385"/>
        <w:spacing w:after="0" w:line="316" w:lineRule="auto"/>
        <w:rPr>
          <w:sz w:val="20"/>
          <w:szCs w:val="20"/>
          <w:color w:val="auto"/>
        </w:rPr>
      </w:pPr>
      <w:r>
        <w:rPr>
          <w:rFonts w:ascii="Arial" w:cs="Arial" w:eastAsia="Arial" w:hAnsi="Arial"/>
          <w:sz w:val="13"/>
          <w:szCs w:val="13"/>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440"/>
          </w:cols>
          <w:pgMar w:left="320" w:top="418" w:right="11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560"/>
        <w:spacing w:after="0" w:line="266" w:lineRule="auto"/>
        <w:rPr>
          <w:sz w:val="20"/>
          <w:szCs w:val="20"/>
          <w:color w:val="auto"/>
        </w:rPr>
      </w:pPr>
      <w:r>
        <w:rPr>
          <w:rFonts w:ascii="Arial" w:cs="Arial" w:eastAsia="Arial" w:hAnsi="Arial"/>
          <w:sz w:val="16"/>
          <w:szCs w:val="16"/>
          <w:b w:val="1"/>
          <w:bCs w:val="1"/>
          <w:i w:val="1"/>
          <w:iCs w:val="1"/>
          <w:color w:val="auto"/>
        </w:rPr>
        <w:t>In order to successfully implement our plans and strategies, we will need to grow the size of our organization, and we may experience difficulties in managing this growth.</w:t>
      </w:r>
    </w:p>
    <w:p>
      <w:pPr>
        <w:spacing w:after="0" w:line="64" w:lineRule="exact"/>
        <w:rPr>
          <w:sz w:val="20"/>
          <w:szCs w:val="20"/>
          <w:color w:val="auto"/>
        </w:rPr>
      </w:pPr>
    </w:p>
    <w:p>
      <w:pPr>
        <w:ind w:left="820" w:right="80" w:firstLine="385"/>
        <w:spacing w:after="0" w:line="329" w:lineRule="auto"/>
        <w:rPr>
          <w:sz w:val="20"/>
          <w:szCs w:val="20"/>
          <w:color w:val="auto"/>
        </w:rPr>
      </w:pPr>
      <w:r>
        <w:rPr>
          <w:rFonts w:ascii="Arial" w:cs="Arial" w:eastAsia="Arial" w:hAnsi="Arial"/>
          <w:sz w:val="13"/>
          <w:szCs w:val="13"/>
          <w:color w:val="auto"/>
        </w:rPr>
        <w:t>As of June 30, 2021, we had more than 85 full-time employees. Of these employees, approximately 47 are engaged in research and development activities and approximately 25 are engaged in manufacturing activities.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41" w:lineRule="exact"/>
        <w:rPr>
          <w:sz w:val="20"/>
          <w:szCs w:val="20"/>
          <w:color w:val="auto"/>
        </w:rPr>
      </w:pPr>
    </w:p>
    <w:p>
      <w:pPr>
        <w:ind w:left="1660" w:hanging="469"/>
        <w:spacing w:after="0"/>
        <w:tabs>
          <w:tab w:leader="none" w:pos="1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identifying, recruiting, integrating, maintaining and motivating additional employees;</w:t>
      </w:r>
    </w:p>
    <w:p>
      <w:pPr>
        <w:spacing w:after="0" w:line="110" w:lineRule="exact"/>
        <w:rPr>
          <w:rFonts w:ascii="Arial" w:cs="Arial" w:eastAsia="Arial" w:hAnsi="Arial"/>
          <w:sz w:val="16"/>
          <w:szCs w:val="16"/>
          <w:color w:val="auto"/>
        </w:rPr>
      </w:pPr>
    </w:p>
    <w:p>
      <w:pPr>
        <w:ind w:left="1660" w:right="400" w:hanging="469"/>
        <w:spacing w:after="0" w:line="256" w:lineRule="auto"/>
        <w:tabs>
          <w:tab w:leader="none" w:pos="1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improving our operational, financial and management controls, reporting systems and procedures.</w:t>
      </w:r>
    </w:p>
    <w:p>
      <w:pPr>
        <w:spacing w:after="0" w:line="193" w:lineRule="exact"/>
        <w:rPr>
          <w:sz w:val="20"/>
          <w:szCs w:val="20"/>
          <w:color w:val="auto"/>
        </w:rPr>
      </w:pPr>
    </w:p>
    <w:p>
      <w:pPr>
        <w:ind w:left="820" w:right="120" w:firstLine="385"/>
        <w:spacing w:after="0" w:line="281" w:lineRule="auto"/>
        <w:rPr>
          <w:sz w:val="20"/>
          <w:szCs w:val="20"/>
          <w:color w:val="auto"/>
        </w:rPr>
      </w:pPr>
      <w:r>
        <w:rPr>
          <w:rFonts w:ascii="Arial" w:cs="Arial" w:eastAsia="Arial" w:hAnsi="Arial"/>
          <w:sz w:val="15"/>
          <w:szCs w:val="15"/>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820" w:firstLine="385"/>
        <w:spacing w:after="0" w:line="315" w:lineRule="auto"/>
        <w:rPr>
          <w:sz w:val="20"/>
          <w:szCs w:val="20"/>
          <w:color w:val="auto"/>
        </w:rPr>
      </w:pPr>
      <w:r>
        <w:rPr>
          <w:rFonts w:ascii="Arial" w:cs="Arial" w:eastAsia="Arial" w:hAnsi="Arial"/>
          <w:sz w:val="13"/>
          <w:szCs w:val="13"/>
          <w:color w:val="auto"/>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324"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260" w:lineRule="exact"/>
        <w:rPr>
          <w:sz w:val="20"/>
          <w:szCs w:val="20"/>
          <w:color w:val="auto"/>
        </w:rPr>
      </w:pPr>
    </w:p>
    <w:p>
      <w:pPr>
        <w:ind w:left="1200" w:right="680"/>
        <w:spacing w:after="0" w:line="378" w:lineRule="auto"/>
        <w:rPr>
          <w:sz w:val="20"/>
          <w:szCs w:val="20"/>
          <w:color w:val="auto"/>
        </w:rPr>
      </w:pPr>
      <w:r>
        <w:rPr>
          <w:rFonts w:ascii="Arial" w:cs="Arial" w:eastAsia="Arial" w:hAnsi="Arial"/>
          <w:sz w:val="13"/>
          <w:szCs w:val="13"/>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67"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380"/>
          </w:cols>
          <w:pgMar w:left="320" w:top="418" w:right="119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48" w:lineRule="auto"/>
        <w:rPr>
          <w:sz w:val="20"/>
          <w:szCs w:val="20"/>
          <w:color w:val="auto"/>
        </w:rPr>
      </w:pPr>
      <w:r>
        <w:rPr>
          <w:rFonts w:ascii="Arial" w:cs="Arial" w:eastAsia="Arial" w:hAnsi="Arial"/>
          <w:sz w:val="16"/>
          <w:szCs w:val="16"/>
          <w:color w:val="auto"/>
        </w:rPr>
        <w:t>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70" w:lineRule="exact"/>
        <w:rPr>
          <w:sz w:val="20"/>
          <w:szCs w:val="20"/>
          <w:color w:val="auto"/>
        </w:rPr>
      </w:pPr>
    </w:p>
    <w:p>
      <w:pPr>
        <w:ind w:left="1200" w:right="40"/>
        <w:spacing w:after="0" w:line="275" w:lineRule="auto"/>
        <w:rPr>
          <w:sz w:val="20"/>
          <w:szCs w:val="20"/>
          <w:color w:val="auto"/>
        </w:rPr>
      </w:pPr>
      <w:r>
        <w:rPr>
          <w:rFonts w:ascii="Arial" w:cs="Arial" w:eastAsia="Arial" w:hAnsi="Arial"/>
          <w:sz w:val="15"/>
          <w:szCs w:val="15"/>
          <w:b w:val="1"/>
          <w:bCs w:val="1"/>
          <w:i w:val="1"/>
          <w:iCs w:val="1"/>
          <w:color w:val="auto"/>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8"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from inadvertent or intentional actions by our employees, contractors, consultants, business partners, and other third parties, cyber-attacks by malicious third parties (including supply chain cyber-attacks or attacks by nation-state or nation-state supported actors, or the deployment of harmful malware, ransomware,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or other assets, which could result in financial, legal, business and reputational harm to us.</w:t>
      </w:r>
    </w:p>
    <w:p>
      <w:pPr>
        <w:spacing w:after="0" w:line="326"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420"/>
          </w:cols>
          <w:pgMar w:left="320" w:top="418" w:right="11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6" w:lineRule="auto"/>
        <w:rPr>
          <w:sz w:val="20"/>
          <w:szCs w:val="20"/>
          <w:color w:val="auto"/>
        </w:rPr>
      </w:pPr>
      <w:r>
        <w:rPr>
          <w:rFonts w:ascii="Arial" w:cs="Arial" w:eastAsia="Arial" w:hAnsi="Arial"/>
          <w:sz w:val="16"/>
          <w:szCs w:val="16"/>
          <w:color w:val="auto"/>
        </w:rPr>
        <w:t>standards or contractual obligations, we may be held responsible for any information security failure or cyber-attack attributed to our third-party service providers as they relate to the information we share with them.</w:t>
      </w:r>
    </w:p>
    <w:p>
      <w:pPr>
        <w:spacing w:after="0" w:line="158"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5"/>
          <w:szCs w:val="15"/>
          <w:color w:val="auto"/>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163"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261" w:lineRule="exact"/>
        <w:rPr>
          <w:sz w:val="20"/>
          <w:szCs w:val="20"/>
          <w:color w:val="auto"/>
        </w:rPr>
      </w:pPr>
    </w:p>
    <w:p>
      <w:pPr>
        <w:ind w:left="1200" w:right="180"/>
        <w:spacing w:after="0" w:line="266" w:lineRule="auto"/>
        <w:rPr>
          <w:sz w:val="20"/>
          <w:szCs w:val="20"/>
          <w:color w:val="auto"/>
        </w:rPr>
      </w:pPr>
      <w:r>
        <w:rPr>
          <w:rFonts w:ascii="Arial" w:cs="Arial" w:eastAsia="Arial" w:hAnsi="Arial"/>
          <w:sz w:val="16"/>
          <w:szCs w:val="16"/>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4"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420"/>
          </w:cols>
          <w:pgMar w:left="320" w:top="418" w:right="115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A variety of risks associated with marketing our product candidates internationally could materially adversely affect our business.</w:t>
      </w:r>
    </w:p>
    <w:p>
      <w:pPr>
        <w:spacing w:after="0" w:line="133"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76" w:lineRule="exact"/>
        <w:rPr>
          <w:sz w:val="20"/>
          <w:szCs w:val="20"/>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differing regulatory requirements and reimbursement regimes in foreign countries;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110"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potential liability under the FCPA or comparable foreign regulations;</w:t>
      </w:r>
    </w:p>
    <w:p>
      <w:pPr>
        <w:spacing w:after="0" w:line="110" w:lineRule="exact"/>
        <w:rPr>
          <w:rFonts w:ascii="Arial" w:cs="Arial" w:eastAsia="Arial" w:hAnsi="Arial"/>
          <w:sz w:val="16"/>
          <w:szCs w:val="16"/>
          <w:color w:val="auto"/>
        </w:rPr>
      </w:pPr>
    </w:p>
    <w:p>
      <w:pPr>
        <w:ind w:left="1660" w:hanging="469"/>
        <w:spacing w:after="0" w:line="300"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w:t>
      </w:r>
    </w:p>
    <w:p>
      <w:pPr>
        <w:spacing w:after="0" w:line="193"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These and other risks associated with our international operations may materially adversely affect our ability to attain or maintain profitable operations.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97" w:lineRule="exact"/>
        <w:rPr>
          <w:sz w:val="20"/>
          <w:szCs w:val="20"/>
          <w:color w:val="auto"/>
        </w:rPr>
      </w:pPr>
    </w:p>
    <w:p>
      <w:pPr>
        <w:ind w:left="1200" w:right="160"/>
        <w:spacing w:after="0" w:line="329" w:lineRule="auto"/>
        <w:rPr>
          <w:sz w:val="20"/>
          <w:szCs w:val="20"/>
          <w:color w:val="auto"/>
        </w:rPr>
      </w:pPr>
      <w:r>
        <w:rPr>
          <w:rFonts w:ascii="Arial" w:cs="Arial" w:eastAsia="Arial" w:hAnsi="Arial"/>
          <w:sz w:val="13"/>
          <w:szCs w:val="13"/>
          <w:b w:val="1"/>
          <w:bCs w:val="1"/>
          <w:i w:val="1"/>
          <w:iCs w:val="1"/>
          <w:color w:val="auto"/>
        </w:rPr>
        <w:t>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29" w:lineRule="exact"/>
        <w:rPr>
          <w:sz w:val="20"/>
          <w:szCs w:val="20"/>
          <w:color w:val="auto"/>
        </w:rPr>
      </w:pPr>
    </w:p>
    <w:p>
      <w:pPr>
        <w:ind w:left="820" w:right="80" w:firstLine="385"/>
        <w:spacing w:after="0" w:line="249" w:lineRule="auto"/>
        <w:rPr>
          <w:sz w:val="20"/>
          <w:szCs w:val="20"/>
          <w:color w:val="auto"/>
        </w:rPr>
      </w:pPr>
      <w:r>
        <w:rPr>
          <w:rFonts w:ascii="Arial" w:cs="Arial" w:eastAsia="Arial" w:hAnsi="Arial"/>
          <w:sz w:val="16"/>
          <w:szCs w:val="16"/>
          <w:color w:val="auto"/>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320"/>
          </w:cols>
          <w:pgMar w:left="320" w:top="418" w:right="12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316" w:lineRule="auto"/>
        <w:rPr>
          <w:sz w:val="20"/>
          <w:szCs w:val="20"/>
          <w:color w:val="auto"/>
        </w:rPr>
      </w:pPr>
      <w:r>
        <w:rPr>
          <w:rFonts w:ascii="Arial" w:cs="Arial" w:eastAsia="Arial" w:hAnsi="Arial"/>
          <w:sz w:val="13"/>
          <w:szCs w:val="13"/>
          <w:color w:val="auto"/>
        </w:rPr>
        <w:t>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Presently, we own one issued U.S. patent, one allowed U.S. patent application and one other pending non-provisional U.S. patent application, seven non-expired Patent Cooperation Treaty (PCT) applications, nine pending foreign patent applications and at least five pending provisional U.S. patent applications.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131"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170" w:lineRule="exact"/>
        <w:rPr>
          <w:sz w:val="20"/>
          <w:szCs w:val="20"/>
          <w:color w:val="auto"/>
        </w:rPr>
      </w:pPr>
    </w:p>
    <w:p>
      <w:pPr>
        <w:ind w:left="820" w:firstLine="385"/>
        <w:spacing w:after="0" w:line="323" w:lineRule="auto"/>
        <w:rPr>
          <w:sz w:val="20"/>
          <w:szCs w:val="20"/>
          <w:color w:val="auto"/>
        </w:rPr>
      </w:pPr>
      <w:r>
        <w:rPr>
          <w:rFonts w:ascii="Arial" w:cs="Arial" w:eastAsia="Arial" w:hAnsi="Arial"/>
          <w:sz w:val="13"/>
          <w:szCs w:val="13"/>
          <w:color w:val="auto"/>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126"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color w:val="auto"/>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200" w:lineRule="exact"/>
        <w:rPr>
          <w:sz w:val="20"/>
          <w:szCs w:val="20"/>
          <w:color w:val="auto"/>
        </w:rPr>
      </w:pPr>
    </w:p>
    <w:p>
      <w:pPr>
        <w:spacing w:after="0" w:line="315"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potential future licensors or collaborators will be successful in protecting our product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420"/>
          </w:cols>
          <w:pgMar w:left="320" w:top="418" w:right="11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candidates by obtaining and defending adequate patent coverage. These risks and uncertainties include the following:</w:t>
      </w:r>
    </w:p>
    <w:p>
      <w:pPr>
        <w:spacing w:after="0" w:line="111" w:lineRule="exact"/>
        <w:rPr>
          <w:sz w:val="20"/>
          <w:szCs w:val="20"/>
          <w:color w:val="auto"/>
        </w:rPr>
      </w:pPr>
    </w:p>
    <w:p>
      <w:pPr>
        <w:ind w:left="1660" w:right="40" w:hanging="469"/>
        <w:spacing w:after="0" w:line="281"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6" w:lineRule="exact"/>
        <w:rPr>
          <w:rFonts w:ascii="Arial" w:cs="Arial" w:eastAsia="Arial" w:hAnsi="Arial"/>
          <w:sz w:val="15"/>
          <w:szCs w:val="15"/>
          <w:color w:val="auto"/>
        </w:rPr>
      </w:pPr>
    </w:p>
    <w:p>
      <w:pPr>
        <w:ind w:left="1660" w:hanging="469"/>
        <w:spacing w:after="0"/>
        <w:tabs>
          <w:tab w:leader="none" w:pos="1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patents may be challenged, invalidated, modified, revoked, circumvented, found to be unenforceable, narrowed in scope or otherwise may not provide any competitive advantage;</w:t>
      </w:r>
    </w:p>
    <w:p>
      <w:pPr>
        <w:spacing w:after="0" w:line="75" w:lineRule="exact"/>
        <w:rPr>
          <w:rFonts w:ascii="Arial" w:cs="Arial" w:eastAsia="Arial" w:hAnsi="Arial"/>
          <w:sz w:val="16"/>
          <w:szCs w:val="16"/>
          <w:color w:val="auto"/>
        </w:rPr>
      </w:pPr>
    </w:p>
    <w:p>
      <w:pPr>
        <w:jc w:val="both"/>
        <w:ind w:left="1660" w:right="80" w:hanging="469"/>
        <w:spacing w:after="0" w:line="256" w:lineRule="auto"/>
        <w:tabs>
          <w:tab w:leader="none" w:pos="1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3" w:lineRule="exact"/>
        <w:rPr>
          <w:rFonts w:ascii="Arial" w:cs="Arial" w:eastAsia="Arial" w:hAnsi="Arial"/>
          <w:sz w:val="16"/>
          <w:szCs w:val="16"/>
          <w:color w:val="auto"/>
        </w:rPr>
      </w:pPr>
    </w:p>
    <w:p>
      <w:pPr>
        <w:jc w:val="both"/>
        <w:ind w:left="1660" w:right="280" w:hanging="469"/>
        <w:spacing w:after="0" w:line="256" w:lineRule="auto"/>
        <w:tabs>
          <w:tab w:leader="none" w:pos="1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3" w:lineRule="exact"/>
        <w:rPr>
          <w:rFonts w:ascii="Arial" w:cs="Arial" w:eastAsia="Arial" w:hAnsi="Arial"/>
          <w:sz w:val="16"/>
          <w:szCs w:val="16"/>
          <w:color w:val="auto"/>
        </w:rPr>
      </w:pPr>
    </w:p>
    <w:p>
      <w:pPr>
        <w:ind w:left="1660" w:right="100" w:hanging="469"/>
        <w:spacing w:after="0" w:line="256" w:lineRule="auto"/>
        <w:tabs>
          <w:tab w:leader="none" w:pos="1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166"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54" w:lineRule="exact"/>
        <w:rPr>
          <w:sz w:val="20"/>
          <w:szCs w:val="20"/>
          <w:color w:val="auto"/>
        </w:rPr>
      </w:pPr>
    </w:p>
    <w:p>
      <w:pPr>
        <w:ind w:left="820" w:right="120" w:firstLine="385"/>
        <w:spacing w:after="0" w:line="323" w:lineRule="auto"/>
        <w:rPr>
          <w:sz w:val="20"/>
          <w:szCs w:val="20"/>
          <w:color w:val="auto"/>
        </w:rPr>
      </w:pPr>
      <w:r>
        <w:rPr>
          <w:rFonts w:ascii="Arial" w:cs="Arial" w:eastAsia="Arial" w:hAnsi="Arial"/>
          <w:sz w:val="13"/>
          <w:szCs w:val="13"/>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126" w:lineRule="exact"/>
        <w:rPr>
          <w:sz w:val="20"/>
          <w:szCs w:val="20"/>
          <w:color w:val="auto"/>
        </w:rPr>
      </w:pPr>
    </w:p>
    <w:p>
      <w:pPr>
        <w:ind w:left="820" w:right="480" w:firstLine="385"/>
        <w:spacing w:after="0" w:line="256"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60" w:lineRule="exact"/>
        <w:rPr>
          <w:sz w:val="20"/>
          <w:szCs w:val="20"/>
          <w:color w:val="auto"/>
        </w:rPr>
      </w:pPr>
    </w:p>
    <w:p>
      <w:pPr>
        <w:ind w:left="1200" w:right="260"/>
        <w:spacing w:after="0" w:line="300" w:lineRule="auto"/>
        <w:rPr>
          <w:sz w:val="20"/>
          <w:szCs w:val="20"/>
          <w:color w:val="auto"/>
        </w:rPr>
      </w:pPr>
      <w:r>
        <w:rPr>
          <w:rFonts w:ascii="Arial" w:cs="Arial" w:eastAsia="Arial" w:hAnsi="Arial"/>
          <w:sz w:val="15"/>
          <w:szCs w:val="15"/>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40" w:lineRule="exact"/>
        <w:rPr>
          <w:sz w:val="20"/>
          <w:szCs w:val="20"/>
          <w:color w:val="auto"/>
        </w:rPr>
      </w:pPr>
    </w:p>
    <w:p>
      <w:pPr>
        <w:ind w:left="820" w:right="180" w:firstLine="385"/>
        <w:spacing w:after="0" w:line="343" w:lineRule="auto"/>
        <w:rPr>
          <w:sz w:val="20"/>
          <w:szCs w:val="20"/>
          <w:color w:val="auto"/>
        </w:rPr>
      </w:pPr>
      <w:r>
        <w:rPr>
          <w:rFonts w:ascii="Arial" w:cs="Arial" w:eastAsia="Arial" w:hAnsi="Arial"/>
          <w:sz w:val="13"/>
          <w:szCs w:val="13"/>
          <w:color w:val="auto"/>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420"/>
          </w:cols>
          <w:pgMar w:left="320" w:top="418" w:right="115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candidates or which effectively prevent others from commercializing competitive product candidates or otherwise provide any commercial advantage.</w:t>
      </w:r>
    </w:p>
    <w:p>
      <w:pPr>
        <w:spacing w:after="0" w:line="228"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138"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w:t>
      </w:r>
    </w:p>
    <w:p>
      <w:pPr>
        <w:spacing w:after="0" w:line="1"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173"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color w:val="auto"/>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420"/>
          </w:cols>
          <w:pgMar w:left="320" w:top="418" w:right="11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81" w:lineRule="auto"/>
        <w:rPr>
          <w:sz w:val="20"/>
          <w:szCs w:val="20"/>
          <w:color w:val="auto"/>
        </w:rPr>
      </w:pPr>
      <w:r>
        <w:rPr>
          <w:rFonts w:ascii="Arial" w:cs="Arial" w:eastAsia="Arial" w:hAnsi="Arial"/>
          <w:sz w:val="15"/>
          <w:szCs w:val="15"/>
          <w:color w:val="auto"/>
        </w:rPr>
        <w:t>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our competitive advantage.</w:t>
      </w:r>
    </w:p>
    <w:p>
      <w:pPr>
        <w:spacing w:after="0" w:line="99" w:lineRule="exact"/>
        <w:rPr>
          <w:sz w:val="20"/>
          <w:szCs w:val="20"/>
          <w:color w:val="auto"/>
        </w:rPr>
      </w:pPr>
    </w:p>
    <w:p>
      <w:pPr>
        <w:ind w:left="820" w:right="420" w:firstLine="385"/>
        <w:spacing w:after="0" w:line="300" w:lineRule="auto"/>
        <w:rPr>
          <w:sz w:val="20"/>
          <w:szCs w:val="20"/>
          <w:color w:val="auto"/>
        </w:rPr>
      </w:pPr>
      <w:r>
        <w:rPr>
          <w:rFonts w:ascii="Arial" w:cs="Arial" w:eastAsia="Arial" w:hAnsi="Arial"/>
          <w:sz w:val="15"/>
          <w:szCs w:val="15"/>
          <w:color w:val="auto"/>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52" w:lineRule="exact"/>
        <w:rPr>
          <w:sz w:val="20"/>
          <w:szCs w:val="20"/>
          <w:color w:val="auto"/>
        </w:rPr>
      </w:pPr>
    </w:p>
    <w:p>
      <w:pPr>
        <w:ind w:left="1660" w:right="440" w:hanging="469"/>
        <w:spacing w:after="0" w:line="26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others may be able to develop products that are similar to our product candidates but that are not covered by the claims of the patent applications that we own or license;</w:t>
      </w:r>
    </w:p>
    <w:p>
      <w:pPr>
        <w:spacing w:after="0" w:line="75" w:lineRule="exact"/>
        <w:rPr>
          <w:rFonts w:ascii="Arial" w:cs="Arial" w:eastAsia="Arial" w:hAnsi="Arial"/>
          <w:sz w:val="16"/>
          <w:szCs w:val="16"/>
          <w:color w:val="auto"/>
        </w:rPr>
      </w:pPr>
    </w:p>
    <w:p>
      <w:pPr>
        <w:ind w:left="1660" w:right="740" w:hanging="469"/>
        <w:spacing w:after="0" w:line="26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or our current or future licensors or collaborators might not have been the first to make the inventions covered by the patent applications that we own or license now or may own or license in the future;</w:t>
      </w:r>
    </w:p>
    <w:p>
      <w:pPr>
        <w:spacing w:after="0" w:line="75" w:lineRule="exact"/>
        <w:rPr>
          <w:rFonts w:ascii="Arial" w:cs="Arial" w:eastAsia="Arial" w:hAnsi="Arial"/>
          <w:sz w:val="16"/>
          <w:szCs w:val="16"/>
          <w:color w:val="auto"/>
        </w:rPr>
      </w:pPr>
    </w:p>
    <w:p>
      <w:pPr>
        <w:ind w:left="1660" w:right="500" w:hanging="469"/>
        <w:spacing w:after="0" w:line="26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or our current or future licensors or collaborators might not have been the first to file patent applications covering certain of our inventions;</w:t>
      </w:r>
    </w:p>
    <w:p>
      <w:pPr>
        <w:spacing w:after="0" w:line="75" w:lineRule="exact"/>
        <w:rPr>
          <w:rFonts w:ascii="Arial" w:cs="Arial" w:eastAsia="Arial" w:hAnsi="Arial"/>
          <w:sz w:val="16"/>
          <w:szCs w:val="16"/>
          <w:color w:val="auto"/>
        </w:rPr>
      </w:pPr>
    </w:p>
    <w:p>
      <w:pPr>
        <w:ind w:left="1660" w:right="660" w:hanging="469"/>
        <w:spacing w:after="0" w:line="26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it is possible that the pending patent applications we own or license will not lead to issued patents;</w:t>
      </w:r>
    </w:p>
    <w:p>
      <w:pPr>
        <w:spacing w:after="0" w:line="110"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issued patents that we may hold rights to may be held invalid or unenforceable, including as a result of legal challenges by our competitors or other third parties;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others may have access to the same intellectual property rights licensed to us in the future on a nonexclusive basis;</w:t>
      </w:r>
    </w:p>
    <w:p>
      <w:pPr>
        <w:spacing w:after="0" w:line="110" w:lineRule="exact"/>
        <w:rPr>
          <w:rFonts w:ascii="Arial" w:cs="Arial" w:eastAsia="Arial" w:hAnsi="Arial"/>
          <w:sz w:val="16"/>
          <w:szCs w:val="16"/>
          <w:color w:val="auto"/>
        </w:rPr>
      </w:pPr>
    </w:p>
    <w:p>
      <w:pPr>
        <w:ind w:left="1660" w:right="440" w:hanging="469"/>
        <w:spacing w:after="0" w:line="300"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and</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Should any of these events occur, it could significantly harm our business, results of operations and prospects.</w:t>
      </w:r>
    </w:p>
    <w:p>
      <w:pPr>
        <w:spacing w:after="0" w:line="288" w:lineRule="exact"/>
        <w:rPr>
          <w:sz w:val="20"/>
          <w:szCs w:val="20"/>
          <w:color w:val="auto"/>
        </w:rPr>
      </w:pPr>
    </w:p>
    <w:p>
      <w:pPr>
        <w:ind w:left="1200"/>
        <w:spacing w:after="0" w:line="329" w:lineRule="auto"/>
        <w:rPr>
          <w:sz w:val="20"/>
          <w:szCs w:val="20"/>
          <w:color w:val="auto"/>
        </w:rPr>
      </w:pPr>
      <w:r>
        <w:rPr>
          <w:rFonts w:ascii="Arial" w:cs="Arial" w:eastAsia="Arial" w:hAnsi="Arial"/>
          <w:sz w:val="13"/>
          <w:szCs w:val="13"/>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29" w:lineRule="exact"/>
        <w:rPr>
          <w:sz w:val="20"/>
          <w:szCs w:val="20"/>
          <w:color w:val="auto"/>
        </w:rPr>
      </w:pPr>
    </w:p>
    <w:p>
      <w:pPr>
        <w:ind w:left="820" w:right="240" w:firstLine="385"/>
        <w:spacing w:after="0" w:line="343" w:lineRule="auto"/>
        <w:rPr>
          <w:sz w:val="20"/>
          <w:szCs w:val="20"/>
          <w:color w:val="auto"/>
        </w:rPr>
      </w:pPr>
      <w:r>
        <w:rPr>
          <w:rFonts w:ascii="Arial" w:cs="Arial" w:eastAsia="Arial" w:hAnsi="Arial"/>
          <w:sz w:val="13"/>
          <w:szCs w:val="13"/>
          <w:color w:val="auto"/>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400"/>
          </w:cols>
          <w:pgMar w:left="320" w:top="418" w:right="117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7" w:lineRule="auto"/>
        <w:rPr>
          <w:sz w:val="20"/>
          <w:szCs w:val="20"/>
          <w:color w:val="auto"/>
        </w:rPr>
      </w:pPr>
      <w:r>
        <w:rPr>
          <w:rFonts w:ascii="Arial" w:cs="Arial" w:eastAsia="Arial" w:hAnsi="Arial"/>
          <w:sz w:val="15"/>
          <w:szCs w:val="15"/>
          <w:color w:val="auto"/>
        </w:rPr>
        <w:t>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163"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163" w:lineRule="exact"/>
        <w:rPr>
          <w:sz w:val="20"/>
          <w:szCs w:val="20"/>
          <w:color w:val="auto"/>
        </w:rPr>
      </w:pPr>
    </w:p>
    <w:p>
      <w:pPr>
        <w:jc w:val="both"/>
        <w:ind w:left="820" w:right="340" w:firstLine="385"/>
        <w:spacing w:after="0" w:line="343" w:lineRule="auto"/>
        <w:rPr>
          <w:sz w:val="20"/>
          <w:szCs w:val="20"/>
          <w:color w:val="auto"/>
        </w:rPr>
      </w:pPr>
      <w:r>
        <w:rPr>
          <w:rFonts w:ascii="Arial" w:cs="Arial" w:eastAsia="Arial" w:hAnsi="Arial"/>
          <w:sz w:val="13"/>
          <w:szCs w:val="13"/>
          <w:color w:val="auto"/>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31" w:lineRule="exact"/>
        <w:rPr>
          <w:sz w:val="20"/>
          <w:szCs w:val="20"/>
          <w:color w:val="auto"/>
        </w:rPr>
      </w:pPr>
    </w:p>
    <w:p>
      <w:pPr>
        <w:ind w:left="1660" w:hanging="469"/>
        <w:spacing w:after="0"/>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result in costly litigation that may cause negative publicity;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divert the time and attention of our technical personnel and management;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cause development delays;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prevent us from commercializing any of our product candidates until the asserted patent expires or is held finally invalid or not infringed in a court of law;</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require us to develop non-infringing technology, which may not be possible on a cost-effective basis;</w:t>
      </w:r>
    </w:p>
    <w:p>
      <w:pPr>
        <w:spacing w:after="0" w:line="110" w:lineRule="exact"/>
        <w:rPr>
          <w:rFonts w:ascii="Arial" w:cs="Arial" w:eastAsia="Arial" w:hAnsi="Arial"/>
          <w:sz w:val="16"/>
          <w:szCs w:val="16"/>
          <w:color w:val="auto"/>
        </w:rPr>
      </w:pPr>
    </w:p>
    <w:p>
      <w:pPr>
        <w:ind w:left="1660" w:right="300" w:hanging="469"/>
        <w:spacing w:after="0" w:line="266" w:lineRule="auto"/>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us to significant liability and damages to third parties, including treble damages if we are found to willfully infringe third-party intellectual property; or</w:t>
      </w:r>
    </w:p>
    <w:p>
      <w:pPr>
        <w:spacing w:after="0" w:line="75"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58"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Although no third party has asserted a claim of patent infringement against us as of the date of this prospectus,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440"/>
          </w:cols>
          <w:pgMar w:left="320" w:top="418" w:right="11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311" w:lineRule="auto"/>
        <w:rPr>
          <w:sz w:val="20"/>
          <w:szCs w:val="20"/>
          <w:color w:val="auto"/>
        </w:rPr>
      </w:pPr>
      <w:r>
        <w:rPr>
          <w:rFonts w:ascii="Arial" w:cs="Arial" w:eastAsia="Arial" w:hAnsi="Arial"/>
          <w:sz w:val="13"/>
          <w:szCs w:val="13"/>
          <w:color w:val="auto"/>
        </w:rPr>
        <w:t>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138" w:lineRule="exact"/>
        <w:rPr>
          <w:sz w:val="20"/>
          <w:szCs w:val="20"/>
          <w:color w:val="auto"/>
        </w:rPr>
      </w:pPr>
    </w:p>
    <w:p>
      <w:pPr>
        <w:ind w:left="820" w:right="20" w:firstLine="385"/>
        <w:spacing w:after="0" w:line="309" w:lineRule="auto"/>
        <w:rPr>
          <w:sz w:val="20"/>
          <w:szCs w:val="20"/>
          <w:color w:val="auto"/>
        </w:rPr>
      </w:pPr>
      <w:r>
        <w:rPr>
          <w:rFonts w:ascii="Arial" w:cs="Arial" w:eastAsia="Arial" w:hAnsi="Arial"/>
          <w:sz w:val="13"/>
          <w:szCs w:val="13"/>
          <w:color w:val="auto"/>
        </w:rPr>
        <w:t>Third parties may assert claims of patent infringement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327"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54" w:lineRule="exact"/>
        <w:rPr>
          <w:sz w:val="20"/>
          <w:szCs w:val="20"/>
          <w:color w:val="auto"/>
        </w:rPr>
      </w:pPr>
    </w:p>
    <w:p>
      <w:pPr>
        <w:ind w:left="820" w:right="100" w:firstLine="385"/>
        <w:spacing w:after="0" w:line="268" w:lineRule="auto"/>
        <w:rPr>
          <w:sz w:val="20"/>
          <w:szCs w:val="20"/>
          <w:color w:val="auto"/>
        </w:rPr>
      </w:pPr>
      <w:r>
        <w:rPr>
          <w:rFonts w:ascii="Arial" w:cs="Arial" w:eastAsia="Arial" w:hAnsi="Arial"/>
          <w:sz w:val="15"/>
          <w:szCs w:val="15"/>
          <w:color w:val="auto"/>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440"/>
          </w:cols>
          <w:pgMar w:left="320" w:top="418" w:right="11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00"/>
        <w:spacing w:after="0" w:line="343" w:lineRule="auto"/>
        <w:rPr>
          <w:sz w:val="20"/>
          <w:szCs w:val="20"/>
          <w:color w:val="auto"/>
        </w:rPr>
      </w:pPr>
      <w:r>
        <w:rPr>
          <w:rFonts w:ascii="Arial" w:cs="Arial" w:eastAsia="Arial" w:hAnsi="Arial"/>
          <w:sz w:val="13"/>
          <w:szCs w:val="13"/>
          <w:color w:val="auto"/>
        </w:rPr>
        <w:t>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114"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63"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We may not be successful in obtaining or maintaining necessary rights to our product candidates through acquisitions and in-licenses.</w:t>
      </w:r>
    </w:p>
    <w:p>
      <w:pPr>
        <w:spacing w:after="0" w:line="133" w:lineRule="exact"/>
        <w:rPr>
          <w:sz w:val="20"/>
          <w:szCs w:val="20"/>
          <w:color w:val="auto"/>
        </w:rPr>
      </w:pPr>
    </w:p>
    <w:p>
      <w:pPr>
        <w:ind w:left="820" w:right="20" w:firstLine="385"/>
        <w:spacing w:after="0" w:line="309" w:lineRule="auto"/>
        <w:rPr>
          <w:sz w:val="20"/>
          <w:szCs w:val="20"/>
          <w:color w:val="auto"/>
        </w:rPr>
      </w:pPr>
      <w:r>
        <w:rPr>
          <w:rFonts w:ascii="Arial" w:cs="Arial" w:eastAsia="Arial" w:hAnsi="Arial"/>
          <w:sz w:val="13"/>
          <w:szCs w:val="13"/>
          <w:color w:val="auto"/>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440"/>
          </w:cols>
          <w:pgMar w:left="320" w:top="418" w:right="11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360"/>
        <w:spacing w:after="0" w:line="256" w:lineRule="auto"/>
        <w:rPr>
          <w:sz w:val="20"/>
          <w:szCs w:val="20"/>
          <w:color w:val="auto"/>
        </w:rPr>
      </w:pPr>
      <w:r>
        <w:rPr>
          <w:rFonts w:ascii="Arial" w:cs="Arial" w:eastAsia="Arial" w:hAnsi="Arial"/>
          <w:sz w:val="16"/>
          <w:szCs w:val="16"/>
          <w:b w:val="1"/>
          <w:bCs w:val="1"/>
          <w:i w:val="1"/>
          <w:iCs w:val="1"/>
          <w:color w:val="auto"/>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71"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326"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326" w:lineRule="exact"/>
        <w:rPr>
          <w:sz w:val="20"/>
          <w:szCs w:val="20"/>
          <w:color w:val="auto"/>
        </w:rPr>
      </w:pPr>
    </w:p>
    <w:p>
      <w:pPr>
        <w:ind w:left="820" w:right="280" w:firstLine="385"/>
        <w:spacing w:after="0" w:line="383" w:lineRule="auto"/>
        <w:rPr>
          <w:sz w:val="20"/>
          <w:szCs w:val="20"/>
          <w:color w:val="auto"/>
        </w:rPr>
      </w:pPr>
      <w:r>
        <w:rPr>
          <w:rFonts w:ascii="Arial" w:cs="Arial" w:eastAsia="Arial" w:hAnsi="Arial"/>
          <w:sz w:val="13"/>
          <w:szCs w:val="13"/>
          <w:color w:val="auto"/>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89"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440"/>
          </w:cols>
          <w:pgMar w:left="320" w:top="418" w:right="11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80" w:firstLine="385"/>
        <w:spacing w:after="0" w:line="383" w:lineRule="auto"/>
        <w:rPr>
          <w:sz w:val="20"/>
          <w:szCs w:val="20"/>
          <w:color w:val="auto"/>
        </w:rPr>
      </w:pPr>
      <w:r>
        <w:rPr>
          <w:rFonts w:ascii="Arial" w:cs="Arial" w:eastAsia="Arial" w:hAnsi="Arial"/>
          <w:sz w:val="13"/>
          <w:szCs w:val="13"/>
          <w:color w:val="auto"/>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183" w:lineRule="exact"/>
        <w:rPr>
          <w:sz w:val="20"/>
          <w:szCs w:val="20"/>
          <w:color w:val="auto"/>
        </w:rPr>
      </w:pPr>
    </w:p>
    <w:p>
      <w:pPr>
        <w:ind w:left="1200" w:right="40"/>
        <w:spacing w:after="0" w:line="266" w:lineRule="auto"/>
        <w:rPr>
          <w:sz w:val="20"/>
          <w:szCs w:val="20"/>
          <w:color w:val="auto"/>
        </w:rPr>
      </w:pPr>
      <w:r>
        <w:rPr>
          <w:rFonts w:ascii="Arial" w:cs="Arial" w:eastAsia="Arial" w:hAnsi="Arial"/>
          <w:sz w:val="16"/>
          <w:szCs w:val="16"/>
          <w:b w:val="1"/>
          <w:bCs w:val="1"/>
          <w:i w:val="1"/>
          <w:iCs w:val="1"/>
          <w:color w:val="auto"/>
        </w:rPr>
        <w:t>Intellectual property litigation may lead to unfavorable publicity that harms our reputation and causes the market price of our common shares to decline.</w:t>
      </w:r>
    </w:p>
    <w:p>
      <w:pPr>
        <w:spacing w:after="0" w:line="64"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64" w:lineRule="exact"/>
        <w:rPr>
          <w:sz w:val="20"/>
          <w:szCs w:val="20"/>
          <w:color w:val="auto"/>
        </w:rPr>
      </w:pPr>
    </w:p>
    <w:p>
      <w:pPr>
        <w:ind w:left="1200" w:right="180"/>
        <w:spacing w:after="0" w:line="266" w:lineRule="auto"/>
        <w:rPr>
          <w:sz w:val="20"/>
          <w:szCs w:val="20"/>
          <w:color w:val="auto"/>
        </w:rPr>
      </w:pPr>
      <w:r>
        <w:rPr>
          <w:rFonts w:ascii="Arial" w:cs="Arial" w:eastAsia="Arial" w:hAnsi="Arial"/>
          <w:sz w:val="16"/>
          <w:szCs w:val="16"/>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4"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26" w:lineRule="exact"/>
        <w:rPr>
          <w:sz w:val="20"/>
          <w:szCs w:val="20"/>
          <w:color w:val="auto"/>
        </w:rPr>
      </w:pPr>
    </w:p>
    <w:p>
      <w:pPr>
        <w:ind w:left="1200" w:right="120"/>
        <w:spacing w:after="0" w:line="266" w:lineRule="auto"/>
        <w:rPr>
          <w:sz w:val="20"/>
          <w:szCs w:val="20"/>
          <w:color w:val="auto"/>
        </w:rPr>
      </w:pPr>
      <w:r>
        <w:rPr>
          <w:rFonts w:ascii="Arial" w:cs="Arial" w:eastAsia="Arial" w:hAnsi="Arial"/>
          <w:sz w:val="16"/>
          <w:szCs w:val="16"/>
          <w:b w:val="1"/>
          <w:bCs w:val="1"/>
          <w:i w:val="1"/>
          <w:iCs w:val="1"/>
          <w:color w:val="auto"/>
        </w:rPr>
        <w:t>Changes in U.S. patent law, or laws in other countries, could diminish the value of patents in general, thereby impairing our ability to protect our product candidates.</w:t>
      </w:r>
    </w:p>
    <w:p>
      <w:pPr>
        <w:spacing w:after="0" w:line="64" w:lineRule="exact"/>
        <w:rPr>
          <w:sz w:val="20"/>
          <w:szCs w:val="20"/>
          <w:color w:val="auto"/>
        </w:rPr>
      </w:pPr>
    </w:p>
    <w:p>
      <w:pPr>
        <w:ind w:left="820" w:right="140" w:firstLine="385"/>
        <w:spacing w:after="0" w:line="316" w:lineRule="auto"/>
        <w:rPr>
          <w:sz w:val="20"/>
          <w:szCs w:val="20"/>
          <w:color w:val="auto"/>
        </w:rPr>
      </w:pPr>
      <w:r>
        <w:rPr>
          <w:rFonts w:ascii="Arial" w:cs="Arial" w:eastAsia="Arial" w:hAnsi="Arial"/>
          <w:sz w:val="13"/>
          <w:szCs w:val="13"/>
          <w:color w:val="auto"/>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Congress or other foreign legislative bodies may pass patent reform legislation that is unfavorable to us.</w:t>
      </w:r>
    </w:p>
    <w:p>
      <w:pPr>
        <w:spacing w:after="0" w:line="131"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440"/>
          </w:cols>
          <w:pgMar w:left="320" w:top="418" w:right="11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70" w:lineRule="auto"/>
        <w:rPr>
          <w:sz w:val="20"/>
          <w:szCs w:val="20"/>
          <w:color w:val="auto"/>
        </w:rPr>
      </w:pPr>
      <w:r>
        <w:rPr>
          <w:rFonts w:ascii="Arial" w:cs="Arial" w:eastAsia="Arial" w:hAnsi="Arial"/>
          <w:sz w:val="15"/>
          <w:szCs w:val="15"/>
          <w:color w:val="auto"/>
        </w:rPr>
        <w:t>was the first to invent the claimed invention. The USPTO recently developed new regulations and procedures to govern administration of the Leahy-Smith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156" w:lineRule="exact"/>
        <w:rPr>
          <w:sz w:val="20"/>
          <w:szCs w:val="20"/>
          <w:color w:val="auto"/>
        </w:rPr>
      </w:pPr>
    </w:p>
    <w:p>
      <w:pPr>
        <w:ind w:left="820" w:right="80" w:firstLine="385"/>
        <w:spacing w:after="0" w:line="314" w:lineRule="auto"/>
        <w:rPr>
          <w:sz w:val="20"/>
          <w:szCs w:val="20"/>
          <w:color w:val="auto"/>
        </w:rPr>
      </w:pPr>
      <w:r>
        <w:rPr>
          <w:rFonts w:ascii="Arial" w:cs="Arial" w:eastAsia="Arial" w:hAnsi="Arial"/>
          <w:sz w:val="13"/>
          <w:szCs w:val="13"/>
          <w:color w:val="auto"/>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00" w:lineRule="exact"/>
        <w:rPr>
          <w:sz w:val="20"/>
          <w:szCs w:val="20"/>
          <w:color w:val="auto"/>
        </w:rPr>
      </w:pPr>
    </w:p>
    <w:p>
      <w:pPr>
        <w:spacing w:after="0" w:line="216" w:lineRule="exact"/>
        <w:rPr>
          <w:sz w:val="20"/>
          <w:szCs w:val="20"/>
          <w:color w:val="auto"/>
        </w:rPr>
      </w:pPr>
    </w:p>
    <w:p>
      <w:pPr>
        <w:ind w:left="1200" w:right="40"/>
        <w:spacing w:after="0" w:line="266" w:lineRule="auto"/>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our owned patent applications or in-licensed patent rights and other intellectual property.</w:t>
      </w:r>
    </w:p>
    <w:p>
      <w:pPr>
        <w:spacing w:after="0" w:line="64"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326"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7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440"/>
          </w:cols>
          <w:pgMar w:left="320" w:top="418" w:right="11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ind w:left="820" w:right="40" w:firstLine="385"/>
        <w:spacing w:after="0" w:line="270"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5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If we do not obtain patent term extension for our product candidates, our business may be materially harmed.</w:t>
      </w:r>
    </w:p>
    <w:p>
      <w:pPr>
        <w:spacing w:after="0" w:line="99"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161"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200" w:lineRule="exact"/>
        <w:rPr>
          <w:sz w:val="20"/>
          <w:szCs w:val="20"/>
          <w:color w:val="auto"/>
        </w:rPr>
      </w:pP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99"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420"/>
          </w:cols>
          <w:pgMar w:left="320" w:top="418" w:right="115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3"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64" w:lineRule="exact"/>
        <w:rPr>
          <w:sz w:val="20"/>
          <w:szCs w:val="20"/>
          <w:color w:val="auto"/>
        </w:rPr>
      </w:pPr>
    </w:p>
    <w:p>
      <w:pPr>
        <w:ind w:left="1200" w:right="480"/>
        <w:spacing w:after="0" w:line="256"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1"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258" w:lineRule="exact"/>
        <w:rPr>
          <w:sz w:val="20"/>
          <w:szCs w:val="20"/>
          <w:color w:val="auto"/>
        </w:rPr>
      </w:pPr>
    </w:p>
    <w:p>
      <w:pPr>
        <w:ind w:left="1200" w:right="60"/>
        <w:spacing w:after="0" w:line="26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420"/>
          </w:cols>
          <w:pgMar w:left="320" w:top="418" w:right="115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51" w:lineRule="auto"/>
        <w:rPr>
          <w:sz w:val="20"/>
          <w:szCs w:val="20"/>
          <w:color w:val="auto"/>
        </w:rPr>
      </w:pPr>
      <w:r>
        <w:rPr>
          <w:rFonts w:ascii="Arial" w:cs="Arial" w:eastAsia="Arial" w:hAnsi="Arial"/>
          <w:sz w:val="16"/>
          <w:szCs w:val="16"/>
          <w:color w:val="auto"/>
        </w:rPr>
        <w:t>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70" w:lineRule="exact"/>
        <w:rPr>
          <w:sz w:val="20"/>
          <w:szCs w:val="20"/>
          <w:color w:val="auto"/>
        </w:rPr>
      </w:pPr>
    </w:p>
    <w:p>
      <w:pPr>
        <w:ind w:left="820" w:right="160" w:firstLine="385"/>
        <w:spacing w:after="0" w:line="314" w:lineRule="auto"/>
        <w:rPr>
          <w:sz w:val="20"/>
          <w:szCs w:val="20"/>
          <w:color w:val="auto"/>
        </w:rPr>
      </w:pPr>
      <w:r>
        <w:rPr>
          <w:rFonts w:ascii="Arial" w:cs="Arial" w:eastAsia="Arial" w:hAnsi="Arial"/>
          <w:sz w:val="13"/>
          <w:szCs w:val="13"/>
          <w:color w:val="auto"/>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110"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328" w:lineRule="exact"/>
        <w:rPr>
          <w:sz w:val="20"/>
          <w:szCs w:val="20"/>
          <w:color w:val="auto"/>
        </w:rPr>
      </w:pPr>
    </w:p>
    <w:p>
      <w:pPr>
        <w:ind w:left="820" w:right="60" w:firstLine="385"/>
        <w:spacing w:after="0" w:line="312" w:lineRule="auto"/>
        <w:rPr>
          <w:sz w:val="20"/>
          <w:szCs w:val="20"/>
          <w:color w:val="auto"/>
        </w:rPr>
      </w:pPr>
      <w:r>
        <w:rPr>
          <w:rFonts w:ascii="Arial" w:cs="Arial" w:eastAsia="Arial" w:hAnsi="Arial"/>
          <w:sz w:val="13"/>
          <w:szCs w:val="13"/>
          <w:color w:val="auto"/>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440"/>
          </w:cols>
          <w:pgMar w:left="320" w:top="418" w:right="11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20"/>
        <w:spacing w:after="0" w:line="300" w:lineRule="auto"/>
        <w:rPr>
          <w:sz w:val="20"/>
          <w:szCs w:val="20"/>
          <w:color w:val="auto"/>
        </w:rPr>
      </w:pPr>
      <w:r>
        <w:rPr>
          <w:rFonts w:ascii="Arial" w:cs="Arial" w:eastAsia="Arial" w:hAnsi="Arial"/>
          <w:sz w:val="15"/>
          <w:szCs w:val="15"/>
          <w:color w:val="auto"/>
        </w:rPr>
        <w:t>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29" w:lineRule="exact"/>
        <w:rPr>
          <w:sz w:val="20"/>
          <w:szCs w:val="20"/>
          <w:color w:val="auto"/>
        </w:rPr>
      </w:pPr>
    </w:p>
    <w:p>
      <w:pPr>
        <w:ind w:left="1200" w:right="620"/>
        <w:spacing w:after="0" w:line="266" w:lineRule="auto"/>
        <w:rPr>
          <w:sz w:val="20"/>
          <w:szCs w:val="20"/>
          <w:color w:val="auto"/>
        </w:rPr>
      </w:pPr>
      <w:r>
        <w:rPr>
          <w:rFonts w:ascii="Arial" w:cs="Arial" w:eastAsia="Arial" w:hAnsi="Arial"/>
          <w:sz w:val="16"/>
          <w:szCs w:val="16"/>
          <w:b w:val="1"/>
          <w:bCs w:val="1"/>
          <w:i w:val="1"/>
          <w:iCs w:val="1"/>
          <w:color w:val="auto"/>
        </w:rPr>
        <w:t>We may be subject to claims that we or our employees, consultants, advisors or contractors have wrongfully used or disclosed alleged confidential information or trade secrets.</w:t>
      </w:r>
    </w:p>
    <w:p>
      <w:pPr>
        <w:spacing w:after="0" w:line="64"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326"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49" w:lineRule="exact"/>
        <w:rPr>
          <w:sz w:val="20"/>
          <w:szCs w:val="20"/>
          <w:color w:val="auto"/>
        </w:rPr>
      </w:pPr>
    </w:p>
    <w:p>
      <w:pPr>
        <w:ind w:left="1200" w:right="240"/>
        <w:spacing w:after="0" w:line="300" w:lineRule="auto"/>
        <w:rPr>
          <w:sz w:val="20"/>
          <w:szCs w:val="20"/>
          <w:color w:val="auto"/>
        </w:rPr>
      </w:pPr>
      <w:r>
        <w:rPr>
          <w:rFonts w:ascii="Arial" w:cs="Arial" w:eastAsia="Arial" w:hAnsi="Arial"/>
          <w:sz w:val="15"/>
          <w:szCs w:val="15"/>
          <w:b w:val="1"/>
          <w:bCs w:val="1"/>
          <w:i w:val="1"/>
          <w:iCs w:val="1"/>
          <w:color w:val="auto"/>
        </w:rPr>
        <w:t>We may be subject to claims that we have wrongfully hired an employee from our competitors or that we or our employees have wrongfully used or disclosed alleged confidential information or trade secrets of their former employers.</w:t>
      </w:r>
    </w:p>
    <w:p>
      <w:pPr>
        <w:spacing w:after="0" w:line="40"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57" w:lineRule="exact"/>
        <w:rPr>
          <w:sz w:val="20"/>
          <w:szCs w:val="20"/>
          <w:color w:val="auto"/>
        </w:rPr>
      </w:pPr>
    </w:p>
    <w:p>
      <w:pPr>
        <w:ind w:left="1200" w:right="520"/>
        <w:spacing w:after="0" w:line="266" w:lineRule="auto"/>
        <w:rPr>
          <w:sz w:val="20"/>
          <w:szCs w:val="20"/>
          <w:color w:val="auto"/>
        </w:rPr>
      </w:pPr>
      <w:r>
        <w:rPr>
          <w:rFonts w:ascii="Arial" w:cs="Arial" w:eastAsia="Arial" w:hAnsi="Arial"/>
          <w:sz w:val="16"/>
          <w:szCs w:val="16"/>
          <w:b w:val="1"/>
          <w:bCs w:val="1"/>
          <w:i w:val="1"/>
          <w:iCs w:val="1"/>
          <w:color w:val="auto"/>
        </w:rPr>
        <w:t>Our rights to develop and commercialize our technology and product candidates may be subject, in part, to the terms and conditions of licenses granted to us by others.</w:t>
      </w:r>
    </w:p>
    <w:p>
      <w:pPr>
        <w:spacing w:after="0" w:line="64" w:lineRule="exact"/>
        <w:rPr>
          <w:sz w:val="20"/>
          <w:szCs w:val="20"/>
          <w:color w:val="auto"/>
        </w:rPr>
      </w:pPr>
    </w:p>
    <w:p>
      <w:pPr>
        <w:ind w:left="820" w:right="280" w:firstLine="385"/>
        <w:spacing w:after="0" w:line="253" w:lineRule="auto"/>
        <w:rPr>
          <w:sz w:val="20"/>
          <w:szCs w:val="20"/>
          <w:color w:val="auto"/>
        </w:rPr>
      </w:pPr>
      <w:r>
        <w:rPr>
          <w:rFonts w:ascii="Arial" w:cs="Arial" w:eastAsia="Arial" w:hAnsi="Arial"/>
          <w:sz w:val="16"/>
          <w:szCs w:val="16"/>
          <w:color w:val="auto"/>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400"/>
          </w:cols>
          <w:pgMar w:left="320" w:top="418" w:right="117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383" w:lineRule="auto"/>
        <w:rPr>
          <w:sz w:val="20"/>
          <w:szCs w:val="20"/>
          <w:color w:val="auto"/>
        </w:rPr>
      </w:pPr>
      <w:r>
        <w:rPr>
          <w:rFonts w:ascii="Arial" w:cs="Arial" w:eastAsia="Arial" w:hAnsi="Arial"/>
          <w:sz w:val="13"/>
          <w:szCs w:val="13"/>
          <w:color w:val="auto"/>
        </w:rPr>
        <w:t>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89"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56" w:lineRule="exact"/>
        <w:rPr>
          <w:sz w:val="20"/>
          <w:szCs w:val="20"/>
          <w:color w:val="auto"/>
        </w:rPr>
      </w:pPr>
    </w:p>
    <w:p>
      <w:pPr>
        <w:ind w:left="820" w:right="40" w:firstLine="385"/>
        <w:spacing w:after="0" w:line="275" w:lineRule="auto"/>
        <w:rPr>
          <w:sz w:val="20"/>
          <w:szCs w:val="20"/>
          <w:color w:val="auto"/>
        </w:rPr>
      </w:pPr>
      <w:r>
        <w:rPr>
          <w:rFonts w:ascii="Arial" w:cs="Arial" w:eastAsia="Arial" w:hAnsi="Arial"/>
          <w:sz w:val="15"/>
          <w:szCs w:val="15"/>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3" w:lineRule="exact"/>
        <w:rPr>
          <w:sz w:val="20"/>
          <w:szCs w:val="20"/>
          <w:color w:val="auto"/>
        </w:rPr>
      </w:pPr>
    </w:p>
    <w:p>
      <w:pPr>
        <w:ind w:left="820" w:right="80" w:firstLine="385"/>
        <w:spacing w:after="0" w:line="319" w:lineRule="auto"/>
        <w:rPr>
          <w:sz w:val="20"/>
          <w:szCs w:val="20"/>
          <w:color w:val="auto"/>
        </w:rPr>
      </w:pPr>
      <w:r>
        <w:rPr>
          <w:rFonts w:ascii="Arial" w:cs="Arial" w:eastAsia="Arial" w:hAnsi="Arial"/>
          <w:sz w:val="13"/>
          <w:szCs w:val="13"/>
          <w:color w:val="auto"/>
        </w:rPr>
        <w:t>Additionally, our licenses may be subject to certain rights of third parties, and, as a result, our current and future licenses may not provide us with exclusive rights to use the licensed intellectual property and technology. 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28"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33"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420"/>
          </w:cols>
          <w:pgMar w:left="320" w:top="418" w:right="11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6" w:lineRule="auto"/>
        <w:rPr>
          <w:sz w:val="20"/>
          <w:szCs w:val="20"/>
          <w:color w:val="auto"/>
        </w:rPr>
      </w:pPr>
      <w:r>
        <w:rPr>
          <w:rFonts w:ascii="Arial" w:cs="Arial" w:eastAsia="Arial" w:hAnsi="Arial"/>
          <w:sz w:val="16"/>
          <w:szCs w:val="16"/>
          <w:color w:val="auto"/>
        </w:rPr>
        <w:t>reduction or elimination of licensed rights under these agreements, we may have to negotiate new or reinstated licenses with less favorable terms or we may not have sufficient intellectual property rights to operate our business.</w:t>
      </w:r>
    </w:p>
    <w:p>
      <w:pPr>
        <w:spacing w:after="0" w:line="158"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265" w:lineRule="exact"/>
        <w:rPr>
          <w:sz w:val="20"/>
          <w:szCs w:val="20"/>
          <w:color w:val="auto"/>
        </w:rPr>
      </w:pPr>
    </w:p>
    <w:p>
      <w:pPr>
        <w:ind w:left="1200" w:right="60"/>
        <w:spacing w:after="0" w:line="378" w:lineRule="auto"/>
        <w:rPr>
          <w:sz w:val="20"/>
          <w:szCs w:val="20"/>
          <w:color w:val="auto"/>
        </w:rPr>
      </w:pPr>
      <w:r>
        <w:rPr>
          <w:rFonts w:ascii="Arial" w:cs="Arial" w:eastAsia="Arial" w:hAnsi="Arial"/>
          <w:sz w:val="13"/>
          <w:szCs w:val="13"/>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Disputes may arise between us and our current or future licensors regarding intellectual property subject to a license agreement, including:</w:t>
      </w:r>
    </w:p>
    <w:p>
      <w:pPr>
        <w:spacing w:after="0" w:line="145" w:lineRule="exact"/>
        <w:rPr>
          <w:sz w:val="20"/>
          <w:szCs w:val="20"/>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w:t>
      </w:r>
    </w:p>
    <w:p>
      <w:pPr>
        <w:spacing w:after="0" w:line="110" w:lineRule="exact"/>
        <w:rPr>
          <w:rFonts w:ascii="Arial" w:cs="Arial" w:eastAsia="Arial" w:hAnsi="Arial"/>
          <w:sz w:val="16"/>
          <w:szCs w:val="16"/>
          <w:color w:val="auto"/>
        </w:rPr>
      </w:pPr>
    </w:p>
    <w:p>
      <w:pPr>
        <w:ind w:left="1660" w:right="30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right to sublicense patents and other rights to third parties;</w:t>
      </w:r>
    </w:p>
    <w:p>
      <w:pPr>
        <w:spacing w:after="0" w:line="110"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involvement or lack of involvement in the prosecution, defense, and enforcement of licensed patents and our licensors’ overall patent enforcement strategy;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of royalties, milestones or other payments due under the license agreement;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right to transfer or assign the license;</w:t>
      </w:r>
    </w:p>
    <w:p>
      <w:pPr>
        <w:spacing w:after="0" w:line="110" w:lineRule="exact"/>
        <w:rPr>
          <w:rFonts w:ascii="Arial" w:cs="Arial" w:eastAsia="Arial" w:hAnsi="Arial"/>
          <w:sz w:val="16"/>
          <w:szCs w:val="16"/>
          <w:color w:val="auto"/>
        </w:rPr>
      </w:pPr>
    </w:p>
    <w:p>
      <w:pPr>
        <w:ind w:left="1660" w:right="52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 us and our partners;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priority of invention of patented technology.</w:t>
      </w:r>
    </w:p>
    <w:p>
      <w:pPr>
        <w:spacing w:after="0" w:line="193"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163" w:lineRule="exact"/>
        <w:rPr>
          <w:sz w:val="20"/>
          <w:szCs w:val="20"/>
          <w:color w:val="auto"/>
        </w:rPr>
      </w:pPr>
    </w:p>
    <w:p>
      <w:pPr>
        <w:ind w:left="820" w:right="560" w:firstLine="385"/>
        <w:spacing w:after="0" w:line="266" w:lineRule="auto"/>
        <w:rPr>
          <w:sz w:val="20"/>
          <w:szCs w:val="20"/>
          <w:color w:val="auto"/>
        </w:rPr>
      </w:pPr>
      <w:r>
        <w:rPr>
          <w:rFonts w:ascii="Arial" w:cs="Arial" w:eastAsia="Arial" w:hAnsi="Arial"/>
          <w:sz w:val="16"/>
          <w:szCs w:val="16"/>
          <w:color w:val="auto"/>
        </w:rPr>
        <w:t>In spite of our efforts, our current and future licensors might conclude that we have materially breached our obligations under our license agreements and might therefore terminate such license agreements, thereby</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380"/>
          </w:cols>
          <w:pgMar w:left="320" w:top="418" w:right="119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53" w:lineRule="auto"/>
        <w:rPr>
          <w:sz w:val="20"/>
          <w:szCs w:val="20"/>
          <w:color w:val="auto"/>
        </w:rPr>
      </w:pPr>
      <w:r>
        <w:rPr>
          <w:rFonts w:ascii="Arial" w:cs="Arial" w:eastAsia="Arial" w:hAnsi="Arial"/>
          <w:sz w:val="16"/>
          <w:szCs w:val="16"/>
          <w:color w:val="auto"/>
        </w:rPr>
        <w:t>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The patent protection and patent prosecution for some of our product candidates may be dependent on third parties.</w:t>
      </w:r>
    </w:p>
    <w:p>
      <w:pPr>
        <w:spacing w:after="0" w:line="99"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00" w:lineRule="exact"/>
        <w:rPr>
          <w:sz w:val="20"/>
          <w:szCs w:val="20"/>
          <w:color w:val="auto"/>
        </w:rPr>
      </w:pPr>
    </w:p>
    <w:p>
      <w:pPr>
        <w:spacing w:after="0" w:line="216" w:lineRule="exact"/>
        <w:rPr>
          <w:sz w:val="20"/>
          <w:szCs w:val="20"/>
          <w:color w:val="auto"/>
        </w:rPr>
      </w:pPr>
    </w:p>
    <w:p>
      <w:pPr>
        <w:ind w:left="1200" w:right="180"/>
        <w:spacing w:after="0" w:line="256" w:lineRule="auto"/>
        <w:rPr>
          <w:sz w:val="20"/>
          <w:szCs w:val="20"/>
          <w:color w:val="auto"/>
        </w:rPr>
      </w:pPr>
      <w:r>
        <w:rPr>
          <w:rFonts w:ascii="Arial" w:cs="Arial" w:eastAsia="Arial" w:hAnsi="Arial"/>
          <w:sz w:val="16"/>
          <w:szCs w:val="16"/>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1" w:lineRule="exact"/>
        <w:rPr>
          <w:sz w:val="20"/>
          <w:szCs w:val="20"/>
          <w:color w:val="auto"/>
        </w:rPr>
      </w:pPr>
    </w:p>
    <w:p>
      <w:pPr>
        <w:ind w:left="820" w:right="20" w:firstLine="385"/>
        <w:spacing w:after="0" w:line="307" w:lineRule="auto"/>
        <w:rPr>
          <w:sz w:val="20"/>
          <w:szCs w:val="20"/>
          <w:color w:val="auto"/>
        </w:rPr>
      </w:pPr>
      <w:r>
        <w:rPr>
          <w:rFonts w:ascii="Arial" w:cs="Arial" w:eastAsia="Arial" w:hAnsi="Arial"/>
          <w:sz w:val="13"/>
          <w:szCs w:val="13"/>
          <w:color w:val="auto"/>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w:t>
      </w: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440"/>
          </w:cols>
          <w:pgMar w:left="320" w:top="418" w:right="11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20"/>
        <w:spacing w:after="0" w:line="281" w:lineRule="auto"/>
        <w:rPr>
          <w:sz w:val="20"/>
          <w:szCs w:val="20"/>
          <w:color w:val="auto"/>
        </w:rPr>
      </w:pPr>
      <w:r>
        <w:rPr>
          <w:rFonts w:ascii="Arial" w:cs="Arial" w:eastAsia="Arial" w:hAnsi="Arial"/>
          <w:sz w:val="15"/>
          <w:szCs w:val="15"/>
          <w:color w:val="auto"/>
        </w:rPr>
        <w:t>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97" w:lineRule="exact"/>
        <w:rPr>
          <w:sz w:val="20"/>
          <w:szCs w:val="20"/>
          <w:color w:val="auto"/>
        </w:rPr>
      </w:pPr>
    </w:p>
    <w:p>
      <w:pPr>
        <w:jc w:val="both"/>
        <w:ind w:left="1200" w:right="240"/>
        <w:spacing w:after="0" w:line="256" w:lineRule="auto"/>
        <w:rPr>
          <w:sz w:val="20"/>
          <w:szCs w:val="20"/>
          <w:color w:val="auto"/>
        </w:rPr>
      </w:pPr>
      <w:r>
        <w:rPr>
          <w:rFonts w:ascii="Arial" w:cs="Arial" w:eastAsia="Arial" w:hAnsi="Arial"/>
          <w:sz w:val="16"/>
          <w:szCs w:val="16"/>
          <w:b w:val="1"/>
          <w:bCs w:val="1"/>
          <w:i w:val="1"/>
          <w:iCs w:val="1"/>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71" w:lineRule="exact"/>
        <w:rPr>
          <w:sz w:val="20"/>
          <w:szCs w:val="20"/>
          <w:color w:val="auto"/>
        </w:rPr>
      </w:pPr>
    </w:p>
    <w:p>
      <w:pPr>
        <w:ind w:left="820" w:right="80" w:firstLine="385"/>
        <w:spacing w:after="0" w:line="343" w:lineRule="auto"/>
        <w:rPr>
          <w:sz w:val="20"/>
          <w:szCs w:val="20"/>
          <w:color w:val="auto"/>
        </w:rPr>
      </w:pPr>
      <w:r>
        <w:rPr>
          <w:rFonts w:ascii="Arial" w:cs="Arial" w:eastAsia="Arial" w:hAnsi="Arial"/>
          <w:sz w:val="13"/>
          <w:szCs w:val="13"/>
          <w:color w:val="auto"/>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114"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COVID-19.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322" w:lineRule="exact"/>
        <w:rPr>
          <w:sz w:val="20"/>
          <w:szCs w:val="20"/>
          <w:color w:val="auto"/>
        </w:rPr>
      </w:pPr>
    </w:p>
    <w:p>
      <w:pPr>
        <w:ind w:left="820" w:firstLine="385"/>
        <w:spacing w:after="0" w:line="264" w:lineRule="auto"/>
        <w:rPr>
          <w:sz w:val="20"/>
          <w:szCs w:val="20"/>
          <w:color w:val="auto"/>
        </w:rPr>
      </w:pPr>
      <w:r>
        <w:rPr>
          <w:rFonts w:ascii="Arial" w:cs="Arial" w:eastAsia="Arial" w:hAnsi="Arial"/>
          <w:sz w:val="15"/>
          <w:szCs w:val="15"/>
          <w:color w:val="auto"/>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420"/>
          </w:cols>
          <w:pgMar w:left="320" w:top="418" w:right="11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08" w:lineRule="exact"/>
        <w:rPr>
          <w:sz w:val="20"/>
          <w:szCs w:val="20"/>
          <w:color w:val="auto"/>
        </w:rPr>
      </w:pPr>
    </w:p>
    <w:p>
      <w:pPr>
        <w:ind w:left="1200" w:right="100"/>
        <w:spacing w:after="0" w:line="275" w:lineRule="auto"/>
        <w:rPr>
          <w:sz w:val="20"/>
          <w:szCs w:val="20"/>
          <w:color w:val="auto"/>
        </w:rPr>
      </w:pPr>
      <w:r>
        <w:rPr>
          <w:rFonts w:ascii="Arial" w:cs="Arial" w:eastAsia="Arial" w:hAnsi="Arial"/>
          <w:sz w:val="15"/>
          <w:szCs w:val="15"/>
          <w:b w:val="1"/>
          <w:bCs w:val="1"/>
          <w:i w:val="1"/>
          <w:iCs w:val="1"/>
          <w:color w:val="auto"/>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58"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171" w:lineRule="exact"/>
        <w:rPr>
          <w:sz w:val="20"/>
          <w:szCs w:val="20"/>
          <w:color w:val="auto"/>
        </w:rPr>
      </w:pPr>
    </w:p>
    <w:p>
      <w:pPr>
        <w:ind w:left="820" w:right="20" w:firstLine="385"/>
        <w:spacing w:after="0" w:line="383" w:lineRule="auto"/>
        <w:rPr>
          <w:sz w:val="20"/>
          <w:szCs w:val="20"/>
          <w:color w:val="auto"/>
        </w:rPr>
      </w:pPr>
      <w:r>
        <w:rPr>
          <w:rFonts w:ascii="Arial" w:cs="Arial" w:eastAsia="Arial" w:hAnsi="Arial"/>
          <w:sz w:val="13"/>
          <w:szCs w:val="13"/>
          <w:color w:val="auto"/>
        </w:rPr>
        <w:t>Competition for third-party manufacturers and supplies has increased as a result of COVID-19. Changing third-party manufacturers could result in delays in our manufacturing supply chain which could delay or otherwise impact development of our programs and result in increased costs.</w:t>
      </w:r>
    </w:p>
    <w:p>
      <w:pPr>
        <w:spacing w:after="0" w:line="89"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154" w:lineRule="exact"/>
        <w:rPr>
          <w:sz w:val="20"/>
          <w:szCs w:val="20"/>
          <w:color w:val="auto"/>
        </w:rPr>
      </w:pPr>
    </w:p>
    <w:p>
      <w:pPr>
        <w:ind w:left="820" w:right="300" w:firstLine="385"/>
        <w:spacing w:after="0" w:line="300" w:lineRule="auto"/>
        <w:rPr>
          <w:sz w:val="20"/>
          <w:szCs w:val="20"/>
          <w:color w:val="auto"/>
        </w:rPr>
      </w:pPr>
      <w:r>
        <w:rPr>
          <w:rFonts w:ascii="Arial" w:cs="Arial" w:eastAsia="Arial" w:hAnsi="Arial"/>
          <w:sz w:val="15"/>
          <w:szCs w:val="15"/>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2" w:lineRule="exact"/>
        <w:rPr>
          <w:sz w:val="20"/>
          <w:szCs w:val="20"/>
          <w:color w:val="auto"/>
        </w:rPr>
      </w:pPr>
    </w:p>
    <w:p>
      <w:pPr>
        <w:ind w:left="1660" w:right="140" w:hanging="469"/>
        <w:spacing w:after="0" w:line="256" w:lineRule="auto"/>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termination or nonrenewal of arrangements or agreements by our third-party contractors at a time that is costly or inconvenient for us;</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breach by the third-party contractors of our agreements with them;</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failure of third-party contractors to comply with applicable regulatory requirements, including cGMPs;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specifications;</w:t>
      </w:r>
    </w:p>
    <w:p>
      <w:pPr>
        <w:spacing w:after="0" w:line="110" w:lineRule="exact"/>
        <w:rPr>
          <w:rFonts w:ascii="Arial" w:cs="Arial" w:eastAsia="Arial" w:hAnsi="Arial"/>
          <w:sz w:val="16"/>
          <w:szCs w:val="16"/>
          <w:color w:val="auto"/>
        </w:rPr>
      </w:pPr>
    </w:p>
    <w:p>
      <w:pPr>
        <w:ind w:left="1660" w:right="320" w:hanging="469"/>
        <w:spacing w:after="0" w:line="266" w:lineRule="auto"/>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mislabeling of clinical supplies, potentially resulting in the wrong dose amounts being supplied or active drug or placebo not being properly identified;</w:t>
      </w:r>
    </w:p>
    <w:p>
      <w:pPr>
        <w:spacing w:after="0" w:line="75" w:lineRule="exact"/>
        <w:rPr>
          <w:rFonts w:ascii="Arial" w:cs="Arial" w:eastAsia="Arial" w:hAnsi="Arial"/>
          <w:sz w:val="16"/>
          <w:szCs w:val="16"/>
          <w:color w:val="auto"/>
        </w:rPr>
      </w:pPr>
    </w:p>
    <w:p>
      <w:pPr>
        <w:ind w:left="1660" w:right="80" w:hanging="469"/>
        <w:spacing w:after="0" w:line="266" w:lineRule="auto"/>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clinical supplies not being delivered to clinical sites on time, leading to clinical trial interruptions, or of drug supplies not being distributed to commercial vendors in a timely manner, resulting in lost sales; and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440"/>
          </w:cols>
          <w:pgMar w:left="320" w:top="418" w:right="11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line="266" w:lineRule="auto"/>
        <w:tabs>
          <w:tab w:leader="none" w:pos="1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infringement, misappropriation or other violation of our intellectual property or proprietary information, including our trade secrets and know-how.</w:t>
      </w:r>
    </w:p>
    <w:p>
      <w:pPr>
        <w:spacing w:after="0" w:line="158"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161"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326" w:lineRule="exact"/>
        <w:rPr>
          <w:sz w:val="20"/>
          <w:szCs w:val="20"/>
          <w:color w:val="auto"/>
        </w:rPr>
      </w:pPr>
    </w:p>
    <w:p>
      <w:pPr>
        <w:ind w:left="820" w:right="20" w:firstLine="385"/>
        <w:spacing w:after="0" w:line="312" w:lineRule="auto"/>
        <w:rPr>
          <w:sz w:val="20"/>
          <w:szCs w:val="20"/>
          <w:color w:val="auto"/>
        </w:rPr>
      </w:pPr>
      <w:r>
        <w:rPr>
          <w:rFonts w:ascii="Arial" w:cs="Arial" w:eastAsia="Arial" w:hAnsi="Arial"/>
          <w:sz w:val="13"/>
          <w:szCs w:val="13"/>
          <w:color w:val="auto"/>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326" w:lineRule="exact"/>
        <w:rPr>
          <w:sz w:val="20"/>
          <w:szCs w:val="20"/>
          <w:color w:val="auto"/>
        </w:rPr>
      </w:pPr>
    </w:p>
    <w:p>
      <w:pPr>
        <w:ind w:left="820" w:right="220" w:firstLine="385"/>
        <w:spacing w:after="0" w:line="383" w:lineRule="auto"/>
        <w:rPr>
          <w:sz w:val="20"/>
          <w:szCs w:val="20"/>
          <w:color w:val="auto"/>
        </w:rPr>
      </w:pPr>
      <w:r>
        <w:rPr>
          <w:rFonts w:ascii="Arial" w:cs="Arial" w:eastAsia="Arial" w:hAnsi="Arial"/>
          <w:sz w:val="13"/>
          <w:szCs w:val="13"/>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ind w:left="1200" w:right="80"/>
        <w:spacing w:after="0" w:line="266" w:lineRule="auto"/>
        <w:rPr>
          <w:sz w:val="20"/>
          <w:szCs w:val="20"/>
          <w:color w:val="auto"/>
        </w:rPr>
      </w:pPr>
      <w:r>
        <w:rPr>
          <w:rFonts w:ascii="Arial" w:cs="Arial" w:eastAsia="Arial" w:hAnsi="Arial"/>
          <w:sz w:val="16"/>
          <w:szCs w:val="16"/>
          <w:b w:val="1"/>
          <w:bCs w:val="1"/>
          <w:i w:val="1"/>
          <w:iCs w:val="1"/>
          <w:color w:val="auto"/>
        </w:rPr>
        <w:t>Our reliance on third parties may require us to share our trade secrets, which increases the possibility that our competitors will discover them or that our trade secrets will be misappropriated or disclosed.</w:t>
      </w:r>
    </w:p>
    <w:p>
      <w:pPr>
        <w:spacing w:after="0" w:line="64"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Because we currently rely on third parties in the course of our business, we may share our proprietary technology and confidential information, including trade secrets, with them. We seek to protect our proprietary</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420"/>
          </w:cols>
          <w:pgMar w:left="320" w:top="418" w:right="115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312" w:lineRule="auto"/>
        <w:rPr>
          <w:sz w:val="20"/>
          <w:szCs w:val="20"/>
          <w:color w:val="auto"/>
        </w:rPr>
      </w:pPr>
      <w:r>
        <w:rPr>
          <w:rFonts w:ascii="Arial" w:cs="Arial" w:eastAsia="Arial" w:hAnsi="Arial"/>
          <w:sz w:val="13"/>
          <w:szCs w:val="13"/>
          <w:color w:val="auto"/>
        </w:rPr>
        <w:t>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232" w:lineRule="exact"/>
        <w:rPr>
          <w:sz w:val="20"/>
          <w:szCs w:val="20"/>
          <w:color w:val="auto"/>
        </w:rPr>
      </w:pPr>
    </w:p>
    <w:p>
      <w:pPr>
        <w:ind w:left="1200" w:right="140"/>
        <w:spacing w:after="0" w:line="266" w:lineRule="auto"/>
        <w:rPr>
          <w:sz w:val="20"/>
          <w:szCs w:val="20"/>
          <w:color w:val="auto"/>
        </w:rPr>
      </w:pPr>
      <w:r>
        <w:rPr>
          <w:rFonts w:ascii="Arial" w:cs="Arial" w:eastAsia="Arial" w:hAnsi="Arial"/>
          <w:sz w:val="16"/>
          <w:szCs w:val="16"/>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4" w:lineRule="exact"/>
        <w:rPr>
          <w:sz w:val="20"/>
          <w:szCs w:val="20"/>
          <w:color w:val="auto"/>
        </w:rPr>
      </w:pPr>
    </w:p>
    <w:p>
      <w:pPr>
        <w:jc w:val="center"/>
        <w:ind w:right="-799"/>
        <w:spacing w:after="0"/>
        <w:rPr>
          <w:sz w:val="20"/>
          <w:szCs w:val="20"/>
          <w:color w:val="auto"/>
        </w:rPr>
      </w:pPr>
      <w:r>
        <w:rPr>
          <w:rFonts w:ascii="Arial" w:cs="Arial" w:eastAsia="Arial" w:hAnsi="Arial"/>
          <w:sz w:val="15"/>
          <w:szCs w:val="15"/>
          <w:color w:val="auto"/>
        </w:rPr>
        <w:t>From time to time, we evaluate various acquisition opportunities and strategic partnerships, including licensing or acquiring complementary</w:t>
      </w:r>
    </w:p>
    <w:p>
      <w:pPr>
        <w:spacing w:after="0" w:line="28" w:lineRule="exact"/>
        <w:rPr>
          <w:sz w:val="20"/>
          <w:szCs w:val="20"/>
          <w:color w:val="auto"/>
        </w:rPr>
      </w:pPr>
    </w:p>
    <w:p>
      <w:pPr>
        <w:jc w:val="center"/>
        <w:ind w:right="-819"/>
        <w:spacing w:after="0"/>
        <w:rPr>
          <w:sz w:val="20"/>
          <w:szCs w:val="20"/>
          <w:color w:val="auto"/>
        </w:rPr>
      </w:pPr>
      <w:r>
        <w:rPr>
          <w:rFonts w:ascii="Arial" w:cs="Arial" w:eastAsia="Arial" w:hAnsi="Arial"/>
          <w:sz w:val="13"/>
          <w:szCs w:val="13"/>
          <w:color w:val="auto"/>
        </w:rPr>
        <w:t>products, intellectual property rights, technologies or businesses. Any potential acquisition or strategic partnership may entail numerous risks, including:</w:t>
      </w:r>
    </w:p>
    <w:p>
      <w:pPr>
        <w:spacing w:after="0" w:line="134" w:lineRule="exact"/>
        <w:rPr>
          <w:sz w:val="20"/>
          <w:szCs w:val="20"/>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increased operating expenses and cash requirements;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assumption of additional indebtedness or contingent liabilities;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issuance of our equity securities;</w:t>
      </w:r>
    </w:p>
    <w:p>
      <w:pPr>
        <w:spacing w:after="0" w:line="110" w:lineRule="exact"/>
        <w:rPr>
          <w:rFonts w:ascii="Arial" w:cs="Arial" w:eastAsia="Arial" w:hAnsi="Arial"/>
          <w:sz w:val="16"/>
          <w:szCs w:val="16"/>
          <w:color w:val="auto"/>
        </w:rPr>
      </w:pPr>
    </w:p>
    <w:p>
      <w:pPr>
        <w:ind w:left="1660" w:right="280" w:hanging="469"/>
        <w:spacing w:after="0" w:line="266" w:lineRule="auto"/>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diversion of our management’s attention from our existing programs and initiatives in pursuing such a strategic merger or acquisition;</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risks and uncertainties associated with the other party to such a transaction, including the prospects of that party and their existing products or product candidates and marketing approvals; and</w:t>
      </w:r>
    </w:p>
    <w:p>
      <w:pPr>
        <w:spacing w:after="0" w:line="75"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left="820" w:right="220" w:firstLine="385"/>
        <w:spacing w:after="0" w:line="300" w:lineRule="auto"/>
        <w:rPr>
          <w:sz w:val="20"/>
          <w:szCs w:val="20"/>
          <w:color w:val="auto"/>
        </w:rPr>
      </w:pPr>
      <w:r>
        <w:rPr>
          <w:rFonts w:ascii="Arial" w:cs="Arial" w:eastAsia="Arial" w:hAnsi="Arial"/>
          <w:sz w:val="15"/>
          <w:szCs w:val="15"/>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29" w:lineRule="exact"/>
        <w:rPr>
          <w:sz w:val="20"/>
          <w:szCs w:val="20"/>
          <w:color w:val="auto"/>
        </w:rPr>
      </w:pPr>
    </w:p>
    <w:p>
      <w:pPr>
        <w:ind w:left="1200" w:right="180"/>
        <w:spacing w:after="0" w:line="266" w:lineRule="auto"/>
        <w:rPr>
          <w:sz w:val="20"/>
          <w:szCs w:val="20"/>
          <w:color w:val="auto"/>
        </w:rPr>
      </w:pPr>
      <w:r>
        <w:rPr>
          <w:rFonts w:ascii="Arial" w:cs="Arial" w:eastAsia="Arial" w:hAnsi="Arial"/>
          <w:sz w:val="16"/>
          <w:szCs w:val="16"/>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4" w:lineRule="exact"/>
        <w:rPr>
          <w:sz w:val="20"/>
          <w:szCs w:val="20"/>
          <w:color w:val="auto"/>
        </w:rPr>
      </w:pPr>
    </w:p>
    <w:p>
      <w:pPr>
        <w:ind w:left="820" w:right="160" w:firstLine="385"/>
        <w:spacing w:after="0" w:line="272" w:lineRule="auto"/>
        <w:rPr>
          <w:sz w:val="20"/>
          <w:szCs w:val="20"/>
          <w:color w:val="auto"/>
        </w:rPr>
      </w:pPr>
      <w:r>
        <w:rPr>
          <w:rFonts w:ascii="Arial" w:cs="Arial" w:eastAsia="Arial" w:hAnsi="Arial"/>
          <w:sz w:val="15"/>
          <w:szCs w:val="15"/>
          <w:color w:val="auto"/>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420"/>
          </w:cols>
          <w:pgMar w:left="320" w:top="418" w:right="11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38" w:lineRule="exact"/>
        <w:rPr>
          <w:sz w:val="20"/>
          <w:szCs w:val="20"/>
          <w:color w:val="auto"/>
        </w:rPr>
      </w:pPr>
    </w:p>
    <w:p>
      <w:pPr>
        <w:ind w:left="820" w:right="140" w:firstLine="385"/>
        <w:spacing w:after="0" w:line="281" w:lineRule="auto"/>
        <w:rPr>
          <w:sz w:val="20"/>
          <w:szCs w:val="20"/>
          <w:color w:val="auto"/>
        </w:rPr>
      </w:pPr>
      <w:r>
        <w:rPr>
          <w:rFonts w:ascii="Arial" w:cs="Arial" w:eastAsia="Arial" w:hAnsi="Arial"/>
          <w:sz w:val="15"/>
          <w:szCs w:val="15"/>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9"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23" w:lineRule="exact"/>
        <w:rPr>
          <w:sz w:val="20"/>
          <w:szCs w:val="20"/>
          <w:color w:val="auto"/>
        </w:rPr>
      </w:pPr>
    </w:p>
    <w:p>
      <w:pPr>
        <w:ind w:left="1200" w:right="120"/>
        <w:spacing w:after="0" w:line="300"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40" w:lineRule="exact"/>
        <w:rPr>
          <w:sz w:val="20"/>
          <w:szCs w:val="20"/>
          <w:color w:val="auto"/>
        </w:rPr>
      </w:pPr>
    </w:p>
    <w:p>
      <w:pPr>
        <w:ind w:left="820" w:right="40" w:firstLine="385"/>
        <w:spacing w:after="0" w:line="275" w:lineRule="auto"/>
        <w:rPr>
          <w:sz w:val="20"/>
          <w:szCs w:val="20"/>
          <w:color w:val="auto"/>
        </w:rPr>
      </w:pPr>
      <w:r>
        <w:rPr>
          <w:rFonts w:ascii="Arial" w:cs="Arial" w:eastAsia="Arial" w:hAnsi="Arial"/>
          <w:sz w:val="15"/>
          <w:szCs w:val="15"/>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0" w:lineRule="exact"/>
        <w:rPr>
          <w:sz w:val="20"/>
          <w:szCs w:val="20"/>
          <w:color w:val="auto"/>
        </w:rPr>
      </w:pPr>
    </w:p>
    <w:p>
      <w:pPr>
        <w:ind w:left="1660" w:right="340" w:hanging="469"/>
        <w:spacing w:after="0" w:line="266" w:lineRule="auto"/>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75" w:lineRule="exact"/>
        <w:rPr>
          <w:rFonts w:ascii="Arial" w:cs="Arial" w:eastAsia="Arial" w:hAnsi="Arial"/>
          <w:sz w:val="16"/>
          <w:szCs w:val="16"/>
          <w:color w:val="auto"/>
        </w:rPr>
      </w:pPr>
    </w:p>
    <w:p>
      <w:pPr>
        <w:ind w:left="1660" w:hanging="469"/>
        <w:spacing w:after="0" w:line="27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0" w:lineRule="exact"/>
        <w:rPr>
          <w:rFonts w:ascii="Arial" w:cs="Arial" w:eastAsia="Arial" w:hAnsi="Arial"/>
          <w:sz w:val="15"/>
          <w:szCs w:val="15"/>
          <w:color w:val="auto"/>
        </w:rPr>
      </w:pPr>
    </w:p>
    <w:p>
      <w:pPr>
        <w:ind w:left="1660" w:right="240" w:hanging="469"/>
        <w:spacing w:after="0" w:line="300"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420"/>
          </w:cols>
          <w:pgMar w:left="320" w:top="418" w:right="11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20" w:hanging="469"/>
        <w:spacing w:after="0" w:line="256" w:lineRule="auto"/>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3" w:lineRule="exact"/>
        <w:rPr>
          <w:rFonts w:ascii="Arial" w:cs="Arial" w:eastAsia="Arial" w:hAnsi="Arial"/>
          <w:sz w:val="16"/>
          <w:szCs w:val="16"/>
          <w:color w:val="auto"/>
        </w:rPr>
      </w:pPr>
    </w:p>
    <w:p>
      <w:pPr>
        <w:ind w:left="1660" w:right="480" w:hanging="469"/>
        <w:spacing w:after="0" w:line="266" w:lineRule="auto"/>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multiple products may not commit sufficient resources to the marketing and distribution of our product relative to other products;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may grant exclusive rights to our collaborators that would prevent us from collaborating with others;</w:t>
      </w:r>
    </w:p>
    <w:p>
      <w:pPr>
        <w:spacing w:after="0" w:line="110" w:lineRule="exact"/>
        <w:rPr>
          <w:rFonts w:ascii="Arial" w:cs="Arial" w:eastAsia="Arial" w:hAnsi="Arial"/>
          <w:sz w:val="16"/>
          <w:szCs w:val="16"/>
          <w:color w:val="auto"/>
        </w:rPr>
      </w:pPr>
    </w:p>
    <w:p>
      <w:pPr>
        <w:ind w:left="1660" w:right="360" w:hanging="469"/>
        <w:spacing w:after="0" w:line="253" w:lineRule="auto"/>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84" w:lineRule="exact"/>
        <w:rPr>
          <w:rFonts w:ascii="Arial" w:cs="Arial" w:eastAsia="Arial" w:hAnsi="Arial"/>
          <w:sz w:val="16"/>
          <w:szCs w:val="16"/>
          <w:color w:val="auto"/>
        </w:rPr>
      </w:pPr>
    </w:p>
    <w:p>
      <w:pPr>
        <w:ind w:left="1660" w:right="600" w:hanging="469"/>
        <w:spacing w:after="0" w:line="256" w:lineRule="auto"/>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3" w:lineRule="exact"/>
        <w:rPr>
          <w:rFonts w:ascii="Arial" w:cs="Arial" w:eastAsia="Arial" w:hAnsi="Arial"/>
          <w:sz w:val="16"/>
          <w:szCs w:val="16"/>
          <w:color w:val="auto"/>
        </w:rPr>
      </w:pPr>
    </w:p>
    <w:p>
      <w:pPr>
        <w:ind w:left="1660" w:right="680" w:hanging="469"/>
        <w:spacing w:after="0" w:line="266" w:lineRule="auto"/>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product candidates;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collaboration agreements may not lead to development or commercialization of product candidates in the most efficient manner or at all;</w:t>
      </w:r>
    </w:p>
    <w:p>
      <w:pPr>
        <w:spacing w:after="0" w:line="145" w:lineRule="exact"/>
        <w:rPr>
          <w:rFonts w:ascii="Arial" w:cs="Arial" w:eastAsia="Arial" w:hAnsi="Arial"/>
          <w:sz w:val="13"/>
          <w:szCs w:val="13"/>
          <w:color w:val="auto"/>
        </w:rPr>
      </w:pPr>
    </w:p>
    <w:p>
      <w:pPr>
        <w:ind w:left="1660" w:right="560" w:hanging="469"/>
        <w:spacing w:after="0" w:line="256" w:lineRule="auto"/>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3" w:lineRule="exact"/>
        <w:rPr>
          <w:rFonts w:ascii="Arial" w:cs="Arial" w:eastAsia="Arial" w:hAnsi="Arial"/>
          <w:sz w:val="16"/>
          <w:szCs w:val="16"/>
          <w:color w:val="auto"/>
        </w:rPr>
      </w:pPr>
    </w:p>
    <w:p>
      <w:pPr>
        <w:ind w:left="1660" w:right="240" w:hanging="469"/>
        <w:spacing w:after="0" w:line="300"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2" w:lineRule="exact"/>
        <w:rPr>
          <w:rFonts w:ascii="Arial" w:cs="Arial" w:eastAsia="Arial" w:hAnsi="Arial"/>
          <w:sz w:val="15"/>
          <w:szCs w:val="15"/>
          <w:color w:val="auto"/>
        </w:rPr>
      </w:pPr>
    </w:p>
    <w:p>
      <w:pPr>
        <w:ind w:left="1660" w:right="400" w:hanging="469"/>
        <w:spacing w:after="0" w:line="266" w:lineRule="auto"/>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54" w:lineRule="exact"/>
        <w:rPr>
          <w:sz w:val="20"/>
          <w:szCs w:val="20"/>
          <w:color w:val="auto"/>
        </w:rPr>
      </w:pPr>
    </w:p>
    <w:p>
      <w:pPr>
        <w:ind w:left="1200" w:right="80"/>
        <w:spacing w:after="0" w:line="378" w:lineRule="auto"/>
        <w:rPr>
          <w:sz w:val="20"/>
          <w:szCs w:val="20"/>
          <w:color w:val="auto"/>
        </w:rPr>
      </w:pPr>
      <w:r>
        <w:rPr>
          <w:rFonts w:ascii="Arial" w:cs="Arial" w:eastAsia="Arial" w:hAnsi="Arial"/>
          <w:sz w:val="13"/>
          <w:szCs w:val="13"/>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400"/>
          </w:cols>
          <w:pgMar w:left="320" w:top="418" w:right="117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56" w:lineRule="auto"/>
        <w:rPr>
          <w:sz w:val="20"/>
          <w:szCs w:val="20"/>
          <w:color w:val="auto"/>
        </w:rPr>
      </w:pPr>
      <w:r>
        <w:rPr>
          <w:rFonts w:ascii="Arial" w:cs="Arial" w:eastAsia="Arial" w:hAnsi="Arial"/>
          <w:sz w:val="16"/>
          <w:szCs w:val="16"/>
          <w:color w:val="auto"/>
        </w:rPr>
        <w:t>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166" w:lineRule="exact"/>
        <w:rPr>
          <w:sz w:val="20"/>
          <w:szCs w:val="20"/>
          <w:color w:val="auto"/>
        </w:rPr>
      </w:pPr>
    </w:p>
    <w:p>
      <w:pPr>
        <w:ind w:left="820" w:right="20" w:firstLine="385"/>
        <w:spacing w:after="0" w:line="323" w:lineRule="auto"/>
        <w:rPr>
          <w:sz w:val="20"/>
          <w:szCs w:val="20"/>
          <w:color w:val="auto"/>
        </w:rPr>
      </w:pPr>
      <w:r>
        <w:rPr>
          <w:rFonts w:ascii="Arial" w:cs="Arial" w:eastAsia="Arial" w:hAnsi="Arial"/>
          <w:sz w:val="13"/>
          <w:szCs w:val="13"/>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Factors that may inhibit our efforts to commercialize any approved product on our own include:</w:t>
      </w:r>
    </w:p>
    <w:p>
      <w:pPr>
        <w:spacing w:after="0" w:line="111" w:lineRule="exact"/>
        <w:rPr>
          <w:sz w:val="20"/>
          <w:szCs w:val="20"/>
          <w:color w:val="auto"/>
        </w:rPr>
      </w:pPr>
    </w:p>
    <w:p>
      <w:pPr>
        <w:ind w:left="1660" w:right="200" w:hanging="469"/>
        <w:spacing w:after="0" w:line="266" w:lineRule="auto"/>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marketing, reimbursement, compliance, customer service, medical affairs and other support personnel;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inability to recruit and build a commercial infrastructure due to the impacts of COVID-19;</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approved products;</w:t>
      </w:r>
    </w:p>
    <w:p>
      <w:pPr>
        <w:spacing w:after="0" w:line="75" w:lineRule="exact"/>
        <w:rPr>
          <w:rFonts w:ascii="Arial" w:cs="Arial" w:eastAsia="Arial" w:hAnsi="Arial"/>
          <w:sz w:val="16"/>
          <w:szCs w:val="16"/>
          <w:color w:val="auto"/>
        </w:rPr>
      </w:pPr>
    </w:p>
    <w:p>
      <w:pPr>
        <w:ind w:left="1660" w:right="400" w:hanging="469"/>
        <w:spacing w:after="0" w:line="266" w:lineRule="auto"/>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inability to price our products at a sufficient price point to ensure an adequate and attractive level of profitability;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restricted or closed distribution channels that make it difficult to distribute our products to segments of the patient population;</w:t>
      </w:r>
    </w:p>
    <w:p>
      <w:pPr>
        <w:spacing w:after="0" w:line="122" w:lineRule="exact"/>
        <w:rPr>
          <w:rFonts w:ascii="Arial" w:cs="Arial" w:eastAsia="Arial" w:hAnsi="Arial"/>
          <w:sz w:val="15"/>
          <w:szCs w:val="15"/>
          <w:color w:val="auto"/>
        </w:rPr>
      </w:pPr>
    </w:p>
    <w:p>
      <w:pPr>
        <w:ind w:left="1660" w:hanging="469"/>
        <w:spacing w:after="0" w:line="266" w:lineRule="auto"/>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commercialization organization.</w:t>
      </w:r>
    </w:p>
    <w:p>
      <w:pPr>
        <w:spacing w:after="0" w:line="193"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This Offering and Ownership of Our Common Stock</w:t>
      </w:r>
    </w:p>
    <w:p>
      <w:pPr>
        <w:spacing w:after="0" w:line="197" w:lineRule="exact"/>
        <w:rPr>
          <w:sz w:val="20"/>
          <w:szCs w:val="20"/>
          <w:color w:val="auto"/>
        </w:rPr>
      </w:pPr>
    </w:p>
    <w:p>
      <w:pPr>
        <w:ind w:left="1200" w:right="440"/>
        <w:spacing w:after="0" w:line="300" w:lineRule="auto"/>
        <w:rPr>
          <w:sz w:val="20"/>
          <w:szCs w:val="20"/>
          <w:color w:val="auto"/>
        </w:rPr>
      </w:pPr>
      <w:r>
        <w:rPr>
          <w:rFonts w:ascii="Arial" w:cs="Arial" w:eastAsia="Arial" w:hAnsi="Arial"/>
          <w:sz w:val="15"/>
          <w:szCs w:val="15"/>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40" w:lineRule="exact"/>
        <w:rPr>
          <w:sz w:val="20"/>
          <w:szCs w:val="20"/>
          <w:color w:val="auto"/>
        </w:rPr>
      </w:pPr>
    </w:p>
    <w:p>
      <w:pPr>
        <w:ind w:left="820" w:right="400" w:firstLine="385"/>
        <w:spacing w:after="0" w:line="266" w:lineRule="auto"/>
        <w:rPr>
          <w:sz w:val="20"/>
          <w:szCs w:val="20"/>
          <w:color w:val="auto"/>
        </w:rPr>
      </w:pPr>
      <w:r>
        <w:rPr>
          <w:rFonts w:ascii="Arial" w:cs="Arial" w:eastAsia="Arial" w:hAnsi="Arial"/>
          <w:sz w:val="16"/>
          <w:szCs w:val="16"/>
          <w:color w:val="auto"/>
        </w:rPr>
        <w:t>Prior to this offering, no market for shares of our common stock existed and an active trading market for our shares may never develop or be sustained following this offering. We will determine the initial public offering</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440"/>
          </w:cols>
          <w:pgMar w:left="320" w:top="418" w:right="11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68" w:lineRule="auto"/>
        <w:rPr>
          <w:sz w:val="20"/>
          <w:szCs w:val="20"/>
          <w:color w:val="auto"/>
        </w:rPr>
      </w:pPr>
      <w:r>
        <w:rPr>
          <w:rFonts w:ascii="Arial" w:cs="Arial" w:eastAsia="Arial" w:hAnsi="Arial"/>
          <w:sz w:val="15"/>
          <w:szCs w:val="15"/>
          <w:color w:val="auto"/>
        </w:rPr>
        <w:t>price for our common stock through negotiations with the representatives of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The price of our stock may be volatile, and you could lose all or part of your investment.</w:t>
      </w:r>
    </w:p>
    <w:p>
      <w:pPr>
        <w:spacing w:after="0" w:line="99" w:lineRule="exact"/>
        <w:rPr>
          <w:sz w:val="20"/>
          <w:szCs w:val="20"/>
          <w:color w:val="auto"/>
        </w:rPr>
      </w:pPr>
    </w:p>
    <w:p>
      <w:pPr>
        <w:jc w:val="both"/>
        <w:ind w:left="820" w:firstLine="385"/>
        <w:spacing w:after="0" w:line="343" w:lineRule="auto"/>
        <w:rPr>
          <w:sz w:val="20"/>
          <w:szCs w:val="20"/>
          <w:color w:val="auto"/>
        </w:rPr>
      </w:pPr>
      <w:r>
        <w:rPr>
          <w:rFonts w:ascii="Arial" w:cs="Arial" w:eastAsia="Arial" w:hAnsi="Arial"/>
          <w:sz w:val="13"/>
          <w:szCs w:val="13"/>
          <w:color w:val="auto"/>
        </w:rPr>
        <w:t>The trading price of our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14"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76" w:lineRule="exact"/>
        <w:rPr>
          <w:sz w:val="20"/>
          <w:szCs w:val="20"/>
          <w:color w:val="auto"/>
        </w:rPr>
      </w:pPr>
    </w:p>
    <w:p>
      <w:pPr>
        <w:ind w:left="1660" w:right="260" w:hanging="469"/>
        <w:spacing w:after="0" w:line="266"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timing and results of preclinical studies and clinical trials of our product candidates, those conducted by third parties or those of our competitors;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success of competitive products or announcements by potential competitors of their product development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regulatory actions with respect to our products or our competitors’ products;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intellectual property or proprietary rights;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10" w:lineRule="exact"/>
        <w:rPr>
          <w:rFonts w:ascii="Arial" w:cs="Arial" w:eastAsia="Arial" w:hAnsi="Arial"/>
          <w:sz w:val="16"/>
          <w:szCs w:val="16"/>
          <w:color w:val="auto"/>
        </w:rPr>
      </w:pPr>
    </w:p>
    <w:p>
      <w:pPr>
        <w:ind w:left="1660" w:right="480" w:hanging="469"/>
        <w:spacing w:after="0" w:line="266"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actual or anticipated changes in estimates as to financial results, development timelines or recommendations by securities analysts;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 price and volume fluctuations attributable to inconsistent trading volume levels of our shares;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sales of our common stock by us, our insiders or our other stockholders;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expiration of market stand-off or lock-up agreements;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impact of any natural disasters or public health emergencies, such as the COVID-19 pandemic;</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440"/>
          </w:cols>
          <w:pgMar w:left="320" w:top="418" w:right="11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40" w:hanging="469"/>
        <w:spacing w:after="0" w:line="266" w:lineRule="auto"/>
        <w:tabs>
          <w:tab w:leader="none" w:pos="1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availability of fiscal and monetary stimulus measures to counteract the impact of natural disasters or public health emergencies, such as the COVID-19 pandemic;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general economic, political, industry and market conditions.</w:t>
      </w:r>
    </w:p>
    <w:p>
      <w:pPr>
        <w:spacing w:after="0" w:line="193"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52" w:lineRule="exact"/>
        <w:rPr>
          <w:sz w:val="20"/>
          <w:szCs w:val="20"/>
          <w:color w:val="auto"/>
        </w:rPr>
      </w:pPr>
    </w:p>
    <w:p>
      <w:pPr>
        <w:ind w:left="1200" w:right="120"/>
        <w:spacing w:after="0" w:line="266" w:lineRule="auto"/>
        <w:rPr>
          <w:sz w:val="20"/>
          <w:szCs w:val="20"/>
          <w:color w:val="auto"/>
        </w:rPr>
      </w:pPr>
      <w:r>
        <w:rPr>
          <w:rFonts w:ascii="Arial" w:cs="Arial" w:eastAsia="Arial" w:hAnsi="Arial"/>
          <w:sz w:val="16"/>
          <w:szCs w:val="16"/>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4" w:lineRule="exact"/>
        <w:rPr>
          <w:sz w:val="20"/>
          <w:szCs w:val="20"/>
          <w:color w:val="auto"/>
        </w:rPr>
      </w:pPr>
    </w:p>
    <w:p>
      <w:pPr>
        <w:ind w:left="820" w:right="140" w:firstLine="385"/>
        <w:spacing w:after="0" w:line="251"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70" w:lineRule="exact"/>
        <w:rPr>
          <w:sz w:val="20"/>
          <w:szCs w:val="20"/>
          <w:color w:val="auto"/>
        </w:rPr>
      </w:pPr>
    </w:p>
    <w:p>
      <w:pPr>
        <w:ind w:left="820" w:right="20" w:firstLine="385"/>
        <w:spacing w:after="0" w:line="275" w:lineRule="auto"/>
        <w:rPr>
          <w:sz w:val="20"/>
          <w:szCs w:val="20"/>
          <w:color w:val="auto"/>
        </w:rPr>
      </w:pPr>
      <w:r>
        <w:rPr>
          <w:rFonts w:ascii="Arial" w:cs="Arial" w:eastAsia="Arial" w:hAnsi="Arial"/>
          <w:sz w:val="15"/>
          <w:szCs w:val="15"/>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53"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Furthermore, our operating results may fluctuate due to a variety of other factors, many of which are outside of our control and may be difficult to predict, including the following:</w:t>
      </w:r>
    </w:p>
    <w:p>
      <w:pPr>
        <w:spacing w:after="0" w:line="76" w:lineRule="exact"/>
        <w:rPr>
          <w:sz w:val="20"/>
          <w:szCs w:val="20"/>
          <w:color w:val="auto"/>
        </w:rPr>
      </w:pPr>
    </w:p>
    <w:p>
      <w:pPr>
        <w:ind w:left="1660" w:right="20" w:hanging="469"/>
        <w:spacing w:after="0" w:line="266" w:lineRule="auto"/>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activities relating to our programs, product candidates and any future programs and product candidates, which will change from time to time;</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ability to enroll patients in clinical trials and the timing of enrollment;</w:t>
      </w:r>
    </w:p>
    <w:p>
      <w:pPr>
        <w:spacing w:after="0" w:line="110" w:lineRule="exact"/>
        <w:rPr>
          <w:rFonts w:ascii="Arial" w:cs="Arial" w:eastAsia="Arial" w:hAnsi="Arial"/>
          <w:sz w:val="16"/>
          <w:szCs w:val="16"/>
          <w:color w:val="auto"/>
        </w:rPr>
      </w:pPr>
    </w:p>
    <w:p>
      <w:pPr>
        <w:ind w:left="1660" w:right="180" w:hanging="469"/>
        <w:spacing w:after="0" w:line="256" w:lineRule="auto"/>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expenditures that we will or may incur to acquire or develop additional product candidates and technologies or other assets;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timing and outcomes of clinical trials for our product candidates, or competing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need to conduct unanticipated clinical trials or trials that are larger or more complex than anticipated;</w:t>
      </w:r>
    </w:p>
    <w:p>
      <w:pPr>
        <w:spacing w:after="0" w:line="110" w:lineRule="exact"/>
        <w:rPr>
          <w:rFonts w:ascii="Arial" w:cs="Arial" w:eastAsia="Arial" w:hAnsi="Arial"/>
          <w:sz w:val="16"/>
          <w:szCs w:val="16"/>
          <w:color w:val="auto"/>
        </w:rPr>
      </w:pPr>
    </w:p>
    <w:p>
      <w:pPr>
        <w:ind w:left="1660" w:right="520" w:hanging="469"/>
        <w:spacing w:after="0" w:line="266" w:lineRule="auto"/>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competition from existing and potential future products that compete with our programs and product candidates, and changes in the competitive landscape of our industry, including consolidation among our competitors or partners;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delays in regulatory review or approval of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level of demand for our product candidates, if approved, which may fluctuate significantly and be difficult to predict;</w:t>
      </w:r>
    </w:p>
    <w:p>
      <w:pPr>
        <w:spacing w:after="0" w:line="110"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risk/benefit profile, cost and reimbursement policies with respect to our product candidates, if approved, and existing and potential future products that compete with any of our product candidates;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440"/>
          </w:cols>
          <w:pgMar w:left="320" w:top="418" w:right="11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60" w:hanging="469"/>
        <w:spacing w:after="0" w:line="266" w:lineRule="auto"/>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commercialize any of our product candidates, if approved, inside and outside of the United States, either independently or working with third parties;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licensing or other arrangements;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adequately support future growth;</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potential unforeseen business disruptions that increase our costs or expenses;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changing and volatile global economic and political environment; and</w:t>
      </w:r>
    </w:p>
    <w:p>
      <w:pPr>
        <w:spacing w:after="0" w:line="110" w:lineRule="exact"/>
        <w:rPr>
          <w:rFonts w:ascii="Arial" w:cs="Arial" w:eastAsia="Arial" w:hAnsi="Arial"/>
          <w:sz w:val="16"/>
          <w:szCs w:val="16"/>
          <w:color w:val="auto"/>
        </w:rPr>
      </w:pPr>
    </w:p>
    <w:p>
      <w:pPr>
        <w:ind w:left="1660" w:right="480" w:hanging="469"/>
        <w:spacing w:after="0" w:line="266" w:lineRule="auto"/>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increased impact from COVID-19 on the costs and timing associated with the conduct of our clinical trial and other related business activities.</w:t>
      </w:r>
    </w:p>
    <w:p>
      <w:pPr>
        <w:spacing w:after="0" w:line="158"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23" w:lineRule="exact"/>
        <w:rPr>
          <w:sz w:val="20"/>
          <w:szCs w:val="20"/>
          <w:color w:val="auto"/>
        </w:rPr>
      </w:pPr>
    </w:p>
    <w:p>
      <w:pPr>
        <w:ind w:left="1200" w:right="500"/>
        <w:spacing w:after="0" w:line="266"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64" w:lineRule="exact"/>
        <w:rPr>
          <w:sz w:val="20"/>
          <w:szCs w:val="20"/>
          <w:color w:val="auto"/>
        </w:rPr>
      </w:pPr>
    </w:p>
    <w:p>
      <w:pPr>
        <w:ind w:left="820" w:right="20" w:firstLine="385"/>
        <w:spacing w:after="0" w:line="265" w:lineRule="auto"/>
        <w:rPr>
          <w:sz w:val="20"/>
          <w:szCs w:val="20"/>
          <w:color w:val="auto"/>
        </w:rPr>
      </w:pPr>
      <w:r>
        <w:rPr>
          <w:rFonts w:ascii="Arial" w:cs="Arial" w:eastAsia="Arial" w:hAnsi="Arial"/>
          <w:sz w:val="15"/>
          <w:szCs w:val="15"/>
          <w:color w:val="auto"/>
        </w:rPr>
        <w:t>As of June 30, 2021, our executive officers, directors, holders of 5% or more of our capital stock and their respective affiliates beneficially owned approximately 66.3% of our common stock and, upon the closing of this offering, that same group will beneficially own approximately % of our outstanding common stock (based on the number of shares of common stock outstanding as of June 30, 2021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closing of this offering.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59"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Participation in this offering by our existing stockholders and/or their affiliated entities may reduce the public float for our common stock.</w:t>
      </w:r>
    </w:p>
    <w:p>
      <w:pPr>
        <w:spacing w:after="0" w:line="133"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To the extent certain of our existing stockholders who are our affiliates or their affiliated entities participate in this offering, such purchases would reduce the non-affiliate public float of our common stock after this offering, which is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440"/>
          </w:cols>
          <w:pgMar w:left="320" w:top="418" w:right="11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6280" w:type="dxa"/>
            <w:vAlign w:val="bottom"/>
            <w:gridSpan w:val="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62"/>
        </w:trPr>
        <w:tc>
          <w:tcPr>
            <w:tcW w:w="1180" w:type="dxa"/>
            <w:vAlign w:val="bottom"/>
            <w:tcBorders>
              <w:top w:val="single" w:sz="8" w:color="0000EE"/>
            </w:tcBorders>
          </w:tcPr>
          <w:p>
            <w:pPr>
              <w:spacing w:after="0"/>
              <w:rPr>
                <w:sz w:val="24"/>
                <w:szCs w:val="24"/>
                <w:color w:val="auto"/>
              </w:rPr>
            </w:pPr>
          </w:p>
        </w:tc>
        <w:tc>
          <w:tcPr>
            <w:tcW w:w="510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87"/>
              </w:rPr>
              <w:t>You will incur immediate and substantial dilution as a result of this offering.</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2"/>
        </w:trPr>
        <w:tc>
          <w:tcPr>
            <w:tcW w:w="1180" w:type="dxa"/>
            <w:vAlign w:val="bottom"/>
          </w:tcPr>
          <w:p>
            <w:pPr>
              <w:spacing w:after="0"/>
              <w:rPr>
                <w:sz w:val="23"/>
                <w:szCs w:val="23"/>
                <w:color w:val="auto"/>
              </w:rPr>
            </w:pPr>
          </w:p>
        </w:tc>
        <w:tc>
          <w:tcPr>
            <w:tcW w:w="7580" w:type="dxa"/>
            <w:vAlign w:val="bottom"/>
            <w:gridSpan w:val="2"/>
          </w:tcPr>
          <w:p>
            <w:pPr>
              <w:ind w:left="20"/>
              <w:spacing w:after="0"/>
              <w:rPr>
                <w:sz w:val="20"/>
                <w:szCs w:val="20"/>
                <w:color w:val="auto"/>
              </w:rPr>
            </w:pPr>
            <w:r>
              <w:rPr>
                <w:rFonts w:ascii="Arial" w:cs="Arial" w:eastAsia="Arial" w:hAnsi="Arial"/>
                <w:sz w:val="16"/>
                <w:szCs w:val="16"/>
                <w:color w:val="auto"/>
                <w:w w:val="93"/>
              </w:rPr>
              <w:t>If you purchase common stock in this offering, you will incur immediate and substantial dilution of approximately $</w:t>
            </w:r>
          </w:p>
        </w:tc>
        <w:tc>
          <w:tcPr>
            <w:tcW w:w="1600" w:type="dxa"/>
            <w:vAlign w:val="bottom"/>
          </w:tcPr>
          <w:p>
            <w:pPr>
              <w:ind w:left="260"/>
              <w:spacing w:after="0"/>
              <w:rPr>
                <w:sz w:val="20"/>
                <w:szCs w:val="20"/>
                <w:color w:val="auto"/>
              </w:rPr>
            </w:pPr>
            <w:r>
              <w:rPr>
                <w:rFonts w:ascii="Arial" w:cs="Arial" w:eastAsia="Arial" w:hAnsi="Arial"/>
                <w:sz w:val="16"/>
                <w:szCs w:val="16"/>
                <w:color w:val="auto"/>
              </w:rPr>
              <w:t>per share,</w:t>
            </w:r>
          </w:p>
        </w:tc>
      </w:tr>
      <w:tr>
        <w:trPr>
          <w:trHeight w:val="200"/>
        </w:trPr>
        <w:tc>
          <w:tcPr>
            <w:tcW w:w="6280" w:type="dxa"/>
            <w:vAlign w:val="bottom"/>
            <w:gridSpan w:val="2"/>
          </w:tcPr>
          <w:p>
            <w:pPr>
              <w:ind w:left="820"/>
              <w:spacing w:after="0"/>
              <w:rPr>
                <w:sz w:val="20"/>
                <w:szCs w:val="20"/>
                <w:color w:val="auto"/>
              </w:rPr>
            </w:pPr>
            <w:r>
              <w:rPr>
                <w:rFonts w:ascii="Arial" w:cs="Arial" w:eastAsia="Arial" w:hAnsi="Arial"/>
                <w:sz w:val="16"/>
                <w:szCs w:val="16"/>
                <w:color w:val="auto"/>
                <w:w w:val="96"/>
              </w:rPr>
              <w:t>representing the difference between the assumed initial public offering price of $</w:t>
            </w:r>
          </w:p>
        </w:tc>
        <w:tc>
          <w:tcPr>
            <w:tcW w:w="4080" w:type="dxa"/>
            <w:vAlign w:val="bottom"/>
            <w:gridSpan w:val="2"/>
          </w:tcPr>
          <w:p>
            <w:pPr>
              <w:ind w:left="120"/>
              <w:spacing w:after="0"/>
              <w:rPr>
                <w:sz w:val="20"/>
                <w:szCs w:val="20"/>
                <w:color w:val="auto"/>
              </w:rPr>
            </w:pPr>
            <w:r>
              <w:rPr>
                <w:rFonts w:ascii="Arial" w:cs="Arial" w:eastAsia="Arial" w:hAnsi="Arial"/>
                <w:sz w:val="16"/>
                <w:szCs w:val="16"/>
                <w:color w:val="auto"/>
                <w:w w:val="89"/>
              </w:rPr>
              <w:t>per share, which is the midpoint of the estimated offering price</w:t>
            </w:r>
          </w:p>
        </w:tc>
      </w:tr>
    </w:tbl>
    <w:p>
      <w:pPr>
        <w:ind w:left="820" w:right="20"/>
        <w:spacing w:after="0" w:line="31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range set forth on the cover page of this prospectus, after deducting the underwriting discounts and commissions and estimated offering expenses payable by us, and our pro forma net tangible book value per share after giving effect to this offering and the automatic conversion of all outstanding shares of our convertible preferred stock immediately prior to the closing of this offering. As of March 31, 2021, there were 10,368,032 shares subject to outstanding options with a weighted-average exercise price of $0.51 per share. To the extent that these outstanding options or other options that we have issued or may issue in the future are ultimately exercised or the underwriters exercise their option to purchase additional shares, you will incur further dilution. See the section of this prospectus titled “Dilution” for a further description of the dilution you will experience immediately after this offering.</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99"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w:t>
      </w:r>
    </w:p>
    <w:p>
      <w:pPr>
        <w:spacing w:after="0" w:line="1" w:lineRule="exact"/>
        <w:rPr>
          <w:sz w:val="20"/>
          <w:szCs w:val="20"/>
          <w:color w:val="auto"/>
        </w:rPr>
      </w:pPr>
    </w:p>
    <w:p>
      <w:pPr>
        <w:ind w:left="820"/>
        <w:spacing w:after="0" w:line="310" w:lineRule="auto"/>
        <w:rPr>
          <w:sz w:val="20"/>
          <w:szCs w:val="20"/>
          <w:color w:val="auto"/>
        </w:rPr>
      </w:pPr>
      <w:r>
        <w:rPr>
          <w:rFonts w:ascii="Arial" w:cs="Arial" w:eastAsia="Arial" w:hAnsi="Arial"/>
          <w:sz w:val="13"/>
          <w:szCs w:val="13"/>
          <w:color w:val="auto"/>
        </w:rPr>
        <w:t>have outstanding shares of common stock, based on the number of shares outstanding as of March 31, 2021, assuming: (1) no exercise of the underwriters’ option to purchase additional shares and (2) the conversion of all outstanding shares of our convertible preferred stock into shares of common stock immediately prior to the closing of this offering. This includes the shares that we sell in this offering, which may be resold in the public market immediately without restriction, unless purchased by our affiliates. Of the remaining shares, 163,948,679 shares of our common stock are currently restricted as a result of securities laws or market stand-off or lock-up agreements but will be able to be sold after this offering as described in the “Shares Eligible for Future Sale” section of this prospectus. Moreover, after this offering, holders of an aggregate of 156,613,818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“Underwriters” section of this prospectus.</w:t>
      </w:r>
    </w:p>
    <w:p>
      <w:pPr>
        <w:spacing w:after="0" w:line="326" w:lineRule="exact"/>
        <w:rPr>
          <w:sz w:val="20"/>
          <w:szCs w:val="20"/>
          <w:color w:val="auto"/>
        </w:rPr>
      </w:pPr>
    </w:p>
    <w:p>
      <w:pPr>
        <w:ind w:left="820" w:right="20" w:firstLine="385"/>
        <w:spacing w:after="0" w:line="312" w:lineRule="auto"/>
        <w:rPr>
          <w:sz w:val="20"/>
          <w:szCs w:val="20"/>
          <w:color w:val="auto"/>
        </w:rPr>
      </w:pPr>
      <w:r>
        <w:rPr>
          <w:rFonts w:ascii="Arial" w:cs="Arial" w:eastAsia="Arial" w:hAnsi="Arial"/>
          <w:sz w:val="13"/>
          <w:szCs w:val="13"/>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“Underwriters,” not to sell, directly or indirectly, any shares of common stock without the permission of the underwriters for a period of 180 days following the date of this prospectus. We refer to such period as the lock-up period or restricted period.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more information.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440"/>
          </w:cols>
          <w:pgMar w:left="320" w:top="403" w:right="11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120"/>
        <w:spacing w:after="0" w:line="378" w:lineRule="auto"/>
        <w:rPr>
          <w:sz w:val="20"/>
          <w:szCs w:val="20"/>
          <w:color w:val="auto"/>
        </w:rPr>
      </w:pPr>
      <w:r>
        <w:rPr>
          <w:rFonts w:ascii="Arial" w:cs="Arial" w:eastAsia="Arial" w:hAnsi="Arial"/>
          <w:sz w:val="13"/>
          <w:szCs w:val="13"/>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83" w:lineRule="exact"/>
        <w:rPr>
          <w:sz w:val="20"/>
          <w:szCs w:val="20"/>
          <w:color w:val="auto"/>
        </w:rPr>
      </w:pPr>
    </w:p>
    <w:p>
      <w:pPr>
        <w:ind w:left="1660" w:right="260" w:hanging="469"/>
        <w:spacing w:after="0" w:line="256" w:lineRule="auto"/>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3" w:lineRule="exact"/>
        <w:rPr>
          <w:rFonts w:ascii="Arial" w:cs="Arial" w:eastAsia="Arial" w:hAnsi="Arial"/>
          <w:sz w:val="16"/>
          <w:szCs w:val="16"/>
          <w:color w:val="auto"/>
        </w:rPr>
      </w:pPr>
    </w:p>
    <w:p>
      <w:pPr>
        <w:ind w:left="1660" w:right="300" w:hanging="469"/>
        <w:spacing w:after="0" w:line="266" w:lineRule="auto"/>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of 2002, as amended (Sarbanes-Oxley Act);</w:t>
      </w:r>
    </w:p>
    <w:p>
      <w:pPr>
        <w:spacing w:after="0" w:line="75" w:lineRule="exact"/>
        <w:rPr>
          <w:rFonts w:ascii="Arial" w:cs="Arial" w:eastAsia="Arial" w:hAnsi="Arial"/>
          <w:sz w:val="16"/>
          <w:szCs w:val="16"/>
          <w:color w:val="auto"/>
        </w:rPr>
      </w:pPr>
    </w:p>
    <w:p>
      <w:pPr>
        <w:ind w:left="1660" w:right="160" w:hanging="469"/>
        <w:spacing w:after="0" w:line="256" w:lineRule="auto"/>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reduced disclosure obligations regarding executive compensation in this prospectus and our periodic reports and proxy statements; and</w:t>
      </w:r>
    </w:p>
    <w:p>
      <w:pPr>
        <w:spacing w:after="0" w:line="145" w:lineRule="exact"/>
        <w:rPr>
          <w:rFonts w:ascii="Arial" w:cs="Arial" w:eastAsia="Arial" w:hAnsi="Arial"/>
          <w:sz w:val="13"/>
          <w:szCs w:val="13"/>
          <w:color w:val="auto"/>
        </w:rPr>
      </w:pPr>
    </w:p>
    <w:p>
      <w:pPr>
        <w:ind w:left="1660" w:hanging="469"/>
        <w:spacing w:after="0" w:line="266" w:lineRule="auto"/>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stockholder votes on executive compensation and stockholder approval of any golden parachute payments not previously approved.</w:t>
      </w:r>
    </w:p>
    <w:p>
      <w:pPr>
        <w:spacing w:after="0" w:line="158" w:lineRule="exact"/>
        <w:rPr>
          <w:sz w:val="20"/>
          <w:szCs w:val="20"/>
          <w:color w:val="auto"/>
        </w:rPr>
      </w:pPr>
    </w:p>
    <w:p>
      <w:pPr>
        <w:ind w:left="820" w:firstLine="385"/>
        <w:spacing w:after="0" w:line="329" w:lineRule="auto"/>
        <w:rPr>
          <w:sz w:val="20"/>
          <w:szCs w:val="20"/>
          <w:color w:val="auto"/>
        </w:rPr>
      </w:pPr>
      <w:r>
        <w:rPr>
          <w:rFonts w:ascii="Arial" w:cs="Arial" w:eastAsia="Arial" w:hAnsi="Arial"/>
          <w:sz w:val="13"/>
          <w:szCs w:val="13"/>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23" w:lineRule="exact"/>
        <w:rPr>
          <w:sz w:val="20"/>
          <w:szCs w:val="20"/>
          <w:color w:val="auto"/>
        </w:rPr>
      </w:pPr>
    </w:p>
    <w:p>
      <w:pPr>
        <w:ind w:left="820" w:right="280" w:firstLine="385"/>
        <w:spacing w:after="0" w:line="275" w:lineRule="auto"/>
        <w:rPr>
          <w:sz w:val="20"/>
          <w:szCs w:val="20"/>
          <w:color w:val="auto"/>
        </w:rPr>
      </w:pPr>
      <w:r>
        <w:rPr>
          <w:rFonts w:ascii="Arial" w:cs="Arial" w:eastAsia="Arial" w:hAnsi="Arial"/>
          <w:sz w:val="15"/>
          <w:szCs w:val="15"/>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53" w:lineRule="exact"/>
        <w:rPr>
          <w:sz w:val="20"/>
          <w:szCs w:val="20"/>
          <w:color w:val="auto"/>
        </w:rPr>
      </w:pPr>
    </w:p>
    <w:p>
      <w:pPr>
        <w:ind w:left="820" w:right="200" w:firstLine="385"/>
        <w:spacing w:after="0" w:line="329" w:lineRule="auto"/>
        <w:rPr>
          <w:sz w:val="20"/>
          <w:szCs w:val="20"/>
          <w:color w:val="auto"/>
        </w:rPr>
      </w:pPr>
      <w:r>
        <w:rPr>
          <w:rFonts w:ascii="Arial" w:cs="Arial" w:eastAsia="Arial" w:hAnsi="Arial"/>
          <w:sz w:val="13"/>
          <w:szCs w:val="13"/>
          <w:color w:val="auto"/>
        </w:rPr>
        <w:t>Even after we no longer qualify as an emerging growth company, we may still qualify as a “smaller reporting company,” as defined in the Securities Exchange Act of 1934, as amended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23" w:lineRule="exact"/>
        <w:rPr>
          <w:sz w:val="20"/>
          <w:szCs w:val="20"/>
          <w:color w:val="auto"/>
        </w:rPr>
      </w:pPr>
    </w:p>
    <w:p>
      <w:pPr>
        <w:ind w:left="820" w:right="220" w:firstLine="385"/>
        <w:spacing w:after="0" w:line="383" w:lineRule="auto"/>
        <w:rPr>
          <w:sz w:val="20"/>
          <w:szCs w:val="20"/>
          <w:color w:val="auto"/>
        </w:rPr>
      </w:pPr>
      <w:r>
        <w:rPr>
          <w:rFonts w:ascii="Arial" w:cs="Arial" w:eastAsia="Arial" w:hAnsi="Arial"/>
          <w:sz w:val="13"/>
          <w:szCs w:val="13"/>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ind w:left="1200"/>
        <w:spacing w:after="0" w:line="26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4"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The trading market for our common stock will be influenced by the research and reports that securities or industry analysts publish about us, our business or our market. We do not currently have and may never obtain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360"/>
          </w:cols>
          <w:pgMar w:left="320" w:top="418" w:right="121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323" w:lineRule="auto"/>
        <w:rPr>
          <w:sz w:val="20"/>
          <w:szCs w:val="20"/>
          <w:color w:val="auto"/>
        </w:rPr>
      </w:pPr>
      <w:r>
        <w:rPr>
          <w:rFonts w:ascii="Arial" w:cs="Arial" w:eastAsia="Arial" w:hAnsi="Arial"/>
          <w:sz w:val="13"/>
          <w:szCs w:val="13"/>
          <w:color w:val="auto"/>
        </w:rPr>
        <w:t>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20" w:lineRule="exact"/>
        <w:rPr>
          <w:sz w:val="20"/>
          <w:szCs w:val="20"/>
          <w:color w:val="auto"/>
        </w:rPr>
      </w:pPr>
    </w:p>
    <w:p>
      <w:pPr>
        <w:ind w:left="1200" w:right="380"/>
        <w:spacing w:after="0" w:line="256"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71"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Stock Market LLC (Nasdaq). Our management and other personnel will need to devote a substantial amount of time to these compliance initiatives. Moreover, we expect these rules, regulations and standards to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326"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7"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67" w:lineRule="exact"/>
        <w:rPr>
          <w:sz w:val="20"/>
          <w:szCs w:val="20"/>
          <w:color w:val="auto"/>
        </w:rPr>
      </w:pPr>
    </w:p>
    <w:p>
      <w:pPr>
        <w:jc w:val="both"/>
        <w:ind w:left="820" w:right="20" w:firstLine="385"/>
        <w:spacing w:after="0" w:line="253" w:lineRule="auto"/>
        <w:rPr>
          <w:sz w:val="20"/>
          <w:szCs w:val="20"/>
          <w:color w:val="auto"/>
        </w:rPr>
      </w:pPr>
      <w:r>
        <w:rPr>
          <w:rFonts w:ascii="Arial" w:cs="Arial" w:eastAsia="Arial" w:hAnsi="Arial"/>
          <w:sz w:val="16"/>
          <w:szCs w:val="16"/>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7"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If we are not able to comply with the requirements of Section 404 of the Sarbanes-Oxley Act in a timely manner, or if we are unable to maintain proper and effective internal controls, we may not be able to produce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420"/>
          </w:cols>
          <w:pgMar w:left="320" w:top="418" w:right="11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60"/>
        <w:spacing w:after="0" w:line="300" w:lineRule="auto"/>
        <w:rPr>
          <w:sz w:val="20"/>
          <w:szCs w:val="20"/>
          <w:color w:val="auto"/>
        </w:rPr>
      </w:pPr>
      <w:r>
        <w:rPr>
          <w:rFonts w:ascii="Arial" w:cs="Arial" w:eastAsia="Arial" w:hAnsi="Arial"/>
          <w:sz w:val="15"/>
          <w:szCs w:val="15"/>
          <w:color w:val="auto"/>
        </w:rPr>
        <w:t>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99"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4" w:lineRule="exact"/>
        <w:rPr>
          <w:sz w:val="20"/>
          <w:szCs w:val="20"/>
          <w:color w:val="auto"/>
        </w:rPr>
      </w:pPr>
    </w:p>
    <w:p>
      <w:pPr>
        <w:ind w:left="820" w:right="220" w:firstLine="385"/>
        <w:spacing w:after="0" w:line="253" w:lineRule="auto"/>
        <w:rPr>
          <w:sz w:val="20"/>
          <w:szCs w:val="20"/>
          <w:color w:val="auto"/>
        </w:rPr>
      </w:pPr>
      <w:r>
        <w:rPr>
          <w:rFonts w:ascii="Arial" w:cs="Arial" w:eastAsia="Arial" w:hAnsi="Arial"/>
          <w:sz w:val="16"/>
          <w:szCs w:val="16"/>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will have broad discretion in the use of the net proceeds from this offering and may not use them effectively.</w:t>
      </w:r>
    </w:p>
    <w:p>
      <w:pPr>
        <w:spacing w:after="0" w:line="99"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including for any of the purposes described in “Use of Proceeds,” and you will be relying on the judgment of our management regarding the application of these proceeds, who could spend the proceeds in ways that do not improve our results of operations or enhance the value of our common stock.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5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99" w:lineRule="exact"/>
        <w:rPr>
          <w:sz w:val="20"/>
          <w:szCs w:val="20"/>
          <w:color w:val="auto"/>
        </w:rPr>
      </w:pPr>
    </w:p>
    <w:p>
      <w:pPr>
        <w:ind w:left="820" w:right="240" w:firstLine="385"/>
        <w:spacing w:after="0" w:line="329" w:lineRule="auto"/>
        <w:rPr>
          <w:sz w:val="20"/>
          <w:szCs w:val="20"/>
          <w:color w:val="auto"/>
        </w:rPr>
      </w:pPr>
      <w:r>
        <w:rPr>
          <w:rFonts w:ascii="Arial" w:cs="Arial" w:eastAsia="Arial" w:hAnsi="Arial"/>
          <w:sz w:val="13"/>
          <w:szCs w:val="13"/>
          <w:color w:val="auto"/>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218" w:lineRule="exact"/>
        <w:rPr>
          <w:sz w:val="20"/>
          <w:szCs w:val="20"/>
          <w:color w:val="auto"/>
        </w:rPr>
      </w:pPr>
    </w:p>
    <w:p>
      <w:pPr>
        <w:ind w:left="1200" w:right="220"/>
        <w:spacing w:after="0" w:line="266" w:lineRule="auto"/>
        <w:rPr>
          <w:sz w:val="20"/>
          <w:szCs w:val="20"/>
          <w:color w:val="auto"/>
        </w:rPr>
      </w:pPr>
      <w:r>
        <w:rPr>
          <w:rFonts w:ascii="Arial" w:cs="Arial" w:eastAsia="Arial" w:hAnsi="Arial"/>
          <w:sz w:val="16"/>
          <w:szCs w:val="16"/>
          <w:b w:val="1"/>
          <w:bCs w:val="1"/>
          <w:i w:val="1"/>
          <w:iCs w:val="1"/>
          <w:color w:val="auto"/>
        </w:rPr>
        <w:t>We do not intend to pay dividends on our common stock in the foreseeable future, so any returns will be limited to the value of our common stock.</w:t>
      </w:r>
    </w:p>
    <w:p>
      <w:pPr>
        <w:spacing w:after="0" w:line="64" w:lineRule="exact"/>
        <w:rPr>
          <w:sz w:val="20"/>
          <w:szCs w:val="20"/>
          <w:color w:val="auto"/>
        </w:rPr>
      </w:pPr>
    </w:p>
    <w:p>
      <w:pPr>
        <w:jc w:val="both"/>
        <w:ind w:left="820" w:right="360" w:firstLine="385"/>
        <w:spacing w:after="0" w:line="281" w:lineRule="auto"/>
        <w:rPr>
          <w:sz w:val="20"/>
          <w:szCs w:val="20"/>
          <w:color w:val="auto"/>
        </w:rPr>
      </w:pPr>
      <w:r>
        <w:rPr>
          <w:rFonts w:ascii="Arial" w:cs="Arial" w:eastAsia="Arial" w:hAnsi="Arial"/>
          <w:sz w:val="15"/>
          <w:szCs w:val="15"/>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420"/>
          </w:cols>
          <w:pgMar w:left="320" w:top="418" w:right="115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60"/>
        <w:spacing w:after="0" w:line="256"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as they will be in effect upon closing of this offering, and Delaware law might discourage, delay or prevent a change in control of our company or changes in our management and, therefore, depress the market price of our common stock.</w:t>
      </w:r>
    </w:p>
    <w:p>
      <w:pPr>
        <w:spacing w:after="0" w:line="71"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Our amended and restated certificate of incorporation and amended and restated bylaws, as they will be in effect upon closing of this offering, will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88" w:lineRule="exact"/>
        <w:rPr>
          <w:sz w:val="20"/>
          <w:szCs w:val="20"/>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are elected at one time;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permit only the board of directors to establish the number of directors and fill vacancies on the board;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110" w:lineRule="exact"/>
        <w:rPr>
          <w:rFonts w:ascii="Arial" w:cs="Arial" w:eastAsia="Arial" w:hAnsi="Arial"/>
          <w:sz w:val="16"/>
          <w:szCs w:val="16"/>
          <w:color w:val="auto"/>
        </w:rPr>
      </w:pPr>
    </w:p>
    <w:p>
      <w:pPr>
        <w:ind w:left="1660" w:right="160" w:hanging="469"/>
        <w:spacing w:after="0" w:line="266" w:lineRule="auto"/>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prohibit stockholder action by written consent, which requires all stockholder actions to be taken at a meeting of our stockholders;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authorize our board of directors to amend the bylaws;</w:t>
      </w:r>
    </w:p>
    <w:p>
      <w:pPr>
        <w:spacing w:after="0" w:line="110" w:lineRule="exact"/>
        <w:rPr>
          <w:rFonts w:ascii="Arial" w:cs="Arial" w:eastAsia="Arial" w:hAnsi="Arial"/>
          <w:sz w:val="16"/>
          <w:szCs w:val="16"/>
          <w:color w:val="auto"/>
        </w:rPr>
      </w:pPr>
    </w:p>
    <w:p>
      <w:pPr>
        <w:ind w:left="1660" w:right="560" w:hanging="469"/>
        <w:spacing w:after="0" w:line="266" w:lineRule="auto"/>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or for proposing matters that can be acted upon by stockholders at annual stockholder meetings; and</w:t>
      </w:r>
    </w:p>
    <w:p>
      <w:pPr>
        <w:spacing w:after="0" w:line="75" w:lineRule="exact"/>
        <w:rPr>
          <w:rFonts w:ascii="Arial" w:cs="Arial" w:eastAsia="Arial" w:hAnsi="Arial"/>
          <w:sz w:val="16"/>
          <w:szCs w:val="16"/>
          <w:color w:val="auto"/>
        </w:rPr>
      </w:pPr>
    </w:p>
    <w:p>
      <w:pPr>
        <w:ind w:left="1660" w:right="760" w:hanging="469"/>
        <w:spacing w:after="0" w:line="300" w:lineRule="auto"/>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require a super-majority vote of stockholders to amend or repeal specified provisions of our amended and restated certificate of incorporation and amended and restated bylaws, as they will be in effect upon closing of this offering.</w:t>
      </w:r>
    </w:p>
    <w:p>
      <w:pPr>
        <w:spacing w:after="0" w:line="135" w:lineRule="exact"/>
        <w:rPr>
          <w:sz w:val="20"/>
          <w:szCs w:val="20"/>
          <w:color w:val="auto"/>
        </w:rPr>
      </w:pPr>
    </w:p>
    <w:p>
      <w:pPr>
        <w:ind w:left="820" w:right="140" w:firstLine="385"/>
        <w:spacing w:after="0" w:line="275" w:lineRule="auto"/>
        <w:rPr>
          <w:sz w:val="20"/>
          <w:szCs w:val="20"/>
          <w:color w:val="auto"/>
        </w:rPr>
      </w:pPr>
      <w:r>
        <w:rPr>
          <w:rFonts w:ascii="Arial" w:cs="Arial" w:eastAsia="Arial" w:hAnsi="Arial"/>
          <w:sz w:val="15"/>
          <w:szCs w:val="15"/>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5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60" w:lineRule="exact"/>
        <w:rPr>
          <w:sz w:val="20"/>
          <w:szCs w:val="20"/>
          <w:color w:val="auto"/>
        </w:rPr>
      </w:pPr>
    </w:p>
    <w:p>
      <w:pPr>
        <w:ind w:left="1200"/>
        <w:spacing w:after="0" w:line="253" w:lineRule="auto"/>
        <w:rPr>
          <w:sz w:val="20"/>
          <w:szCs w:val="20"/>
          <w:color w:val="auto"/>
        </w:rPr>
      </w:pPr>
      <w:r>
        <w:rPr>
          <w:rFonts w:ascii="Arial" w:cs="Arial" w:eastAsia="Arial" w:hAnsi="Arial"/>
          <w:sz w:val="16"/>
          <w:szCs w:val="16"/>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Our amended and restated bylaws that will become effective upon the closing of this offering provide that the Court of Chancery of the State of Delaware (or, if the Court of Chancery does not have jurisdiction, another</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420"/>
          </w:cols>
          <w:pgMar w:left="320" w:top="418" w:right="115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5" w:lineRule="auto"/>
        <w:rPr>
          <w:sz w:val="20"/>
          <w:szCs w:val="20"/>
          <w:color w:val="auto"/>
        </w:rPr>
      </w:pPr>
      <w:r>
        <w:rPr>
          <w:rFonts w:ascii="Arial" w:cs="Arial" w:eastAsia="Arial" w:hAnsi="Arial"/>
          <w:sz w:val="15"/>
          <w:szCs w:val="15"/>
          <w:color w:val="auto"/>
        </w:rPr>
        <w:t>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0" w:lineRule="exact"/>
        <w:rPr>
          <w:sz w:val="20"/>
          <w:szCs w:val="20"/>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w:t>
      </w:r>
    </w:p>
    <w:p>
      <w:pPr>
        <w:spacing w:after="0" w:line="110" w:lineRule="exact"/>
        <w:rPr>
          <w:rFonts w:ascii="Arial" w:cs="Arial" w:eastAsia="Arial" w:hAnsi="Arial"/>
          <w:sz w:val="16"/>
          <w:szCs w:val="16"/>
          <w:color w:val="auto"/>
        </w:rPr>
      </w:pPr>
    </w:p>
    <w:p>
      <w:pPr>
        <w:ind w:left="1660" w:right="80" w:hanging="469"/>
        <w:spacing w:after="0" w:line="266" w:lineRule="auto"/>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DGCL, our amended and restated certificate of incorporation or our amended and restated bylaws;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This provision would not apply to suits brought to enforce a duty or liability created by the Exchange Act or any other claim for which the U.S.</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federal courts have exclusive jurisdiction.</w:t>
      </w:r>
    </w:p>
    <w:p>
      <w:pPr>
        <w:spacing w:after="0" w:line="182"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158"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14" w:lineRule="exact"/>
        <w:rPr>
          <w:sz w:val="20"/>
          <w:szCs w:val="20"/>
          <w:color w:val="auto"/>
        </w:rPr>
      </w:pPr>
    </w:p>
    <w:p>
      <w:pPr>
        <w:ind w:left="820" w:right="120" w:firstLine="385"/>
        <w:spacing w:after="0" w:line="250"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420"/>
          </w:cols>
          <w:pgMar w:left="320" w:top="418" w:right="11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7"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78" w:lineRule="exact"/>
        <w:rPr>
          <w:sz w:val="20"/>
          <w:szCs w:val="20"/>
          <w:color w:val="auto"/>
        </w:rPr>
      </w:pPr>
    </w:p>
    <w:p>
      <w:pPr>
        <w:ind w:left="1660" w:right="360" w:hanging="469"/>
        <w:spacing w:after="0" w:line="26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ability of our preclinical studies and planned clinical trials to demonstrate safety and efficacy of our product candidates, and other positive results;</w:t>
      </w:r>
    </w:p>
    <w:p>
      <w:pPr>
        <w:spacing w:after="0" w:line="75" w:lineRule="exact"/>
        <w:rPr>
          <w:rFonts w:ascii="Arial" w:cs="Arial" w:eastAsia="Arial" w:hAnsi="Arial"/>
          <w:sz w:val="16"/>
          <w:szCs w:val="16"/>
          <w:color w:val="auto"/>
        </w:rPr>
      </w:pPr>
    </w:p>
    <w:p>
      <w:pPr>
        <w:ind w:left="1660" w:right="460" w:hanging="469"/>
        <w:spacing w:after="0" w:line="281" w:lineRule="auto"/>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timing, progress and results of preclinical studies and planned clinical trials for our current product candidates and other product candidates we may develop, including statements regarding the timing of initiation and completion of studies or trials and related preparatory work, and the period during which the results of the studies or trials will become available;</w:t>
      </w:r>
    </w:p>
    <w:p>
      <w:pPr>
        <w:spacing w:after="0" w:line="66" w:lineRule="exact"/>
        <w:rPr>
          <w:rFonts w:ascii="Arial" w:cs="Arial" w:eastAsia="Arial" w:hAnsi="Arial"/>
          <w:sz w:val="15"/>
          <w:szCs w:val="15"/>
          <w:color w:val="auto"/>
        </w:rPr>
      </w:pPr>
    </w:p>
    <w:p>
      <w:pPr>
        <w:ind w:left="1660" w:right="60" w:hanging="469"/>
        <w:spacing w:after="0" w:line="26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timing, scope and likelihood of regulatory filings and approvals, including timing of INDs, CTAs, FDA approvals, and final regulatory approval of our current product candidates and any other future product candidates;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ability to develop and advance our current product candidates and programs into, and successfully complete, clinical studies;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manufacturing, commercialization, and marketing capabilities and strategy and the timing of our facilities becoming operational;</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need to hire additional personnel and our ability to attract and retain such personnel;</w:t>
      </w:r>
    </w:p>
    <w:p>
      <w:pPr>
        <w:spacing w:after="0" w:line="110" w:lineRule="exact"/>
        <w:rPr>
          <w:rFonts w:ascii="Arial" w:cs="Arial" w:eastAsia="Arial" w:hAnsi="Arial"/>
          <w:sz w:val="16"/>
          <w:szCs w:val="16"/>
          <w:color w:val="auto"/>
        </w:rPr>
      </w:pPr>
    </w:p>
    <w:p>
      <w:pPr>
        <w:ind w:left="1660" w:right="480" w:hanging="469"/>
        <w:spacing w:after="0" w:line="26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competitive position and the success of competing therapies that are or may become available;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beneficial characteristics, and the potential safety, efficacy and therapeutic effects of our product candidates and our approach;</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plans relating to the further development of our product candidates, including additional indications and targets we may pursue;</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impact of existing laws and regulations and regulatory developments in the United States, Europe and other jurisdictions;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our expectations regarding the impact of the COVID-19 pandemic on our business, including our preclinical studies and clinical trials;</w:t>
      </w:r>
    </w:p>
    <w:p>
      <w:pPr>
        <w:spacing w:after="0" w:line="145" w:lineRule="exact"/>
        <w:rPr>
          <w:rFonts w:ascii="Arial" w:cs="Arial" w:eastAsia="Arial" w:hAnsi="Arial"/>
          <w:sz w:val="13"/>
          <w:szCs w:val="13"/>
          <w:color w:val="auto"/>
        </w:rPr>
      </w:pPr>
    </w:p>
    <w:p>
      <w:pPr>
        <w:ind w:left="1660" w:right="20" w:hanging="469"/>
        <w:spacing w:after="0" w:line="253"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4"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420"/>
          </w:cols>
          <w:pgMar w:left="320" w:top="418" w:right="115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540" w:hanging="469"/>
        <w:spacing w:after="0" w:line="300"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ability to obtain, and negotiate favorable terms of, any collaboration, partnership, licensing or other arrangements that may be necessary or desirable to develop, manufacture or commercialize our product candidates;</w:t>
      </w:r>
    </w:p>
    <w:p>
      <w:pPr>
        <w:spacing w:after="0" w:line="52" w:lineRule="exact"/>
        <w:rPr>
          <w:rFonts w:ascii="Arial" w:cs="Arial" w:eastAsia="Arial" w:hAnsi="Arial"/>
          <w:sz w:val="15"/>
          <w:szCs w:val="15"/>
          <w:color w:val="auto"/>
        </w:rPr>
      </w:pPr>
    </w:p>
    <w:p>
      <w:pPr>
        <w:ind w:left="1660" w:hanging="469"/>
        <w:spacing w:after="0" w:line="300"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52" w:lineRule="exact"/>
        <w:rPr>
          <w:rFonts w:ascii="Arial" w:cs="Arial" w:eastAsia="Arial" w:hAnsi="Arial"/>
          <w:sz w:val="15"/>
          <w:szCs w:val="15"/>
          <w:color w:val="auto"/>
        </w:rPr>
      </w:pPr>
    </w:p>
    <w:p>
      <w:pPr>
        <w:ind w:left="1660" w:right="440" w:hanging="469"/>
        <w:spacing w:after="0" w:line="266" w:lineRule="auto"/>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our current product candidates and other product candidates we may develop;</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110"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expectations regarding the period during which we will remain an emerging growth company under the JOBS Act;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anticipated use of our existing resources and the net proceeds from this offering.</w:t>
      </w:r>
    </w:p>
    <w:p>
      <w:pPr>
        <w:spacing w:after="0" w:line="193" w:lineRule="exact"/>
        <w:rPr>
          <w:sz w:val="20"/>
          <w:szCs w:val="20"/>
          <w:color w:val="auto"/>
        </w:rPr>
      </w:pPr>
    </w:p>
    <w:p>
      <w:pPr>
        <w:jc w:val="both"/>
        <w:ind w:left="820" w:right="20" w:firstLine="385"/>
        <w:spacing w:after="0" w:line="314" w:lineRule="auto"/>
        <w:rPr>
          <w:sz w:val="20"/>
          <w:szCs w:val="20"/>
          <w:color w:val="auto"/>
        </w:rPr>
      </w:pPr>
      <w:r>
        <w:rPr>
          <w:rFonts w:ascii="Arial" w:cs="Arial" w:eastAsia="Arial" w:hAnsi="Arial"/>
          <w:sz w:val="13"/>
          <w:szCs w:val="13"/>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322" w:lineRule="exact"/>
        <w:rPr>
          <w:sz w:val="20"/>
          <w:szCs w:val="20"/>
          <w:color w:val="auto"/>
        </w:rPr>
      </w:pPr>
    </w:p>
    <w:p>
      <w:pPr>
        <w:ind w:left="820" w:right="240" w:firstLine="385"/>
        <w:spacing w:after="0" w:line="25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360"/>
          </w:cols>
          <w:pgMar w:left="320" w:top="418" w:right="121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MARKET, INDUSTRY AND OTHER DATA</w:t>
      </w:r>
    </w:p>
    <w:p>
      <w:pPr>
        <w:spacing w:after="0" w:line="197"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Investors are cautioned not to give undue weight to any such information, projections and estimates.</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0420"/>
          </w:cols>
          <w:pgMar w:left="320" w:top="418" w:right="11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2160" w:type="dxa"/>
            <w:vAlign w:val="bottom"/>
            <w:gridSpan w:val="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2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62"/>
        </w:trPr>
        <w:tc>
          <w:tcPr>
            <w:tcW w:w="11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60" w:type="dxa"/>
            <w:vAlign w:val="bottom"/>
          </w:tcPr>
          <w:p>
            <w:pPr>
              <w:ind w:left="540"/>
              <w:spacing w:after="0"/>
              <w:rPr>
                <w:sz w:val="20"/>
                <w:szCs w:val="20"/>
                <w:color w:val="auto"/>
              </w:rPr>
            </w:pPr>
            <w:r>
              <w:rPr>
                <w:rFonts w:ascii="Arial" w:cs="Arial" w:eastAsia="Arial" w:hAnsi="Arial"/>
                <w:sz w:val="16"/>
                <w:szCs w:val="16"/>
                <w:b w:val="1"/>
                <w:bCs w:val="1"/>
                <w:color w:val="auto"/>
              </w:rPr>
              <w:t>USE OF PROCEEDS</w:t>
            </w: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118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Arial" w:cs="Arial" w:eastAsia="Arial" w:hAnsi="Arial"/>
                <w:sz w:val="16"/>
                <w:szCs w:val="16"/>
                <w:color w:val="auto"/>
                <w:w w:val="91"/>
              </w:rPr>
              <w:t>We estimate that the net proceeds to us from the sale of the shares of our common stock in this offering will be approximately $</w:t>
            </w:r>
          </w:p>
        </w:tc>
        <w:tc>
          <w:tcPr>
            <w:tcW w:w="920" w:type="dxa"/>
            <w:vAlign w:val="bottom"/>
          </w:tcPr>
          <w:p>
            <w:pPr>
              <w:ind w:left="260"/>
              <w:spacing w:after="0"/>
              <w:rPr>
                <w:sz w:val="20"/>
                <w:szCs w:val="20"/>
                <w:color w:val="auto"/>
              </w:rPr>
            </w:pPr>
            <w:r>
              <w:rPr>
                <w:rFonts w:ascii="Arial" w:cs="Arial" w:eastAsia="Arial" w:hAnsi="Arial"/>
                <w:sz w:val="16"/>
                <w:szCs w:val="16"/>
                <w:color w:val="auto"/>
                <w:w w:val="93"/>
              </w:rPr>
              <w:t>million, or</w:t>
            </w:r>
          </w:p>
        </w:tc>
      </w:tr>
      <w:tr>
        <w:trPr>
          <w:trHeight w:val="189"/>
        </w:trPr>
        <w:tc>
          <w:tcPr>
            <w:tcW w:w="2160" w:type="dxa"/>
            <w:vAlign w:val="bottom"/>
            <w:gridSpan w:val="2"/>
          </w:tcPr>
          <w:p>
            <w:pPr>
              <w:ind w:left="820"/>
              <w:spacing w:after="0"/>
              <w:rPr>
                <w:sz w:val="20"/>
                <w:szCs w:val="20"/>
                <w:color w:val="auto"/>
              </w:rPr>
            </w:pPr>
            <w:r>
              <w:rPr>
                <w:rFonts w:ascii="Arial" w:cs="Arial" w:eastAsia="Arial" w:hAnsi="Arial"/>
                <w:sz w:val="16"/>
                <w:szCs w:val="16"/>
                <w:color w:val="auto"/>
              </w:rPr>
              <w:t>approximately $</w:t>
            </w:r>
          </w:p>
        </w:tc>
        <w:tc>
          <w:tcPr>
            <w:tcW w:w="8240" w:type="dxa"/>
            <w:vAlign w:val="bottom"/>
            <w:gridSpan w:val="4"/>
          </w:tcPr>
          <w:p>
            <w:pPr>
              <w:ind w:left="180"/>
              <w:spacing w:after="0"/>
              <w:rPr>
                <w:sz w:val="20"/>
                <w:szCs w:val="20"/>
                <w:color w:val="auto"/>
              </w:rPr>
            </w:pPr>
            <w:r>
              <w:rPr>
                <w:rFonts w:ascii="Arial" w:cs="Arial" w:eastAsia="Arial" w:hAnsi="Arial"/>
                <w:sz w:val="16"/>
                <w:szCs w:val="16"/>
                <w:color w:val="auto"/>
                <w:w w:val="93"/>
              </w:rPr>
              <w:t>million if the underwriters exercise their option to purchase additional shares in full, based upon the assumed initial public</w:t>
            </w:r>
          </w:p>
        </w:tc>
      </w:tr>
      <w:tr>
        <w:trPr>
          <w:trHeight w:val="189"/>
        </w:trPr>
        <w:tc>
          <w:tcPr>
            <w:tcW w:w="2160" w:type="dxa"/>
            <w:vAlign w:val="bottom"/>
            <w:gridSpan w:val="2"/>
          </w:tcPr>
          <w:p>
            <w:pPr>
              <w:ind w:left="820"/>
              <w:spacing w:after="0"/>
              <w:rPr>
                <w:sz w:val="20"/>
                <w:szCs w:val="20"/>
                <w:color w:val="auto"/>
              </w:rPr>
            </w:pPr>
            <w:r>
              <w:rPr>
                <w:rFonts w:ascii="Arial" w:cs="Arial" w:eastAsia="Arial" w:hAnsi="Arial"/>
                <w:sz w:val="16"/>
                <w:szCs w:val="16"/>
                <w:color w:val="auto"/>
              </w:rPr>
              <w:t>offering price of $</w:t>
            </w:r>
          </w:p>
        </w:tc>
        <w:tc>
          <w:tcPr>
            <w:tcW w:w="8240" w:type="dxa"/>
            <w:vAlign w:val="bottom"/>
            <w:gridSpan w:val="4"/>
          </w:tcPr>
          <w:p>
            <w:pPr>
              <w:ind w:left="300"/>
              <w:spacing w:after="0"/>
              <w:rPr>
                <w:sz w:val="20"/>
                <w:szCs w:val="20"/>
                <w:color w:val="auto"/>
              </w:rPr>
            </w:pPr>
            <w:r>
              <w:rPr>
                <w:rFonts w:ascii="Arial" w:cs="Arial" w:eastAsia="Arial" w:hAnsi="Arial"/>
                <w:sz w:val="16"/>
                <w:szCs w:val="16"/>
                <w:color w:val="auto"/>
                <w:w w:val="93"/>
              </w:rPr>
              <w:t>per share, which is the midpoint of the price range set forth on the cover page of this prospectus, and after deducting the</w:t>
            </w:r>
          </w:p>
        </w:tc>
      </w:tr>
      <w:tr>
        <w:trPr>
          <w:trHeight w:val="200"/>
        </w:trPr>
        <w:tc>
          <w:tcPr>
            <w:tcW w:w="6520" w:type="dxa"/>
            <w:vAlign w:val="bottom"/>
            <w:gridSpan w:val="4"/>
          </w:tcPr>
          <w:p>
            <w:pPr>
              <w:ind w:left="820"/>
              <w:spacing w:after="0"/>
              <w:rPr>
                <w:sz w:val="20"/>
                <w:szCs w:val="20"/>
                <w:color w:val="auto"/>
              </w:rPr>
            </w:pPr>
            <w:r>
              <w:rPr>
                <w:rFonts w:ascii="Arial" w:cs="Arial" w:eastAsia="Arial" w:hAnsi="Arial"/>
                <w:sz w:val="16"/>
                <w:szCs w:val="16"/>
                <w:color w:val="auto"/>
                <w:w w:val="90"/>
              </w:rPr>
              <w:t>underwriting discounts and commissions and estimated offering expenses payable by us.</w:t>
            </w:r>
          </w:p>
        </w:tc>
        <w:tc>
          <w:tcPr>
            <w:tcW w:w="2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66"/>
        </w:trPr>
        <w:tc>
          <w:tcPr>
            <w:tcW w:w="1180" w:type="dxa"/>
            <w:vAlign w:val="bottom"/>
          </w:tcPr>
          <w:p>
            <w:pPr>
              <w:spacing w:after="0"/>
              <w:rPr>
                <w:sz w:val="24"/>
                <w:szCs w:val="24"/>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w w:val="94"/>
              </w:rPr>
              <w:t>Each $1.00 increase or decrease in the assumed initial public offering price of $</w:t>
            </w:r>
          </w:p>
        </w:tc>
        <w:tc>
          <w:tcPr>
            <w:tcW w:w="3880" w:type="dxa"/>
            <w:vAlign w:val="bottom"/>
            <w:gridSpan w:val="2"/>
          </w:tcPr>
          <w:p>
            <w:pPr>
              <w:ind w:left="160"/>
              <w:spacing w:after="0"/>
              <w:rPr>
                <w:sz w:val="20"/>
                <w:szCs w:val="20"/>
                <w:color w:val="auto"/>
              </w:rPr>
            </w:pPr>
            <w:r>
              <w:rPr>
                <w:rFonts w:ascii="Arial" w:cs="Arial" w:eastAsia="Arial" w:hAnsi="Arial"/>
                <w:sz w:val="16"/>
                <w:szCs w:val="16"/>
                <w:color w:val="auto"/>
                <w:w w:val="86"/>
              </w:rPr>
              <w:t>per share would increase or decrease, as applicable, the net</w:t>
            </w:r>
          </w:p>
        </w:tc>
      </w:tr>
      <w:tr>
        <w:trPr>
          <w:trHeight w:val="200"/>
        </w:trPr>
        <w:tc>
          <w:tcPr>
            <w:tcW w:w="4360" w:type="dxa"/>
            <w:vAlign w:val="bottom"/>
            <w:gridSpan w:val="3"/>
          </w:tcPr>
          <w:p>
            <w:pPr>
              <w:ind w:left="820"/>
              <w:spacing w:after="0"/>
              <w:rPr>
                <w:sz w:val="20"/>
                <w:szCs w:val="20"/>
                <w:color w:val="auto"/>
              </w:rPr>
            </w:pPr>
            <w:r>
              <w:rPr>
                <w:rFonts w:ascii="Arial" w:cs="Arial" w:eastAsia="Arial" w:hAnsi="Arial"/>
                <w:sz w:val="16"/>
                <w:szCs w:val="16"/>
                <w:color w:val="auto"/>
                <w:w w:val="95"/>
              </w:rPr>
              <w:t>proceeds to us from this offering by approximately $</w:t>
            </w:r>
          </w:p>
        </w:tc>
        <w:tc>
          <w:tcPr>
            <w:tcW w:w="6040" w:type="dxa"/>
            <w:vAlign w:val="bottom"/>
            <w:gridSpan w:val="3"/>
          </w:tcPr>
          <w:p>
            <w:pPr>
              <w:ind w:left="240"/>
              <w:spacing w:after="0"/>
              <w:rPr>
                <w:sz w:val="20"/>
                <w:szCs w:val="20"/>
                <w:color w:val="auto"/>
              </w:rPr>
            </w:pPr>
            <w:r>
              <w:rPr>
                <w:rFonts w:ascii="Arial" w:cs="Arial" w:eastAsia="Arial" w:hAnsi="Arial"/>
                <w:sz w:val="16"/>
                <w:szCs w:val="16"/>
                <w:color w:val="auto"/>
                <w:w w:val="89"/>
              </w:rPr>
              <w:t>million, assuming the number of shares offered by us, as set forth on the cover page of this</w:t>
            </w:r>
          </w:p>
        </w:tc>
      </w:tr>
    </w:tbl>
    <w:p>
      <w:pPr>
        <w:ind w:left="820" w:right="520"/>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prospectus, remains the same, and after deducting the underwriting discounts and commissions and estimated offering expenses payable by us. Similarly, each increase or decrease of 1.0 million shares in the number of shares offered by us would increase or decrease, as applicable, the net</w:t>
      </w:r>
    </w:p>
    <w:p>
      <w:pPr>
        <w:spacing w:after="0" w:line="1" w:lineRule="exact"/>
        <w:rPr>
          <w:sz w:val="20"/>
          <w:szCs w:val="20"/>
          <w:color w:val="auto"/>
        </w:rPr>
      </w:pPr>
    </w:p>
    <w:p>
      <w:pPr>
        <w:ind w:left="820" w:right="380"/>
        <w:spacing w:after="0" w:line="252" w:lineRule="auto"/>
        <w:rPr>
          <w:sz w:val="20"/>
          <w:szCs w:val="20"/>
          <w:color w:val="auto"/>
        </w:rPr>
      </w:pPr>
      <w:r>
        <w:rPr>
          <w:rFonts w:ascii="Arial" w:cs="Arial" w:eastAsia="Arial" w:hAnsi="Arial"/>
          <w:sz w:val="16"/>
          <w:szCs w:val="16"/>
          <w:color w:val="auto"/>
        </w:rPr>
        <w:t>proceeds to us from this offering by approximately $ million, assuming the assumed initial public offering price remains the same, and after deducting the underwriting discounts and commissions and estimated offering expenses payable by us.</w:t>
      </w:r>
    </w:p>
    <w:p>
      <w:pPr>
        <w:spacing w:after="0" w:line="168" w:lineRule="exact"/>
        <w:rPr>
          <w:sz w:val="20"/>
          <w:szCs w:val="20"/>
          <w:color w:val="auto"/>
        </w:rPr>
      </w:pPr>
    </w:p>
    <w:p>
      <w:pPr>
        <w:jc w:val="both"/>
        <w:ind w:left="820" w:right="160" w:firstLine="385"/>
        <w:spacing w:after="0" w:line="256" w:lineRule="auto"/>
        <w:rPr>
          <w:sz w:val="20"/>
          <w:szCs w:val="20"/>
          <w:color w:val="auto"/>
        </w:rPr>
      </w:pPr>
      <w:r>
        <w:rPr>
          <w:rFonts w:ascii="Arial" w:cs="Arial" w:eastAsia="Arial" w:hAnsi="Arial"/>
          <w:sz w:val="16"/>
          <w:szCs w:val="16"/>
          <w:color w:val="auto"/>
        </w:rPr>
        <w:t>The principal purposes of this offering are to obtain additional capital to support our operations, establish a public market for our common stock and facilitate our future access to the public capital markets. We currently intend to use the net proceeds from this offering, together with our existing cash and cash equivalents, as follows:</w:t>
      </w:r>
    </w:p>
    <w:p>
      <w:pPr>
        <w:spacing w:after="0" w:line="83" w:lineRule="exact"/>
        <w:rPr>
          <w:sz w:val="20"/>
          <w:szCs w:val="20"/>
          <w:color w:val="auto"/>
        </w:rPr>
      </w:pPr>
    </w:p>
    <w:tbl>
      <w:tblPr>
        <w:tblLayout w:type="fixed"/>
        <w:tblInd w:w="1200" w:type="dxa"/>
        <w:tblCellMar>
          <w:top w:w="0" w:type="dxa"/>
          <w:left w:w="0" w:type="dxa"/>
          <w:bottom w:w="0" w:type="dxa"/>
          <w:right w:w="0" w:type="dxa"/>
        </w:tblCellMar>
      </w:tblP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w w:val="90"/>
              </w:rPr>
              <w:t>million to fund our ongoing and planned preclinical and clinical development of our product</w:t>
            </w:r>
          </w:p>
        </w:tc>
      </w:tr>
      <w:tr>
        <w:trPr>
          <w:trHeight w:val="200"/>
        </w:trPr>
        <w:tc>
          <w:tcPr>
            <w:tcW w:w="260" w:type="dxa"/>
            <w:vAlign w:val="bottom"/>
          </w:tcPr>
          <w:p>
            <w:pPr>
              <w:spacing w:after="0"/>
              <w:rPr>
                <w:sz w:val="17"/>
                <w:szCs w:val="17"/>
                <w:color w:val="auto"/>
              </w:rPr>
            </w:pPr>
          </w:p>
        </w:tc>
        <w:tc>
          <w:tcPr>
            <w:tcW w:w="8800" w:type="dxa"/>
            <w:vAlign w:val="bottom"/>
            <w:gridSpan w:val="3"/>
          </w:tcPr>
          <w:p>
            <w:pPr>
              <w:ind w:left="200"/>
              <w:spacing w:after="0"/>
              <w:rPr>
                <w:sz w:val="20"/>
                <w:szCs w:val="20"/>
                <w:color w:val="auto"/>
              </w:rPr>
            </w:pPr>
            <w:r>
              <w:rPr>
                <w:rFonts w:ascii="Arial" w:cs="Arial" w:eastAsia="Arial" w:hAnsi="Arial"/>
                <w:sz w:val="16"/>
                <w:szCs w:val="16"/>
                <w:color w:val="auto"/>
              </w:rPr>
              <w:t>candidate TN-201 in our MYBPC3 program, including initiation of the planned Phase 1/2 clinical trial;</w:t>
            </w:r>
          </w:p>
        </w:tc>
      </w:tr>
      <w:tr>
        <w:trPr>
          <w:trHeight w:val="283"/>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w w:val="90"/>
              </w:rPr>
              <w:t>million to fund our ongoing and planned preclinical and clinical development of our product</w:t>
            </w:r>
          </w:p>
        </w:tc>
      </w:tr>
      <w:tr>
        <w:trPr>
          <w:trHeight w:val="200"/>
        </w:trPr>
        <w:tc>
          <w:tcPr>
            <w:tcW w:w="260" w:type="dxa"/>
            <w:vAlign w:val="bottom"/>
          </w:tcPr>
          <w:p>
            <w:pPr>
              <w:spacing w:after="0"/>
              <w:rPr>
                <w:sz w:val="17"/>
                <w:szCs w:val="17"/>
                <w:color w:val="auto"/>
              </w:rPr>
            </w:pPr>
          </w:p>
        </w:tc>
        <w:tc>
          <w:tcPr>
            <w:tcW w:w="8800" w:type="dxa"/>
            <w:vAlign w:val="bottom"/>
            <w:gridSpan w:val="3"/>
          </w:tcPr>
          <w:p>
            <w:pPr>
              <w:ind w:left="200"/>
              <w:spacing w:after="0"/>
              <w:rPr>
                <w:sz w:val="20"/>
                <w:szCs w:val="20"/>
                <w:color w:val="auto"/>
              </w:rPr>
            </w:pPr>
            <w:r>
              <w:rPr>
                <w:rFonts w:ascii="Arial" w:cs="Arial" w:eastAsia="Arial" w:hAnsi="Arial"/>
                <w:sz w:val="16"/>
                <w:szCs w:val="16"/>
                <w:color w:val="auto"/>
              </w:rPr>
              <w:t>candidate TYA-11631 in our HDAC6i program through initiation of the planned Phase 1 clinical trial;</w:t>
            </w:r>
          </w:p>
        </w:tc>
      </w:tr>
      <w:tr>
        <w:trPr>
          <w:trHeight w:val="283"/>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w w:val="96"/>
              </w:rPr>
              <w:t>million to fund the continued development of our other programs, including our PKP2,</w:t>
            </w:r>
          </w:p>
        </w:tc>
      </w:tr>
      <w:tr>
        <w:trPr>
          <w:trHeight w:val="200"/>
        </w:trPr>
        <w:tc>
          <w:tcPr>
            <w:tcW w:w="26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6"/>
                <w:szCs w:val="16"/>
                <w:color w:val="auto"/>
                <w:w w:val="92"/>
              </w:rPr>
              <w:t>DWORF and Reprogramming programs;</w:t>
            </w:r>
          </w:p>
        </w:tc>
        <w:tc>
          <w:tcPr>
            <w:tcW w:w="5920" w:type="dxa"/>
            <w:vAlign w:val="bottom"/>
          </w:tcPr>
          <w:p>
            <w:pPr>
              <w:spacing w:after="0"/>
              <w:rPr>
                <w:sz w:val="17"/>
                <w:szCs w:val="17"/>
                <w:color w:val="auto"/>
              </w:rPr>
            </w:pPr>
          </w:p>
        </w:tc>
      </w:tr>
      <w:tr>
        <w:trPr>
          <w:trHeight w:val="295"/>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rPr>
              <w:t>million to fund the expansion of our manufacturing capabilities and facilities; and</w:t>
            </w:r>
          </w:p>
        </w:tc>
      </w:tr>
    </w:tbl>
    <w:p>
      <w:pPr>
        <w:spacing w:after="0" w:line="95" w:lineRule="exact"/>
        <w:rPr>
          <w:sz w:val="20"/>
          <w:szCs w:val="20"/>
          <w:color w:val="auto"/>
        </w:rPr>
      </w:pPr>
    </w:p>
    <w:p>
      <w:pPr>
        <w:ind w:left="1660" w:hanging="469"/>
        <w:spacing w:after="0"/>
        <w:tabs>
          <w:tab w:leader="none" w:pos="1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remaining amounts, if any, for working capital and other general corporate purposes.</w:t>
      </w:r>
    </w:p>
    <w:p>
      <w:pPr>
        <w:spacing w:after="0" w:line="193"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believe opportunities may exist from time to time to expand our current business through licenses with or acquisitions of, or investments in, complementary businesses, products, intellectual property or technologies. While we have no current agreements, commitments or understandings for any specific licenses, acquisitions or investments at this time, we may use a portion of the net proceeds for these purposes. As a result, our management will have broad discretion over the use of the net proceeds from this offering.</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Based on our current operating plan, we believe that the net proceeds from this offering, together with our existing cash and cash equivalents, will</w:t>
      </w:r>
    </w:p>
    <w:p>
      <w:pPr>
        <w:spacing w:after="0" w:line="51"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be sufficient to fund our operating expenses and capital expenditures . The net proceeds from this offering, together with our existing cash and cash equivalents, will not be 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420"/>
          </w:cols>
          <w:pgMar w:left="320" w:top="403" w:right="115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7" w:lineRule="auto"/>
        <w:rPr>
          <w:sz w:val="20"/>
          <w:szCs w:val="20"/>
          <w:color w:val="auto"/>
        </w:rPr>
      </w:pPr>
      <w:r>
        <w:rPr>
          <w:rFonts w:ascii="Arial" w:cs="Arial" w:eastAsia="Arial" w:hAnsi="Arial"/>
          <w:sz w:val="15"/>
          <w:szCs w:val="15"/>
          <w:color w:val="auto"/>
        </w:rPr>
        <w:t>approval of, and commercialize, our product candidates due to, among other factors, our lack of experience as a company with initiating, conducting and completing clinical trials, and uncertainty regarding the scope and design of clinical trials required to obtain regulatory approval for our product candidates, the rate of subject enrollment in our planned clinical trials, filing requirements with various regulatory agencies, clinical trial results, and the actual costs of manufacturing, supplying and commercializing our product candidates. The amounts and timing of our expenditures will depend upon numerous factors including the cost and results of our research and development efforts, the timing, cost and success of preclinical studies and any clinical trials we may commence in the future, the timing of regulatory submissions, our ability to obtain additional financing, the amount of cash obtained through our existing collaborations and future collaborations, if any, and any unforeseen cash needs. We also may elect to raise additional capital opportunistically.</w:t>
      </w:r>
    </w:p>
    <w:p>
      <w:pPr>
        <w:spacing w:after="0" w:line="163" w:lineRule="exact"/>
        <w:rPr>
          <w:sz w:val="20"/>
          <w:szCs w:val="20"/>
          <w:color w:val="auto"/>
        </w:rPr>
      </w:pPr>
    </w:p>
    <w:p>
      <w:pPr>
        <w:jc w:val="both"/>
        <w:ind w:left="820" w:right="60" w:firstLine="385"/>
        <w:spacing w:after="0" w:line="256" w:lineRule="auto"/>
        <w:rPr>
          <w:sz w:val="20"/>
          <w:szCs w:val="20"/>
          <w:color w:val="auto"/>
        </w:rPr>
      </w:pPr>
      <w:r>
        <w:rPr>
          <w:rFonts w:ascii="Arial" w:cs="Arial" w:eastAsia="Arial" w:hAnsi="Arial"/>
          <w:sz w:val="16"/>
          <w:szCs w:val="16"/>
          <w:color w:val="auto"/>
        </w:rPr>
        <w:t>Pending their use, we intend to invest the net proceeds of this offering in short- and intermediate-term interest-bearing obligations, including U.S. government money market funds, U.S. Treasury obligations, U.S. agency and government-sponsored entity obligations, corporate debt obligations, and taxable and tax-exempt municipal obligations.</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420"/>
          </w:cols>
          <w:pgMar w:left="320" w:top="418" w:right="115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DIVIDEND POLICY</w:t>
      </w:r>
    </w:p>
    <w:p>
      <w:pPr>
        <w:spacing w:after="0" w:line="197"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400"/>
          </w:cols>
          <w:pgMar w:left="320" w:top="418" w:right="117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CAPITALIZATION</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sets forth our cash and cash equivalents and capitalization as of March 31, 2021:</w:t>
      </w:r>
    </w:p>
    <w:p>
      <w:pPr>
        <w:spacing w:after="0" w:line="111" w:lineRule="exact"/>
        <w:rPr>
          <w:sz w:val="20"/>
          <w:szCs w:val="20"/>
          <w:color w:val="auto"/>
        </w:rPr>
      </w:pPr>
    </w:p>
    <w:p>
      <w:pPr>
        <w:ind w:left="1660" w:hanging="469"/>
        <w:spacing w:after="0"/>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10" w:lineRule="exact"/>
        <w:rPr>
          <w:rFonts w:ascii="Arial" w:cs="Arial" w:eastAsia="Arial" w:hAnsi="Arial"/>
          <w:sz w:val="16"/>
          <w:szCs w:val="16"/>
          <w:color w:val="auto"/>
        </w:rPr>
      </w:pPr>
    </w:p>
    <w:p>
      <w:pPr>
        <w:ind w:left="1660" w:right="40" w:hanging="469"/>
        <w:spacing w:after="0" w:line="251" w:lineRule="auto"/>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all outstanding shares of our convertible preferred stock into an aggregate of 156,613,818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 and</w:t>
      </w:r>
    </w:p>
    <w:p>
      <w:pPr>
        <w:sectPr>
          <w:pgSz w:w="11900" w:h="16838" w:orient="portrait"/>
          <w:cols w:equalWidth="0" w:num="1">
            <w:col w:w="10440"/>
          </w:cols>
          <w:pgMar w:left="320" w:top="418" w:right="1139" w:bottom="1440" w:gutter="0" w:footer="0" w:header="0"/>
        </w:sectPr>
      </w:pPr>
    </w:p>
    <w:p>
      <w:pPr>
        <w:spacing w:after="0" w:line="87"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on a pro forma as adjusted basis to give further effect to the sale by us of shares of our common stock in this offering, at an assumed initial public offering price of $ per share (which is the midpoint of the estimated price range set forth on the cover page of this prospectus), and after deducting underwriting discounts and commissions and estimated offering expenses payable by us.</w:t>
      </w:r>
    </w:p>
    <w:p>
      <w:pPr>
        <w:spacing w:after="0" w:line="149" w:lineRule="exact"/>
        <w:rPr>
          <w:sz w:val="20"/>
          <w:szCs w:val="20"/>
          <w:color w:val="auto"/>
        </w:rPr>
      </w:pPr>
    </w:p>
    <w:p>
      <w:pPr>
        <w:sectPr>
          <w:pgSz w:w="11900" w:h="16838" w:orient="portrait"/>
          <w:cols w:equalWidth="0" w:num="2">
            <w:col w:w="1240" w:space="420"/>
            <w:col w:w="8780"/>
          </w:cols>
          <w:pgMar w:left="320" w:top="418" w:right="1139" w:bottom="1440" w:gutter="0" w:footer="0" w:header="0"/>
          <w:type w:val="continuous"/>
        </w:sectPr>
      </w:pPr>
    </w:p>
    <w:p>
      <w:pPr>
        <w:ind w:left="820" w:right="240" w:firstLine="385"/>
        <w:spacing w:after="0" w:line="253" w:lineRule="auto"/>
        <w:rPr>
          <w:sz w:val="20"/>
          <w:szCs w:val="20"/>
          <w:color w:val="auto"/>
        </w:rPr>
      </w:pPr>
      <w:r>
        <w:rPr>
          <w:rFonts w:ascii="Arial" w:cs="Arial" w:eastAsia="Arial" w:hAnsi="Arial"/>
          <w:sz w:val="16"/>
          <w:szCs w:val="16"/>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elsewhere in this prospectus, the section titled “Management’s Discussion and Analysis of Financial Condition and Results of Operations”, and other financial information contained in this prospectus.</w:t>
      </w:r>
    </w:p>
    <w:p>
      <w:pPr>
        <w:spacing w:after="0" w:line="18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8"/>
              </w:rPr>
              <w:t>As of March 31, 2021</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gridSpan w:val="7"/>
          </w:tcPr>
          <w:p>
            <w:pPr>
              <w:jc w:val="center"/>
              <w:spacing w:after="0" w:line="102" w:lineRule="exact"/>
              <w:rPr>
                <w:sz w:val="20"/>
                <w:szCs w:val="20"/>
                <w:color w:val="auto"/>
              </w:rPr>
            </w:pPr>
            <w:r>
              <w:rPr>
                <w:rFonts w:ascii="Arial" w:cs="Arial" w:eastAsia="Arial" w:hAnsi="Arial"/>
                <w:sz w:val="10"/>
                <w:szCs w:val="10"/>
                <w:b w:val="1"/>
                <w:bCs w:val="1"/>
                <w:color w:val="auto"/>
              </w:rPr>
              <w:t>(in thousands, except share and per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share data)</w:t>
            </w:r>
          </w:p>
        </w:tc>
        <w:tc>
          <w:tcPr>
            <w:tcW w:w="60" w:type="dxa"/>
            <w:vAlign w:val="bottom"/>
          </w:tcPr>
          <w:p>
            <w:pPr>
              <w:spacing w:after="0"/>
              <w:rPr>
                <w:sz w:val="14"/>
                <w:szCs w:val="14"/>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2"/>
              </w:rPr>
              <w:t>Pro</w:t>
            </w:r>
          </w:p>
        </w:tc>
        <w:tc>
          <w:tcPr>
            <w:tcW w:w="0" w:type="dxa"/>
            <w:vAlign w:val="bottom"/>
          </w:tcPr>
          <w:p>
            <w:pPr>
              <w:spacing w:after="0"/>
              <w:rPr>
                <w:sz w:val="1"/>
                <w:szCs w:val="1"/>
                <w:color w:val="auto"/>
              </w:rPr>
            </w:pPr>
          </w:p>
        </w:tc>
      </w:tr>
      <w:tr>
        <w:trPr>
          <w:trHeight w:val="97"/>
        </w:trPr>
        <w:tc>
          <w:tcPr>
            <w:tcW w:w="1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6"/>
              </w:rPr>
              <w:t>Forma as</w:t>
            </w: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Actual</w:t>
            </w:r>
          </w:p>
        </w:tc>
        <w:tc>
          <w:tcPr>
            <w:tcW w:w="3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adjusted</w:t>
            </w:r>
            <w:r>
              <w:rPr>
                <w:rFonts w:ascii="Arial" w:cs="Arial" w:eastAsia="Arial" w:hAnsi="Arial"/>
                <w:sz w:val="10"/>
                <w:szCs w:val="10"/>
                <w:b w:val="1"/>
                <w:bCs w:val="1"/>
                <w:color w:val="auto"/>
                <w:w w:val="88"/>
              </w:rPr>
              <w:t>(1)</w:t>
            </w:r>
          </w:p>
        </w:tc>
        <w:tc>
          <w:tcPr>
            <w:tcW w:w="0" w:type="dxa"/>
            <w:vAlign w:val="bottom"/>
          </w:tcPr>
          <w:p>
            <w:pPr>
              <w:spacing w:after="0"/>
              <w:rPr>
                <w:sz w:val="1"/>
                <w:szCs w:val="1"/>
                <w:color w:val="auto"/>
              </w:rPr>
            </w:pPr>
          </w:p>
        </w:tc>
      </w:tr>
      <w:tr>
        <w:trPr>
          <w:trHeight w:val="180"/>
        </w:trPr>
        <w:tc>
          <w:tcPr>
            <w:tcW w:w="292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Cash and cash equivalents</w:t>
            </w:r>
          </w:p>
        </w:tc>
        <w:tc>
          <w:tcPr>
            <w:tcW w:w="1140" w:type="dxa"/>
            <w:vAlign w:val="bottom"/>
            <w:tcBorders>
              <w:top w:val="single" w:sz="8" w:color="CCEEFF"/>
            </w:tcBorders>
            <w:shd w:val="clear" w:color="auto" w:fill="CCEEFF"/>
          </w:tcPr>
          <w:p>
            <w:pPr>
              <w:spacing w:after="0"/>
              <w:rPr>
                <w:sz w:val="15"/>
                <w:szCs w:val="15"/>
                <w:color w:val="auto"/>
              </w:rPr>
            </w:pPr>
          </w:p>
        </w:tc>
        <w:tc>
          <w:tcPr>
            <w:tcW w:w="30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u w:val="single" w:color="auto"/>
                <w:color w:val="auto"/>
                <w:w w:val="83"/>
              </w:rPr>
              <w:t>$</w:t>
            </w:r>
            <w:r>
              <w:rPr>
                <w:rFonts w:ascii="Arial" w:cs="Arial" w:eastAsia="Arial" w:hAnsi="Arial"/>
                <w:sz w:val="16"/>
                <w:szCs w:val="16"/>
                <w:color w:val="auto"/>
                <w:w w:val="83"/>
              </w:rPr>
              <w:t>128,439</w:t>
            </w: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gridSpan w:val="4"/>
            <w:vMerge w:val="restart"/>
          </w:tcPr>
          <w:p>
            <w:pPr>
              <w:spacing w:after="0"/>
              <w:rPr>
                <w:sz w:val="20"/>
                <w:szCs w:val="20"/>
                <w:color w:val="auto"/>
              </w:rPr>
            </w:pPr>
            <w:r>
              <w:rPr>
                <w:rFonts w:ascii="Arial" w:cs="Arial" w:eastAsia="Arial" w:hAnsi="Arial"/>
                <w:sz w:val="16"/>
                <w:szCs w:val="16"/>
                <w:color w:val="auto"/>
                <w:w w:val="95"/>
              </w:rPr>
              <w:t>Convertible preferred stock, par value $0.0001; 156,613,818 shares authorized, issued and outstanding,</w:t>
            </w: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60" w:type="dxa"/>
            <w:vAlign w:val="bottom"/>
            <w:gridSpan w:val="4"/>
          </w:tcPr>
          <w:p>
            <w:pPr>
              <w:ind w:left="160"/>
              <w:spacing w:after="0"/>
              <w:rPr>
                <w:sz w:val="20"/>
                <w:szCs w:val="20"/>
                <w:color w:val="auto"/>
              </w:rPr>
            </w:pPr>
            <w:r>
              <w:rPr>
                <w:rFonts w:ascii="Arial" w:cs="Arial" w:eastAsia="Arial" w:hAnsi="Arial"/>
                <w:sz w:val="16"/>
                <w:szCs w:val="16"/>
                <w:color w:val="auto"/>
              </w:rPr>
              <w:t>actual; no shares authorized, issued and outstanding, pro forma and pro forma as adjusted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240,735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(deficit) equity:</w:t>
            </w:r>
          </w:p>
        </w:tc>
        <w:tc>
          <w:tcPr>
            <w:tcW w:w="114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60" w:type="dxa"/>
            <w:vAlign w:val="bottom"/>
            <w:gridSpan w:val="4"/>
          </w:tcPr>
          <w:p>
            <w:pPr>
              <w:ind w:left="300"/>
              <w:spacing w:after="0" w:line="176" w:lineRule="exact"/>
              <w:rPr>
                <w:sz w:val="20"/>
                <w:szCs w:val="20"/>
                <w:color w:val="auto"/>
              </w:rPr>
            </w:pPr>
            <w:r>
              <w:rPr>
                <w:rFonts w:ascii="Arial" w:cs="Arial" w:eastAsia="Arial" w:hAnsi="Arial"/>
                <w:sz w:val="16"/>
                <w:szCs w:val="16"/>
                <w:color w:val="auto"/>
                <w:w w:val="92"/>
              </w:rPr>
              <w:t>Preferred stock, par value $0.0001; no shares authorized, issued and outstanding, actual; 200,000,000</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60" w:type="dxa"/>
            <w:vAlign w:val="bottom"/>
            <w:gridSpan w:val="4"/>
          </w:tcPr>
          <w:p>
            <w:pPr>
              <w:ind w:left="460"/>
              <w:spacing w:after="0"/>
              <w:rPr>
                <w:sz w:val="20"/>
                <w:szCs w:val="20"/>
                <w:color w:val="auto"/>
              </w:rPr>
            </w:pPr>
            <w:r>
              <w:rPr>
                <w:rFonts w:ascii="Arial" w:cs="Arial" w:eastAsia="Arial" w:hAnsi="Arial"/>
                <w:sz w:val="16"/>
                <w:szCs w:val="16"/>
                <w:color w:val="auto"/>
              </w:rPr>
              <w:t>shares authorized, no shares issued and outstanding, pro forma and pro forma as adjusted</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060" w:type="dxa"/>
            <w:vAlign w:val="bottom"/>
            <w:gridSpan w:val="4"/>
            <w:shd w:val="clear" w:color="auto" w:fill="CCEEFF"/>
          </w:tcPr>
          <w:p>
            <w:pPr>
              <w:ind w:left="300"/>
              <w:spacing w:after="0" w:line="177" w:lineRule="exact"/>
              <w:rPr>
                <w:sz w:val="20"/>
                <w:szCs w:val="20"/>
                <w:color w:val="auto"/>
              </w:rPr>
            </w:pPr>
            <w:r>
              <w:rPr>
                <w:rFonts w:ascii="Arial" w:cs="Arial" w:eastAsia="Arial" w:hAnsi="Arial"/>
                <w:sz w:val="16"/>
                <w:szCs w:val="16"/>
                <w:color w:val="auto"/>
                <w:w w:val="98"/>
              </w:rPr>
              <w:t>Common stock, par value $0.0001; 181,980,000 shares authorized, 7,334,861 shares issued and</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w w:val="93"/>
              </w:rPr>
              <w:t>outstanding, actual; 1,000,000,000 shares authorized,</w:t>
            </w:r>
          </w:p>
        </w:tc>
        <w:tc>
          <w:tcPr>
            <w:tcW w:w="3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shares issued and outstanding, pro</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forma;</w:t>
            </w:r>
          </w:p>
        </w:tc>
        <w:tc>
          <w:tcPr>
            <w:tcW w:w="1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authorized,</w:t>
            </w: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issued and outstanding, pro forma as adjusted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300"/>
              <w:spacing w:after="0"/>
              <w:rPr>
                <w:sz w:val="20"/>
                <w:szCs w:val="20"/>
                <w:color w:val="auto"/>
              </w:rPr>
            </w:pPr>
            <w:r>
              <w:rPr>
                <w:rFonts w:ascii="Arial" w:cs="Arial" w:eastAsia="Arial" w:hAnsi="Arial"/>
                <w:sz w:val="16"/>
                <w:szCs w:val="16"/>
                <w:color w:val="auto"/>
              </w:rPr>
              <w:t>Additional paid-in capital</w:t>
            </w:r>
          </w:p>
        </w:tc>
        <w:tc>
          <w:tcPr>
            <w:tcW w:w="11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2,053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Notes receivable from stockholders</w:t>
            </w:r>
          </w:p>
        </w:tc>
        <w:tc>
          <w:tcPr>
            <w:tcW w:w="114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300"/>
              <w:spacing w:after="0"/>
              <w:rPr>
                <w:sz w:val="20"/>
                <w:szCs w:val="20"/>
                <w:color w:val="auto"/>
              </w:rPr>
            </w:pPr>
            <w:r>
              <w:rPr>
                <w:rFonts w:ascii="Arial" w:cs="Arial" w:eastAsia="Arial" w:hAnsi="Arial"/>
                <w:sz w:val="16"/>
                <w:szCs w:val="16"/>
                <w:color w:val="auto"/>
              </w:rPr>
              <w:t>Accumulated deficit</w:t>
            </w:r>
          </w:p>
        </w:tc>
        <w:tc>
          <w:tcPr>
            <w:tcW w:w="11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(95,910)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w w:val="96"/>
              </w:rPr>
              <w:t>Total stockholders’ (deficit) equity</w:t>
            </w:r>
          </w:p>
        </w:tc>
        <w:tc>
          <w:tcPr>
            <w:tcW w:w="114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4"/>
              </w:rPr>
              <w:t>$ (93,943)</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gridSpan w:val="2"/>
          </w:tcPr>
          <w:p>
            <w:pPr>
              <w:ind w:left="620"/>
              <w:spacing w:after="0"/>
              <w:rPr>
                <w:sz w:val="20"/>
                <w:szCs w:val="20"/>
                <w:color w:val="auto"/>
              </w:rPr>
            </w:pPr>
            <w:r>
              <w:rPr>
                <w:rFonts w:ascii="Arial" w:cs="Arial" w:eastAsia="Arial" w:hAnsi="Arial"/>
                <w:sz w:val="16"/>
                <w:szCs w:val="16"/>
                <w:color w:val="auto"/>
              </w:rPr>
              <w:t>Total capitalization</w:t>
            </w:r>
          </w:p>
        </w:tc>
        <w:tc>
          <w:tcPr>
            <w:tcW w:w="11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3"/>
              </w:rPr>
              <w:t>$</w:t>
            </w:r>
            <w:r>
              <w:rPr>
                <w:rFonts w:ascii="Arial" w:cs="Arial" w:eastAsia="Arial" w:hAnsi="Arial"/>
                <w:sz w:val="16"/>
                <w:szCs w:val="16"/>
                <w:color w:val="auto"/>
                <w:w w:val="83"/>
              </w:rPr>
              <w:t>146,792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4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200" w:hanging="386"/>
        <w:spacing w:after="0" w:line="192" w:lineRule="auto"/>
        <w:tabs>
          <w:tab w:leader="none" w:pos="1200" w:val="left"/>
        </w:tabs>
        <w:numPr>
          <w:ilvl w:val="0"/>
          <w:numId w:val="64"/>
        </w:numPr>
        <w:rPr>
          <w:rFonts w:ascii="Arial" w:cs="Arial" w:eastAsia="Arial" w:hAnsi="Arial"/>
          <w:sz w:val="4"/>
          <w:szCs w:val="4"/>
          <w:color w:val="auto"/>
        </w:rPr>
      </w:pPr>
      <w:r>
        <w:rPr>
          <w:rFonts w:ascii="Arial" w:cs="Arial" w:eastAsia="Arial" w:hAnsi="Arial"/>
          <w:sz w:val="4"/>
          <w:szCs w:val="4"/>
          <w:color w:val="auto"/>
        </w:rPr>
        <w:t>Each $1.00 increase (decrease) in the assumed initial public offering price per share would increase (decrease) pro forma as adjusted amount of</w:t>
      </w:r>
    </w:p>
    <w:p>
      <w:pPr>
        <w:spacing w:after="0" w:line="175" w:lineRule="exact"/>
        <w:rPr>
          <w:sz w:val="20"/>
          <w:szCs w:val="20"/>
          <w:color w:val="auto"/>
        </w:rPr>
      </w:pPr>
    </w:p>
    <w:p>
      <w:pPr>
        <w:ind w:left="1200" w:right="220"/>
        <w:spacing w:after="0" w:line="300" w:lineRule="auto"/>
        <w:rPr>
          <w:sz w:val="20"/>
          <w:szCs w:val="20"/>
          <w:color w:val="auto"/>
        </w:rPr>
      </w:pPr>
      <w:r>
        <w:rPr>
          <w:rFonts w:ascii="Arial" w:cs="Arial" w:eastAsia="Arial" w:hAnsi="Arial"/>
          <w:sz w:val="15"/>
          <w:szCs w:val="15"/>
          <w:color w:val="auto"/>
        </w:rPr>
        <w:t>each of our cash and cash equivalents, additional paid-in capital, total stockholders’ equity and total capitalization by $ million, and after deducting underwriting discounts and commissions and estimated offering expenses payable by us. Similarly, each increase</w:t>
      </w:r>
    </w:p>
    <w:p>
      <w:pPr>
        <w:spacing w:after="0" w:line="7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440"/>
          </w:cols>
          <w:pgMar w:left="320" w:top="418" w:right="1139" w:bottom="1440" w:gutter="0" w:footer="0" w:header="0"/>
          <w:type w:val="continuous"/>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(decrease) of 1,000,000 shares in the number of shares offered by us would increase (decrease) our cash and cash equivalents, additional paid-in</w:t>
      </w:r>
    </w:p>
    <w:p>
      <w:pPr>
        <w:spacing w:after="0" w:line="51" w:lineRule="exact"/>
        <w:rPr>
          <w:sz w:val="20"/>
          <w:szCs w:val="20"/>
          <w:color w:val="auto"/>
        </w:rPr>
      </w:pPr>
    </w:p>
    <w:p>
      <w:pPr>
        <w:ind w:left="1200" w:right="220"/>
        <w:spacing w:after="0" w:line="252" w:lineRule="auto"/>
        <w:rPr>
          <w:sz w:val="20"/>
          <w:szCs w:val="20"/>
          <w:color w:val="auto"/>
        </w:rPr>
      </w:pPr>
      <w:r>
        <w:rPr>
          <w:rFonts w:ascii="Arial" w:cs="Arial" w:eastAsia="Arial" w:hAnsi="Arial"/>
          <w:sz w:val="16"/>
          <w:szCs w:val="16"/>
          <w:color w:val="auto"/>
        </w:rPr>
        <w:t>capital, total stockholders’ equity and total capitalization by $ million, and after deducting underwriting discounts and commissions and estimated offering expenses payable by us.</w:t>
      </w:r>
    </w:p>
    <w:p>
      <w:pPr>
        <w:spacing w:after="0" w:line="168" w:lineRule="exact"/>
        <w:rPr>
          <w:sz w:val="20"/>
          <w:szCs w:val="20"/>
          <w:color w:val="auto"/>
        </w:rPr>
      </w:pPr>
    </w:p>
    <w:p>
      <w:pPr>
        <w:ind w:left="820" w:right="500" w:firstLine="385"/>
        <w:spacing w:after="0" w:line="256"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are based on 163,948,679 shares of our common stock outstanding as of March 31, 2021 (including conversion of all of our outstanding shares of convertible preferred stock into 156,613,818 shares of our common stock), and excludes:</w:t>
      </w:r>
    </w:p>
    <w:p>
      <w:pPr>
        <w:spacing w:after="0" w:line="83" w:lineRule="exact"/>
        <w:rPr>
          <w:sz w:val="20"/>
          <w:szCs w:val="20"/>
          <w:color w:val="auto"/>
        </w:rPr>
      </w:pPr>
    </w:p>
    <w:p>
      <w:pPr>
        <w:ind w:left="1660" w:right="60" w:hanging="469"/>
        <w:spacing w:after="0" w:line="266" w:lineRule="auto"/>
        <w:tabs>
          <w:tab w:leader="none" w:pos="1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10,368,032 shares of our common stock issuable upon the exercise of options outstanding as of March 31, 2021, with a weighted-average exercise price of $0.51 per share;</w:t>
      </w:r>
    </w:p>
    <w:p>
      <w:pPr>
        <w:spacing w:after="0" w:line="75"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5,012,900 shares of our common stock issuable upon the exercise of options granted subsequent to March 31, 2021, with a weighted-average exercise price of $1.67 per share;</w:t>
      </w:r>
    </w:p>
    <w:p>
      <w:pPr>
        <w:spacing w:after="0" w:line="75"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2,275,357 shares of our common stock reserved for future grant or issuance under our Amended and Restated 2016 Equity Incentive Plan as of March 31, 2021;</w:t>
      </w:r>
    </w:p>
    <w:p>
      <w:pPr>
        <w:spacing w:after="0" w:line="75" w:lineRule="exact"/>
        <w:rPr>
          <w:rFonts w:ascii="Arial" w:cs="Arial" w:eastAsia="Arial" w:hAnsi="Arial"/>
          <w:sz w:val="16"/>
          <w:szCs w:val="16"/>
          <w:color w:val="auto"/>
        </w:rPr>
      </w:pPr>
    </w:p>
    <w:p>
      <w:pPr>
        <w:ind w:left="1660" w:hanging="469"/>
        <w:spacing w:after="0" w:line="343" w:lineRule="auto"/>
        <w:tabs>
          <w:tab w:leader="none" w:pos="2131" w:val="left"/>
        </w:tabs>
        <w:numPr>
          <w:ilvl w:val="0"/>
          <w:numId w:val="65"/>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31" w:lineRule="exact"/>
        <w:rPr>
          <w:rFonts w:ascii="Arial" w:cs="Arial" w:eastAsia="Arial" w:hAnsi="Arial"/>
          <w:sz w:val="13"/>
          <w:szCs w:val="13"/>
          <w:color w:val="auto"/>
        </w:rPr>
      </w:pPr>
    </w:p>
    <w:p>
      <w:pPr>
        <w:ind w:left="1660" w:right="80" w:hanging="469"/>
        <w:spacing w:after="0" w:line="281" w:lineRule="auto"/>
        <w:tabs>
          <w:tab w:leader="none" w:pos="2289" w:val="left"/>
        </w:tabs>
        <w:numPr>
          <w:ilvl w:val="0"/>
          <w:numId w:val="65"/>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0380"/>
          </w:cols>
          <w:pgMar w:left="320" w:top="418" w:right="119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DILUTION</w:t>
      </w:r>
    </w:p>
    <w:p>
      <w:pPr>
        <w:spacing w:after="0" w:line="197" w:lineRule="exact"/>
        <w:rPr>
          <w:sz w:val="20"/>
          <w:szCs w:val="20"/>
          <w:color w:val="auto"/>
        </w:rPr>
      </w:pPr>
    </w:p>
    <w:p>
      <w:pPr>
        <w:ind w:left="820" w:right="180" w:firstLine="385"/>
        <w:spacing w:after="0" w:line="300" w:lineRule="auto"/>
        <w:rPr>
          <w:sz w:val="20"/>
          <w:szCs w:val="20"/>
          <w:color w:val="auto"/>
        </w:rPr>
      </w:pPr>
      <w:r>
        <w:rPr>
          <w:rFonts w:ascii="Arial" w:cs="Arial" w:eastAsia="Arial" w:hAnsi="Arial"/>
          <w:sz w:val="15"/>
          <w:szCs w:val="15"/>
          <w:color w:val="auto"/>
        </w:rPr>
        <w:t>If you invest in our common stock in this offering, your ownership will be immediately diluted to the extent of the difference between the initial public offering price per share and the pro forma as adjusted net tangible book value per share of our common stock after this offering.</w:t>
      </w:r>
    </w:p>
    <w:p>
      <w:pPr>
        <w:spacing w:after="0" w:line="135" w:lineRule="exact"/>
        <w:rPr>
          <w:sz w:val="20"/>
          <w:szCs w:val="20"/>
          <w:color w:val="auto"/>
        </w:rPr>
      </w:pPr>
    </w:p>
    <w:p>
      <w:pPr>
        <w:ind w:left="820" w:right="440" w:firstLine="385"/>
        <w:spacing w:after="0" w:line="343" w:lineRule="auto"/>
        <w:rPr>
          <w:sz w:val="20"/>
          <w:szCs w:val="20"/>
          <w:color w:val="auto"/>
        </w:rPr>
      </w:pPr>
      <w:r>
        <w:rPr>
          <w:rFonts w:ascii="Arial" w:cs="Arial" w:eastAsia="Arial" w:hAnsi="Arial"/>
          <w:sz w:val="13"/>
          <w:szCs w:val="13"/>
          <w:color w:val="auto"/>
        </w:rPr>
        <w:t>As of March 31, 2021, we had a historical net tangible book value (deficit) of $(94.0) million, or $(12.82) per share of common stock. Our historical net tangible book value (deficit) represents our total tangible assets, less our total liabilities and convertible preferred stock, which is not included within stockholders’ equity (deficit), divided by the total number of shares of our common stock outstanding as of March 31, 2021.</w:t>
      </w:r>
    </w:p>
    <w:p>
      <w:pPr>
        <w:spacing w:after="0" w:line="114"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Our pro forma net tangible book value as of March 31, 2021, was $ million, or $ per share. Pro forma net tangible book value per share represents our total tangible assets, less our total liabilities, divided by the total number of shares of common stock outstanding as of March 31, 2021, after giving effect to the conversion of our convertible preferred stock into an aggregate of 156,613,818 shares of our common stock.</w:t>
      </w:r>
    </w:p>
    <w:p>
      <w:pPr>
        <w:spacing w:after="0" w:line="149" w:lineRule="exact"/>
        <w:rPr>
          <w:sz w:val="20"/>
          <w:szCs w:val="20"/>
          <w:color w:val="auto"/>
        </w:rPr>
      </w:pPr>
    </w:p>
    <w:p>
      <w:pPr>
        <w:ind w:left="820" w:right="180" w:firstLine="385"/>
        <w:spacing w:after="0" w:line="270" w:lineRule="auto"/>
        <w:rPr>
          <w:sz w:val="20"/>
          <w:szCs w:val="20"/>
          <w:color w:val="auto"/>
        </w:rPr>
      </w:pPr>
      <w:r>
        <w:rPr>
          <w:rFonts w:ascii="Arial" w:cs="Arial" w:eastAsia="Arial" w:hAnsi="Arial"/>
          <w:sz w:val="15"/>
          <w:szCs w:val="15"/>
          <w:color w:val="auto"/>
        </w:rPr>
        <w:t>After giving further effect to the sale and issuance by us of the shares of our common stock in this offering at an assumed initial public offering price of $ per share (which is the midpoint of the estimated price range set forth on the cover page of this prospectus), and after</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deducting underwriting discounts and commissions and estimated offering expenses payable by us, our pro forma as adjusted net tangible book value as</w:t>
      </w:r>
    </w:p>
    <w:p>
      <w:pPr>
        <w:spacing w:after="0" w:line="327" w:lineRule="exact"/>
        <w:rPr>
          <w:sz w:val="20"/>
          <w:szCs w:val="20"/>
          <w:color w:val="auto"/>
        </w:rPr>
      </w:pPr>
    </w:p>
    <w:p>
      <w:pPr>
        <w:ind w:left="820" w:right="40"/>
        <w:spacing w:after="0" w:line="253" w:lineRule="auto"/>
        <w:rPr>
          <w:sz w:val="20"/>
          <w:szCs w:val="20"/>
          <w:color w:val="auto"/>
        </w:rPr>
      </w:pPr>
      <w:r>
        <w:rPr>
          <w:rFonts w:ascii="Arial" w:cs="Arial" w:eastAsia="Arial" w:hAnsi="Arial"/>
          <w:sz w:val="16"/>
          <w:szCs w:val="16"/>
          <w:color w:val="auto"/>
        </w:rPr>
        <w:t>of March 31, 2021 would be $ million, or $ per share. This represents an immediate increase in pro forma net tangible book value to our existing stockholders of $ per share and an immediate dilution to new investors of $ per share. Dilution per share to new investors</w:t>
      </w:r>
    </w:p>
    <w:p>
      <w:pPr>
        <w:spacing w:after="0" w:line="1" w:lineRule="exact"/>
        <w:rPr>
          <w:sz w:val="20"/>
          <w:szCs w:val="20"/>
          <w:color w:val="auto"/>
        </w:rPr>
      </w:pPr>
    </w:p>
    <w:p>
      <w:pPr>
        <w:ind w:left="820" w:right="120"/>
        <w:spacing w:after="0" w:line="284" w:lineRule="auto"/>
        <w:rPr>
          <w:sz w:val="20"/>
          <w:szCs w:val="20"/>
          <w:color w:val="auto"/>
        </w:rPr>
      </w:pPr>
      <w:r>
        <w:rPr>
          <w:rFonts w:ascii="Arial" w:cs="Arial" w:eastAsia="Arial" w:hAnsi="Arial"/>
          <w:sz w:val="15"/>
          <w:szCs w:val="15"/>
          <w:color w:val="auto"/>
        </w:rPr>
        <w:t>represents the difference between the price per share to be paid by new investors for the shares of common stock sold in this offering and the pro forma as adjusted net tangible book value per share immediately after this offering. The following table illustrates this per share dilution:</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1780" w:type="dxa"/>
            <w:vAlign w:val="bottom"/>
            <w:gridSpan w:val="4"/>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80" w:type="dxa"/>
            <w:vAlign w:val="bottom"/>
          </w:tcPr>
          <w:p>
            <w:pPr>
              <w:ind w:left="280"/>
              <w:spacing w:after="0"/>
              <w:rPr>
                <w:sz w:val="20"/>
                <w:szCs w:val="20"/>
                <w:color w:val="auto"/>
              </w:rPr>
            </w:pPr>
            <w:r>
              <w:rPr>
                <w:rFonts w:ascii="Arial" w:cs="Arial" w:eastAsia="Arial" w:hAnsi="Arial"/>
                <w:sz w:val="16"/>
                <w:szCs w:val="16"/>
                <w:color w:val="auto"/>
              </w:rPr>
              <w:t>Historical net tangible book value (deficit) per share as of March 31, 2021</w:t>
            </w:r>
          </w:p>
        </w:tc>
        <w:tc>
          <w:tcPr>
            <w:tcW w:w="1180" w:type="dxa"/>
            <w:vAlign w:val="bottom"/>
            <w:gridSpan w:val="3"/>
          </w:tcPr>
          <w:p>
            <w:pPr>
              <w:jc w:val="right"/>
              <w:ind w:right="240"/>
              <w:spacing w:after="0"/>
              <w:rPr>
                <w:sz w:val="20"/>
                <w:szCs w:val="20"/>
                <w:color w:val="auto"/>
              </w:rPr>
            </w:pPr>
            <w:r>
              <w:rPr>
                <w:rFonts w:ascii="Arial" w:cs="Arial" w:eastAsia="Arial" w:hAnsi="Arial"/>
                <w:sz w:val="16"/>
                <w:szCs w:val="16"/>
                <w:color w:val="auto"/>
              </w:rPr>
              <w:t>$(12.82)</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 forma increase in historical net tangible book value (deficit) per share as of March 31, 2021</w:t>
            </w:r>
          </w:p>
        </w:tc>
        <w:tc>
          <w:tcPr>
            <w:tcW w:w="4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780" w:type="dxa"/>
            <w:vAlign w:val="bottom"/>
          </w:tcPr>
          <w:p>
            <w:pPr>
              <w:ind w:left="280"/>
              <w:spacing w:after="0"/>
              <w:rPr>
                <w:sz w:val="20"/>
                <w:szCs w:val="20"/>
                <w:color w:val="auto"/>
              </w:rPr>
            </w:pPr>
            <w:r>
              <w:rPr>
                <w:rFonts w:ascii="Arial" w:cs="Arial" w:eastAsia="Arial" w:hAnsi="Arial"/>
                <w:sz w:val="16"/>
                <w:szCs w:val="16"/>
                <w:color w:val="auto"/>
              </w:rPr>
              <w:t>Pro forma net tangible book value per share as of March 31, 2021</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Increase in pro forma net tangible book value per share attributable to new investors participating in this offering</w:t>
            </w:r>
          </w:p>
        </w:tc>
        <w:tc>
          <w:tcPr>
            <w:tcW w:w="4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780" w:type="dxa"/>
            <w:vAlign w:val="bottom"/>
          </w:tcPr>
          <w:p>
            <w:pPr>
              <w:ind w:left="280"/>
              <w:spacing w:after="0"/>
              <w:rPr>
                <w:sz w:val="20"/>
                <w:szCs w:val="20"/>
                <w:color w:val="auto"/>
              </w:rPr>
            </w:pPr>
            <w:r>
              <w:rPr>
                <w:rFonts w:ascii="Arial" w:cs="Arial" w:eastAsia="Arial" w:hAnsi="Arial"/>
                <w:sz w:val="16"/>
                <w:szCs w:val="16"/>
                <w:color w:val="auto"/>
              </w:rPr>
              <w:t>Pro forma as adjusted net tangible book value per share after this offering</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w w:val="98"/>
              </w:rPr>
              <w:t>Dilution in pro forma as adjusted net tangible book value per share to new investors participating in this offering</w:t>
            </w:r>
          </w:p>
        </w:tc>
        <w:tc>
          <w:tcPr>
            <w:tcW w:w="1780" w:type="dxa"/>
            <w:vAlign w:val="bottom"/>
            <w:gridSpan w:val="4"/>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dilution information discussed above is illustrative only and will change based on the actual initial public offering price and other terms of</w:t>
      </w:r>
    </w:p>
    <w:p>
      <w:pPr>
        <w:spacing w:after="0" w:line="51" w:lineRule="exact"/>
        <w:rPr>
          <w:sz w:val="20"/>
          <w:szCs w:val="20"/>
          <w:color w:val="auto"/>
        </w:rPr>
      </w:pPr>
    </w:p>
    <w:p>
      <w:pPr>
        <w:ind w:left="820" w:right="160"/>
        <w:spacing w:after="0" w:line="302" w:lineRule="auto"/>
        <w:rPr>
          <w:sz w:val="20"/>
          <w:szCs w:val="20"/>
          <w:color w:val="auto"/>
        </w:rPr>
      </w:pPr>
      <w:r>
        <w:rPr>
          <w:rFonts w:ascii="Arial" w:cs="Arial" w:eastAsia="Arial" w:hAnsi="Arial"/>
          <w:sz w:val="13"/>
          <w:szCs w:val="13"/>
          <w:color w:val="auto"/>
        </w:rPr>
        <w:t>this offering determined at pricing. Each $1.00 increase (decrease) in the assumed initial public offering price of $ per share (which is the midpoint of the estimated price range set forth on the cover page of this prospectus) would increase (decrease) pro forma as adjusted net tangible book</w:t>
      </w:r>
    </w:p>
    <w:p>
      <w:pPr>
        <w:spacing w:after="0" w:line="1" w:lineRule="exact"/>
        <w:rPr>
          <w:sz w:val="20"/>
          <w:szCs w:val="20"/>
          <w:color w:val="auto"/>
        </w:rPr>
      </w:pPr>
    </w:p>
    <w:p>
      <w:pPr>
        <w:ind w:left="820" w:right="40"/>
        <w:spacing w:after="0" w:line="302" w:lineRule="auto"/>
        <w:rPr>
          <w:sz w:val="20"/>
          <w:szCs w:val="20"/>
          <w:color w:val="auto"/>
        </w:rPr>
      </w:pPr>
      <w:r>
        <w:rPr>
          <w:rFonts w:ascii="Arial" w:cs="Arial" w:eastAsia="Arial" w:hAnsi="Arial"/>
          <w:sz w:val="13"/>
          <w:szCs w:val="13"/>
          <w:color w:val="auto"/>
        </w:rPr>
        <w:t>value per share to new investors by $ , and would increase (decrease) dilution per share to new investors in this offering by $ , assuming that the number of shares offered by us, as set forth on the cover page of this prospectus, remains the same, and after deducting underwriting discounts and commissions and estimated offering expenses payable by us. Similarly, each increase (decrease) of 1,000,000 shares in the number of shares offered</w:t>
      </w:r>
    </w:p>
    <w:p>
      <w:pPr>
        <w:spacing w:after="0" w:line="2" w:lineRule="exact"/>
        <w:rPr>
          <w:sz w:val="20"/>
          <w:szCs w:val="20"/>
          <w:color w:val="auto"/>
        </w:rPr>
      </w:pPr>
    </w:p>
    <w:p>
      <w:pPr>
        <w:ind w:left="820" w:right="220"/>
        <w:spacing w:after="0" w:line="249" w:lineRule="auto"/>
        <w:rPr>
          <w:sz w:val="20"/>
          <w:szCs w:val="20"/>
          <w:color w:val="auto"/>
        </w:rPr>
      </w:pPr>
      <w:r>
        <w:rPr>
          <w:rFonts w:ascii="Arial" w:cs="Arial" w:eastAsia="Arial" w:hAnsi="Arial"/>
          <w:sz w:val="16"/>
          <w:szCs w:val="16"/>
          <w:color w:val="auto"/>
        </w:rPr>
        <w:t>by us would increase (decrease) our pro forma as adjusted net tangible book value by approximately $ per share and increase (decrease) the dilution to new investors by $ per share, assuming the assumed initial public offering price remains the same, and after deducting underwriting discounts and commissions and estimated offering expenses payable by us.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0440"/>
          </w:cols>
          <w:pgMar w:left="320" w:top="418" w:right="11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If the underwriters’ over-allotment option is exercised in full, the pro forma as adjusted net tangible book value per share of our common stock</w:t>
      </w:r>
    </w:p>
    <w:p>
      <w:pPr>
        <w:spacing w:after="0" w:line="51" w:lineRule="exact"/>
        <w:rPr>
          <w:sz w:val="20"/>
          <w:szCs w:val="20"/>
          <w:color w:val="auto"/>
        </w:rPr>
      </w:pPr>
    </w:p>
    <w:p>
      <w:pPr>
        <w:ind w:left="820"/>
        <w:spacing w:after="0"/>
        <w:tabs>
          <w:tab w:leader="none" w:pos="1960" w:val="left"/>
          <w:tab w:leader="none" w:pos="9800" w:val="left"/>
        </w:tabs>
        <w:rPr>
          <w:sz w:val="20"/>
          <w:szCs w:val="20"/>
          <w:color w:val="auto"/>
        </w:rPr>
      </w:pPr>
      <w:r>
        <w:rPr>
          <w:rFonts w:ascii="Arial" w:cs="Arial" w:eastAsia="Arial" w:hAnsi="Arial"/>
          <w:sz w:val="16"/>
          <w:szCs w:val="16"/>
          <w:color w:val="auto"/>
        </w:rPr>
        <w:t>would be $</w:t>
      </w:r>
      <w:r>
        <w:rPr>
          <w:sz w:val="20"/>
          <w:szCs w:val="20"/>
          <w:color w:val="auto"/>
        </w:rPr>
        <w:tab/>
      </w:r>
      <w:r>
        <w:rPr>
          <w:rFonts w:ascii="Arial" w:cs="Arial" w:eastAsia="Arial" w:hAnsi="Arial"/>
          <w:sz w:val="16"/>
          <w:szCs w:val="16"/>
          <w:color w:val="auto"/>
        </w:rPr>
        <w:t>per share, and the dilution in pro forma net tangible book value per share to new investors in this offering would be $</w:t>
      </w:r>
      <w:r>
        <w:rPr>
          <w:sz w:val="20"/>
          <w:szCs w:val="20"/>
          <w:color w:val="auto"/>
        </w:rPr>
        <w:tab/>
      </w:r>
      <w:r>
        <w:rPr>
          <w:rFonts w:ascii="Arial" w:cs="Arial" w:eastAsia="Arial" w:hAnsi="Arial"/>
          <w:sz w:val="13"/>
          <w:szCs w:val="13"/>
          <w:color w:val="auto"/>
        </w:rPr>
        <w:t>per share,</w:t>
      </w:r>
    </w:p>
    <w:p>
      <w:pPr>
        <w:spacing w:after="0" w:line="5" w:lineRule="exact"/>
        <w:rPr>
          <w:sz w:val="20"/>
          <w:szCs w:val="20"/>
          <w:color w:val="auto"/>
        </w:rPr>
      </w:pPr>
    </w:p>
    <w:p>
      <w:pPr>
        <w:ind w:left="820" w:right="240"/>
        <w:spacing w:after="0" w:line="252" w:lineRule="auto"/>
        <w:rPr>
          <w:sz w:val="20"/>
          <w:szCs w:val="20"/>
          <w:color w:val="auto"/>
        </w:rPr>
      </w:pPr>
      <w:r>
        <w:rPr>
          <w:rFonts w:ascii="Arial" w:cs="Arial" w:eastAsia="Arial" w:hAnsi="Arial"/>
          <w:sz w:val="16"/>
          <w:szCs w:val="16"/>
          <w:color w:val="auto"/>
        </w:rPr>
        <w:t>in each case assuming an initial public offering price of $ per share, which is the midpoint of the price range set forth on the cover page of this prospectus.</w:t>
      </w:r>
    </w:p>
    <w:p>
      <w:pPr>
        <w:spacing w:after="0" w:line="168"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The following table summarizes, as of March 31, 2021, on a pro forma as adjusted basis, the number of shares of common stock purchased from us, the total consideration paid, or to be paid, and the average price per share paid, or to be paid, by existing stockholders and by the new investors, at an</w:t>
      </w:r>
    </w:p>
    <w:p>
      <w:pPr>
        <w:spacing w:after="0" w:line="1" w:lineRule="exact"/>
        <w:rPr>
          <w:sz w:val="20"/>
          <w:szCs w:val="20"/>
          <w:color w:val="auto"/>
        </w:rPr>
      </w:pPr>
    </w:p>
    <w:p>
      <w:pPr>
        <w:ind w:left="820" w:right="20"/>
        <w:spacing w:after="0" w:line="252" w:lineRule="auto"/>
        <w:rPr>
          <w:sz w:val="20"/>
          <w:szCs w:val="20"/>
          <w:color w:val="auto"/>
        </w:rPr>
      </w:pPr>
      <w:r>
        <w:rPr>
          <w:rFonts w:ascii="Arial" w:cs="Arial" w:eastAsia="Arial" w:hAnsi="Arial"/>
          <w:sz w:val="16"/>
          <w:szCs w:val="16"/>
          <w:color w:val="auto"/>
        </w:rPr>
        <w:t>assumed initial public offering price of $ per share, the midpoint of the estimated initial public offering range set forth on the cover page of this prospectus, before deducting underwriting discounts and commissions and offering expenses payable by us:</w:t>
      </w:r>
    </w:p>
    <w:p>
      <w:pPr>
        <w:spacing w:after="0" w:line="173"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b w:val="1"/>
                <w:bCs w:val="1"/>
                <w:color w:val="auto"/>
                <w:w w:val="78"/>
              </w:rPr>
              <w:t>Shares</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Average</w:t>
            </w:r>
          </w:p>
        </w:tc>
      </w:tr>
      <w:tr>
        <w:trPr>
          <w:trHeight w:val="141"/>
        </w:trPr>
        <w:tc>
          <w:tcPr>
            <w:tcW w:w="5540" w:type="dxa"/>
            <w:vAlign w:val="bottom"/>
          </w:tcPr>
          <w:p>
            <w:pPr>
              <w:spacing w:after="0"/>
              <w:rPr>
                <w:sz w:val="12"/>
                <w:szCs w:val="12"/>
                <w:color w:val="auto"/>
              </w:rPr>
            </w:pPr>
          </w:p>
        </w:tc>
        <w:tc>
          <w:tcPr>
            <w:tcW w:w="1520" w:type="dxa"/>
            <w:vAlign w:val="bottom"/>
            <w:gridSpan w:val="5"/>
          </w:tcPr>
          <w:p>
            <w:pPr>
              <w:jc w:val="right"/>
              <w:ind w:right="547"/>
              <w:spacing w:after="0" w:line="142" w:lineRule="exact"/>
              <w:rPr>
                <w:sz w:val="20"/>
                <w:szCs w:val="20"/>
                <w:color w:val="auto"/>
              </w:rPr>
            </w:pPr>
            <w:r>
              <w:rPr>
                <w:rFonts w:ascii="Arial" w:cs="Arial" w:eastAsia="Arial" w:hAnsi="Arial"/>
                <w:sz w:val="13"/>
                <w:szCs w:val="13"/>
                <w:b w:val="1"/>
                <w:bCs w:val="1"/>
                <w:color w:val="auto"/>
              </w:rPr>
              <w:t>Purchased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4"/>
          </w:tcPr>
          <w:p>
            <w:pPr>
              <w:ind w:left="60"/>
              <w:spacing w:after="0" w:line="142" w:lineRule="exact"/>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2" w:lineRule="exact"/>
              <w:rPr>
                <w:sz w:val="20"/>
                <w:szCs w:val="20"/>
                <w:color w:val="auto"/>
              </w:rPr>
            </w:pPr>
            <w:r>
              <w:rPr>
                <w:rFonts w:ascii="Arial" w:cs="Arial" w:eastAsia="Arial" w:hAnsi="Arial"/>
                <w:sz w:val="13"/>
                <w:szCs w:val="13"/>
                <w:b w:val="1"/>
                <w:bCs w:val="1"/>
                <w:color w:val="auto"/>
                <w:w w:val="88"/>
              </w:rPr>
              <w:t>Price Per</w:t>
            </w:r>
          </w:p>
        </w:tc>
      </w:tr>
      <w:tr>
        <w:trPr>
          <w:trHeight w:val="121"/>
        </w:trPr>
        <w:tc>
          <w:tcPr>
            <w:tcW w:w="5540" w:type="dxa"/>
            <w:vAlign w:val="bottom"/>
          </w:tcPr>
          <w:p>
            <w:pPr>
              <w:spacing w:after="0"/>
              <w:rPr>
                <w:sz w:val="10"/>
                <w:szCs w:val="10"/>
                <w:color w:val="auto"/>
              </w:rPr>
            </w:pPr>
          </w:p>
        </w:tc>
        <w:tc>
          <w:tcPr>
            <w:tcW w:w="800" w:type="dxa"/>
            <w:vAlign w:val="bottom"/>
            <w:tcBorders>
              <w:top w:val="single" w:sz="8" w:color="auto"/>
            </w:tcBorders>
            <w:gridSpan w:val="2"/>
          </w:tcPr>
          <w:p>
            <w:pPr>
              <w:ind w:left="40"/>
              <w:spacing w:after="0" w:line="122" w:lineRule="exact"/>
              <w:rPr>
                <w:sz w:val="20"/>
                <w:szCs w:val="20"/>
                <w:color w:val="auto"/>
              </w:rPr>
            </w:pPr>
            <w:r>
              <w:rPr>
                <w:rFonts w:ascii="Arial" w:cs="Arial" w:eastAsia="Arial" w:hAnsi="Arial"/>
                <w:sz w:val="13"/>
                <w:szCs w:val="13"/>
                <w:b w:val="1"/>
                <w:bCs w:val="1"/>
                <w:color w:val="auto"/>
              </w:rPr>
              <w:t>Number</w:t>
            </w:r>
          </w:p>
        </w:tc>
        <w:tc>
          <w:tcPr>
            <w:tcW w:w="44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87"/>
              </w:rPr>
              <w:t>Percent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line="122" w:lineRule="exact"/>
              <w:rPr>
                <w:sz w:val="20"/>
                <w:szCs w:val="20"/>
                <w:color w:val="auto"/>
              </w:rPr>
            </w:pPr>
            <w:r>
              <w:rPr>
                <w:rFonts w:ascii="Arial" w:cs="Arial" w:eastAsia="Arial" w:hAnsi="Arial"/>
                <w:sz w:val="13"/>
                <w:szCs w:val="13"/>
                <w:b w:val="1"/>
                <w:bCs w:val="1"/>
                <w:color w:val="auto"/>
              </w:rPr>
              <w:t>Amount</w:t>
            </w:r>
          </w:p>
        </w:tc>
        <w:tc>
          <w:tcPr>
            <w:tcW w:w="720" w:type="dxa"/>
            <w:vAlign w:val="bottom"/>
            <w:tcBorders>
              <w:top w:val="single" w:sz="8" w:color="auto"/>
            </w:tcBorders>
            <w:gridSpan w:val="2"/>
          </w:tcPr>
          <w:p>
            <w:pPr>
              <w:ind w:left="300"/>
              <w:spacing w:after="0" w:line="122" w:lineRule="exact"/>
              <w:rPr>
                <w:sz w:val="20"/>
                <w:szCs w:val="20"/>
                <w:color w:val="auto"/>
              </w:rPr>
            </w:pPr>
            <w:r>
              <w:rPr>
                <w:rFonts w:ascii="Arial" w:cs="Arial" w:eastAsia="Arial" w:hAnsi="Arial"/>
                <w:sz w:val="13"/>
                <w:szCs w:val="13"/>
                <w:b w:val="1"/>
                <w:bCs w:val="1"/>
                <w:color w:val="auto"/>
                <w:w w:val="83"/>
              </w:rPr>
              <w:t>Percent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2"/>
              </w:rPr>
              <w:t>Share</w:t>
            </w:r>
          </w:p>
        </w:tc>
      </w:tr>
      <w:tr>
        <w:trPr>
          <w:trHeight w:val="180"/>
        </w:trPr>
        <w:tc>
          <w:tcPr>
            <w:tcW w:w="55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Existing stockholders</w:t>
            </w:r>
          </w:p>
        </w:tc>
        <w:tc>
          <w:tcPr>
            <w:tcW w:w="5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4"/>
              </w:rPr>
              <w:t>%</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4"/>
              </w:rPr>
              <w:t>%</w:t>
            </w: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5"/>
                <w:szCs w:val="15"/>
                <w:color w:val="auto"/>
              </w:rPr>
            </w:pPr>
          </w:p>
        </w:tc>
      </w:tr>
      <w:tr>
        <w:trPr>
          <w:trHeight w:val="192"/>
        </w:trPr>
        <w:tc>
          <w:tcPr>
            <w:tcW w:w="5540" w:type="dxa"/>
            <w:vAlign w:val="bottom"/>
          </w:tcPr>
          <w:p>
            <w:pPr>
              <w:spacing w:after="0"/>
              <w:rPr>
                <w:sz w:val="20"/>
                <w:szCs w:val="20"/>
                <w:color w:val="auto"/>
              </w:rPr>
            </w:pPr>
            <w:r>
              <w:rPr>
                <w:rFonts w:ascii="Arial" w:cs="Arial" w:eastAsia="Arial" w:hAnsi="Arial"/>
                <w:sz w:val="16"/>
                <w:szCs w:val="16"/>
                <w:color w:val="auto"/>
              </w:rPr>
              <w:t>New investors</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89"/>
        </w:trPr>
        <w:tc>
          <w:tcPr>
            <w:tcW w:w="5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87"/>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540" w:type="dxa"/>
            <w:vAlign w:val="bottom"/>
          </w:tcPr>
          <w:p>
            <w:pPr>
              <w:ind w:left="380"/>
              <w:spacing w:after="0"/>
              <w:rPr>
                <w:sz w:val="20"/>
                <w:szCs w:val="20"/>
                <w:color w:val="auto"/>
              </w:rPr>
            </w:pPr>
            <w:r>
              <w:rPr>
                <w:rFonts w:ascii="Arial" w:cs="Arial" w:eastAsia="Arial" w:hAnsi="Arial"/>
                <w:sz w:val="16"/>
                <w:szCs w:val="16"/>
                <w:color w:val="auto"/>
                <w:w w:val="92"/>
              </w:rPr>
              <w:t>Each $1.00 increase (decrease) in the assumed initial public offering price of $</w:t>
            </w:r>
          </w:p>
        </w:tc>
        <w:tc>
          <w:tcPr>
            <w:tcW w:w="4080" w:type="dxa"/>
            <w:vAlign w:val="bottom"/>
            <w:gridSpan w:val="14"/>
          </w:tcPr>
          <w:p>
            <w:pPr>
              <w:ind w:left="260"/>
              <w:spacing w:after="0"/>
              <w:rPr>
                <w:sz w:val="20"/>
                <w:szCs w:val="20"/>
                <w:color w:val="auto"/>
              </w:rPr>
            </w:pPr>
            <w:r>
              <w:rPr>
                <w:rFonts w:ascii="Arial" w:cs="Arial" w:eastAsia="Arial" w:hAnsi="Arial"/>
                <w:sz w:val="16"/>
                <w:szCs w:val="16"/>
                <w:color w:val="auto"/>
                <w:w w:val="98"/>
              </w:rPr>
              <w:t>per share (which is the midpoint of the estimated initial</w:t>
            </w:r>
          </w:p>
        </w:tc>
      </w:tr>
    </w:tbl>
    <w:p>
      <w:pPr>
        <w:ind w:left="820"/>
        <w:spacing w:after="0"/>
        <w:rPr>
          <w:sz w:val="20"/>
          <w:szCs w:val="20"/>
          <w:color w:val="auto"/>
        </w:rPr>
      </w:pPr>
      <w:r>
        <w:rPr>
          <w:rFonts w:ascii="Arial" w:cs="Arial" w:eastAsia="Arial" w:hAnsi="Arial"/>
          <w:sz w:val="13"/>
          <w:szCs w:val="13"/>
          <w:color w:val="auto"/>
        </w:rPr>
        <w:t>public offering price range set forth on the cover page of this prospectus), would increase (decrease) the total consideration paid by new investors and</w:t>
      </w:r>
    </w:p>
    <w:p>
      <w:pPr>
        <w:spacing w:after="0" w:line="39" w:lineRule="exact"/>
        <w:rPr>
          <w:sz w:val="20"/>
          <w:szCs w:val="20"/>
          <w:color w:val="auto"/>
        </w:rPr>
      </w:pPr>
    </w:p>
    <w:p>
      <w:pPr>
        <w:ind w:left="820" w:right="140"/>
        <w:spacing w:after="0" w:line="249" w:lineRule="auto"/>
        <w:rPr>
          <w:sz w:val="20"/>
          <w:szCs w:val="20"/>
          <w:color w:val="auto"/>
        </w:rPr>
      </w:pPr>
      <w:r>
        <w:rPr>
          <w:rFonts w:ascii="Arial" w:cs="Arial" w:eastAsia="Arial" w:hAnsi="Arial"/>
          <w:sz w:val="16"/>
          <w:szCs w:val="16"/>
          <w:color w:val="auto"/>
        </w:rPr>
        <w:t>total consideration paid by all stockholders by approximately $ million, assuming that the number of shares offered by us, as set forth on the cover page of this prospectus, remains the same, and after deducting underwriting discounts and commissions and estimated offering expenses payable by us.</w:t>
      </w:r>
    </w:p>
    <w:p>
      <w:pPr>
        <w:spacing w:after="0" w:line="171"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The above table assumes no exercise of the underwriters’ over-allotment option. If the underwriters’ over-allotment option were exercised in full, our existing stockholders would own % and our new investors would own % of the total number of shares of our common stock outstanding upon completion of this offering.</w:t>
      </w:r>
    </w:p>
    <w:p>
      <w:pPr>
        <w:spacing w:after="0" w:line="166" w:lineRule="exact"/>
        <w:rPr>
          <w:sz w:val="20"/>
          <w:szCs w:val="20"/>
          <w:color w:val="auto"/>
        </w:rPr>
      </w:pPr>
    </w:p>
    <w:p>
      <w:pPr>
        <w:jc w:val="both"/>
        <w:ind w:left="820" w:right="240" w:firstLine="385"/>
        <w:spacing w:after="0" w:line="256" w:lineRule="auto"/>
        <w:rPr>
          <w:sz w:val="20"/>
          <w:szCs w:val="20"/>
          <w:color w:val="auto"/>
        </w:rPr>
      </w:pPr>
      <w:r>
        <w:rPr>
          <w:rFonts w:ascii="Arial" w:cs="Arial" w:eastAsia="Arial" w:hAnsi="Arial"/>
          <w:sz w:val="16"/>
          <w:szCs w:val="16"/>
          <w:color w:val="auto"/>
        </w:rPr>
        <w:t>The number of shares of our common stock issued and outstanding, in the tables above are based on 163,948,679 shares of our common stock outstanding as of March 31, 2021 (including conversion of all of our outstanding shares of convertible preferred stock into 156,613,818 shares of our common stock), and excludes:</w:t>
      </w:r>
    </w:p>
    <w:p>
      <w:pPr>
        <w:spacing w:after="0" w:line="83" w:lineRule="exact"/>
        <w:rPr>
          <w:sz w:val="20"/>
          <w:szCs w:val="20"/>
          <w:color w:val="auto"/>
        </w:rPr>
      </w:pPr>
    </w:p>
    <w:p>
      <w:pPr>
        <w:ind w:left="1660" w:right="120" w:hanging="469"/>
        <w:spacing w:after="0" w:line="266" w:lineRule="auto"/>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10,368,032 shares of our common stock issuable upon the exercise of options outstanding as of March 31, 2021, with a weighted-average exercise price of $0.51 per share;</w:t>
      </w:r>
    </w:p>
    <w:p>
      <w:pPr>
        <w:spacing w:after="0" w:line="75" w:lineRule="exact"/>
        <w:rPr>
          <w:rFonts w:ascii="Arial" w:cs="Arial" w:eastAsia="Arial" w:hAnsi="Arial"/>
          <w:sz w:val="16"/>
          <w:szCs w:val="16"/>
          <w:color w:val="auto"/>
        </w:rPr>
      </w:pPr>
    </w:p>
    <w:p>
      <w:pPr>
        <w:ind w:left="1660" w:right="400" w:hanging="469"/>
        <w:spacing w:after="0" w:line="266" w:lineRule="auto"/>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5,012,900 shares of our common stock issuable upon the exercise of options granted subsequent to March 31, 2021, with a weighted-average exercise price of $1.67 per share;</w:t>
      </w:r>
    </w:p>
    <w:p>
      <w:pPr>
        <w:spacing w:after="0" w:line="75"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2,275,357 shares of our common stock reserved for future grant or issuance under our Amended and Restated 2016 Equity Incentive Plan as of March 31, 2021;</w:t>
      </w:r>
    </w:p>
    <w:p>
      <w:pPr>
        <w:spacing w:after="0" w:line="75" w:lineRule="exact"/>
        <w:rPr>
          <w:rFonts w:ascii="Arial" w:cs="Arial" w:eastAsia="Arial" w:hAnsi="Arial"/>
          <w:sz w:val="16"/>
          <w:szCs w:val="16"/>
          <w:color w:val="auto"/>
        </w:rPr>
      </w:pPr>
    </w:p>
    <w:p>
      <w:pPr>
        <w:ind w:left="1660" w:right="60" w:hanging="469"/>
        <w:spacing w:after="0" w:line="343" w:lineRule="auto"/>
        <w:tabs>
          <w:tab w:leader="none" w:pos="2131" w:val="left"/>
        </w:tabs>
        <w:numPr>
          <w:ilvl w:val="0"/>
          <w:numId w:val="66"/>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31" w:lineRule="exact"/>
        <w:rPr>
          <w:rFonts w:ascii="Arial" w:cs="Arial" w:eastAsia="Arial" w:hAnsi="Arial"/>
          <w:sz w:val="13"/>
          <w:szCs w:val="13"/>
          <w:color w:val="auto"/>
        </w:rPr>
      </w:pPr>
    </w:p>
    <w:p>
      <w:pPr>
        <w:ind w:left="1660" w:right="140" w:hanging="469"/>
        <w:spacing w:after="0" w:line="281" w:lineRule="auto"/>
        <w:tabs>
          <w:tab w:leader="none" w:pos="2131" w:val="left"/>
        </w:tabs>
        <w:numPr>
          <w:ilvl w:val="0"/>
          <w:numId w:val="66"/>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440"/>
          </w:cols>
          <w:pgMar w:left="320" w:top="418" w:right="11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400"/>
          </w:cols>
          <w:pgMar w:left="320" w:top="418" w:right="117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SELECTED FINANCIAL DATA</w:t>
      </w:r>
    </w:p>
    <w:p>
      <w:pPr>
        <w:spacing w:after="0" w:line="197"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The following tables set forth our selected financial data for the periods and as of the dates indicated. We have derived the selected statements of operations data for the years ended December 31, 2019 and 2020, and the selected balance sheet data as of December 31, 2019 and 2020, from our audited financial statements appearing elsewhere in this prospectus. The selected statements of operations data for the three months ended March 31, 2020 and 2021 and the selected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31" w:lineRule="exact"/>
        <w:rPr>
          <w:sz w:val="20"/>
          <w:szCs w:val="20"/>
          <w:color w:val="auto"/>
        </w:rPr>
      </w:pPr>
    </w:p>
    <w:p>
      <w:pPr>
        <w:ind w:left="820" w:right="200" w:firstLine="385"/>
        <w:spacing w:after="0" w:line="272" w:lineRule="auto"/>
        <w:rPr>
          <w:sz w:val="20"/>
          <w:szCs w:val="20"/>
          <w:color w:val="auto"/>
        </w:rPr>
      </w:pPr>
      <w:r>
        <w:rPr>
          <w:rFonts w:ascii="Arial" w:cs="Arial" w:eastAsia="Arial" w:hAnsi="Arial"/>
          <w:sz w:val="15"/>
          <w:szCs w:val="15"/>
          <w:color w:val="auto"/>
        </w:rPr>
        <w:t>You should read the following selected financial data together with the section titled “Management’s Discussion and Analysis of Financial Condition and Results of Operations” and our financial statements and the related notes appearing elsewhere in this prospectus. The selected financial data in this section are not intended to replace our financial statements and are qualified in their entirety by our financial statements and related notes appearing elsewhere in this prospectus. Our historical results are not necessarily indicative of our future results, and our results for the three months ended March 31, 2021 are not necessarily indicative of results to be expected for the full year.</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ind w:right="49"/>
              <w:spacing w:after="0"/>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right"/>
              <w:ind w:right="381"/>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4"/>
              <w:spacing w:after="0" w:line="12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w w:val="96"/>
              </w:rPr>
              <w:t>2020</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4"/>
              <w:spacing w:after="0" w:line="122"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0" w:type="dxa"/>
            <w:vAlign w:val="bottom"/>
            <w:gridSpan w:val="8"/>
          </w:tcPr>
          <w:p>
            <w:pPr>
              <w:jc w:val="right"/>
              <w:ind w:right="1"/>
              <w:spacing w:after="0" w:line="122" w:lineRule="exact"/>
              <w:rPr>
                <w:sz w:val="20"/>
                <w:szCs w:val="20"/>
                <w:color w:val="auto"/>
              </w:rPr>
            </w:pPr>
            <w:r>
              <w:rPr>
                <w:rFonts w:ascii="Arial" w:cs="Arial" w:eastAsia="Arial" w:hAnsi="Arial"/>
                <w:sz w:val="13"/>
                <w:szCs w:val="13"/>
                <w:b w:val="1"/>
                <w:bCs w:val="1"/>
                <w:color w:val="auto"/>
                <w:w w:val="85"/>
              </w:rPr>
              <w:t>(in thousands, except share and per share data)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23,148</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31,099</w:t>
            </w:r>
          </w:p>
        </w:tc>
        <w:tc>
          <w:tcPr>
            <w:tcW w:w="2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3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ind w:left="30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9,266</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(27,712)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7"/>
              </w:rPr>
              <w:t>(38,912)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(9,266)</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ind w:left="30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5140" w:type="dxa"/>
            <w:vAlign w:val="bottom"/>
            <w:gridSpan w:val="2"/>
          </w:tcPr>
          <w:p>
            <w:pPr>
              <w:ind w:left="30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177</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Total other income (expense), net</w:t>
            </w: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Arial" w:cs="Arial" w:eastAsia="Arial" w:hAnsi="Arial"/>
                <w:sz w:val="16"/>
                <w:szCs w:val="16"/>
                <w:color w:val="auto"/>
              </w:rPr>
              <w:t>Net loss before income tax expense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7"/>
              </w:rPr>
              <w:t>(38,395)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(9,051)</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(38,395</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(9,051</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Net loss per share, basic and diluted</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
              <w:spacing w:after="0" w:line="176" w:lineRule="exact"/>
              <w:rPr>
                <w:sz w:val="20"/>
                <w:szCs w:val="20"/>
                <w:color w:val="auto"/>
              </w:rPr>
            </w:pPr>
            <w:r>
              <w:rPr>
                <w:rFonts w:ascii="Arial" w:cs="Arial" w:eastAsia="Arial" w:hAnsi="Arial"/>
                <w:sz w:val="16"/>
                <w:szCs w:val="16"/>
                <w:color w:val="auto"/>
              </w:rPr>
              <w:t>(5.78)</w:t>
            </w:r>
          </w:p>
        </w:tc>
        <w:tc>
          <w:tcPr>
            <w:tcW w:w="540" w:type="dxa"/>
            <w:vAlign w:val="bottom"/>
            <w:gridSpan w:val="2"/>
            <w:shd w:val="clear" w:color="auto" w:fill="CCEEFF"/>
          </w:tcPr>
          <w:p>
            <w:pPr>
              <w:jc w:val="right"/>
              <w:ind w:right="69"/>
              <w:spacing w:after="0" w:line="176"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1"/>
              <w:spacing w:after="0" w:line="176" w:lineRule="exact"/>
              <w:rPr>
                <w:sz w:val="20"/>
                <w:szCs w:val="20"/>
                <w:color w:val="auto"/>
              </w:rPr>
            </w:pPr>
            <w:r>
              <w:rPr>
                <w:rFonts w:ascii="Arial" w:cs="Arial" w:eastAsia="Arial" w:hAnsi="Arial"/>
                <w:sz w:val="16"/>
                <w:szCs w:val="16"/>
                <w:color w:val="auto"/>
              </w:rPr>
              <w:t>(6.58)</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81"/>
              <w:spacing w:after="0" w:line="176" w:lineRule="exact"/>
              <w:rPr>
                <w:sz w:val="20"/>
                <w:szCs w:val="20"/>
                <w:color w:val="auto"/>
              </w:rPr>
            </w:pPr>
            <w:r>
              <w:rPr>
                <w:rFonts w:ascii="Arial" w:cs="Arial" w:eastAsia="Arial" w:hAnsi="Arial"/>
                <w:sz w:val="16"/>
                <w:szCs w:val="16"/>
                <w:color w:val="auto"/>
              </w:rPr>
              <w:t>(1.69)</w:t>
            </w: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6"/>
                <w:szCs w:val="16"/>
                <w:color w:val="auto"/>
                <w:w w:val="97"/>
              </w:rPr>
              <w:t>Weighted-average shares used in computing net loss per share, basic and</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140" w:type="dxa"/>
            <w:vAlign w:val="bottom"/>
            <w:gridSpan w:val="2"/>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4,534,692</w:t>
            </w:r>
          </w:p>
        </w:tc>
        <w:tc>
          <w:tcPr>
            <w:tcW w:w="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5,832,594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4"/>
              </w:rPr>
              <w:t>5,351,978</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6,586,917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Pro forma net loss per share, basic and diluted</w:t>
            </w:r>
            <w:r>
              <w:rPr>
                <w:rFonts w:ascii="Arial" w:cs="Arial" w:eastAsia="Arial" w:hAnsi="Arial"/>
                <w:sz w:val="13"/>
                <w:szCs w:val="13"/>
                <w:color w:val="auto"/>
              </w:rPr>
              <w:t>(1)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9"/>
              <w:spacing w:after="0" w:line="177"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6"/>
                <w:szCs w:val="16"/>
                <w:color w:val="auto"/>
                <w:w w:val="90"/>
              </w:rPr>
              <w:t>Weighted-average shares used in computing pro forma net loss per share, basic</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140" w:type="dxa"/>
            <w:vAlign w:val="bottom"/>
            <w:gridSpan w:val="2"/>
          </w:tcPr>
          <w:p>
            <w:pPr>
              <w:ind w:left="160"/>
              <w:spacing w:after="0"/>
              <w:rPr>
                <w:sz w:val="20"/>
                <w:szCs w:val="20"/>
                <w:color w:val="auto"/>
              </w:rPr>
            </w:pPr>
            <w:r>
              <w:rPr>
                <w:rFonts w:ascii="Arial" w:cs="Arial" w:eastAsia="Arial" w:hAnsi="Arial"/>
                <w:sz w:val="16"/>
                <w:szCs w:val="16"/>
                <w:color w:val="auto"/>
              </w:rPr>
              <w:t>and diluted</w:t>
            </w:r>
            <w:r>
              <w:rPr>
                <w:rFonts w:ascii="Arial" w:cs="Arial" w:eastAsia="Arial" w:hAnsi="Arial"/>
                <w:sz w:val="13"/>
                <w:szCs w:val="13"/>
                <w:color w:val="auto"/>
              </w:rPr>
              <w:t>(1)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04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200" w:right="160" w:hanging="386"/>
        <w:spacing w:after="0" w:line="253" w:lineRule="auto"/>
        <w:tabs>
          <w:tab w:leader="none" w:pos="12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unaudited pro forma net loss per share for the year ended December 31, 2020 and the three months ended March 31, 2021 was computed using the weighted-average number of shares of common stock outstanding, including the pro forma effect of the conversation of all outstanding shares of our convertible preferred stock into shares of common stock, as if such conversion had occurred at the beginning of the period, or their issuance dates, if later.</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440"/>
          </w:cols>
          <w:pgMar w:left="320" w:top="418" w:right="11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As of December 31,</w:t>
            </w:r>
          </w:p>
        </w:tc>
        <w:tc>
          <w:tcPr>
            <w:tcW w:w="1080" w:type="dxa"/>
            <w:vAlign w:val="bottom"/>
            <w:gridSpan w:val="4"/>
          </w:tcPr>
          <w:p>
            <w:pPr>
              <w:ind w:left="120"/>
              <w:spacing w:after="0"/>
              <w:rPr>
                <w:sz w:val="20"/>
                <w:szCs w:val="20"/>
                <w:color w:val="auto"/>
              </w:rPr>
            </w:pPr>
            <w:r>
              <w:rPr>
                <w:rFonts w:ascii="Arial" w:cs="Arial" w:eastAsia="Arial" w:hAnsi="Arial"/>
                <w:sz w:val="13"/>
                <w:szCs w:val="13"/>
                <w:b w:val="1"/>
                <w:bCs w:val="1"/>
                <w:color w:val="auto"/>
                <w:w w:val="97"/>
              </w:rPr>
              <w:t>As of March 31,</w:t>
            </w:r>
          </w:p>
        </w:tc>
      </w:tr>
      <w:tr>
        <w:trPr>
          <w:trHeight w:val="121"/>
        </w:trPr>
        <w:tc>
          <w:tcPr>
            <w:tcW w:w="2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377"/>
              <w:spacing w:after="0" w:line="122" w:lineRule="exact"/>
              <w:rPr>
                <w:sz w:val="20"/>
                <w:szCs w:val="20"/>
                <w:color w:val="auto"/>
              </w:rPr>
            </w:pPr>
            <w:r>
              <w:rPr>
                <w:rFonts w:ascii="Arial" w:cs="Arial" w:eastAsia="Arial" w:hAnsi="Arial"/>
                <w:sz w:val="13"/>
                <w:szCs w:val="13"/>
                <w:b w:val="1"/>
                <w:bCs w:val="1"/>
                <w:color w:val="auto"/>
              </w:rPr>
              <w:t>2019</w:t>
            </w:r>
          </w:p>
        </w:tc>
        <w:tc>
          <w:tcPr>
            <w:tcW w:w="820" w:type="dxa"/>
            <w:vAlign w:val="bottom"/>
            <w:tcBorders>
              <w:top w:val="single" w:sz="8" w:color="auto"/>
              <w:bottom w:val="single" w:sz="8" w:color="auto"/>
            </w:tcBorders>
          </w:tcPr>
          <w:p>
            <w:pPr>
              <w:jc w:val="right"/>
              <w:ind w:right="105"/>
              <w:spacing w:after="0" w:line="122"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23"/>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r>
      <w:tr>
        <w:trPr>
          <w:trHeight w:val="121"/>
        </w:trPr>
        <w:tc>
          <w:tcPr>
            <w:tcW w:w="2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60" w:type="dxa"/>
            <w:vAlign w:val="bottom"/>
            <w:gridSpan w:val="2"/>
          </w:tcPr>
          <w:p>
            <w:pPr>
              <w:jc w:val="right"/>
              <w:ind w:right="197"/>
              <w:spacing w:after="0"/>
              <w:rPr>
                <w:sz w:val="20"/>
                <w:szCs w:val="20"/>
                <w:color w:val="auto"/>
              </w:rPr>
            </w:pPr>
            <w:r>
              <w:rPr>
                <w:rFonts w:ascii="Arial" w:cs="Arial" w:eastAsia="Arial" w:hAnsi="Arial"/>
                <w:sz w:val="16"/>
                <w:szCs w:val="16"/>
                <w:color w:val="auto"/>
              </w:rPr>
              <w:t>$ 23,872</w:t>
            </w:r>
          </w:p>
        </w:tc>
        <w:tc>
          <w:tcPr>
            <w:tcW w:w="820" w:type="dxa"/>
            <w:vAlign w:val="bottom"/>
          </w:tcPr>
          <w:p>
            <w:pPr>
              <w:jc w:val="right"/>
              <w:spacing w:after="0"/>
              <w:rPr>
                <w:sz w:val="20"/>
                <w:szCs w:val="20"/>
                <w:color w:val="auto"/>
              </w:rPr>
            </w:pPr>
            <w:r>
              <w:rPr>
                <w:rFonts w:ascii="Arial" w:cs="Arial" w:eastAsia="Arial" w:hAnsi="Arial"/>
                <w:sz w:val="16"/>
                <w:szCs w:val="16"/>
                <w:color w:val="auto"/>
              </w:rPr>
              <w:t>$128,535</w:t>
            </w:r>
          </w:p>
        </w:tc>
        <w:tc>
          <w:tcPr>
            <w:tcW w:w="340" w:type="dxa"/>
            <w:vAlign w:val="bottom"/>
          </w:tcPr>
          <w:p>
            <w:pPr>
              <w:spacing w:after="0"/>
              <w:rPr>
                <w:sz w:val="16"/>
                <w:szCs w:val="16"/>
                <w:color w:val="auto"/>
              </w:rPr>
            </w:pP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128,439</w:t>
            </w:r>
          </w:p>
        </w:tc>
        <w:tc>
          <w:tcPr>
            <w:tcW w:w="100" w:type="dxa"/>
            <w:vAlign w:val="bottom"/>
          </w:tcPr>
          <w:p>
            <w:pPr>
              <w:spacing w:after="0"/>
              <w:rPr>
                <w:sz w:val="16"/>
                <w:szCs w:val="16"/>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r>
              <w:rPr>
                <w:rFonts w:ascii="Arial" w:cs="Arial" w:eastAsia="Arial" w:hAnsi="Arial"/>
                <w:sz w:val="13"/>
                <w:szCs w:val="13"/>
                <w:color w:val="auto"/>
              </w:rPr>
              <w:t>(1)</w:t>
            </w:r>
          </w:p>
        </w:tc>
        <w:tc>
          <w:tcPr>
            <w:tcW w:w="2060" w:type="dxa"/>
            <w:vAlign w:val="bottom"/>
            <w:gridSpan w:val="2"/>
            <w:shd w:val="clear" w:color="auto" w:fill="CCEEFF"/>
          </w:tcPr>
          <w:p>
            <w:pPr>
              <w:jc w:val="right"/>
              <w:ind w:right="197"/>
              <w:spacing w:after="0"/>
              <w:rPr>
                <w:sz w:val="20"/>
                <w:szCs w:val="20"/>
                <w:color w:val="auto"/>
              </w:rPr>
            </w:pPr>
            <w:r>
              <w:rPr>
                <w:rFonts w:ascii="Arial" w:cs="Arial" w:eastAsia="Arial" w:hAnsi="Arial"/>
                <w:sz w:val="16"/>
                <w:szCs w:val="16"/>
                <w:color w:val="auto"/>
              </w:rPr>
              <w:t>23,622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124,923</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123,840</w:t>
            </w:r>
          </w:p>
        </w:tc>
        <w:tc>
          <w:tcPr>
            <w:tcW w:w="100" w:type="dxa"/>
            <w:vAlign w:val="bottom"/>
            <w:shd w:val="clear" w:color="auto" w:fill="CCEEFF"/>
          </w:tcPr>
          <w:p>
            <w:pPr>
              <w:spacing w:after="0"/>
              <w:rPr>
                <w:sz w:val="16"/>
                <w:szCs w:val="16"/>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Total assets</w:t>
            </w:r>
          </w:p>
        </w:tc>
        <w:tc>
          <w:tcPr>
            <w:tcW w:w="2060" w:type="dxa"/>
            <w:vAlign w:val="bottom"/>
            <w:gridSpan w:val="2"/>
          </w:tcPr>
          <w:p>
            <w:pPr>
              <w:jc w:val="right"/>
              <w:ind w:right="197"/>
              <w:spacing w:after="0"/>
              <w:rPr>
                <w:sz w:val="20"/>
                <w:szCs w:val="20"/>
                <w:color w:val="auto"/>
              </w:rPr>
            </w:pPr>
            <w:r>
              <w:rPr>
                <w:rFonts w:ascii="Arial" w:cs="Arial" w:eastAsia="Arial" w:hAnsi="Arial"/>
                <w:sz w:val="16"/>
                <w:szCs w:val="16"/>
                <w:color w:val="auto"/>
              </w:rPr>
              <w:t>38,001</w:t>
            </w:r>
          </w:p>
        </w:tc>
        <w:tc>
          <w:tcPr>
            <w:tcW w:w="820" w:type="dxa"/>
            <w:vAlign w:val="bottom"/>
          </w:tcPr>
          <w:p>
            <w:pPr>
              <w:jc w:val="right"/>
              <w:spacing w:after="0"/>
              <w:rPr>
                <w:sz w:val="20"/>
                <w:szCs w:val="20"/>
                <w:color w:val="auto"/>
              </w:rPr>
            </w:pPr>
            <w:r>
              <w:rPr>
                <w:rFonts w:ascii="Arial" w:cs="Arial" w:eastAsia="Arial" w:hAnsi="Arial"/>
                <w:sz w:val="16"/>
                <w:szCs w:val="16"/>
                <w:color w:val="auto"/>
              </w:rPr>
              <w:t>148,161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159,757</w:t>
            </w:r>
          </w:p>
        </w:tc>
        <w:tc>
          <w:tcPr>
            <w:tcW w:w="100" w:type="dxa"/>
            <w:vAlign w:val="bottom"/>
          </w:tcPr>
          <w:p>
            <w:pPr>
              <w:spacing w:after="0"/>
              <w:rPr>
                <w:sz w:val="16"/>
                <w:szCs w:val="16"/>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2060" w:type="dxa"/>
            <w:vAlign w:val="bottom"/>
            <w:gridSpan w:val="2"/>
            <w:shd w:val="clear" w:color="auto" w:fill="CCEEFF"/>
          </w:tcPr>
          <w:p>
            <w:pPr>
              <w:jc w:val="right"/>
              <w:ind w:right="197"/>
              <w:spacing w:after="0"/>
              <w:rPr>
                <w:sz w:val="20"/>
                <w:szCs w:val="20"/>
                <w:color w:val="auto"/>
              </w:rPr>
            </w:pPr>
            <w:r>
              <w:rPr>
                <w:rFonts w:ascii="Arial" w:cs="Arial" w:eastAsia="Arial" w:hAnsi="Arial"/>
                <w:sz w:val="16"/>
                <w:szCs w:val="16"/>
                <w:color w:val="auto"/>
              </w:rPr>
              <w:t>73,042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220,754</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240,735</w:t>
            </w:r>
          </w:p>
        </w:tc>
        <w:tc>
          <w:tcPr>
            <w:tcW w:w="100" w:type="dxa"/>
            <w:vAlign w:val="bottom"/>
            <w:shd w:val="clear" w:color="auto" w:fill="CCEEFF"/>
          </w:tcPr>
          <w:p>
            <w:pPr>
              <w:spacing w:after="0"/>
              <w:rPr>
                <w:sz w:val="16"/>
                <w:szCs w:val="16"/>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60" w:type="dxa"/>
            <w:vAlign w:val="bottom"/>
            <w:gridSpan w:val="2"/>
          </w:tcPr>
          <w:p>
            <w:pPr>
              <w:jc w:val="right"/>
              <w:ind w:right="197"/>
              <w:spacing w:after="0"/>
              <w:rPr>
                <w:sz w:val="20"/>
                <w:szCs w:val="20"/>
                <w:color w:val="auto"/>
              </w:rPr>
            </w:pPr>
            <w:r>
              <w:rPr>
                <w:rFonts w:ascii="Arial" w:cs="Arial" w:eastAsia="Arial" w:hAnsi="Arial"/>
                <w:sz w:val="16"/>
                <w:szCs w:val="16"/>
                <w:color w:val="auto"/>
              </w:rPr>
              <w:t>763</w:t>
            </w:r>
          </w:p>
        </w:tc>
        <w:tc>
          <w:tcPr>
            <w:tcW w:w="820" w:type="dxa"/>
            <w:vAlign w:val="bottom"/>
          </w:tcPr>
          <w:p>
            <w:pPr>
              <w:jc w:val="right"/>
              <w:spacing w:after="0"/>
              <w:rPr>
                <w:sz w:val="20"/>
                <w:szCs w:val="20"/>
                <w:color w:val="auto"/>
              </w:rPr>
            </w:pPr>
            <w:r>
              <w:rPr>
                <w:rFonts w:ascii="Arial" w:cs="Arial" w:eastAsia="Arial" w:hAnsi="Arial"/>
                <w:sz w:val="16"/>
                <w:szCs w:val="16"/>
                <w:color w:val="auto"/>
              </w:rPr>
              <w:t>1,583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6"/>
                <w:szCs w:val="16"/>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06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(44,417)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(95,910)</w:t>
            </w:r>
          </w:p>
        </w:tc>
      </w:tr>
      <w:tr>
        <w:trPr>
          <w:trHeight w:val="200"/>
        </w:trPr>
        <w:tc>
          <w:tcPr>
            <w:tcW w:w="2920" w:type="dxa"/>
            <w:vAlign w:val="bottom"/>
          </w:tcPr>
          <w:p>
            <w:pPr>
              <w:spacing w:after="0"/>
              <w:rPr>
                <w:sz w:val="20"/>
                <w:szCs w:val="20"/>
                <w:color w:val="auto"/>
              </w:rPr>
            </w:pPr>
            <w:r>
              <w:rPr>
                <w:rFonts w:ascii="Arial" w:cs="Arial" w:eastAsia="Arial" w:hAnsi="Arial"/>
                <w:sz w:val="16"/>
                <w:szCs w:val="16"/>
                <w:color w:val="auto"/>
              </w:rPr>
              <w:t>Total stockholders’ deficit</w:t>
            </w:r>
          </w:p>
        </w:tc>
        <w:tc>
          <w:tcPr>
            <w:tcW w:w="2060" w:type="dxa"/>
            <w:vAlign w:val="bottom"/>
            <w:gridSpan w:val="2"/>
          </w:tcPr>
          <w:p>
            <w:pPr>
              <w:jc w:val="right"/>
              <w:ind w:right="157"/>
              <w:spacing w:after="0"/>
              <w:rPr>
                <w:sz w:val="20"/>
                <w:szCs w:val="20"/>
                <w:color w:val="auto"/>
              </w:rPr>
            </w:pPr>
            <w:r>
              <w:rPr>
                <w:rFonts w:ascii="Arial" w:cs="Arial" w:eastAsia="Arial" w:hAnsi="Arial"/>
                <w:sz w:val="16"/>
                <w:szCs w:val="16"/>
                <w:color w:val="auto"/>
              </w:rPr>
              <w:t>(43,739)</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(81,315)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(93,943)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67945</wp:posOffset>
            </wp:positionV>
            <wp:extent cx="66611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21" w:lineRule="exact"/>
        <w:rPr>
          <w:sz w:val="20"/>
          <w:szCs w:val="20"/>
          <w:color w:val="auto"/>
        </w:rPr>
      </w:pPr>
    </w:p>
    <w:p>
      <w:pPr>
        <w:ind w:left="1200" w:hanging="386"/>
        <w:spacing w:after="0" w:line="266" w:lineRule="auto"/>
        <w:tabs>
          <w:tab w:leader="none" w:pos="12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 See our financial statements included elsewhere in this prospectus for further details regarding our current assets and current liabilities.</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220"/>
          </w:cols>
          <w:pgMar w:left="320" w:top="418" w:right="135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97"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i w:val="1"/>
          <w:iCs w:val="1"/>
          <w:color w:val="auto"/>
        </w:rPr>
        <w:t>The following discussion of our financial condition and results of operations should be read together with the section titled “Selected Financial Data,” and our financial statements and related notes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See also the section of this prospectus titled “Special Note Regarding Forward-Looking Statements.”</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Overview</w:t>
      </w:r>
    </w:p>
    <w:p>
      <w:pPr>
        <w:spacing w:after="0" w:line="103" w:lineRule="exact"/>
        <w:rPr>
          <w:sz w:val="20"/>
          <w:szCs w:val="20"/>
          <w:color w:val="auto"/>
        </w:rPr>
      </w:pPr>
    </w:p>
    <w:p>
      <w:pPr>
        <w:jc w:val="both"/>
        <w:ind w:left="820" w:right="160" w:firstLine="385"/>
        <w:spacing w:after="0" w:line="343" w:lineRule="auto"/>
        <w:rPr>
          <w:sz w:val="20"/>
          <w:szCs w:val="20"/>
          <w:color w:val="auto"/>
        </w:rPr>
      </w:pPr>
      <w:r>
        <w:rPr>
          <w:rFonts w:ascii="Arial" w:cs="Arial" w:eastAsia="Arial" w:hAnsi="Arial"/>
          <w:sz w:val="13"/>
          <w:szCs w:val="13"/>
          <w:color w:val="auto"/>
        </w:rPr>
        <w:t>We are a biotechnology company headquartered in South San Francisco, California focused on discovering, developing and delivering curative therapies that address the underlying drivers of heart disease. We are advancing a pipeline of disease-modifying therapies developed using our product platforms and core internal capabilities to target defined sub-populations of patients with both rare and highly prevalent forms of heart disease.</w:t>
      </w:r>
    </w:p>
    <w:p>
      <w:pPr>
        <w:spacing w:after="0" w:line="114"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conducting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54"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color w:val="auto"/>
        </w:rPr>
        <w:t>Since our inception, we have incurred net losses each year and we expect to continue to incur significant and increasing losses for the foreseeable future as we continue to advance our platforms, programs and product candidates, and as we transition to operating as a public company. Our net losses may fluctuate significantly from period to period, depending on the timing of expenditures on our research and development activities. Our net losses were $26.2 million and $38.4 million for the years ended December 31, 2019 and 2020, respectively, and $9.1 million and $13.1 million for the three months ended March 31, 2020 and 2021, respectively. As of March 31, 2021, we had an accumulated deficit of $95.9 million. Our net losses resulted primarily from our research and development programs and, to a lesser extent, general and administrative costs associated with our operations.</w:t>
      </w:r>
    </w:p>
    <w:p>
      <w:pPr>
        <w:spacing w:after="0" w:line="128" w:lineRule="exact"/>
        <w:rPr>
          <w:sz w:val="20"/>
          <w:szCs w:val="20"/>
          <w:color w:val="auto"/>
        </w:rPr>
      </w:pPr>
    </w:p>
    <w:p>
      <w:pPr>
        <w:jc w:val="both"/>
        <w:ind w:left="820" w:right="340" w:firstLine="385"/>
        <w:spacing w:after="0" w:line="275" w:lineRule="auto"/>
        <w:rPr>
          <w:sz w:val="20"/>
          <w:szCs w:val="20"/>
          <w:color w:val="auto"/>
        </w:rPr>
      </w:pPr>
      <w:r>
        <w:rPr>
          <w:rFonts w:ascii="Arial" w:cs="Arial" w:eastAsia="Arial" w:hAnsi="Arial"/>
          <w:sz w:val="15"/>
          <w:szCs w:val="15"/>
          <w:color w:val="auto"/>
        </w:rPr>
        <w:t>We have not generated any revenue from product sales or other sources since inception. Our ability to generate product revenue sufficient to achieve profitability, if ever, will depend heavily on the successful completion and eventual commercialization of our product candidates which we expect, if it ever occurs, will take a number of years. In addition, we have leased additional space in the San Francisco Bay Area intended for future manufacturing and office space as we invest in our manufacturing capabilities.</w:t>
      </w:r>
    </w:p>
    <w:p>
      <w:pPr>
        <w:spacing w:after="0" w:line="153"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w:t>
      </w:r>
    </w:p>
    <w:p>
      <w:pPr>
        <w:spacing w:after="0" w:line="166"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We will need substantial additional funding in the future to finance our operations, including the commercialization of any product candidates that may be approved by the FDA or comparable foreign regulatory authorities. Until such time, if ever, as we can generate significant product revenue, we expect to finance our</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440"/>
          </w:cols>
          <w:pgMar w:left="320" w:top="418" w:right="11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7" w:lineRule="auto"/>
        <w:rPr>
          <w:sz w:val="20"/>
          <w:szCs w:val="20"/>
          <w:color w:val="auto"/>
        </w:rPr>
      </w:pPr>
      <w:r>
        <w:rPr>
          <w:rFonts w:ascii="Arial" w:cs="Arial" w:eastAsia="Arial" w:hAnsi="Arial"/>
          <w:sz w:val="15"/>
          <w:szCs w:val="15"/>
          <w:color w:val="auto"/>
        </w:rPr>
        <w:t>operations with our existing cash and cash equivalents, the net proceeds from this offering, any future equity or debt financings, and upfront and milestone and royalty payments, if any, received under future licenses or collaborations or other arrangements with other companies,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and we may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University of Texas Southwestern Medical Center (UTSW) License Agreement</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In January 2020, we entered into a license agreement with UTSW (UTSW License), pursuant to which UTSW granted us a royalty-bearing</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exclusive and sublicensable patent license and a non-exclusive, non-sublicensable license for mutually agreed upon development activities. Under the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UTSW License, we are obligated to pay UTSW (i) a non-refundable upfront license fee of $0.1 million, (ii) milestone payments up to a total of</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3"/>
          <w:szCs w:val="13"/>
          <w:color w:val="auto"/>
        </w:rPr>
        <w:t>$14.8 million in aggregate, which are contingent upon achieving specific development and commercialization milestone events, and (iii) royalties on</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future net sales of each royalty-bearing product ranging in the low-single digits.</w:t>
      </w:r>
    </w:p>
    <w:p>
      <w:pPr>
        <w:spacing w:after="0" w:line="182" w:lineRule="exact"/>
        <w:rPr>
          <w:sz w:val="20"/>
          <w:szCs w:val="20"/>
          <w:color w:val="auto"/>
        </w:rPr>
      </w:pPr>
    </w:p>
    <w:p>
      <w:pPr>
        <w:ind w:left="820" w:right="220" w:firstLine="385"/>
        <w:spacing w:after="0" w:line="383" w:lineRule="auto"/>
        <w:rPr>
          <w:sz w:val="20"/>
          <w:szCs w:val="20"/>
          <w:color w:val="auto"/>
        </w:rPr>
      </w:pPr>
      <w:r>
        <w:rPr>
          <w:rFonts w:ascii="Arial" w:cs="Arial" w:eastAsia="Arial" w:hAnsi="Arial"/>
          <w:sz w:val="13"/>
          <w:szCs w:val="13"/>
          <w:color w:val="auto"/>
        </w:rPr>
        <w:t>During the year ended December 31, 2020, we recorded research and development expenses of $0.1 million related to the upfront license fee payable pursuant to the UTSW License. As of March 31, 2021, we have not recognized any milestone or royalty payments under the UTSW License.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COVID-19</w:t>
      </w:r>
    </w:p>
    <w:p>
      <w:pPr>
        <w:spacing w:after="0" w:line="99"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As a result of the COVID-19 pandemic, we could experience disruptions that could severely impact our business. Potential impacts to our business include disruptions or restrictions on our employees’ ability to effectively conduct their work. In addition, some of our suppliers of certain lab materials, or service providers used in the performance of our research activities, are located in areas impacted by COVID-19, which could limit our ability to achieve planned progress. COVID-19 could adversely affect the economy and financial markets, resulting in an economic downturn that could affect our financing prospects. Any of the foregoing could harm our business and we cannot anticipate all of the ways in which health epidemics such as COVID-19 could adversely impact our business.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the section titled “Risk Factors.”</w:t>
      </w: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Components of Operating Results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99" w:lineRule="exact"/>
        <w:rPr>
          <w:sz w:val="20"/>
          <w:szCs w:val="20"/>
          <w:color w:val="auto"/>
        </w:rPr>
      </w:pPr>
    </w:p>
    <w:p>
      <w:pPr>
        <w:ind w:left="820" w:right="100" w:firstLine="385"/>
        <w:spacing w:after="0" w:line="272" w:lineRule="auto"/>
        <w:rPr>
          <w:sz w:val="20"/>
          <w:szCs w:val="20"/>
          <w:color w:val="auto"/>
        </w:rPr>
      </w:pPr>
      <w:r>
        <w:rPr>
          <w:rFonts w:ascii="Arial" w:cs="Arial" w:eastAsia="Arial" w:hAnsi="Arial"/>
          <w:sz w:val="15"/>
          <w:szCs w:val="15"/>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travel and stock-based compensation for employees engaged in research and development functions), laboratory supplies and other non-capital equipment utilized for in-house research, allocated facilities and overhead costs. External research and development expenses include, among</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420"/>
          </w:cols>
          <w:pgMar w:left="320" w:top="418" w:right="115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20"/>
        <w:spacing w:after="0" w:line="281" w:lineRule="auto"/>
        <w:rPr>
          <w:sz w:val="20"/>
          <w:szCs w:val="20"/>
          <w:color w:val="auto"/>
        </w:rPr>
      </w:pPr>
      <w:r>
        <w:rPr>
          <w:rFonts w:ascii="Arial" w:cs="Arial" w:eastAsia="Arial" w:hAnsi="Arial"/>
          <w:sz w:val="15"/>
          <w:szCs w:val="15"/>
          <w:color w:val="auto"/>
        </w:rPr>
        <w:t>others, amounts incurred to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49"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Amounts recorded for external goods or services incurred for research and development activities that have not yet been invoiced often represent estimates. We do not currently have projects that require estimates for percentage of completion and we record estimates for amounts due but not yet invoiced based on input from external service providers.</w:t>
      </w:r>
    </w:p>
    <w:p>
      <w:pPr>
        <w:spacing w:after="0" w:line="166"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99" w:lineRule="exact"/>
        <w:rPr>
          <w:sz w:val="20"/>
          <w:szCs w:val="20"/>
          <w:color w:val="auto"/>
        </w:rPr>
      </w:pPr>
    </w:p>
    <w:p>
      <w:pPr>
        <w:ind w:left="820" w:right="120" w:firstLine="385"/>
        <w:spacing w:after="0" w:line="253" w:lineRule="auto"/>
        <w:rPr>
          <w:sz w:val="20"/>
          <w:szCs w:val="20"/>
          <w:color w:val="auto"/>
        </w:rPr>
      </w:pPr>
      <w:r>
        <w:rPr>
          <w:rFonts w:ascii="Arial" w:cs="Arial" w:eastAsia="Arial" w:hAnsi="Arial"/>
          <w:sz w:val="16"/>
          <w:szCs w:val="16"/>
          <w:color w:val="auto"/>
        </w:rPr>
        <w:t>General and administrative expenses consist of personnel-related costs (including salaries, benefits, travel and stock-based compensation for our employees in executive, finance and other administrative functions), legal fees, professional fees incurred for accounting, audit, and tax services, recruiting costs, and facility costs not otherwise included in research and development expenses. Legal fees include those related to corporate and intellectual property related matters.</w:t>
      </w:r>
    </w:p>
    <w:p>
      <w:pPr>
        <w:spacing w:after="0" w:line="167" w:lineRule="exact"/>
        <w:rPr>
          <w:sz w:val="20"/>
          <w:szCs w:val="20"/>
          <w:color w:val="auto"/>
        </w:rPr>
      </w:pPr>
    </w:p>
    <w:p>
      <w:pPr>
        <w:ind w:left="820" w:firstLine="385"/>
        <w:spacing w:after="0" w:line="343" w:lineRule="auto"/>
        <w:rPr>
          <w:sz w:val="20"/>
          <w:szCs w:val="20"/>
          <w:color w:val="auto"/>
        </w:rPr>
      </w:pPr>
      <w:r>
        <w:rPr>
          <w:rFonts w:ascii="Arial" w:cs="Arial" w:eastAsia="Arial" w:hAnsi="Arial"/>
          <w:sz w:val="13"/>
          <w:szCs w:val="13"/>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Interest income primarily consists of interest earned on our cash, cash equivalents and investment balances.</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 in Fair Value of Convertible Preferred Stock Tranche Liability</w:t>
      </w:r>
    </w:p>
    <w:p>
      <w:pPr>
        <w:spacing w:after="0" w:line="99" w:lineRule="exact"/>
        <w:rPr>
          <w:sz w:val="20"/>
          <w:szCs w:val="20"/>
          <w:color w:val="auto"/>
        </w:rPr>
      </w:pPr>
    </w:p>
    <w:p>
      <w:pPr>
        <w:ind w:left="820" w:right="180" w:firstLine="385"/>
        <w:spacing w:after="0" w:line="272" w:lineRule="auto"/>
        <w:rPr>
          <w:sz w:val="20"/>
          <w:szCs w:val="20"/>
          <w:color w:val="auto"/>
        </w:rPr>
      </w:pPr>
      <w:r>
        <w:rPr>
          <w:rFonts w:ascii="Arial" w:cs="Arial" w:eastAsia="Arial" w:hAnsi="Arial"/>
          <w:sz w:val="15"/>
          <w:szCs w:val="15"/>
          <w:color w:val="auto"/>
        </w:rPr>
        <w:t>The change in fair value of our convertible preferred stock tranche liability fluctuates based on remeasurements at each reporting period. Our convertible preferred stock tranche liability stems from our obligation to issue additional shares to investors upon the second and third closings of our Series B convertible preferred stock.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Other income (expense), net primarily consists of sublease income for a portion of our facilities in South San Francisco during 2019 and 2020.</w:t>
      </w:r>
    </w:p>
    <w:p>
      <w:pPr>
        <w:spacing w:after="0" w:line="1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400"/>
          </w:cols>
          <w:pgMar w:left="320" w:top="418" w:right="117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Results of Operations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Comparison of the Three Months Ended March 31, 2020 and 2021</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results of operations for the periods presented.</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w w:val="91"/>
              </w:rPr>
              <w:t>Three Months Ended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March 31,</w:t>
            </w:r>
          </w:p>
        </w:tc>
        <w:tc>
          <w:tcPr>
            <w:tcW w:w="660" w:type="dxa"/>
            <w:vAlign w:val="bottom"/>
            <w:gridSpan w:val="2"/>
          </w:tcPr>
          <w:p>
            <w:pPr>
              <w:jc w:val="right"/>
              <w:ind w:right="145"/>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85"/>
              <w:spacing w:after="0" w:line="122" w:lineRule="exact"/>
              <w:rPr>
                <w:sz w:val="20"/>
                <w:szCs w:val="20"/>
                <w:color w:val="auto"/>
              </w:rPr>
            </w:pPr>
            <w:r>
              <w:rPr>
                <w:rFonts w:ascii="Arial" w:cs="Arial" w:eastAsia="Arial" w:hAnsi="Arial"/>
                <w:sz w:val="13"/>
                <w:szCs w:val="13"/>
                <w:b w:val="1"/>
                <w:bCs w:val="1"/>
                <w:color w:val="auto"/>
                <w:w w:val="96"/>
              </w:rPr>
              <w:t>2020</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03"/>
              <w:spacing w:after="0" w:line="122"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240"/>
              <w:spacing w:after="0" w:line="122" w:lineRule="exact"/>
              <w:rPr>
                <w:sz w:val="20"/>
                <w:szCs w:val="20"/>
                <w:color w:val="auto"/>
              </w:rPr>
            </w:pPr>
            <w:r>
              <w:rPr>
                <w:rFonts w:ascii="Arial" w:cs="Arial" w:eastAsia="Arial" w:hAnsi="Arial"/>
                <w:sz w:val="13"/>
                <w:szCs w:val="13"/>
                <w:b w:val="1"/>
                <w:bCs w:val="1"/>
                <w:color w:val="auto"/>
                <w:w w:val="92"/>
              </w:rPr>
              <w:t>Change</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jc w:val="right"/>
              <w:ind w:right="160"/>
              <w:spacing w:after="0" w:line="122"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7,297</w:t>
            </w:r>
          </w:p>
        </w:tc>
        <w:tc>
          <w:tcPr>
            <w:tcW w:w="1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9,590</w:t>
            </w: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$ 2,293</w:t>
            </w:r>
          </w:p>
        </w:tc>
        <w:tc>
          <w:tcPr>
            <w:tcW w:w="20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600"/>
              <w:spacing w:after="0"/>
              <w:rPr>
                <w:sz w:val="20"/>
                <w:szCs w:val="20"/>
                <w:color w:val="auto"/>
              </w:rPr>
            </w:pPr>
            <w:r>
              <w:rPr>
                <w:rFonts w:ascii="Arial" w:cs="Arial" w:eastAsia="Arial" w:hAnsi="Arial"/>
                <w:sz w:val="16"/>
                <w:szCs w:val="16"/>
                <w:color w:val="auto"/>
              </w:rPr>
              <w:t>Total operating expenses</w:t>
            </w: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9,266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13,105</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3,839</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(9,266)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(13,105)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(3,839)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8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(179)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600"/>
              <w:spacing w:after="0"/>
              <w:rPr>
                <w:sz w:val="20"/>
                <w:szCs w:val="20"/>
                <w:color w:val="auto"/>
              </w:rPr>
            </w:pPr>
            <w:r>
              <w:rPr>
                <w:rFonts w:ascii="Arial" w:cs="Arial" w:eastAsia="Arial" w:hAnsi="Arial"/>
                <w:sz w:val="16"/>
                <w:szCs w:val="16"/>
                <w:color w:val="auto"/>
              </w:rPr>
              <w:t>Total other income (expense), net</w:t>
            </w: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(208)</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(9,051)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(13,098)</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(4,047)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research and development expenses for the periods presented.</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4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March 31,</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9"/>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21"/>
        </w:trPr>
        <w:tc>
          <w:tcPr>
            <w:tcW w:w="45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87"/>
              <w:spacing w:after="0" w:line="122" w:lineRule="exact"/>
              <w:rPr>
                <w:sz w:val="20"/>
                <w:szCs w:val="20"/>
                <w:color w:val="auto"/>
              </w:rPr>
            </w:pPr>
            <w:r>
              <w:rPr>
                <w:rFonts w:ascii="Arial" w:cs="Arial" w:eastAsia="Arial" w:hAnsi="Arial"/>
                <w:sz w:val="13"/>
                <w:szCs w:val="13"/>
                <w:b w:val="1"/>
                <w:bCs w:val="1"/>
                <w:color w:val="auto"/>
                <w:w w:val="89"/>
              </w:rPr>
              <w:t>2020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84"/>
              <w:spacing w:after="0" w:line="122" w:lineRule="exact"/>
              <w:rPr>
                <w:sz w:val="20"/>
                <w:szCs w:val="20"/>
                <w:color w:val="auto"/>
              </w:rPr>
            </w:pPr>
            <w:r>
              <w:rPr>
                <w:rFonts w:ascii="Arial" w:cs="Arial" w:eastAsia="Arial" w:hAnsi="Arial"/>
                <w:sz w:val="13"/>
                <w:szCs w:val="13"/>
                <w:b w:val="1"/>
                <w:bCs w:val="1"/>
                <w:color w:val="auto"/>
                <w:w w:val="96"/>
              </w:rPr>
              <w:t>2021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right"/>
              <w:ind w:right="260"/>
              <w:spacing w:after="0" w:line="122" w:lineRule="exact"/>
              <w:rPr>
                <w:sz w:val="20"/>
                <w:szCs w:val="20"/>
                <w:color w:val="auto"/>
              </w:rPr>
            </w:pPr>
            <w:r>
              <w:rPr>
                <w:rFonts w:ascii="Arial" w:cs="Arial" w:eastAsia="Arial" w:hAnsi="Arial"/>
                <w:sz w:val="13"/>
                <w:szCs w:val="13"/>
                <w:b w:val="1"/>
                <w:bCs w:val="1"/>
                <w:color w:val="auto"/>
                <w:w w:val="79"/>
              </w:rPr>
              <w:t>Change</w:t>
            </w:r>
          </w:p>
        </w:tc>
        <w:tc>
          <w:tcPr>
            <w:tcW w:w="84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8"/>
              </w:rPr>
              <w:t>Change</w:t>
            </w:r>
          </w:p>
        </w:tc>
      </w:tr>
      <w:tr>
        <w:trPr>
          <w:trHeight w:val="121"/>
        </w:trPr>
        <w:tc>
          <w:tcPr>
            <w:tcW w:w="45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tcPr>
          <w:p>
            <w:pPr>
              <w:ind w:left="220"/>
              <w:spacing w:after="0" w:line="122" w:lineRule="exact"/>
              <w:rPr>
                <w:sz w:val="20"/>
                <w:szCs w:val="20"/>
                <w:color w:val="auto"/>
              </w:rPr>
            </w:pPr>
            <w:r>
              <w:rPr>
                <w:rFonts w:ascii="Arial" w:cs="Arial" w:eastAsia="Arial" w:hAnsi="Arial"/>
                <w:sz w:val="13"/>
                <w:szCs w:val="13"/>
                <w:b w:val="1"/>
                <w:bCs w:val="1"/>
                <w:color w:val="auto"/>
              </w:rPr>
              <w:t>(in thousands)</w:t>
            </w: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Facility and laboratory costs</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2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57%</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Personnel-related costs</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2,432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3,337</w:t>
            </w:r>
          </w:p>
        </w:tc>
        <w:tc>
          <w:tcPr>
            <w:tcW w:w="2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37%</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External costs</w:t>
            </w: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Other research and development expenses</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(193)</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(63)%</w:t>
            </w:r>
          </w:p>
        </w:tc>
      </w:tr>
      <w:tr>
        <w:trPr>
          <w:trHeight w:val="24"/>
        </w:trPr>
        <w:tc>
          <w:tcPr>
            <w:tcW w:w="4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89"/>
        </w:trPr>
        <w:tc>
          <w:tcPr>
            <w:tcW w:w="4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research and development expenses</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2,293</w:t>
            </w:r>
          </w:p>
        </w:tc>
        <w:tc>
          <w:tcPr>
            <w:tcW w:w="2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r>
      <w:tr>
        <w:trPr>
          <w:trHeight w:val="20"/>
        </w:trPr>
        <w:tc>
          <w:tcPr>
            <w:tcW w:w="4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Research and development expenses were $7.3 million and $9.6 million for the three months ended March 31, 2020 and 2021, respectively. The increase of $2.3 million, or 31%, was primarily due to:</w:t>
      </w:r>
    </w:p>
    <w:p>
      <w:pPr>
        <w:spacing w:after="0" w:line="76" w:lineRule="exact"/>
        <w:rPr>
          <w:sz w:val="20"/>
          <w:szCs w:val="20"/>
          <w:color w:val="auto"/>
        </w:rPr>
      </w:pPr>
    </w:p>
    <w:p>
      <w:pPr>
        <w:ind w:left="1660" w:right="340" w:hanging="469"/>
        <w:spacing w:after="0" w:line="266" w:lineRule="auto"/>
        <w:tabs>
          <w:tab w:leader="none" w:pos="1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increase of $1.5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increase of $0.9 million in personnel-related costs, including stock-based compensation, primarily due to growth in the number of our research and development employees as we expanded our research and development capabilities; and</w:t>
      </w:r>
    </w:p>
    <w:p>
      <w:pPr>
        <w:spacing w:after="0" w:line="75" w:lineRule="exact"/>
        <w:rPr>
          <w:rFonts w:ascii="Arial" w:cs="Arial" w:eastAsia="Arial" w:hAnsi="Arial"/>
          <w:sz w:val="16"/>
          <w:szCs w:val="16"/>
          <w:color w:val="auto"/>
        </w:rPr>
      </w:pPr>
    </w:p>
    <w:p>
      <w:pPr>
        <w:ind w:left="1660" w:right="320" w:hanging="469"/>
        <w:spacing w:after="0" w:line="300"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 increase of $0.1 million in external costs, including amounts paid to CROs for research and development activities, consulting fees, preclinical studies and other external research expenses as we progressed development of our programs.</w:t>
      </w:r>
    </w:p>
    <w:p>
      <w:pPr>
        <w:spacing w:after="0" w:line="135" w:lineRule="exact"/>
        <w:rPr>
          <w:sz w:val="20"/>
          <w:szCs w:val="20"/>
          <w:color w:val="auto"/>
        </w:rPr>
      </w:pPr>
    </w:p>
    <w:p>
      <w:pPr>
        <w:jc w:val="center"/>
        <w:ind w:left="860" w:right="660"/>
        <w:spacing w:after="0" w:line="436" w:lineRule="auto"/>
        <w:rPr>
          <w:sz w:val="20"/>
          <w:szCs w:val="20"/>
          <w:color w:val="auto"/>
        </w:rPr>
      </w:pPr>
      <w:r>
        <w:rPr>
          <w:rFonts w:ascii="Arial" w:cs="Arial" w:eastAsia="Arial" w:hAnsi="Arial"/>
          <w:sz w:val="16"/>
          <w:szCs w:val="16"/>
          <w:color w:val="auto"/>
        </w:rPr>
        <w:t>These increases were partially offset by a decrease of $0.2 million in other research and development expenses, including licensing fees. 111</w:t>
      </w:r>
    </w:p>
    <w:p>
      <w:pPr>
        <w:sectPr>
          <w:pgSz w:w="11900" w:h="16838" w:orient="portrait"/>
          <w:cols w:equalWidth="0" w:num="1">
            <w:col w:w="10440"/>
          </w:cols>
          <w:pgMar w:left="320" w:top="418" w:right="11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99"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General and administrative expenses were $2.0 million and $3.5 million for the three months ended March 31, 2020 and 2021, respectively. The increase of $1.5 million, or 79%, was primarily due to a $0.8 million increase in professional service expenses and a $0.6 million increase in personnel-related expenses, including stock-based compensation, as a result of increased headcount as we grew our operations.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99" w:lineRule="exact"/>
        <w:rPr>
          <w:sz w:val="20"/>
          <w:szCs w:val="20"/>
          <w:color w:val="auto"/>
        </w:rPr>
      </w:pPr>
    </w:p>
    <w:p>
      <w:pPr>
        <w:ind w:left="820" w:right="280" w:firstLine="385"/>
        <w:spacing w:after="0" w:line="266" w:lineRule="auto"/>
        <w:rPr>
          <w:sz w:val="20"/>
          <w:szCs w:val="20"/>
          <w:color w:val="auto"/>
        </w:rPr>
      </w:pPr>
      <w:r>
        <w:rPr>
          <w:rFonts w:ascii="Arial" w:cs="Arial" w:eastAsia="Arial" w:hAnsi="Arial"/>
          <w:sz w:val="16"/>
          <w:szCs w:val="16"/>
          <w:color w:val="auto"/>
        </w:rPr>
        <w:t>Interest income was $57,000 and $9,000 for the three months ended March 31, 2020 and 2021, respectively. The decrease of $48,000, or 84%, was primarily due to a change in our investment portfolio mix.</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 in Fair Value of Convertible Preferred Stock Tranche Liability</w:t>
      </w:r>
    </w:p>
    <w:p>
      <w:pPr>
        <w:spacing w:after="0" w:line="99" w:lineRule="exact"/>
        <w:rPr>
          <w:sz w:val="20"/>
          <w:szCs w:val="20"/>
          <w:color w:val="auto"/>
        </w:rPr>
      </w:pPr>
    </w:p>
    <w:p>
      <w:pPr>
        <w:jc w:val="both"/>
        <w:ind w:left="820" w:right="20" w:firstLine="385"/>
        <w:spacing w:after="0" w:line="256" w:lineRule="auto"/>
        <w:rPr>
          <w:sz w:val="20"/>
          <w:szCs w:val="20"/>
          <w:color w:val="auto"/>
        </w:rPr>
      </w:pPr>
      <w:r>
        <w:rPr>
          <w:rFonts w:ascii="Arial" w:cs="Arial" w:eastAsia="Arial" w:hAnsi="Arial"/>
          <w:sz w:val="16"/>
          <w:szCs w:val="16"/>
          <w:color w:val="auto"/>
        </w:rPr>
        <w:t>The change in fair value of our convertible preferred stock tranche liability for the three months ended March 31, 2020 was attributable to changes in the fair value of the underlying Series B convertible preferred stock. There was no similar expense for the three months ended March 31, 2021 as our convertible preferred stock tranche liability was settled in 2020.</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99"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Other income (expense), net of $0.2 million for the three months ended March 31, 2020 was primarily due to sublease income. We did not have any sublease agreements in place during the three months ended March 31, 2021.</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Comparison of the Years Ended December 31, 2019 and 2020</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results of operations for the periods presented.</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87"/>
              </w:rPr>
              <w:t>Year Ended December 31,</w:t>
            </w:r>
          </w:p>
        </w:tc>
        <w:tc>
          <w:tcPr>
            <w:tcW w:w="740" w:type="dxa"/>
            <w:vAlign w:val="bottom"/>
            <w:gridSpan w:val="2"/>
          </w:tcPr>
          <w:p>
            <w:pPr>
              <w:jc w:val="right"/>
              <w:ind w:right="185"/>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24"/>
              <w:spacing w:after="0" w:line="12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23"/>
              <w:spacing w:after="0" w:line="122"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6"/>
              </w:rPr>
              <w:t>Change</w:t>
            </w: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right"/>
              <w:ind w:right="160"/>
              <w:spacing w:after="0" w:line="122" w:lineRule="exact"/>
              <w:rPr>
                <w:sz w:val="20"/>
                <w:szCs w:val="20"/>
                <w:color w:val="auto"/>
              </w:rPr>
            </w:pPr>
            <w:r>
              <w:rPr>
                <w:rFonts w:ascii="Arial" w:cs="Arial" w:eastAsia="Arial" w:hAnsi="Arial"/>
                <w:sz w:val="13"/>
                <w:szCs w:val="13"/>
                <w:b w:val="1"/>
                <w:bCs w:val="1"/>
                <w:color w:val="auto"/>
                <w:w w:val="95"/>
              </w:rPr>
              <w:t>(in thousands)</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Research and development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23,148</w:t>
            </w:r>
          </w:p>
        </w:tc>
        <w:tc>
          <w:tcPr>
            <w:tcW w:w="16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31,099</w:t>
            </w: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7,951</w:t>
            </w:r>
          </w:p>
        </w:tc>
        <w:tc>
          <w:tcPr>
            <w:tcW w:w="20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2"/>
            <w:vMerge w:val="restart"/>
          </w:tcPr>
          <w:p>
            <w:pPr>
              <w:ind w:left="420"/>
              <w:spacing w:after="0"/>
              <w:rPr>
                <w:sz w:val="20"/>
                <w:szCs w:val="20"/>
                <w:color w:val="auto"/>
              </w:rPr>
            </w:pPr>
            <w:r>
              <w:rPr>
                <w:rFonts w:ascii="Arial" w:cs="Arial" w:eastAsia="Arial" w:hAnsi="Arial"/>
                <w:sz w:val="16"/>
                <w:szCs w:val="16"/>
                <w:color w:val="auto"/>
              </w:rPr>
              <w:t>Total operating expenses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27,712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38,912</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11,200</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(27,712)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(38,912)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(11,200)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Other income (expense), net: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income</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(366)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w w:val="92"/>
              </w:rPr>
              <w:t>Change in fair value of convertible preferred stock tranche liability</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ind w:left="160"/>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income (expense), net</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2"/>
            <w:vMerge w:val="restart"/>
          </w:tcPr>
          <w:p>
            <w:pPr>
              <w:ind w:left="420"/>
              <w:spacing w:after="0"/>
              <w:rPr>
                <w:sz w:val="20"/>
                <w:szCs w:val="20"/>
                <w:color w:val="auto"/>
              </w:rPr>
            </w:pPr>
            <w:r>
              <w:rPr>
                <w:rFonts w:ascii="Arial" w:cs="Arial" w:eastAsia="Arial" w:hAnsi="Arial"/>
                <w:sz w:val="16"/>
                <w:szCs w:val="16"/>
                <w:color w:val="auto"/>
              </w:rPr>
              <w:t>Total other income (expense), net</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1,481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517</w:t>
            </w: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(964)</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(26,231)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(38,395)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(12,164)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4400" w:type="dxa"/>
            <w:vAlign w:val="bottom"/>
            <w:gridSpan w:val="2"/>
          </w:tcPr>
          <w:p>
            <w:pPr>
              <w:ind w:left="180"/>
              <w:spacing w:after="0"/>
              <w:rPr>
                <w:sz w:val="20"/>
                <w:szCs w:val="20"/>
                <w:color w:val="auto"/>
              </w:rPr>
            </w:pPr>
            <w:r>
              <w:rPr>
                <w:rFonts w:ascii="Arial" w:cs="Arial" w:eastAsia="Arial" w:hAnsi="Arial"/>
                <w:sz w:val="16"/>
                <w:szCs w:val="16"/>
                <w:color w:val="auto"/>
              </w:rPr>
              <w:t>nmf—not meaningful</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60" w:type="dxa"/>
            <w:vAlign w:val="bottom"/>
          </w:tcPr>
          <w:p>
            <w:pPr>
              <w:jc w:val="right"/>
              <w:ind w:right="1061"/>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research and development expenses for the periods presented.</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w w:val="86"/>
              </w:rPr>
              <w:t>Year Ended December 31,</w:t>
            </w:r>
          </w:p>
        </w:tc>
        <w:tc>
          <w:tcPr>
            <w:tcW w:w="760" w:type="dxa"/>
            <w:vAlign w:val="bottom"/>
            <w:gridSpan w:val="2"/>
          </w:tcPr>
          <w:p>
            <w:pPr>
              <w:jc w:val="right"/>
              <w:ind w:right="129"/>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61"/>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r>
      <w:tr>
        <w:trPr>
          <w:trHeight w:val="121"/>
        </w:trPr>
        <w:tc>
          <w:tcPr>
            <w:tcW w:w="4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24"/>
              <w:spacing w:after="0" w:line="122" w:lineRule="exact"/>
              <w:rPr>
                <w:sz w:val="20"/>
                <w:szCs w:val="20"/>
                <w:color w:val="auto"/>
              </w:rPr>
            </w:pPr>
            <w:r>
              <w:rPr>
                <w:rFonts w:ascii="Arial" w:cs="Arial" w:eastAsia="Arial" w:hAnsi="Arial"/>
                <w:sz w:val="13"/>
                <w:szCs w:val="13"/>
                <w:b w:val="1"/>
                <w:bCs w:val="1"/>
                <w:color w:val="auto"/>
                <w:w w:val="96"/>
              </w:rPr>
              <w:t>2020</w:t>
            </w:r>
          </w:p>
        </w:tc>
        <w:tc>
          <w:tcPr>
            <w:tcW w:w="3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83"/>
              </w:rPr>
              <w:t>Change</w:t>
            </w:r>
          </w:p>
        </w:tc>
        <w:tc>
          <w:tcPr>
            <w:tcW w:w="900" w:type="dxa"/>
            <w:vAlign w:val="bottom"/>
            <w:gridSpan w:val="3"/>
          </w:tcPr>
          <w:p>
            <w:pPr>
              <w:jc w:val="center"/>
              <w:ind w:left="47"/>
              <w:spacing w:after="0" w:line="122" w:lineRule="exact"/>
              <w:rPr>
                <w:sz w:val="20"/>
                <w:szCs w:val="20"/>
                <w:color w:val="auto"/>
              </w:rPr>
            </w:pPr>
            <w:r>
              <w:rPr>
                <w:rFonts w:ascii="Arial" w:cs="Arial" w:eastAsia="Arial" w:hAnsi="Arial"/>
                <w:sz w:val="13"/>
                <w:szCs w:val="13"/>
                <w:b w:val="1"/>
                <w:bCs w:val="1"/>
                <w:color w:val="auto"/>
                <w:w w:val="88"/>
              </w:rPr>
              <w:t>Change</w:t>
            </w:r>
          </w:p>
        </w:tc>
      </w:tr>
      <w:tr>
        <w:trPr>
          <w:trHeight w:val="121"/>
        </w:trPr>
        <w:tc>
          <w:tcPr>
            <w:tcW w:w="4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3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8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Personnel-related costs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10,525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Facility and laboratory costs</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8,786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11,798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3,012</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34%</w:t>
            </w:r>
          </w:p>
        </w:tc>
      </w:tr>
      <w:tr>
        <w:trPr>
          <w:trHeight w:val="18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External costs</w:t>
            </w: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Other research and development expenses</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237</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586</w:t>
            </w:r>
          </w:p>
        </w:tc>
        <w:tc>
          <w:tcPr>
            <w:tcW w:w="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349</w:t>
            </w:r>
          </w:p>
        </w:tc>
        <w:tc>
          <w:tcPr>
            <w:tcW w:w="3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147%</w:t>
            </w:r>
          </w:p>
        </w:tc>
      </w:tr>
      <w:tr>
        <w:trPr>
          <w:trHeight w:val="24"/>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89"/>
        </w:trPr>
        <w:tc>
          <w:tcPr>
            <w:tcW w:w="4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research and development expenses</w:t>
            </w: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31,099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7,951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280" w:firstLine="385"/>
        <w:spacing w:after="0" w:line="266" w:lineRule="auto"/>
        <w:rPr>
          <w:sz w:val="20"/>
          <w:szCs w:val="20"/>
          <w:color w:val="auto"/>
        </w:rPr>
      </w:pPr>
      <w:r>
        <w:rPr>
          <w:rFonts w:ascii="Arial" w:cs="Arial" w:eastAsia="Arial" w:hAnsi="Arial"/>
          <w:sz w:val="16"/>
          <w:szCs w:val="16"/>
          <w:color w:val="auto"/>
        </w:rPr>
        <w:t>Research and development expenses were $23.1 million and $31.1 million for the years ended December 31, 2019 and 2020, respectively. The increase of $8.0 million, or 34%, was primarily due to:</w:t>
      </w:r>
    </w:p>
    <w:p>
      <w:pPr>
        <w:spacing w:after="0" w:line="76" w:lineRule="exact"/>
        <w:rPr>
          <w:sz w:val="20"/>
          <w:szCs w:val="20"/>
          <w:color w:val="auto"/>
        </w:rPr>
      </w:pPr>
    </w:p>
    <w:p>
      <w:pPr>
        <w:ind w:left="1660" w:right="180" w:hanging="469"/>
        <w:spacing w:after="0" w:line="266" w:lineRule="auto"/>
        <w:tabs>
          <w:tab w:leader="none" w:pos="1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increase of $3.4 million in personnel-related costs, including stock-based compensation, primarily due to growth in the number of our research and development employees as we expanded our research and development capabilities;</w:t>
      </w:r>
    </w:p>
    <w:p>
      <w:pPr>
        <w:spacing w:after="0" w:line="75"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increase of $3.0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6"/>
          <w:szCs w:val="16"/>
          <w:color w:val="auto"/>
        </w:rPr>
      </w:pPr>
    </w:p>
    <w:p>
      <w:pPr>
        <w:ind w:left="1660" w:right="320" w:hanging="469"/>
        <w:spacing w:after="0" w:line="300"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increase of $1.2 million in external costs, including amounts paid to CROs for research and development activities, consulting fees, preclinical studies and other external research expenses as we progressed development of our programs; and</w:t>
      </w:r>
    </w:p>
    <w:p>
      <w:pPr>
        <w:spacing w:after="0" w:line="52" w:lineRule="exact"/>
        <w:rPr>
          <w:rFonts w:ascii="Arial" w:cs="Arial" w:eastAsia="Arial" w:hAnsi="Arial"/>
          <w:sz w:val="15"/>
          <w:szCs w:val="15"/>
          <w:color w:val="auto"/>
        </w:rPr>
      </w:pPr>
    </w:p>
    <w:p>
      <w:pPr>
        <w:ind w:left="1660" w:right="260" w:hanging="469"/>
        <w:spacing w:after="0" w:line="266" w:lineRule="auto"/>
        <w:tabs>
          <w:tab w:leader="none" w:pos="1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increase of $0.3 million in other research and development expenses, including licensing fees, due to entering into additional license agreements in 2020.</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99" w:lineRule="exact"/>
        <w:rPr>
          <w:sz w:val="20"/>
          <w:szCs w:val="20"/>
          <w:color w:val="auto"/>
        </w:rPr>
      </w:pPr>
    </w:p>
    <w:p>
      <w:pPr>
        <w:ind w:left="820" w:right="160" w:firstLine="385"/>
        <w:spacing w:after="0" w:line="253" w:lineRule="auto"/>
        <w:rPr>
          <w:sz w:val="20"/>
          <w:szCs w:val="20"/>
          <w:color w:val="auto"/>
        </w:rPr>
      </w:pPr>
      <w:r>
        <w:rPr>
          <w:rFonts w:ascii="Arial" w:cs="Arial" w:eastAsia="Arial" w:hAnsi="Arial"/>
          <w:sz w:val="16"/>
          <w:szCs w:val="16"/>
          <w:color w:val="auto"/>
        </w:rPr>
        <w:t>General and administrative expenses were $4.6 million and $7.8 million for the years ended December 31, 2019 and 2020, respectively. The increase of $3.2 million, or 71%, was primarily due to a $1.4 million increase in personnel-related expenses, including stock-based compensation, as a result of higher headcount as we grew our operations, a $1.2 million increase in professional service expenses and a $0.3 million increase in facility related expenses to support the growth of our operations.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99" w:lineRule="exact"/>
        <w:rPr>
          <w:sz w:val="20"/>
          <w:szCs w:val="20"/>
          <w:color w:val="auto"/>
        </w:rPr>
      </w:pPr>
    </w:p>
    <w:p>
      <w:pPr>
        <w:ind w:left="820" w:right="60" w:firstLine="385"/>
        <w:spacing w:after="0" w:line="300" w:lineRule="auto"/>
        <w:rPr>
          <w:sz w:val="20"/>
          <w:szCs w:val="20"/>
          <w:color w:val="auto"/>
        </w:rPr>
      </w:pPr>
      <w:r>
        <w:rPr>
          <w:rFonts w:ascii="Arial" w:cs="Arial" w:eastAsia="Arial" w:hAnsi="Arial"/>
          <w:sz w:val="15"/>
          <w:szCs w:val="15"/>
          <w:color w:val="auto"/>
        </w:rPr>
        <w:t>Interest income was $0.5 million and $0.1 million for the years ended December 31, 2019 and 2020, respectively. The decrease of $0.4 million, or 81%, was primarily due to lower average interest rates in 2020 as compared to 2019 and a change in our investment portfolio mix.</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 in Fair Value of Convertible Preferred Stock Tranche Liability</w:t>
      </w:r>
    </w:p>
    <w:p>
      <w:pPr>
        <w:spacing w:after="0" w:line="99"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The $0.1 million change in fair value of our convertible preferred stock tranche liability for the year ended December 31, 2020 was attributable to changes in the fair value of the underlying Series B convertible preferred stock.</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99" w:lineRule="exact"/>
        <w:rPr>
          <w:sz w:val="20"/>
          <w:szCs w:val="20"/>
          <w:color w:val="auto"/>
        </w:rPr>
      </w:pPr>
    </w:p>
    <w:p>
      <w:pPr>
        <w:ind w:left="820" w:right="280" w:firstLine="385"/>
        <w:spacing w:after="0" w:line="256" w:lineRule="auto"/>
        <w:rPr>
          <w:sz w:val="20"/>
          <w:szCs w:val="20"/>
          <w:color w:val="auto"/>
        </w:rPr>
      </w:pPr>
      <w:r>
        <w:rPr>
          <w:rFonts w:ascii="Arial" w:cs="Arial" w:eastAsia="Arial" w:hAnsi="Arial"/>
          <w:sz w:val="16"/>
          <w:szCs w:val="16"/>
          <w:color w:val="auto"/>
        </w:rPr>
        <w:t>Other income (expense), net was $1.0 million and $0.4 million for the years ended December 31, 2019 and 2020, respectively. The decrease in other income of $0.7 million, or 65%, was primarily due to a $0.6 million reduction in sublease income as a result of the expiration of one of our sublease agreements in the third quarter of 2019.</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440"/>
          </w:cols>
          <w:pgMar w:left="320" w:top="418" w:right="11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Liquidity and Capital Resources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99"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Since our inception, we have not generated any revenue and we have incurred significant net losses and negative cash flows from operations. 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 and an accumulated deficit of $95.9 million.</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99" w:lineRule="exact"/>
        <w:rPr>
          <w:sz w:val="20"/>
          <w:szCs w:val="20"/>
          <w:color w:val="auto"/>
        </w:rPr>
      </w:pPr>
    </w:p>
    <w:p>
      <w:pPr>
        <w:ind w:left="820" w:right="280" w:firstLine="385"/>
        <w:spacing w:after="0" w:line="266" w:lineRule="auto"/>
        <w:rPr>
          <w:sz w:val="20"/>
          <w:szCs w:val="20"/>
          <w:color w:val="auto"/>
        </w:rPr>
      </w:pPr>
      <w:r>
        <w:rPr>
          <w:rFonts w:ascii="Arial" w:cs="Arial" w:eastAsia="Arial" w:hAnsi="Arial"/>
          <w:sz w:val="16"/>
          <w:szCs w:val="16"/>
          <w:color w:val="auto"/>
        </w:rPr>
        <w:t>We expect our expenses and operating losses will increase substantially over the foreseeable future. The expected increase in expenses will be driven in large part by our ongoing activities, if and as we:</w:t>
      </w:r>
    </w:p>
    <w:p>
      <w:pPr>
        <w:spacing w:after="0" w:line="76" w:lineRule="exact"/>
        <w:rPr>
          <w:sz w:val="20"/>
          <w:szCs w:val="20"/>
          <w:color w:val="auto"/>
        </w:rPr>
      </w:pPr>
    </w:p>
    <w:p>
      <w:pPr>
        <w:ind w:left="1660" w:hanging="469"/>
        <w:spacing w:after="0"/>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continue to advance our Gene Therapy, Cellular Regeneration and Precision Medicine platforms;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continue preclinical development of our product candidates and initiate additional preclinical studies;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commence clinical trials of our product candidates;</w:t>
      </w:r>
    </w:p>
    <w:p>
      <w:pPr>
        <w:spacing w:after="0" w:line="110"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build out our manufacturing facilities and establish our manufacturing capabilities, including developing our contract development and manufacturing relationships;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acquire and license technologies aligned with our Gene Therapy, Cellular Regeneration and Precision Medicine platforms;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seek regulatory approval of our product candidates that successfully complete clinical trials;</w:t>
      </w:r>
    </w:p>
    <w:p>
      <w:pPr>
        <w:spacing w:after="0" w:line="110" w:lineRule="exact"/>
        <w:rPr>
          <w:rFonts w:ascii="Arial" w:cs="Arial" w:eastAsia="Arial" w:hAnsi="Arial"/>
          <w:sz w:val="16"/>
          <w:szCs w:val="16"/>
          <w:color w:val="auto"/>
        </w:rPr>
      </w:pPr>
    </w:p>
    <w:p>
      <w:pPr>
        <w:ind w:left="1660" w:right="300" w:hanging="469"/>
        <w:spacing w:after="0" w:line="266" w:lineRule="auto"/>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personnel to support our preclinical and clinical development, manufacturing, and future commercialization efforts;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continue to develop, grow, perfect, enforce and defend our intellectual property portfolio; and</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incur additional legal, accounting, and other expenses in operating our business, including the additional costs associated with operating as a public company.</w:t>
      </w:r>
    </w:p>
    <w:p>
      <w:pPr>
        <w:spacing w:after="0" w:line="158" w:lineRule="exact"/>
        <w:rPr>
          <w:sz w:val="20"/>
          <w:szCs w:val="20"/>
          <w:color w:val="auto"/>
        </w:rPr>
      </w:pPr>
    </w:p>
    <w:p>
      <w:pPr>
        <w:ind w:left="820" w:right="80" w:firstLine="385"/>
        <w:spacing w:after="0" w:line="383" w:lineRule="auto"/>
        <w:rPr>
          <w:sz w:val="20"/>
          <w:szCs w:val="20"/>
          <w:color w:val="auto"/>
        </w:rPr>
      </w:pPr>
      <w:r>
        <w:rPr>
          <w:rFonts w:ascii="Arial" w:cs="Arial" w:eastAsia="Arial" w:hAnsi="Arial"/>
          <w:sz w:val="13"/>
          <w:szCs w:val="13"/>
          <w:color w:val="auto"/>
        </w:rPr>
        <w:t>Based on our current operating plan and without giving effect to the anticipated net proceeds from this offering, we believe that our existing cash and cash equivalents will be sufficient to meet our working capital and capital expenditure needs for at least the next twelve months.</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We also believe that the anticipated net proceeds from this offering, together with our existing cash and cash equivalents, will be sufficient to fund</w:t>
      </w:r>
    </w:p>
    <w:p>
      <w:pPr>
        <w:spacing w:after="0" w:line="51" w:lineRule="exact"/>
        <w:rPr>
          <w:sz w:val="20"/>
          <w:szCs w:val="20"/>
          <w:color w:val="auto"/>
        </w:rPr>
      </w:pPr>
    </w:p>
    <w:p>
      <w:pPr>
        <w:ind w:left="820" w:right="420"/>
        <w:spacing w:after="0" w:line="249" w:lineRule="auto"/>
        <w:rPr>
          <w:sz w:val="20"/>
          <w:szCs w:val="20"/>
          <w:color w:val="auto"/>
        </w:rPr>
      </w:pPr>
      <w:r>
        <w:rPr>
          <w:rFonts w:ascii="Arial" w:cs="Arial" w:eastAsia="Arial" w:hAnsi="Arial"/>
          <w:sz w:val="16"/>
          <w:szCs w:val="16"/>
          <w:color w:val="auto"/>
        </w:rPr>
        <w:t>our planned operating expenses and capital expenditure requirements for .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71"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400"/>
          </w:cols>
          <w:pgMar w:left="320" w:top="418" w:right="117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323" w:lineRule="auto"/>
        <w:rPr>
          <w:sz w:val="20"/>
          <w:szCs w:val="20"/>
          <w:color w:val="auto"/>
        </w:rPr>
      </w:pPr>
      <w:r>
        <w:rPr>
          <w:rFonts w:ascii="Arial" w:cs="Arial" w:eastAsia="Arial" w:hAnsi="Arial"/>
          <w:sz w:val="13"/>
          <w:szCs w:val="13"/>
          <w:color w:val="auto"/>
        </w:rPr>
        <w:t>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26" w:lineRule="exact"/>
        <w:rPr>
          <w:sz w:val="20"/>
          <w:szCs w:val="20"/>
          <w:color w:val="auto"/>
        </w:rPr>
      </w:pPr>
    </w:p>
    <w:p>
      <w:pPr>
        <w:ind w:left="820" w:right="140" w:firstLine="385"/>
        <w:spacing w:after="0" w:line="270" w:lineRule="auto"/>
        <w:rPr>
          <w:sz w:val="20"/>
          <w:szCs w:val="20"/>
          <w:color w:val="auto"/>
        </w:rPr>
      </w:pPr>
      <w:r>
        <w:rPr>
          <w:rFonts w:ascii="Arial" w:cs="Arial" w:eastAsia="Arial" w:hAnsi="Arial"/>
          <w:sz w:val="15"/>
          <w:szCs w:val="15"/>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25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Cash Flows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cash flows for each of the periods indicated.</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6"/>
              </w:rPr>
              <w:t>Three Months Ended</w:t>
            </w:r>
          </w:p>
        </w:tc>
      </w:tr>
      <w:tr>
        <w:trPr>
          <w:trHeight w:val="150"/>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80" w:type="dxa"/>
            <w:vAlign w:val="bottom"/>
            <w:gridSpan w:val="7"/>
          </w:tcPr>
          <w:p>
            <w:pPr>
              <w:jc w:val="right"/>
              <w:ind w:right="240"/>
              <w:spacing w:after="0"/>
              <w:rPr>
                <w:sz w:val="20"/>
                <w:szCs w:val="20"/>
                <w:color w:val="auto"/>
              </w:rPr>
            </w:pPr>
            <w:r>
              <w:rPr>
                <w:rFonts w:ascii="Arial" w:cs="Arial" w:eastAsia="Arial" w:hAnsi="Arial"/>
                <w:sz w:val="13"/>
                <w:szCs w:val="13"/>
                <w:b w:val="1"/>
                <w:bCs w:val="1"/>
                <w:color w:val="auto"/>
                <w:w w:val="88"/>
              </w:rPr>
              <w:t>Year Ended December 31,</w:t>
            </w:r>
          </w:p>
        </w:tc>
        <w:tc>
          <w:tcPr>
            <w:tcW w:w="120" w:type="dxa"/>
            <w:vAlign w:val="bottom"/>
          </w:tcPr>
          <w:p>
            <w:pPr>
              <w:spacing w:after="0"/>
              <w:rPr>
                <w:sz w:val="13"/>
                <w:szCs w:val="13"/>
                <w:color w:val="auto"/>
              </w:rPr>
            </w:pPr>
          </w:p>
        </w:tc>
        <w:tc>
          <w:tcPr>
            <w:tcW w:w="148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March 31,</w:t>
            </w:r>
          </w:p>
        </w:tc>
      </w:tr>
      <w:tr>
        <w:trPr>
          <w:trHeight w:val="121"/>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05"/>
              <w:spacing w:after="0" w:line="12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7"/>
              <w:spacing w:after="0" w:line="12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73"/>
              <w:spacing w:after="0" w:line="12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85"/>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right"/>
              <w:ind w:right="520"/>
              <w:spacing w:after="0" w:line="122"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280" w:type="dxa"/>
            <w:vAlign w:val="bottom"/>
          </w:tcPr>
          <w:p>
            <w:pPr>
              <w:ind w:left="280"/>
              <w:spacing w:after="0"/>
              <w:rPr>
                <w:sz w:val="20"/>
                <w:szCs w:val="20"/>
                <w:color w:val="auto"/>
              </w:rPr>
            </w:pPr>
            <w:r>
              <w:rPr>
                <w:rFonts w:ascii="Arial" w:cs="Arial" w:eastAsia="Arial" w:hAnsi="Arial"/>
                <w:sz w:val="16"/>
                <w:szCs w:val="16"/>
                <w:color w:val="auto"/>
              </w:rPr>
              <w:t>Operating activities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(24,096)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(35,447)</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 (8,238)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(15,789)</w:t>
            </w:r>
          </w:p>
        </w:tc>
      </w:tr>
      <w:tr>
        <w:trPr>
          <w:trHeight w:val="189"/>
        </w:trPr>
        <w:tc>
          <w:tcPr>
            <w:tcW w:w="20" w:type="dxa"/>
            <w:vAlign w:val="bottom"/>
          </w:tcPr>
          <w:p>
            <w:pPr>
              <w:spacing w:after="0"/>
              <w:rPr>
                <w:sz w:val="16"/>
                <w:szCs w:val="16"/>
                <w:color w:val="auto"/>
              </w:rPr>
            </w:pPr>
          </w:p>
        </w:tc>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Investing activities</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(4,323)</w:t>
            </w:r>
          </w:p>
        </w:tc>
      </w:tr>
      <w:tr>
        <w:trPr>
          <w:trHeight w:val="192"/>
        </w:trPr>
        <w:tc>
          <w:tcPr>
            <w:tcW w:w="20" w:type="dxa"/>
            <w:vAlign w:val="bottom"/>
          </w:tcPr>
          <w:p>
            <w:pPr>
              <w:spacing w:after="0"/>
              <w:rPr>
                <w:sz w:val="16"/>
                <w:szCs w:val="16"/>
                <w:color w:val="auto"/>
              </w:rPr>
            </w:pPr>
          </w:p>
        </w:tc>
        <w:tc>
          <w:tcPr>
            <w:tcW w:w="5280" w:type="dxa"/>
            <w:vAlign w:val="bottom"/>
          </w:tcPr>
          <w:p>
            <w:pPr>
              <w:ind w:left="280"/>
              <w:spacing w:after="0"/>
              <w:rPr>
                <w:sz w:val="20"/>
                <w:szCs w:val="20"/>
                <w:color w:val="auto"/>
              </w:rPr>
            </w:pPr>
            <w:r>
              <w:rPr>
                <w:rFonts w:ascii="Arial" w:cs="Arial" w:eastAsia="Arial" w:hAnsi="Arial"/>
                <w:sz w:val="16"/>
                <w:szCs w:val="16"/>
                <w:color w:val="auto"/>
              </w:rPr>
              <w:t>Financing activities</w:t>
            </w:r>
          </w:p>
        </w:tc>
        <w:tc>
          <w:tcPr>
            <w:tcW w:w="10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30,511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147,268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20,015</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104,811</w:t>
            </w: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24,750</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99" w:lineRule="exact"/>
        <w:rPr>
          <w:sz w:val="20"/>
          <w:szCs w:val="20"/>
          <w:color w:val="auto"/>
        </w:rPr>
      </w:pPr>
    </w:p>
    <w:p>
      <w:pPr>
        <w:ind w:left="820" w:right="360" w:firstLine="385"/>
        <w:spacing w:after="0" w:line="311" w:lineRule="auto"/>
        <w:rPr>
          <w:sz w:val="20"/>
          <w:szCs w:val="20"/>
          <w:color w:val="auto"/>
        </w:rPr>
      </w:pPr>
      <w:r>
        <w:rPr>
          <w:rFonts w:ascii="Arial" w:cs="Arial" w:eastAsia="Arial" w:hAnsi="Arial"/>
          <w:sz w:val="13"/>
          <w:szCs w:val="13"/>
          <w:color w:val="auto"/>
        </w:rPr>
        <w:t>Net cash used in operating activities for the three months ended March 31, 2021 was $15.8 million, which consisted primarily of a net loss of $13.1 million and a net change in net operating assets and liabilities of $4.0 million, partially offset by $1.3 million in non-cash charges.</w:t>
      </w:r>
    </w:p>
    <w:p>
      <w:pPr>
        <w:spacing w:after="0" w:line="1" w:lineRule="exact"/>
        <w:rPr>
          <w:sz w:val="20"/>
          <w:szCs w:val="20"/>
          <w:color w:val="auto"/>
        </w:rPr>
      </w:pPr>
    </w:p>
    <w:p>
      <w:pPr>
        <w:jc w:val="both"/>
        <w:ind w:left="820" w:right="80"/>
        <w:spacing w:after="0" w:line="302" w:lineRule="auto"/>
        <w:rPr>
          <w:sz w:val="20"/>
          <w:szCs w:val="20"/>
          <w:color w:val="auto"/>
        </w:rPr>
      </w:pPr>
      <w:r>
        <w:rPr>
          <w:rFonts w:ascii="Arial" w:cs="Arial" w:eastAsia="Arial" w:hAnsi="Arial"/>
          <w:sz w:val="13"/>
          <w:szCs w:val="13"/>
          <w:color w:val="auto"/>
        </w:rPr>
        <w:t>The non-cash charges primarily consisted of depreciation and amortization of $0.7 million, stock-based compensation of $0.4 million and the non-cash operating lease expense of $0.2 million. The change in net operating assets and liabilities was primarily due to an increase in other non-current assets of $3.3 million related to a security deposit for a lease entered into in February 2021, a decrease in accrued expenses and other current liabilities of</w:t>
      </w:r>
    </w:p>
    <w:p>
      <w:pPr>
        <w:spacing w:after="0" w:line="2"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$1.0 million and a decrease in operating lease liabilities of $0.4 million, partially offset by an increase in accounts payable of $0.6 million and a decrease in prepaid expenses and other current assets of $0.1 million.</w:t>
      </w:r>
    </w:p>
    <w:p>
      <w:pPr>
        <w:spacing w:after="0" w:line="168" w:lineRule="exact"/>
        <w:rPr>
          <w:sz w:val="20"/>
          <w:szCs w:val="20"/>
          <w:color w:val="auto"/>
        </w:rPr>
      </w:pPr>
    </w:p>
    <w:p>
      <w:pPr>
        <w:ind w:left="820" w:right="440" w:firstLine="385"/>
        <w:spacing w:after="0" w:line="270" w:lineRule="auto"/>
        <w:rPr>
          <w:sz w:val="20"/>
          <w:szCs w:val="20"/>
          <w:color w:val="auto"/>
        </w:rPr>
      </w:pPr>
      <w:r>
        <w:rPr>
          <w:rFonts w:ascii="Arial" w:cs="Arial" w:eastAsia="Arial" w:hAnsi="Arial"/>
          <w:sz w:val="15"/>
          <w:szCs w:val="15"/>
          <w:color w:val="auto"/>
        </w:rPr>
        <w:t>Net cash used in operating activities for the three months ended March 31, 2020 was $8.2 million, which consisted primarily of a net loss of $9.1 million and a net change in net operating assets and liabilities of $21,000, partially offset by $0.8 million in non-cash charges.</w:t>
      </w:r>
    </w:p>
    <w:p>
      <w:pPr>
        <w:spacing w:after="0" w:line="1" w:lineRule="exact"/>
        <w:rPr>
          <w:sz w:val="20"/>
          <w:szCs w:val="20"/>
          <w:color w:val="auto"/>
        </w:rPr>
      </w:pPr>
    </w:p>
    <w:p>
      <w:pPr>
        <w:ind w:left="820" w:right="40"/>
        <w:spacing w:after="0" w:line="323" w:lineRule="auto"/>
        <w:rPr>
          <w:sz w:val="20"/>
          <w:szCs w:val="20"/>
          <w:color w:val="auto"/>
        </w:rPr>
      </w:pPr>
      <w:r>
        <w:rPr>
          <w:rFonts w:ascii="Arial" w:cs="Arial" w:eastAsia="Arial" w:hAnsi="Arial"/>
          <w:sz w:val="13"/>
          <w:szCs w:val="13"/>
          <w:color w:val="auto"/>
        </w:rPr>
        <w:t>The non-cash charges primarily consisted of depreciation and amortization of $0.6 million and stock-based compensation of $0.2 million. The change in net operating assets and liabilities was primarily due to an increase in accounts payable of $0.7 million and a decrease in prepaid expenses and other current assets of $0.2 million, partially offset by a decrease in accrued expenses and other current liabilities of $0.5 million, a decrease in deferred rent and other lease liabilities of $0.2 million and an increase in other non-current assets of $0.2 million as we expanded our operations.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440"/>
          </w:cols>
          <w:pgMar w:left="320" w:top="418" w:right="11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Net cash used in operating activities for the year ended December 31, 2020 was $35.4 million, which consisted primarily of a net loss of $38.4 million and a net change in net operating assets and liabilities of $0.2 million, partially offset by $3.2 million in non-cash charges. The non-cash charges primarily consisted of depreciation and amortization of $2.5 million and stock-based compensation of $0.7 million. The change in net operating assets and liabilities was primarily due to a decrease in deferred rent of $0.8 million, an increase in prepaid expenses and other current assets of $0.3 million and an increase in other non-current assets of $0.2 million, partially offset by an increase in accrued expenses and other current liabilities of $0.9 million and an increase in accounts payable of $0.1 million as we expanded our operations.</w:t>
      </w:r>
    </w:p>
    <w:p>
      <w:pPr>
        <w:spacing w:after="0" w:line="156"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Net cash used in operating activities for the year ended December 31, 2019 was $24.1 million, which consisted primarily of a net loss of $26.2 million and a net change in net operating assets and liabilities of $0.3 million, partially offset by $2.4 million in non-cash charges. The non-cash charges primarily consisted of depreciation and amortization of $2.0 million and stock-based compensation of $0.4 million. The change in net operating assets and liabilities was primarily due to a decrease in deferred rent of $0.7 million and increase in prepaid expenses and other current assets of $0.4 million, partially offset by an increase in accounts payable of $0.4 million and an increase in accrued expenses and other current liabilities of $0.5 million as we expanded our operations.</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99"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Net cash used in investing activities for the three months ended March 31, 2021 was $4.3 million, which consisted of purchases of property and equipment that primarily related to our manufacturing and office space in the San Francisco Bay Area.</w:t>
      </w:r>
    </w:p>
    <w:p>
      <w:pPr>
        <w:spacing w:after="0" w:line="158" w:lineRule="exact"/>
        <w:rPr>
          <w:sz w:val="20"/>
          <w:szCs w:val="20"/>
          <w:color w:val="auto"/>
        </w:rPr>
      </w:pPr>
    </w:p>
    <w:p>
      <w:pPr>
        <w:ind w:left="820" w:right="600" w:firstLine="385"/>
        <w:spacing w:after="0" w:line="300" w:lineRule="auto"/>
        <w:rPr>
          <w:sz w:val="20"/>
          <w:szCs w:val="20"/>
          <w:color w:val="auto"/>
        </w:rPr>
      </w:pPr>
      <w:r>
        <w:rPr>
          <w:rFonts w:ascii="Arial" w:cs="Arial" w:eastAsia="Arial" w:hAnsi="Arial"/>
          <w:sz w:val="15"/>
          <w:szCs w:val="15"/>
          <w:color w:val="auto"/>
        </w:rPr>
        <w:t>Net cash provided by investing activities for the three months ended March 31, 2020 was $2.3 million, which consisted of proceeds from maturities of marketable securities of $2.8 million, partially offset by purchases of property and equipment of $0.4 million.</w:t>
      </w:r>
    </w:p>
    <w:p>
      <w:pPr>
        <w:spacing w:after="0" w:line="135"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Net cash used in investing activities for the year ended December 31, 2020 was $7.0 million, which consisted of purchases of property and equipment of $9.8 million that primarily related to our manufacturing and office space in the San Francisco Bay Area, partially offset by proceeds from maturities of marketable securities of $2.8 million.</w:t>
      </w:r>
    </w:p>
    <w:p>
      <w:pPr>
        <w:spacing w:after="0" w:line="166" w:lineRule="exact"/>
        <w:rPr>
          <w:sz w:val="20"/>
          <w:szCs w:val="20"/>
          <w:color w:val="auto"/>
        </w:rPr>
      </w:pPr>
    </w:p>
    <w:p>
      <w:pPr>
        <w:ind w:left="820" w:right="500" w:firstLine="385"/>
        <w:spacing w:after="0" w:line="300" w:lineRule="auto"/>
        <w:rPr>
          <w:sz w:val="20"/>
          <w:szCs w:val="20"/>
          <w:color w:val="auto"/>
        </w:rPr>
      </w:pPr>
      <w:r>
        <w:rPr>
          <w:rFonts w:ascii="Arial" w:cs="Arial" w:eastAsia="Arial" w:hAnsi="Arial"/>
          <w:sz w:val="15"/>
          <w:szCs w:val="15"/>
          <w:color w:val="auto"/>
        </w:rPr>
        <w:t>Net cash used in investing activities for the year ended December 31, 2019 was $5.6 million, which consisted of purchases of property and equipment of $2.9 million and net purchases of and proceeds from maturities of marketable securities of $2.7 million.</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Net cash provided by financing activities for the three months ended March 31, 2021 was $20.0 million, which primarily consisted of net proceeds received from the issuance of our Series C convertible preferred stock.</w:t>
      </w:r>
    </w:p>
    <w:p>
      <w:pPr>
        <w:spacing w:after="0" w:line="15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Net cash provided by financing activities for the three months ended March 31, 2020 was $30.7 million, which primarily consisted of net proceeds received from the sale and issuance of our Series B convertible preferred stock.</w:t>
      </w:r>
    </w:p>
    <w:p>
      <w:pPr>
        <w:spacing w:after="0" w:line="158"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Net cash provided by financing activities for the year ended December 31, 2020 was $147.3 million, which consisted of net proceeds received from the sale and issuance of our Series B convertible preferred stock of $61.3 million and net proceeds received from the initial closing of our Series C convertible preferred stock of $86.0 million.</w:t>
      </w:r>
    </w:p>
    <w:p>
      <w:pPr>
        <w:spacing w:after="0" w:line="166" w:lineRule="exact"/>
        <w:rPr>
          <w:sz w:val="20"/>
          <w:szCs w:val="20"/>
          <w:color w:val="auto"/>
        </w:rPr>
      </w:pPr>
    </w:p>
    <w:p>
      <w:pPr>
        <w:ind w:left="820" w:right="20" w:firstLine="385"/>
        <w:spacing w:after="0" w:line="383" w:lineRule="auto"/>
        <w:rPr>
          <w:sz w:val="20"/>
          <w:szCs w:val="20"/>
          <w:color w:val="auto"/>
        </w:rPr>
      </w:pPr>
      <w:r>
        <w:rPr>
          <w:rFonts w:ascii="Arial" w:cs="Arial" w:eastAsia="Arial" w:hAnsi="Arial"/>
          <w:sz w:val="13"/>
          <w:szCs w:val="13"/>
          <w:color w:val="auto"/>
        </w:rPr>
        <w:t>Net cash provided by financing activities for the year ended December 31, 2019 was $30.5 million, which consisted of net proceeds received from the sale and issuance of our Series B convertible preferred stock of $30.4 million and proceeds from the exercise of stock options of $0.1 million.</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420"/>
          </w:cols>
          <w:pgMar w:left="320" w:top="418" w:right="115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Contractual Obligations and Other Commitments</w:t>
      </w:r>
    </w:p>
    <w:p>
      <w:pPr>
        <w:spacing w:after="0" w:line="103"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We enter into contracts in the normal course of business with contract research organizations for preclinical studies and other services, which are generally cancellable with limited notice.</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contractual obligations and other commitments as of December 31, 2020:</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3"/>
                <w:szCs w:val="13"/>
                <w:b w:val="1"/>
                <w:bCs w:val="1"/>
                <w:color w:val="auto"/>
                <w:w w:val="86"/>
              </w:rPr>
              <w:t>Payments Due by Period</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2"/>
        </w:trPr>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ind w:left="20"/>
              <w:spacing w:after="0" w:line="102" w:lineRule="exact"/>
              <w:rPr>
                <w:sz w:val="20"/>
                <w:szCs w:val="20"/>
                <w:color w:val="auto"/>
              </w:rPr>
            </w:pPr>
            <w:r>
              <w:rPr>
                <w:rFonts w:ascii="Arial" w:cs="Arial" w:eastAsia="Arial" w:hAnsi="Arial"/>
                <w:sz w:val="10"/>
                <w:szCs w:val="10"/>
                <w:b w:val="1"/>
                <w:bCs w:val="1"/>
                <w:color w:val="auto"/>
              </w:rPr>
              <w:t>More</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30"/>
        </w:trPr>
        <w:tc>
          <w:tcPr>
            <w:tcW w:w="5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27"/>
              <w:spacing w:after="0" w:line="130" w:lineRule="exact"/>
              <w:rPr>
                <w:sz w:val="20"/>
                <w:szCs w:val="20"/>
                <w:color w:val="auto"/>
              </w:rPr>
            </w:pPr>
            <w:r>
              <w:rPr>
                <w:rFonts w:ascii="Arial" w:cs="Arial" w:eastAsia="Arial" w:hAnsi="Arial"/>
                <w:sz w:val="13"/>
                <w:szCs w:val="13"/>
                <w:b w:val="1"/>
                <w:bCs w:val="1"/>
                <w:color w:val="auto"/>
                <w:w w:val="94"/>
              </w:rPr>
              <w:t>Less</w:t>
            </w:r>
          </w:p>
        </w:tc>
        <w:tc>
          <w:tcPr>
            <w:tcW w:w="300" w:type="dxa"/>
            <w:vAlign w:val="bottom"/>
          </w:tcPr>
          <w:p>
            <w:pPr>
              <w:spacing w:after="0"/>
              <w:rPr>
                <w:sz w:val="11"/>
                <w:szCs w:val="11"/>
                <w:color w:val="auto"/>
              </w:rPr>
            </w:pPr>
          </w:p>
        </w:tc>
        <w:tc>
          <w:tcPr>
            <w:tcW w:w="4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2"/>
              </w:rPr>
              <w:t>1 to 3</w:t>
            </w:r>
          </w:p>
        </w:tc>
        <w:tc>
          <w:tcPr>
            <w:tcW w:w="3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3"/>
                <w:szCs w:val="13"/>
                <w:b w:val="1"/>
                <w:bCs w:val="1"/>
                <w:color w:val="auto"/>
              </w:rPr>
              <w:t>3 to 5</w:t>
            </w:r>
          </w:p>
        </w:tc>
        <w:tc>
          <w:tcPr>
            <w:tcW w:w="480" w:type="dxa"/>
            <w:vAlign w:val="bottom"/>
            <w:gridSpan w:val="3"/>
          </w:tcPr>
          <w:p>
            <w:pPr>
              <w:ind w:left="140"/>
              <w:spacing w:after="0" w:line="130" w:lineRule="exact"/>
              <w:rPr>
                <w:sz w:val="20"/>
                <w:szCs w:val="20"/>
                <w:color w:val="auto"/>
              </w:rPr>
            </w:pPr>
            <w:r>
              <w:rPr>
                <w:rFonts w:ascii="Arial" w:cs="Arial" w:eastAsia="Arial" w:hAnsi="Arial"/>
                <w:sz w:val="13"/>
                <w:szCs w:val="13"/>
                <w:b w:val="1"/>
                <w:bCs w:val="1"/>
                <w:color w:val="auto"/>
                <w:w w:val="83"/>
              </w:rPr>
              <w:t>than 5</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0"/>
        </w:trPr>
        <w:tc>
          <w:tcPr>
            <w:tcW w:w="59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w w:val="87"/>
              </w:rPr>
              <w:t>than 1 year</w:t>
            </w:r>
          </w:p>
        </w:tc>
        <w:tc>
          <w:tcPr>
            <w:tcW w:w="30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2"/>
              </w:rPr>
              <w:t>years</w:t>
            </w:r>
          </w:p>
        </w:tc>
        <w:tc>
          <w:tcPr>
            <w:tcW w:w="3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years</w:t>
            </w:r>
          </w:p>
        </w:tc>
        <w:tc>
          <w:tcPr>
            <w:tcW w:w="14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years</w:t>
            </w:r>
          </w:p>
        </w:tc>
        <w:tc>
          <w:tcPr>
            <w:tcW w:w="340" w:type="dxa"/>
            <w:vAlign w:val="bottom"/>
          </w:tcPr>
          <w:p>
            <w:pPr>
              <w:spacing w:after="0"/>
              <w:rPr>
                <w:sz w:val="13"/>
                <w:szCs w:val="13"/>
                <w:color w:val="auto"/>
              </w:rPr>
            </w:pPr>
          </w:p>
        </w:tc>
        <w:tc>
          <w:tcPr>
            <w:tcW w:w="5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21"/>
        </w:trPr>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740" w:type="dxa"/>
            <w:vAlign w:val="bottom"/>
            <w:gridSpan w:val="2"/>
            <w:shd w:val="clear" w:color="auto" w:fill="CCEEFF"/>
          </w:tcPr>
          <w:p>
            <w:pPr>
              <w:jc w:val="center"/>
              <w:ind w:left="221"/>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4,489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3,362</w:t>
            </w:r>
          </w:p>
        </w:tc>
        <w:tc>
          <w:tcPr>
            <w:tcW w:w="1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11,603</w:t>
            </w:r>
          </w:p>
        </w:tc>
        <w:tc>
          <w:tcPr>
            <w:tcW w:w="40" w:type="dxa"/>
            <w:vAlign w:val="bottom"/>
            <w:shd w:val="clear" w:color="auto" w:fill="CCEEFF"/>
          </w:tcPr>
          <w:p>
            <w:pPr>
              <w:spacing w:after="0"/>
              <w:rPr>
                <w:sz w:val="16"/>
                <w:szCs w:val="16"/>
                <w:color w:val="auto"/>
              </w:rPr>
            </w:pPr>
          </w:p>
        </w:tc>
      </w:tr>
      <w:tr>
        <w:trPr>
          <w:trHeight w:val="192"/>
        </w:trPr>
        <w:tc>
          <w:tcPr>
            <w:tcW w:w="5920" w:type="dxa"/>
            <w:vAlign w:val="bottom"/>
          </w:tcPr>
          <w:p>
            <w:pPr>
              <w:spacing w:after="0"/>
              <w:rPr>
                <w:sz w:val="20"/>
                <w:szCs w:val="20"/>
                <w:color w:val="auto"/>
              </w:rPr>
            </w:pPr>
            <w:r>
              <w:rPr>
                <w:rFonts w:ascii="Arial" w:cs="Arial" w:eastAsia="Arial" w:hAnsi="Arial"/>
                <w:sz w:val="16"/>
                <w:szCs w:val="16"/>
                <w:color w:val="auto"/>
              </w:rPr>
              <w:t>Total contractual obligations</w:t>
            </w: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3,752</w:t>
            </w:r>
          </w:p>
        </w:tc>
        <w:tc>
          <w:tcPr>
            <w:tcW w:w="3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4,489</w:t>
            </w:r>
          </w:p>
        </w:tc>
        <w:tc>
          <w:tcPr>
            <w:tcW w:w="3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1"/>
              </w:rPr>
              <w:t>$</w:t>
            </w:r>
            <w:r>
              <w:rPr>
                <w:rFonts w:ascii="Arial" w:cs="Arial" w:eastAsia="Arial" w:hAnsi="Arial"/>
                <w:sz w:val="16"/>
                <w:szCs w:val="16"/>
                <w:color w:val="auto"/>
                <w:w w:val="81"/>
              </w:rPr>
              <w:t>3,362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87"/>
              </w:rPr>
              <w:t>—</w:t>
            </w:r>
          </w:p>
        </w:tc>
        <w:tc>
          <w:tcPr>
            <w:tcW w:w="34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2"/>
              </w:rPr>
              <w:t>$</w:t>
            </w:r>
            <w:r>
              <w:rPr>
                <w:rFonts w:ascii="Arial" w:cs="Arial" w:eastAsia="Arial" w:hAnsi="Arial"/>
                <w:sz w:val="16"/>
                <w:szCs w:val="16"/>
                <w:color w:val="auto"/>
                <w:w w:val="82"/>
              </w:rPr>
              <w:t>11,603</w:t>
            </w:r>
          </w:p>
        </w:tc>
        <w:tc>
          <w:tcPr>
            <w:tcW w:w="40" w:type="dxa"/>
            <w:vAlign w:val="bottom"/>
          </w:tcPr>
          <w:p>
            <w:pPr>
              <w:spacing w:after="0"/>
              <w:rPr>
                <w:sz w:val="16"/>
                <w:szCs w:val="16"/>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60" w:firstLine="385"/>
        <w:spacing w:after="0" w:line="329" w:lineRule="auto"/>
        <w:rPr>
          <w:sz w:val="20"/>
          <w:szCs w:val="20"/>
          <w:color w:val="auto"/>
        </w:rPr>
      </w:pPr>
      <w:r>
        <w:rPr>
          <w:rFonts w:ascii="Arial" w:cs="Arial" w:eastAsia="Arial" w:hAnsi="Arial"/>
          <w:sz w:val="13"/>
          <w:szCs w:val="13"/>
          <w:color w:val="auto"/>
        </w:rPr>
        <w:t>The obligations noted above represent our operating lease obligations related to our leased facility currently occupied in South San Francisco, California, with a lease term that expires in May 2025. The table does not include the operating lease we entered into in the San Francisco Bay Area in February 2021 for our manufacturing facility, which commenced in May 2021 and has a ten-year term. Payments associated with this operating lease agreement will result in additional operating lease obligations not included in the above table of approximately $13.9 million plus operating expenses.</w:t>
      </w:r>
    </w:p>
    <w:p>
      <w:pPr>
        <w:spacing w:after="0" w:line="123" w:lineRule="exact"/>
        <w:rPr>
          <w:sz w:val="20"/>
          <w:szCs w:val="20"/>
          <w:color w:val="auto"/>
        </w:rPr>
      </w:pPr>
    </w:p>
    <w:p>
      <w:pPr>
        <w:ind w:left="820" w:right="120" w:firstLine="385"/>
        <w:spacing w:after="0" w:line="323" w:lineRule="auto"/>
        <w:rPr>
          <w:sz w:val="20"/>
          <w:szCs w:val="20"/>
          <w:color w:val="auto"/>
        </w:rPr>
      </w:pPr>
      <w:r>
        <w:rPr>
          <w:rFonts w:ascii="Arial" w:cs="Arial" w:eastAsia="Arial" w:hAnsi="Arial"/>
          <w:sz w:val="13"/>
          <w:szCs w:val="13"/>
          <w:color w:val="auto"/>
        </w:rPr>
        <w:t>We also enter into contracts in the normal course of business with various third parties for preclinical studies, manufacturing services with CDMOs and other services. These contracts generally provide for termination upon limited notice, and therefore we believe that our noncancelable obligations under these agreements are not material. These payments are not included in the table above. This table also does not include any milestone or royalty payments to third parties as the amounts, timing and likelihood of such payments are not known at this time. See Note 5 to our audited financial statements and Note 5 to our unaudited interim condensed financial statements included elsewhere in this prospectus.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Off-Balance Sheet Arrangements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 inception, we have not engaged in any off-balance sheet arrangements as defined in the rules and regulations of the SEC.</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3" w:lineRule="exact"/>
        <w:rPr>
          <w:sz w:val="20"/>
          <w:szCs w:val="20"/>
          <w:color w:val="auto"/>
        </w:rPr>
      </w:pPr>
    </w:p>
    <w:p>
      <w:pPr>
        <w:ind w:left="820" w:right="40" w:firstLine="385"/>
        <w:spacing w:after="0" w:line="270" w:lineRule="auto"/>
        <w:rPr>
          <w:sz w:val="20"/>
          <w:szCs w:val="20"/>
          <w:color w:val="auto"/>
        </w:rPr>
      </w:pPr>
      <w:r>
        <w:rPr>
          <w:rFonts w:ascii="Arial" w:cs="Arial" w:eastAsia="Arial" w:hAnsi="Arial"/>
          <w:sz w:val="15"/>
          <w:szCs w:val="15"/>
          <w:color w:val="auto"/>
        </w:rPr>
        <w:t>Our management’s discussion and analysis of the financial condition and results of operations is based on our financial statements, which have been prepared in accordance with the U.S. generally accepted accounting principles, or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6" w:lineRule="exact"/>
        <w:rPr>
          <w:sz w:val="20"/>
          <w:szCs w:val="20"/>
          <w:color w:val="auto"/>
        </w:rPr>
      </w:pPr>
    </w:p>
    <w:p>
      <w:pPr>
        <w:jc w:val="both"/>
        <w:ind w:left="820" w:right="120" w:firstLine="385"/>
        <w:spacing w:after="0" w:line="256" w:lineRule="auto"/>
        <w:rPr>
          <w:sz w:val="20"/>
          <w:szCs w:val="20"/>
          <w:color w:val="auto"/>
        </w:rPr>
      </w:pPr>
      <w:r>
        <w:rPr>
          <w:rFonts w:ascii="Arial" w:cs="Arial" w:eastAsia="Arial" w:hAnsi="Arial"/>
          <w:sz w:val="16"/>
          <w:szCs w:val="16"/>
          <w:color w:val="auto"/>
        </w:rPr>
        <w:t>While our significant accounting policies are described in the notes to our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440"/>
          </w:cols>
          <w:pgMar w:left="320" w:top="418" w:right="11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820" w:right="60" w:firstLine="385"/>
        <w:spacing w:after="0" w:line="314" w:lineRule="auto"/>
        <w:rPr>
          <w:sz w:val="20"/>
          <w:szCs w:val="20"/>
          <w:color w:val="auto"/>
        </w:rPr>
      </w:pPr>
      <w:r>
        <w:rPr>
          <w:rFonts w:ascii="Arial" w:cs="Arial" w:eastAsia="Arial" w:hAnsi="Arial"/>
          <w:sz w:val="13"/>
          <w:szCs w:val="13"/>
          <w:color w:val="auto"/>
        </w:rPr>
        <w:t>We record research and development costs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costs and actual costs incurred. Changes in these estimates that result in material changes to our accrued costs could materially affect our results of operations.</w:t>
      </w:r>
    </w:p>
    <w:p>
      <w:pPr>
        <w:spacing w:after="0" w:line="133"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fair value of restricted stock awards is determined on the date of grant based on the estimated fair value of our common stock on that date.</w:t>
      </w:r>
    </w:p>
    <w:p>
      <w:pPr>
        <w:spacing w:after="0" w:line="22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76" w:lineRule="exact"/>
        <w:rPr>
          <w:sz w:val="20"/>
          <w:szCs w:val="20"/>
          <w:color w:val="auto"/>
        </w:rPr>
      </w:pPr>
    </w:p>
    <w:p>
      <w:pPr>
        <w:ind w:left="1660" w:hanging="469"/>
        <w:spacing w:after="0"/>
        <w:tabs>
          <w:tab w:leader="none" w:pos="1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—See the subsection titled “—Common Stock Valuations” below.</w:t>
      </w:r>
    </w:p>
    <w:p>
      <w:pPr>
        <w:spacing w:after="0" w:line="110" w:lineRule="exact"/>
        <w:rPr>
          <w:rFonts w:ascii="Arial" w:cs="Arial" w:eastAsia="Arial" w:hAnsi="Arial"/>
          <w:sz w:val="16"/>
          <w:szCs w:val="16"/>
          <w:color w:val="auto"/>
        </w:rPr>
      </w:pPr>
    </w:p>
    <w:p>
      <w:pPr>
        <w:ind w:left="1660" w:right="140" w:hanging="469"/>
        <w:spacing w:after="0" w:line="383" w:lineRule="auto"/>
        <w:tabs>
          <w:tab w:leader="none" w:pos="1660"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Expected Term</w:t>
      </w:r>
      <w:r>
        <w:rPr>
          <w:rFonts w:ascii="Arial" w:cs="Arial" w:eastAsia="Arial" w:hAnsi="Arial"/>
          <w:sz w:val="13"/>
          <w:szCs w:val="13"/>
          <w:color w:val="auto"/>
        </w:rPr>
        <w:t>—We determine the expected term, which represents the period that stock-based awards are expected to be outstanding, in</w:t>
      </w:r>
      <w:r>
        <w:rPr>
          <w:rFonts w:ascii="Arial" w:cs="Arial" w:eastAsia="Arial" w:hAnsi="Arial"/>
          <w:sz w:val="13"/>
          <w:szCs w:val="13"/>
          <w:i w:val="1"/>
          <w:iCs w:val="1"/>
          <w:color w:val="auto"/>
        </w:rPr>
        <w:t xml:space="preserve"> </w:t>
      </w:r>
      <w:r>
        <w:rPr>
          <w:rFonts w:ascii="Arial" w:cs="Arial" w:eastAsia="Arial" w:hAnsi="Arial"/>
          <w:sz w:val="13"/>
          <w:szCs w:val="13"/>
          <w:color w:val="auto"/>
        </w:rPr>
        <w:t>accordance with the simplified method, which is presumed to be the mid-point between the contractual term and the vesting term.</w:t>
      </w:r>
    </w:p>
    <w:p>
      <w:pPr>
        <w:spacing w:after="0" w:line="6" w:lineRule="exact"/>
        <w:rPr>
          <w:rFonts w:ascii="Arial" w:cs="Arial" w:eastAsia="Arial" w:hAnsi="Arial"/>
          <w:sz w:val="13"/>
          <w:szCs w:val="13"/>
          <w:color w:val="auto"/>
        </w:rPr>
      </w:pPr>
    </w:p>
    <w:p>
      <w:pPr>
        <w:ind w:left="1660" w:right="160" w:hanging="469"/>
        <w:spacing w:after="0" w:line="253" w:lineRule="auto"/>
        <w:tabs>
          <w:tab w:leader="none" w:pos="1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—As there is no trading history for our common stock, we have determined our computation of expected volatility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w:t>
      </w:r>
    </w:p>
    <w:p>
      <w:pPr>
        <w:spacing w:after="0" w:line="84" w:lineRule="exact"/>
        <w:rPr>
          <w:rFonts w:ascii="Arial" w:cs="Arial" w:eastAsia="Arial" w:hAnsi="Arial"/>
          <w:sz w:val="16"/>
          <w:szCs w:val="16"/>
          <w:color w:val="auto"/>
        </w:rPr>
      </w:pPr>
    </w:p>
    <w:p>
      <w:pPr>
        <w:ind w:left="1660" w:right="200" w:hanging="469"/>
        <w:spacing w:after="0" w:line="266" w:lineRule="auto"/>
        <w:tabs>
          <w:tab w:leader="none" w:pos="1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—We base the risk-free interest rate on U.S. Treasury zero coupon issues in effect at the time of grant for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with the expected term assumption.</w:t>
      </w:r>
    </w:p>
    <w:p>
      <w:pPr>
        <w:spacing w:after="0" w:line="75"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expected dividend yield is assumed to be zero as we have never paid and have no plans to pay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w:t>
      </w:r>
    </w:p>
    <w:p>
      <w:pPr>
        <w:spacing w:after="0" w:line="158" w:lineRule="exact"/>
        <w:rPr>
          <w:sz w:val="20"/>
          <w:szCs w:val="20"/>
          <w:color w:val="auto"/>
        </w:rPr>
      </w:pPr>
    </w:p>
    <w:p>
      <w:pPr>
        <w:ind w:left="820" w:right="360" w:firstLine="385"/>
        <w:spacing w:after="0" w:line="266" w:lineRule="auto"/>
        <w:rPr>
          <w:sz w:val="20"/>
          <w:szCs w:val="20"/>
          <w:color w:val="auto"/>
        </w:rPr>
      </w:pPr>
      <w:r>
        <w:rPr>
          <w:rFonts w:ascii="Arial" w:cs="Arial" w:eastAsia="Arial" w:hAnsi="Arial"/>
          <w:sz w:val="16"/>
          <w:szCs w:val="16"/>
          <w:color w:val="auto"/>
        </w:rPr>
        <w:t>See Note 9 to our audited financial statements and Note 9 to our unaudited interim condensed financial statements included elsewhere in this prospectus for more information concerning certain of the specific</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420"/>
          </w:cols>
          <w:pgMar w:left="320" w:top="418" w:right="115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assumptions we used in applying the Black-Scholes valuation model to determine the estimated fair value of our stock options.</w:t>
      </w:r>
    </w:p>
    <w:p>
      <w:pPr>
        <w:spacing w:after="0" w:line="193" w:lineRule="exact"/>
        <w:rPr>
          <w:sz w:val="20"/>
          <w:szCs w:val="20"/>
          <w:color w:val="auto"/>
        </w:rPr>
      </w:pPr>
    </w:p>
    <w:p>
      <w:pPr>
        <w:ind w:left="820" w:right="140" w:firstLine="385"/>
        <w:spacing w:after="0" w:line="253" w:lineRule="auto"/>
        <w:rPr>
          <w:sz w:val="20"/>
          <w:szCs w:val="20"/>
          <w:color w:val="auto"/>
        </w:rPr>
      </w:pPr>
      <w:r>
        <w:rPr>
          <w:rFonts w:ascii="Arial" w:cs="Arial" w:eastAsia="Arial" w:hAnsi="Arial"/>
          <w:sz w:val="16"/>
          <w:szCs w:val="16"/>
          <w:color w:val="auto"/>
        </w:rPr>
        <w:t>For the years ended December 31, 2019 and 2020, we incurred stock-based compensation of $0.4 million and $0.7 million, respectively. For the three months ended March 31, 2020 and 2021, we incurred stock-based compensation of $0.2 million and $0.4 million, respectively. As of March 31, 2021, there was $6.4 million of total unrecognized stock-based compensation, which is expected to be recognized over a weighted-average period of approximately 3.5 years.</w:t>
      </w:r>
    </w:p>
    <w:p>
      <w:pPr>
        <w:spacing w:after="0" w:line="167" w:lineRule="exact"/>
        <w:rPr>
          <w:sz w:val="20"/>
          <w:szCs w:val="20"/>
          <w:color w:val="auto"/>
        </w:rPr>
      </w:pPr>
    </w:p>
    <w:p>
      <w:pPr>
        <w:ind w:left="820" w:right="280" w:firstLine="385"/>
        <w:spacing w:after="0" w:line="256" w:lineRule="auto"/>
        <w:rPr>
          <w:sz w:val="20"/>
          <w:szCs w:val="20"/>
          <w:color w:val="auto"/>
        </w:rPr>
      </w:pPr>
      <w:r>
        <w:rPr>
          <w:rFonts w:ascii="Arial" w:cs="Arial" w:eastAsia="Arial" w:hAnsi="Arial"/>
          <w:sz w:val="16"/>
          <w:szCs w:val="16"/>
          <w:color w:val="auto"/>
        </w:rPr>
        <w:t>The intrinsic value of all outstanding options as of March 31, 2021 was $ million, based on the assumed initial public offering price of $ per share, which is the mid-point of the estimated price range set forth on the cover page of this prospectus, of which $ million is related to vested options and $ million is related to unvested options.</w:t>
      </w:r>
    </w:p>
    <w:p>
      <w:pPr>
        <w:spacing w:after="0" w:line="166" w:lineRule="exact"/>
        <w:rPr>
          <w:sz w:val="20"/>
          <w:szCs w:val="20"/>
          <w:color w:val="auto"/>
        </w:rPr>
      </w:pPr>
    </w:p>
    <w:p>
      <w:pPr>
        <w:jc w:val="both"/>
        <w:ind w:left="820" w:firstLine="385"/>
        <w:spacing w:after="0" w:line="308" w:lineRule="auto"/>
        <w:rPr>
          <w:sz w:val="20"/>
          <w:szCs w:val="20"/>
          <w:color w:val="auto"/>
        </w:rPr>
      </w:pPr>
      <w:r>
        <w:rPr>
          <w:rFonts w:ascii="Arial" w:cs="Arial" w:eastAsia="Arial" w:hAnsi="Arial"/>
          <w:sz w:val="13"/>
          <w:szCs w:val="13"/>
          <w:color w:val="auto"/>
        </w:rPr>
        <w:t>In June 2021, our board of directors granted options to purchase 2,330,900 shares of our common stock at an exercise price of $1.56 per share. We subsequently determined the grant-date fair value of these awards using an assumed underlying common stock fair value of $1.72 per share for financial reporting purposes. In July 2021, we granted options to purchase 2,682,000 shares of our common stock at an exercise price of $1.76 per share. We</w:t>
      </w:r>
    </w:p>
    <w:p>
      <w:pPr>
        <w:spacing w:after="0" w:line="2" w:lineRule="exact"/>
        <w:rPr>
          <w:sz w:val="20"/>
          <w:szCs w:val="20"/>
          <w:color w:val="auto"/>
        </w:rPr>
      </w:pPr>
    </w:p>
    <w:p>
      <w:pPr>
        <w:ind w:left="820"/>
        <w:spacing w:after="0" w:line="249" w:lineRule="auto"/>
        <w:rPr>
          <w:sz w:val="20"/>
          <w:szCs w:val="20"/>
          <w:color w:val="auto"/>
        </w:rPr>
      </w:pPr>
      <w:r>
        <w:rPr>
          <w:rFonts w:ascii="Arial" w:cs="Arial" w:eastAsia="Arial" w:hAnsi="Arial"/>
          <w:sz w:val="16"/>
          <w:szCs w:val="16"/>
          <w:color w:val="auto"/>
        </w:rPr>
        <w:t>subsequently determined the grant-date fair value of these awards using an assumed underlying common stock fair value of $ per share for financial reporting purposes. We expect to recognize stock-based compensation of between approximately $ million to $ million for these June 2021 and July 2021 awards over the vesting period, which is generally four years.</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Common Stock Valuations</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 xml:space="preserve">Historically, for all periods prior to this offering, fair values of the shares of common stock underlying our stock-based awards were approved on each grant date by our board of directors. Our board of directors considered, among other things, valuations of our common stock which were prepared by an independent third-party valuation firm in accordance with the guidance provided by the American Institute of Certified Public Accountants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The significant objective and subjective factors included, but are not limited to:</w:t>
      </w:r>
    </w:p>
    <w:p>
      <w:pPr>
        <w:spacing w:after="0" w:line="87" w:lineRule="exact"/>
        <w:rPr>
          <w:sz w:val="20"/>
          <w:szCs w:val="20"/>
          <w:color w:val="auto"/>
        </w:rPr>
      </w:pPr>
    </w:p>
    <w:p>
      <w:pPr>
        <w:ind w:left="1660" w:hanging="469"/>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most recently available estimated valuations of our common stock performed by an independent third-party valuation firm;</w:t>
      </w:r>
    </w:p>
    <w:p>
      <w:pPr>
        <w:spacing w:after="0" w:line="122" w:lineRule="exact"/>
        <w:rPr>
          <w:rFonts w:ascii="Arial" w:cs="Arial" w:eastAsia="Arial" w:hAnsi="Arial"/>
          <w:sz w:val="15"/>
          <w:szCs w:val="15"/>
          <w:color w:val="auto"/>
        </w:rPr>
      </w:pPr>
    </w:p>
    <w:p>
      <w:pPr>
        <w:ind w:left="1660" w:right="540" w:hanging="469"/>
        <w:spacing w:after="0" w:line="266" w:lineRule="auto"/>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prices of shares of our convertible preferred stock sold to investors in arm’s length transactions, and the rights, preferences and privileges of our convertible preferred stock relative to our common stock;</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stage of development and material risks related to our business;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results of operations and financial position, including our levels of available capital resources;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progress of our research and development activities;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lack of marketability of our common stock as a private company;</w:t>
      </w:r>
    </w:p>
    <w:p>
      <w:pPr>
        <w:spacing w:after="0" w:line="110" w:lineRule="exact"/>
        <w:rPr>
          <w:rFonts w:ascii="Arial" w:cs="Arial" w:eastAsia="Arial" w:hAnsi="Arial"/>
          <w:sz w:val="16"/>
          <w:szCs w:val="16"/>
          <w:color w:val="auto"/>
        </w:rPr>
      </w:pPr>
    </w:p>
    <w:p>
      <w:pPr>
        <w:ind w:left="1660" w:right="320" w:hanging="469"/>
        <w:spacing w:after="0" w:line="266" w:lineRule="auto"/>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(IPO) or a sale of our company, given prevailing market conditions;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trends and developments in our industry;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external market conditions affecting the life sciences and biotechnology industry sectors.</w:t>
      </w:r>
    </w:p>
    <w:p>
      <w:pPr>
        <w:spacing w:after="0" w:line="193"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For the independent third-party valuations performed in October 2018 and October 2019, we used a probability-weighted expected return method (PWERM) whereby our total equity value was estimated under various exit scenarios and allocated to our different classes of equity. The PWERM included various scenarios in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0400"/>
          </w:cols>
          <w:pgMar w:left="320" w:top="418" w:right="117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68" w:lineRule="auto"/>
        <w:rPr>
          <w:sz w:val="20"/>
          <w:szCs w:val="20"/>
          <w:color w:val="auto"/>
        </w:rPr>
      </w:pPr>
      <w:r>
        <w:rPr>
          <w:rFonts w:ascii="Arial" w:cs="Arial" w:eastAsia="Arial" w:hAnsi="Arial"/>
          <w:sz w:val="15"/>
          <w:szCs w:val="15"/>
          <w:color w:val="auto"/>
        </w:rPr>
        <w:t>which we complete an IPO, the sale of our company or dissolution of our company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scenarios in which we complete the sale of our company was based on the market approach and considered recent licensing deals for programs utilizing similar technologies as us. The equity value under the dissolution scenarios was based on the market approach and considered the return on investment from failed venture capital investments. The equity value under each scenario was adjusted for anticipated future financings and the equity value allocated to our common stock was reduced by a discount for lack of marketability.</w:t>
      </w:r>
    </w:p>
    <w:p>
      <w:pPr>
        <w:spacing w:after="0" w:line="161"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For the independent third-party valuations performed in November 2020 and April 2021, we used a hybrid method of the PWERM and the option pricing model (OPM) backsolve method to allocate our estimated equity value to our different classes of equity. The PWERM included scenarios in which we complete an IPO and a scenario in which we complete an alternative exit (OPM Scenario)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OPM Scenario in the November 2020 valuation utilized the OPM backsolve method based on our Series C convertible preferred stock financing. The April 2021 valuation considered market-based adjustments to the equity value determined under this approach in the November 2020 valuation. In an OPM framework, the backsolve method for inferring the equity value implied by a recent financing transaction involves making assumptions for the expected time to liquidity, volatility, dividend yield, and risk-free rate and then solving for the value of equity such that the value for the most recent financing equals the amount paid. The equity value allocated to our common stock was reduced by a discount for lack of marketability.</w:t>
      </w:r>
    </w:p>
    <w:p>
      <w:pPr>
        <w:spacing w:after="0" w:line="326" w:lineRule="exact"/>
        <w:rPr>
          <w:sz w:val="20"/>
          <w:szCs w:val="20"/>
          <w:color w:val="auto"/>
        </w:rPr>
      </w:pPr>
    </w:p>
    <w:p>
      <w:pPr>
        <w:ind w:left="820" w:right="80" w:firstLine="385"/>
        <w:spacing w:after="0" w:line="300" w:lineRule="auto"/>
        <w:rPr>
          <w:sz w:val="20"/>
          <w:szCs w:val="20"/>
          <w:color w:val="auto"/>
        </w:rPr>
      </w:pPr>
      <w:r>
        <w:rPr>
          <w:rFonts w:ascii="Arial" w:cs="Arial" w:eastAsia="Arial" w:hAnsi="Arial"/>
          <w:sz w:val="15"/>
          <w:szCs w:val="15"/>
          <w:color w:val="auto"/>
        </w:rPr>
        <w:t>For valuations after the completion of this offering, the fair value of each share of underlying common stock will be based on the closing price of our common stock as reported on the date of grant on the primary stock exchange on which our common stock is traded.</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160" w:firstLine="385"/>
        <w:spacing w:after="0" w:line="250" w:lineRule="auto"/>
        <w:rPr>
          <w:sz w:val="20"/>
          <w:szCs w:val="20"/>
          <w:color w:val="auto"/>
        </w:rPr>
      </w:pPr>
      <w:r>
        <w:rPr>
          <w:rFonts w:ascii="Arial" w:cs="Arial" w:eastAsia="Arial" w:hAnsi="Arial"/>
          <w:sz w:val="16"/>
          <w:szCs w:val="16"/>
          <w:color w:val="auto"/>
        </w:rPr>
        <w:t>The obligation to issue additional shares of our Series B convertible preferred stock on the second and third closings of our Series B convertible preferred stock was determined to be a freestanding financial instrument that should be accounted for as a liability. At issuance, we recorded the convertible preferred stock tranche liability on the balance sheet at its estimated fair value, using the estimated fair value of the underlying Series B stock and common stock (which was determined using the standard pricing model). The other inputs used to arrive at the fair value of the convertible preferred stock tranche liability was a discount rate and the expected term, which was based on the expected contractual closing date or the actual closing date.</w:t>
      </w:r>
    </w:p>
    <w:p>
      <w:pPr>
        <w:spacing w:after="0" w:line="171" w:lineRule="exact"/>
        <w:rPr>
          <w:sz w:val="20"/>
          <w:szCs w:val="20"/>
          <w:color w:val="auto"/>
        </w:rPr>
      </w:pPr>
    </w:p>
    <w:p>
      <w:pPr>
        <w:ind w:left="820" w:right="240" w:firstLine="385"/>
        <w:spacing w:after="0" w:line="253" w:lineRule="auto"/>
        <w:rPr>
          <w:sz w:val="20"/>
          <w:szCs w:val="20"/>
          <w:color w:val="auto"/>
        </w:rPr>
      </w:pPr>
      <w:r>
        <w:rPr>
          <w:rFonts w:ascii="Arial" w:cs="Arial" w:eastAsia="Arial" w:hAnsi="Arial"/>
          <w:sz w:val="16"/>
          <w:szCs w:val="16"/>
          <w:color w:val="auto"/>
        </w:rPr>
        <w:t>A tranche liability is subject to remeasurement at each balance sheet date, with changes in fair value recognized as a gain or loss on remeasurement as a component of other income (expense), net in the statements of operations until settlement or extinguishment. Our convertible preferred stock tranche liability was settled upon the closing of our second and third closings of our Series B convertible preferred stock financing in March and August 2020, respectively.</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Recent Accounting Pronouncements</w:t>
      </w:r>
    </w:p>
    <w:p>
      <w:pPr>
        <w:spacing w:after="0" w:line="10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See Note 2 to our audited financial statements and Note 2 to our unaudited interim condensed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400"/>
          </w:cols>
          <w:pgMar w:left="320" w:top="418" w:right="117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Emerging Growth Company and Smaller Reporting Company Status</w:t>
      </w:r>
    </w:p>
    <w:p>
      <w:pPr>
        <w:spacing w:after="0" w:line="103"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w:t>
      </w:r>
    </w:p>
    <w:p>
      <w:pPr>
        <w:spacing w:after="0" w:line="1" w:lineRule="exact"/>
        <w:rPr>
          <w:sz w:val="20"/>
          <w:szCs w:val="20"/>
          <w:color w:val="auto"/>
        </w:rPr>
      </w:pPr>
    </w:p>
    <w:p>
      <w:pPr>
        <w:ind w:left="820" w:right="200"/>
        <w:spacing w:after="0" w:line="248" w:lineRule="auto"/>
        <w:rPr>
          <w:sz w:val="20"/>
          <w:szCs w:val="20"/>
          <w:color w:val="auto"/>
        </w:rPr>
      </w:pPr>
      <w:r>
        <w:rPr>
          <w:rFonts w:ascii="Arial" w:cs="Arial" w:eastAsia="Arial" w:hAnsi="Arial"/>
          <w:sz w:val="16"/>
          <w:szCs w:val="16"/>
          <w:color w:val="auto"/>
        </w:rPr>
        <w:t>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 related information that would be required if we were not an emerging growth company.</w:t>
      </w:r>
    </w:p>
    <w:p>
      <w:pPr>
        <w:spacing w:after="0" w:line="171"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56" w:lineRule="exact"/>
        <w:rPr>
          <w:sz w:val="20"/>
          <w:szCs w:val="20"/>
          <w:color w:val="auto"/>
        </w:rPr>
      </w:pPr>
    </w:p>
    <w:p>
      <w:pPr>
        <w:ind w:left="820" w:right="100" w:firstLine="385"/>
        <w:spacing w:after="0" w:line="267" w:lineRule="auto"/>
        <w:rPr>
          <w:sz w:val="20"/>
          <w:szCs w:val="20"/>
          <w:color w:val="auto"/>
        </w:rPr>
      </w:pPr>
      <w:r>
        <w:rPr>
          <w:rFonts w:ascii="Arial" w:cs="Arial" w:eastAsia="Arial" w:hAnsi="Arial"/>
          <w:sz w:val="15"/>
          <w:szCs w:val="15"/>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Interest Rate Risk</w:t>
      </w:r>
    </w:p>
    <w:p>
      <w:pPr>
        <w:spacing w:after="0" w:line="103"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We held cash and cash equivalents of $128.5 million and $128.4 million as of December 31, 2020 and March 31, 2021, respectively, which consisted of bank deposits and money market funds. Historical fluctuations in interest rates have not had a significant impact on our financial condition or results of operations. We believe that we do not have any material exposure to changes in the fair value of these assets as a result of changes in interest rates due to the short-term nature of our cash and cash equivalents.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420"/>
          </w:cols>
          <w:pgMar w:left="320" w:top="418" w:right="115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BUSINESS</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Overview</w:t>
      </w:r>
    </w:p>
    <w:p>
      <w:pPr>
        <w:spacing w:after="0" w:line="103" w:lineRule="exact"/>
        <w:rPr>
          <w:sz w:val="20"/>
          <w:szCs w:val="20"/>
          <w:color w:val="auto"/>
        </w:rPr>
      </w:pPr>
    </w:p>
    <w:p>
      <w:pPr>
        <w:ind w:left="820" w:right="140" w:firstLine="385"/>
        <w:spacing w:after="0" w:line="323" w:lineRule="auto"/>
        <w:rPr>
          <w:sz w:val="20"/>
          <w:szCs w:val="20"/>
          <w:color w:val="auto"/>
        </w:rPr>
      </w:pPr>
      <w:r>
        <w:rPr>
          <w:rFonts w:ascii="Arial" w:cs="Arial" w:eastAsia="Arial" w:hAnsi="Arial"/>
          <w:sz w:val="13"/>
          <w:szCs w:val="13"/>
          <w:color w:val="auto"/>
        </w:rPr>
        <w:t>Heart disease is the leading cause of death in the world, accounting for more deaths than from all cancers combined. In the United States, more than 30 million adults are diagnosed with heart disease and approximately 35,000 children are born each year with congenital heart disease (CHD). There are over 250 known genetically defined disorders where the primary source of morbidity and mortality involves the heart, but there are few approved products that target the underlying cause of such diseases. Recent analysis has shown that mortality rates due to heart failure (HF) are rising. While there is a clear need for improved treatments, the rate of cardiovascular drug product approvals has declined in recent years.</w:t>
      </w:r>
    </w:p>
    <w:p>
      <w:pPr>
        <w:spacing w:after="0" w:line="126" w:lineRule="exact"/>
        <w:rPr>
          <w:sz w:val="20"/>
          <w:szCs w:val="20"/>
          <w:color w:val="auto"/>
        </w:rPr>
      </w:pPr>
    </w:p>
    <w:p>
      <w:pPr>
        <w:ind w:left="820" w:right="240" w:firstLine="385"/>
        <w:spacing w:after="0" w:line="329" w:lineRule="auto"/>
        <w:rPr>
          <w:sz w:val="20"/>
          <w:szCs w:val="20"/>
          <w:color w:val="auto"/>
        </w:rPr>
      </w:pPr>
      <w:r>
        <w:rPr>
          <w:rFonts w:ascii="Arial" w:cs="Arial" w:eastAsia="Arial" w:hAnsi="Arial"/>
          <w:sz w:val="13"/>
          <w:szCs w:val="13"/>
          <w:color w:val="auto"/>
        </w:rPr>
        <w:t>We are a biotechnology company committed to a bold mission: to discover, develop and deliver curative therapies that address the underlying drivers of heart disease. Our vision is to change the treatment paradigm for heart disease, and in doing so improve and extend the lives of millions of individuals and families. We are advancing a pipeline of disease-modifying therapies developed using our product platforms and core internal capabilities to target defined sub-populations of patients with both rare and highly prevalent forms of heart disease.</w:t>
      </w:r>
    </w:p>
    <w:p>
      <w:pPr>
        <w:spacing w:after="0" w:line="123" w:lineRule="exact"/>
        <w:rPr>
          <w:sz w:val="20"/>
          <w:szCs w:val="20"/>
          <w:color w:val="auto"/>
        </w:rPr>
      </w:pPr>
    </w:p>
    <w:p>
      <w:pPr>
        <w:ind w:left="820" w:right="220" w:firstLine="385"/>
        <w:spacing w:after="0" w:line="251" w:lineRule="auto"/>
        <w:rPr>
          <w:sz w:val="20"/>
          <w:szCs w:val="20"/>
          <w:color w:val="auto"/>
        </w:rPr>
      </w:pPr>
      <w:r>
        <w:rPr>
          <w:rFonts w:ascii="Arial" w:cs="Arial" w:eastAsia="Arial" w:hAnsi="Arial"/>
          <w:sz w:val="16"/>
          <w:szCs w:val="16"/>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70"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TN-201, currently in IND-enabling studies, is designed to deliver a fully functional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driven by our proprietary heart-specific promoter to restore normal levels of MYBPC3 protein. We also intend to submit an IND to the FDA for the most advanced product candidate from our Precision Medicine platform, TYA-11631, a highly specific small molecule inhibitor of histone deacetylase 6 (HDAC6i). TYA-11631, currently in IND-enabling studies, has potentially broad utility in both HF with preserved ejection fraction (HFpEF) as well as genetic dilated cardiomyopathy (gDCM). Our PKP2 program involves using an AAV-based gene therapy to address genetic arrhythmogenic right ventricular cardiomyopathy (gARVC) caused by plakophilin 2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mutations, and is currently at the candidate selection stage. Our DWORF program, an AAV-based gene therapy designed to express the Dwarf Open Reading Frame (</w:t>
      </w:r>
      <w:r>
        <w:rPr>
          <w:rFonts w:ascii="Arial" w:cs="Arial" w:eastAsia="Arial" w:hAnsi="Arial"/>
          <w:sz w:val="13"/>
          <w:szCs w:val="13"/>
          <w:i w:val="1"/>
          <w:iCs w:val="1"/>
          <w:color w:val="auto"/>
        </w:rPr>
        <w:t>DWORF</w:t>
      </w:r>
      <w:r>
        <w:rPr>
          <w:rFonts w:ascii="Arial" w:cs="Arial" w:eastAsia="Arial" w:hAnsi="Arial"/>
          <w:sz w:val="13"/>
          <w:szCs w:val="13"/>
          <w:color w:val="auto"/>
        </w:rPr>
        <w:t>)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00" w:lineRule="exact"/>
        <w:rPr>
          <w:sz w:val="20"/>
          <w:szCs w:val="20"/>
          <w:color w:val="auto"/>
        </w:rPr>
      </w:pPr>
    </w:p>
    <w:p>
      <w:pPr>
        <w:spacing w:after="0" w:line="2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Product Platforms</w:t>
      </w:r>
    </w:p>
    <w:p>
      <w:pPr>
        <w:spacing w:after="0" w:line="99" w:lineRule="exact"/>
        <w:rPr>
          <w:sz w:val="20"/>
          <w:szCs w:val="20"/>
          <w:color w:val="auto"/>
        </w:rPr>
      </w:pPr>
    </w:p>
    <w:p>
      <w:pPr>
        <w:ind w:left="820" w:right="40" w:firstLine="385"/>
        <w:spacing w:after="0" w:line="343" w:lineRule="auto"/>
        <w:rPr>
          <w:sz w:val="20"/>
          <w:szCs w:val="20"/>
          <w:color w:val="auto"/>
        </w:rPr>
      </w:pPr>
      <w:r>
        <w:rPr>
          <w:rFonts w:ascii="Arial" w:cs="Arial" w:eastAsia="Arial" w:hAnsi="Arial"/>
          <w:sz w:val="13"/>
          <w:szCs w:val="13"/>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therapies for heart disease. We</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400"/>
          </w:cols>
          <w:pgMar w:left="320" w:top="418" w:right="117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60"/>
        <w:spacing w:after="0" w:line="266" w:lineRule="auto"/>
        <w:rPr>
          <w:sz w:val="20"/>
          <w:szCs w:val="20"/>
          <w:color w:val="auto"/>
        </w:rPr>
      </w:pPr>
      <w:r>
        <w:rPr>
          <w:rFonts w:ascii="Arial" w:cs="Arial" w:eastAsia="Arial" w:hAnsi="Arial"/>
          <w:sz w:val="16"/>
          <w:szCs w:val="16"/>
          <w:color w:val="auto"/>
        </w:rPr>
        <w:t>believe these three product platforms together yield better insight into disease processes, create more opportunities for successful drug development, mitigate scientific risks, and differentiate our efforts relative to competitors.</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147955</wp:posOffset>
            </wp:positionV>
            <wp:extent cx="4439285" cy="22834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39285" cy="228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60" w:hanging="304"/>
        <w:spacing w:after="0" w:line="316" w:lineRule="auto"/>
        <w:tabs>
          <w:tab w:leader="none" w:pos="16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b w:val="1"/>
          <w:bCs w:val="1"/>
          <w:i w:val="1"/>
          <w:iCs w:val="1"/>
          <w:color w:val="auto"/>
        </w:rPr>
        <w:t>Gene Therapy</w:t>
      </w:r>
      <w:r>
        <w:rPr>
          <w:rFonts w:ascii="Arial" w:cs="Arial" w:eastAsia="Arial" w:hAnsi="Arial"/>
          <w:sz w:val="13"/>
          <w:szCs w:val="13"/>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Depending on the nature of the disease, we may target cardiomyocytes (CMs), cardiac fibroblasts (CFs), or other cells important to the proper functioning of the heart. The genes delivered can be a healthy copy of genes that are known to be mutated in human disease, or some other protein or construct that can exert a therapeutic effect.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48" w:lineRule="exact"/>
        <w:rPr>
          <w:rFonts w:ascii="Arial" w:cs="Arial" w:eastAsia="Arial" w:hAnsi="Arial"/>
          <w:sz w:val="13"/>
          <w:szCs w:val="13"/>
          <w:color w:val="auto"/>
        </w:rPr>
      </w:pPr>
    </w:p>
    <w:p>
      <w:pPr>
        <w:ind w:left="1660" w:right="60" w:hanging="304"/>
        <w:spacing w:after="0" w:line="315" w:lineRule="auto"/>
        <w:tabs>
          <w:tab w:leader="none" w:pos="16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b w:val="1"/>
          <w:bCs w:val="1"/>
          <w:i w:val="1"/>
          <w:iCs w:val="1"/>
          <w:color w:val="auto"/>
        </w:rPr>
        <w:t>Cellular Regeneration</w:t>
      </w:r>
      <w:r>
        <w:rPr>
          <w:rFonts w:ascii="Arial" w:cs="Arial" w:eastAsia="Arial" w:hAnsi="Arial"/>
          <w:sz w:val="13"/>
          <w:szCs w:val="13"/>
          <w:color w:val="auto"/>
        </w:rPr>
        <w:t xml:space="preserve"> platform uses viral vectors to deliver specific combinations of genes to existing cells in the heart to regenerate CMs </w:t>
      </w:r>
      <w:r>
        <w:rPr>
          <w:rFonts w:ascii="Arial" w:cs="Arial" w:eastAsia="Arial" w:hAnsi="Arial"/>
          <w:sz w:val="13"/>
          <w:szCs w:val="13"/>
          <w:i w:val="1"/>
          <w:iCs w:val="1"/>
          <w:color w:val="auto"/>
        </w:rPr>
        <w:t>in vivo</w:t>
      </w:r>
      <w:r>
        <w:rPr>
          <w:rFonts w:ascii="Arial" w:cs="Arial" w:eastAsia="Arial" w:hAnsi="Arial"/>
          <w:sz w:val="13"/>
          <w:szCs w:val="13"/>
          <w:color w:val="auto"/>
        </w:rPr>
        <w:t>. We own certain intellectual property that covers two distinct approaches to achieve regeneration of new heart tissue. One approach uses AAV vectors to deliver proprietary combinations of genes that induce the resident CFs to convert to CMs. We have developed, through internal capsid engineering capabilities, novel AAV capsids with enhanced CF transduction. Another approach uses non-integrating lentiviruses to deliver proprietary combinations of genes that induce the resident CMs to undergo transient cell division. The product candidates arising from this platform are intended to overcome the shortcomings of traditional therapies that address symptoms but are not able to address the irreversible loss of CMs. We believe this platform has potentially broad utility across a range of heart conditions that result in the loss of CMs, including MI, chemotherapy-related toxicity, and viral infection.</w:t>
      </w:r>
    </w:p>
    <w:p>
      <w:pPr>
        <w:spacing w:after="0" w:line="241" w:lineRule="exact"/>
        <w:rPr>
          <w:rFonts w:ascii="Arial" w:cs="Arial" w:eastAsia="Arial" w:hAnsi="Arial"/>
          <w:sz w:val="13"/>
          <w:szCs w:val="13"/>
          <w:color w:val="auto"/>
        </w:rPr>
      </w:pPr>
    </w:p>
    <w:p>
      <w:pPr>
        <w:ind w:left="1660" w:right="180" w:hanging="304"/>
        <w:spacing w:after="0" w:line="343" w:lineRule="auto"/>
        <w:tabs>
          <w:tab w:leader="none" w:pos="16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b w:val="1"/>
          <w:bCs w:val="1"/>
          <w:i w:val="1"/>
          <w:iCs w:val="1"/>
          <w:color w:val="auto"/>
        </w:rPr>
        <w:t>Precision Medicine</w:t>
      </w:r>
      <w:r>
        <w:rPr>
          <w:rFonts w:ascii="Arial" w:cs="Arial" w:eastAsia="Arial" w:hAnsi="Arial"/>
          <w:sz w:val="13"/>
          <w:szCs w:val="13"/>
          <w:color w:val="auto"/>
        </w:rPr>
        <w:t xml:space="preserve"> platform uses human induced pluripotent stem cell-derived CMs (hiPSC-CMs) as proprietary disease models combined with analysis of human genetics and the use of machine learning algorithms for the identification of new targets, validation of known targets, and high-throughput screening for drug discovery. This platform is intended to overcome the shortcomings</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400"/>
          </w:cols>
          <w:pgMar w:left="320" w:top="418" w:right="117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120"/>
        <w:spacing w:after="0" w:line="272" w:lineRule="auto"/>
        <w:rPr>
          <w:sz w:val="20"/>
          <w:szCs w:val="20"/>
          <w:color w:val="auto"/>
        </w:rPr>
      </w:pPr>
      <w:r>
        <w:rPr>
          <w:rFonts w:ascii="Arial" w:cs="Arial" w:eastAsia="Arial" w:hAnsi="Arial"/>
          <w:sz w:val="15"/>
          <w:szCs w:val="15"/>
          <w:color w:val="auto"/>
        </w:rPr>
        <w:t>of traditional drug development efforts that rely more heavily on insights from animal models to identify targets and to develop therapies intended for human heart disease. We believe this platform may also help identify promising drug targets directed to sub-populations of patients who are more likely to respond to such targeted product candidates. We believe this platform has potentially broad utility for the identification of targets and therapies in a modality-agnostic manner—including gene therapy, small molecules, and biologics—for both genetic and non-genetic forms of heart disease.</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Approach and Capabilities</w:t>
      </w:r>
    </w:p>
    <w:p>
      <w:pPr>
        <w:spacing w:after="0" w:line="99" w:lineRule="exact"/>
        <w:rPr>
          <w:sz w:val="20"/>
          <w:szCs w:val="20"/>
          <w:color w:val="auto"/>
        </w:rPr>
      </w:pPr>
    </w:p>
    <w:p>
      <w:pPr>
        <w:ind w:left="820" w:right="20" w:firstLine="385"/>
        <w:spacing w:after="0" w:line="275" w:lineRule="auto"/>
        <w:rPr>
          <w:sz w:val="20"/>
          <w:szCs w:val="20"/>
          <w:color w:val="auto"/>
        </w:rPr>
      </w:pPr>
      <w:r>
        <w:rPr>
          <w:rFonts w:ascii="Arial" w:cs="Arial" w:eastAsia="Arial" w:hAnsi="Arial"/>
          <w:sz w:val="15"/>
          <w:szCs w:val="15"/>
          <w:color w:val="auto"/>
        </w:rPr>
        <w:t>We have internalized and integrated core capabilities, as displayed below, to support our product platforms and our pipeline programs. We believe these capabilities provide us with several advantages and differentiate our efforts relative to competitors, particularly for our AAV-based drug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24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Our Core Capabilities Supporting Our Differentiated Product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147955</wp:posOffset>
            </wp:positionV>
            <wp:extent cx="4446905" cy="1939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4690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five core capabilities include:</w:t>
      </w:r>
    </w:p>
    <w:p>
      <w:pPr>
        <w:spacing w:after="0" w:line="111" w:lineRule="exact"/>
        <w:rPr>
          <w:sz w:val="20"/>
          <w:szCs w:val="20"/>
          <w:color w:val="auto"/>
        </w:rPr>
      </w:pPr>
    </w:p>
    <w:p>
      <w:pPr>
        <w:ind w:left="1660" w:right="60" w:hanging="304"/>
        <w:spacing w:after="0" w:line="316" w:lineRule="auto"/>
        <w:tabs>
          <w:tab w:leader="none" w:pos="166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Disease Models</w:t>
      </w:r>
      <w:r>
        <w:rPr>
          <w:rFonts w:ascii="Arial" w:cs="Arial" w:eastAsia="Arial" w:hAnsi="Arial"/>
          <w:sz w:val="13"/>
          <w:szCs w:val="13"/>
          <w:color w:val="auto"/>
        </w:rPr>
        <w:t>. Having better models of human heart disease is an important capability for drug discovery. Existing models may not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adequate to assess the efficacy or safety of novel therapies. In order to achieve this, we have internalized the ability to create and integrate proprietary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models within our research organization. For our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disease models, we have a dedicated onsite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48" w:lineRule="exact"/>
        <w:rPr>
          <w:rFonts w:ascii="Arial" w:cs="Arial" w:eastAsia="Arial" w:hAnsi="Arial"/>
          <w:sz w:val="13"/>
          <w:szCs w:val="13"/>
          <w:color w:val="auto"/>
        </w:rPr>
      </w:pPr>
    </w:p>
    <w:p>
      <w:pPr>
        <w:ind w:left="1660" w:hanging="304"/>
        <w:spacing w:after="0" w:line="275" w:lineRule="auto"/>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Capsid Engineering</w:t>
      </w:r>
      <w:r>
        <w:rPr>
          <w:rFonts w:ascii="Arial" w:cs="Arial" w:eastAsia="Arial" w:hAnsi="Arial"/>
          <w:sz w:val="15"/>
          <w:szCs w:val="15"/>
          <w:color w:val="auto"/>
        </w:rPr>
        <w:t>. We have established in-house AAV capsid engineering capabilities and have successfully screened over one billion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variants from more than 30 diverse, proprietary AAV libraries in multiple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silico</w:t>
      </w:r>
      <w:r>
        <w:rPr>
          <w:rFonts w:ascii="Arial" w:cs="Arial" w:eastAsia="Arial" w:hAnsi="Arial"/>
          <w:sz w:val="15"/>
          <w:szCs w:val="15"/>
          <w:color w:val="auto"/>
        </w:rPr>
        <w:t xml:space="preserve"> models to discover novel AAV capsids that can target the different types of cells in the heart. We have generated preclinical data to support the superiority of these capsids over parental variants in multiple species—including NHPs—against multiple attributes.</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400"/>
          </w:cols>
          <w:pgMar w:left="320" w:top="418" w:right="117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40"/>
        <w:spacing w:after="0" w:line="343" w:lineRule="auto"/>
        <w:rPr>
          <w:sz w:val="20"/>
          <w:szCs w:val="20"/>
          <w:color w:val="auto"/>
        </w:rPr>
      </w:pPr>
      <w:r>
        <w:rPr>
          <w:rFonts w:ascii="Arial" w:cs="Arial" w:eastAsia="Arial" w:hAnsi="Arial"/>
          <w:sz w:val="13"/>
          <w:szCs w:val="13"/>
          <w:color w:val="auto"/>
        </w:rPr>
        <w:t>These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31" w:lineRule="exact"/>
        <w:rPr>
          <w:sz w:val="20"/>
          <w:szCs w:val="20"/>
          <w:color w:val="auto"/>
        </w:rPr>
      </w:pPr>
    </w:p>
    <w:p>
      <w:pPr>
        <w:ind w:left="1660" w:right="20" w:hanging="304"/>
        <w:spacing w:after="0" w:line="272" w:lineRule="auto"/>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Promoters and Regulatory Elements</w:t>
      </w:r>
      <w:r>
        <w:rPr>
          <w:rFonts w:ascii="Arial" w:cs="Arial" w:eastAsia="Arial" w:hAnsi="Arial"/>
          <w:sz w:val="15"/>
          <w:szCs w:val="15"/>
          <w:color w:val="auto"/>
        </w:rPr>
        <w:t>. We have created novel promoters and regulatory elements to support our gene therapy and cellular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regeneration programs. These promoters and regulatory elements control the expression of genes within the cells. We use these innovations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w:t>
      </w:r>
    </w:p>
    <w:p>
      <w:pPr>
        <w:spacing w:after="0" w:line="71" w:lineRule="exact"/>
        <w:rPr>
          <w:rFonts w:ascii="Arial" w:cs="Arial" w:eastAsia="Arial" w:hAnsi="Arial"/>
          <w:sz w:val="15"/>
          <w:szCs w:val="15"/>
          <w:color w:val="auto"/>
        </w:rPr>
      </w:pPr>
    </w:p>
    <w:p>
      <w:pPr>
        <w:ind w:left="1660" w:hanging="304"/>
        <w:spacing w:after="0" w:line="253" w:lineRule="auto"/>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Drug Delivery</w:t>
      </w:r>
      <w:r>
        <w:rPr>
          <w:rFonts w:ascii="Arial" w:cs="Arial" w:eastAsia="Arial" w:hAnsi="Arial"/>
          <w:sz w:val="16"/>
          <w:szCs w:val="16"/>
          <w:color w:val="auto"/>
        </w:rPr>
        <w:t>. We are actively exploring different routes of administration (ROAs) as well as different infusion- and injection-based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methods for delivering our AAV-based therapies. We have designed a new catheter to support more targeted delivery and more efficient uptake of therapeutic payloads in the heart. We believe our discoveries in drug delivery can help widen the therapeutic index of our product candidates by reducing the dose required for a therapeutic benefit.</w:t>
      </w:r>
    </w:p>
    <w:p>
      <w:pPr>
        <w:spacing w:after="0" w:line="84" w:lineRule="exact"/>
        <w:rPr>
          <w:rFonts w:ascii="Arial" w:cs="Arial" w:eastAsia="Arial" w:hAnsi="Arial"/>
          <w:sz w:val="16"/>
          <w:szCs w:val="16"/>
          <w:color w:val="auto"/>
        </w:rPr>
      </w:pPr>
    </w:p>
    <w:p>
      <w:pPr>
        <w:ind w:left="1660" w:right="40" w:hanging="304"/>
        <w:spacing w:after="0" w:line="267" w:lineRule="auto"/>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Manufacturing</w:t>
      </w:r>
      <w:r>
        <w:rPr>
          <w:rFonts w:ascii="Arial" w:cs="Arial" w:eastAsia="Arial" w:hAnsi="Arial"/>
          <w:sz w:val="15"/>
          <w:szCs w:val="15"/>
          <w:color w:val="auto"/>
        </w:rPr>
        <w:t>. We have taken important steps towards internalizing both current Good Manufacturing Practice (cGMP) and non-GMP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AAV manufacturing capabilities to support our emerging portfolio of gene therapy and cellular regeneration product candidates. This includes a growing in-house team of approximately 25 personnel that can support process development (PD), analytical development (AD), and quality assurance (QA) and quality control (QC). We have in-house personnel to support both upstream and downstream PD, AD, and QC efforts. We have produced non-clinical material involving both parental and novel AAV capsids at the 50L and 200L scales to support early research and IND-enabling studies in small and large animal models. We have initiated construction of a current cGMP facility in the San Francisco Bay Area near our research labs to enable smooth scale-up of production to support first-in-human (FIH) studies, initially at the 1000L scale. We expect this facility will be operational in the first half of 2022. We have in-licensed certain manufacturing intellectual property to support our programs.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440"/>
          </w:cols>
          <w:pgMar w:left="320" w:top="418" w:right="113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Pipeline</w:t>
      </w:r>
    </w:p>
    <w:p>
      <w:pPr>
        <w:spacing w:after="0" w:line="99" w:lineRule="exact"/>
        <w:rPr>
          <w:sz w:val="20"/>
          <w:szCs w:val="20"/>
          <w:color w:val="auto"/>
        </w:rPr>
      </w:pPr>
    </w:p>
    <w:p>
      <w:pPr>
        <w:ind w:left="820" w:right="80" w:firstLine="385"/>
        <w:spacing w:after="0" w:line="253" w:lineRule="auto"/>
        <w:rPr>
          <w:sz w:val="20"/>
          <w:szCs w:val="20"/>
          <w:color w:val="auto"/>
        </w:rPr>
      </w:pPr>
      <w:r>
        <w:rPr>
          <w:rFonts w:ascii="Arial" w:cs="Arial" w:eastAsia="Arial" w:hAnsi="Arial"/>
          <w:sz w:val="16"/>
          <w:szCs w:val="16"/>
          <w:color w:val="auto"/>
        </w:rPr>
        <w:t>We are advancing a deep and diverse pipeline of therapeutic programs intended for rare diseases, such as gHCM and gARVC, as well as for more prevalent forms of heart disease, such as DCM and HFpEF. We have exclusive worldwide rights to all of our programs. Our pipeline includes programs that have emerged from our internal efforts, including various ongoing early stage discovery efforts across our platforms, as well as programs that are based on intellectual property licensed from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128905</wp:posOffset>
            </wp:positionV>
            <wp:extent cx="4439285" cy="1789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439285" cy="178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hanging="372"/>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USA Prevalence refers to the number of patients in the United States with the indication based on publicly available market data</w:t>
      </w:r>
    </w:p>
    <w:p>
      <w:pPr>
        <w:spacing w:after="0" w:line="89" w:lineRule="exact"/>
        <w:rPr>
          <w:rFonts w:ascii="Arial" w:cs="Arial" w:eastAsia="Arial" w:hAnsi="Arial"/>
          <w:sz w:val="13"/>
          <w:szCs w:val="13"/>
          <w:color w:val="auto"/>
        </w:rPr>
      </w:pPr>
    </w:p>
    <w:p>
      <w:pPr>
        <w:ind w:left="1660" w:hanging="469"/>
        <w:spacing w:after="0" w:line="312" w:lineRule="auto"/>
        <w:tabs>
          <w:tab w:leader="none" w:pos="1660" w:val="left"/>
        </w:tabs>
        <w:numPr>
          <w:ilvl w:val="1"/>
          <w:numId w:val="77"/>
        </w:numPr>
        <w:rPr>
          <w:rFonts w:ascii="Arial" w:cs="Arial" w:eastAsia="Arial" w:hAnsi="Arial"/>
          <w:sz w:val="13"/>
          <w:szCs w:val="13"/>
          <w:color w:val="auto"/>
        </w:rPr>
      </w:pPr>
      <w:r>
        <w:rPr>
          <w:rFonts w:ascii="Arial" w:cs="Arial" w:eastAsia="Arial" w:hAnsi="Arial"/>
          <w:sz w:val="13"/>
          <w:szCs w:val="13"/>
          <w:b w:val="1"/>
          <w:bCs w:val="1"/>
          <w:i w:val="1"/>
          <w:iCs w:val="1"/>
          <w:color w:val="auto"/>
        </w:rPr>
        <w:t>MYBPC3 Program for gHCM</w:t>
      </w:r>
      <w:r>
        <w:rPr>
          <w:rFonts w:ascii="Arial" w:cs="Arial" w:eastAsia="Arial" w:hAnsi="Arial"/>
          <w:sz w:val="13"/>
          <w:szCs w:val="13"/>
          <w:color w:val="auto"/>
        </w:rPr>
        <w:t>. We are developing an AAV-based gene therapy designed to deliver a functional</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MYBPC3</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 in adults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and children with gHCM due to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designed to enable robust expression of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 including the FDA, to guide our path to clinical development. TN-201 has also been granted Orphan Drug Designation (ODD) by the FDA. We intend to submit an IND or CTA to the FDA or EMA, respectively, in 2022.</w:t>
      </w:r>
    </w:p>
    <w:p>
      <w:pPr>
        <w:spacing w:after="0" w:line="243" w:lineRule="exact"/>
        <w:rPr>
          <w:rFonts w:ascii="Arial" w:cs="Arial" w:eastAsia="Arial" w:hAnsi="Arial"/>
          <w:sz w:val="13"/>
          <w:szCs w:val="13"/>
          <w:color w:val="auto"/>
        </w:rPr>
      </w:pPr>
    </w:p>
    <w:p>
      <w:pPr>
        <w:ind w:left="1660" w:right="80" w:hanging="469"/>
        <w:spacing w:after="0" w:line="267" w:lineRule="auto"/>
        <w:tabs>
          <w:tab w:leader="none" w:pos="1660" w:val="left"/>
        </w:tabs>
        <w:numPr>
          <w:ilvl w:val="1"/>
          <w:numId w:val="77"/>
        </w:numPr>
        <w:rPr>
          <w:rFonts w:ascii="Arial" w:cs="Arial" w:eastAsia="Arial" w:hAnsi="Arial"/>
          <w:sz w:val="15"/>
          <w:szCs w:val="15"/>
          <w:color w:val="auto"/>
        </w:rPr>
      </w:pPr>
      <w:r>
        <w:rPr>
          <w:rFonts w:ascii="Arial" w:cs="Arial" w:eastAsia="Arial" w:hAnsi="Arial"/>
          <w:sz w:val="15"/>
          <w:szCs w:val="15"/>
          <w:b w:val="1"/>
          <w:bCs w:val="1"/>
          <w:i w:val="1"/>
          <w:iCs w:val="1"/>
          <w:color w:val="auto"/>
        </w:rPr>
        <w:t>HDAC6i Program for HFpEF</w:t>
      </w:r>
      <w:r>
        <w:rPr>
          <w:rFonts w:ascii="Arial" w:cs="Arial" w:eastAsia="Arial" w:hAnsi="Arial"/>
          <w:sz w:val="15"/>
          <w:szCs w:val="15"/>
          <w:color w:val="auto"/>
        </w:rPr>
        <w:t>. We are developing an HDAC6i small molecule for various forms of HF, including HFpEF. This disease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activity of our HDAC6i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80" w:lineRule="exact"/>
        <w:rPr>
          <w:rFonts w:ascii="Arial" w:cs="Arial" w:eastAsia="Arial" w:hAnsi="Arial"/>
          <w:sz w:val="15"/>
          <w:szCs w:val="15"/>
          <w:color w:val="auto"/>
        </w:rPr>
      </w:pPr>
    </w:p>
    <w:p>
      <w:pPr>
        <w:ind w:left="1660" w:right="300" w:hanging="469"/>
        <w:spacing w:after="0" w:line="266" w:lineRule="auto"/>
        <w:tabs>
          <w:tab w:leader="none" w:pos="1660"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PKP2 Program for gARVC</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PKP2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in adults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gARVC due to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 estimated to affect more than</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420"/>
          </w:cols>
          <w:pgMar w:left="320" w:top="418" w:right="115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80"/>
        <w:spacing w:after="0" w:line="268" w:lineRule="auto"/>
        <w:rPr>
          <w:sz w:val="20"/>
          <w:szCs w:val="20"/>
          <w:color w:val="auto"/>
        </w:rPr>
      </w:pPr>
      <w:r>
        <w:rPr>
          <w:rFonts w:ascii="Arial" w:cs="Arial" w:eastAsia="Arial" w:hAnsi="Arial"/>
          <w:sz w:val="15"/>
          <w:szCs w:val="15"/>
          <w:color w:val="auto"/>
        </w:rPr>
        <w:t>70,000 patients in the United States. These mutations can cause enlargement of the right ventricle (RV) in affected individuals, replacement of heart muscle with fibrotic tissue and fatty deposits, and severely abnormal heart rhythms (arrhythmia) that can make it harder for the heart to function properly and result in sudden cardiac death in some adults and children.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78" w:lineRule="exact"/>
        <w:rPr>
          <w:sz w:val="20"/>
          <w:szCs w:val="20"/>
          <w:color w:val="auto"/>
        </w:rPr>
      </w:pPr>
    </w:p>
    <w:p>
      <w:pPr>
        <w:ind w:left="1660" w:hanging="469"/>
        <w:spacing w:after="0" w:line="314" w:lineRule="auto"/>
        <w:tabs>
          <w:tab w:leader="none" w:pos="1660" w:val="left"/>
        </w:tabs>
        <w:numPr>
          <w:ilvl w:val="0"/>
          <w:numId w:val="78"/>
        </w:numPr>
        <w:rPr>
          <w:rFonts w:ascii="Arial" w:cs="Arial" w:eastAsia="Arial" w:hAnsi="Arial"/>
          <w:sz w:val="13"/>
          <w:szCs w:val="13"/>
          <w:color w:val="auto"/>
        </w:rPr>
      </w:pPr>
      <w:r>
        <w:rPr>
          <w:rFonts w:ascii="Arial" w:cs="Arial" w:eastAsia="Arial" w:hAnsi="Arial"/>
          <w:sz w:val="13"/>
          <w:szCs w:val="13"/>
          <w:b w:val="1"/>
          <w:bCs w:val="1"/>
          <w:i w:val="1"/>
          <w:iCs w:val="1"/>
          <w:color w:val="auto"/>
        </w:rPr>
        <w:t>DWORF Program for DCM</w:t>
      </w:r>
      <w:r>
        <w:rPr>
          <w:rFonts w:ascii="Arial" w:cs="Arial" w:eastAsia="Arial" w:hAnsi="Arial"/>
          <w:sz w:val="13"/>
          <w:szCs w:val="13"/>
          <w:color w:val="auto"/>
        </w:rPr>
        <w:t>. We are developing an AAV-based gene therapy designed to deliver the</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DWORF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 for patients with DCM,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proof-of-concept evidence for the therapeutic benefit of over-expression of the </w:t>
      </w:r>
      <w:r>
        <w:rPr>
          <w:rFonts w:ascii="Arial" w:cs="Arial" w:eastAsia="Arial" w:hAnsi="Arial"/>
          <w:sz w:val="13"/>
          <w:szCs w:val="13"/>
          <w:i w:val="1"/>
          <w:iCs w:val="1"/>
          <w:color w:val="auto"/>
        </w:rPr>
        <w:t>DWORF</w:t>
      </w:r>
      <w:r>
        <w:rPr>
          <w:rFonts w:ascii="Arial" w:cs="Arial" w:eastAsia="Arial" w:hAnsi="Arial"/>
          <w:sz w:val="13"/>
          <w:szCs w:val="13"/>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239" w:lineRule="exact"/>
        <w:rPr>
          <w:rFonts w:ascii="Arial" w:cs="Arial" w:eastAsia="Arial" w:hAnsi="Arial"/>
          <w:sz w:val="13"/>
          <w:szCs w:val="13"/>
          <w:color w:val="auto"/>
        </w:rPr>
      </w:pPr>
    </w:p>
    <w:p>
      <w:pPr>
        <w:ind w:left="1660" w:hanging="469"/>
        <w:spacing w:after="0" w:line="312" w:lineRule="auto"/>
        <w:tabs>
          <w:tab w:leader="none" w:pos="1660" w:val="left"/>
        </w:tabs>
        <w:numPr>
          <w:ilvl w:val="0"/>
          <w:numId w:val="78"/>
        </w:numPr>
        <w:rPr>
          <w:rFonts w:ascii="Arial" w:cs="Arial" w:eastAsia="Arial" w:hAnsi="Arial"/>
          <w:sz w:val="13"/>
          <w:szCs w:val="13"/>
          <w:color w:val="auto"/>
        </w:rPr>
      </w:pPr>
      <w:r>
        <w:rPr>
          <w:rFonts w:ascii="Arial" w:cs="Arial" w:eastAsia="Arial" w:hAnsi="Arial"/>
          <w:sz w:val="13"/>
          <w:szCs w:val="13"/>
          <w:b w:val="1"/>
          <w:bCs w:val="1"/>
          <w:i w:val="1"/>
          <w:iCs w:val="1"/>
          <w:color w:val="auto"/>
        </w:rPr>
        <w:t>Reprogramming Program for HF due to prior MI</w:t>
      </w:r>
      <w:r>
        <w:rPr>
          <w:rFonts w:ascii="Arial" w:cs="Arial" w:eastAsia="Arial" w:hAnsi="Arial"/>
          <w:sz w:val="13"/>
          <w:szCs w:val="13"/>
          <w:color w:val="auto"/>
        </w:rPr>
        <w:t>. We are developing an AAV-based approach to cellular regeneration that involves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 have discovered a proprietary combination of three genes that can drive robust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reprogramming of CFs to CMs when delivered together in a single AAV capsid. We have demonstrated significant and durable disease reversal as well as tolerability in multiple small and large animal models. Based on publicly available information to date, we believe our results in a pig model of HF due to prior MI represent the potential benefit of this approach in a human-sized heart. This program is currently at the candidate selection stage.</w:t>
      </w:r>
    </w:p>
    <w:p>
      <w:pPr>
        <w:spacing w:after="0" w:line="200" w:lineRule="exact"/>
        <w:rPr>
          <w:sz w:val="20"/>
          <w:szCs w:val="20"/>
          <w:color w:val="auto"/>
        </w:rPr>
      </w:pP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Management Team and Investors</w:t>
      </w:r>
    </w:p>
    <w:p>
      <w:pPr>
        <w:spacing w:after="0" w:line="99"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that, as of June 30, 2021, comprises over 85 employees.</w:t>
      </w:r>
    </w:p>
    <w:p>
      <w:pPr>
        <w:spacing w:after="0" w:line="166" w:lineRule="exact"/>
        <w:rPr>
          <w:sz w:val="20"/>
          <w:szCs w:val="20"/>
          <w:color w:val="auto"/>
        </w:rPr>
      </w:pPr>
    </w:p>
    <w:p>
      <w:pPr>
        <w:ind w:left="820" w:right="140" w:firstLine="385"/>
        <w:spacing w:after="0" w:line="275" w:lineRule="auto"/>
        <w:rPr>
          <w:sz w:val="20"/>
          <w:szCs w:val="20"/>
          <w:color w:val="auto"/>
        </w:rPr>
      </w:pPr>
      <w:r>
        <w:rPr>
          <w:rFonts w:ascii="Arial" w:cs="Arial" w:eastAsia="Arial" w:hAnsi="Arial"/>
          <w:sz w:val="15"/>
          <w:szCs w:val="15"/>
          <w:color w:val="auto"/>
        </w:rPr>
        <w:t>We are led by a team of executives and directors with significant experience in the discovery, development, manufacture, and commercialization of novel therapeutics, specifically in the fields of rare diseases, gene therapies, and heart disease. Faraz Ali, M.B.A.,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53"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We have raised approximately $248 million in equity financing to date from leading venture, strategic and public investors, including The Column Group, Casdin Capital, SymBiosis II, LLC, Fidelity Management &amp;</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0420"/>
          </w:cols>
          <w:pgMar w:left="320" w:top="418" w:right="115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6" w:lineRule="auto"/>
        <w:rPr>
          <w:sz w:val="20"/>
          <w:szCs w:val="20"/>
          <w:color w:val="auto"/>
        </w:rPr>
      </w:pPr>
      <w:r>
        <w:rPr>
          <w:rFonts w:ascii="Arial" w:cs="Arial" w:eastAsia="Arial" w:hAnsi="Arial"/>
          <w:sz w:val="16"/>
          <w:szCs w:val="16"/>
          <w:color w:val="auto"/>
        </w:rPr>
        <w:t>Research Company, RTW Investments, and others who share our vision to build a highly innovative, integrated biotechnology company delivering next-generation therapies that address the underlying causes of heart disease.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Overview of Heart Disease</w:t>
      </w:r>
    </w:p>
    <w:p>
      <w:pPr>
        <w:spacing w:after="0" w:line="103"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CHD, and CHD is the leading cause of birth defect-related morbidity and mortality. There are over 250 known genetically defined disorders where the primary source of morbidity and mortality involves the heart, but there are few approved products that target the underlying cause of such diseases. Recent analysis has shown that after decades of reduction in the mortality rate due to HF, these rates are once again rising, highlighting the need for improved treatments.</w:t>
      </w:r>
    </w:p>
    <w:p>
      <w:pPr>
        <w:spacing w:after="0" w:line="163"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400"/>
          </w:cols>
          <w:pgMar w:left="320" w:top="418" w:right="117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table below illustrates four broad categories of heart disease:</w:t>
      </w:r>
    </w:p>
    <w:p>
      <w:pPr>
        <w:spacing w:after="0" w:line="209" w:lineRule="exact"/>
        <w:rPr>
          <w:sz w:val="20"/>
          <w:szCs w:val="20"/>
          <w:color w:val="auto"/>
        </w:rPr>
      </w:pPr>
    </w:p>
    <w:tbl>
      <w:tblPr>
        <w:tblLayout w:type="fixed"/>
        <w:tblInd w:w="810" w:type="dxa"/>
        <w:tblCellMar>
          <w:top w:w="0" w:type="dxa"/>
          <w:left w:w="0" w:type="dxa"/>
          <w:bottom w:w="0" w:type="dxa"/>
          <w:right w:w="0" w:type="dxa"/>
        </w:tblCellMar>
      </w:tblPr>
      <w:tr>
        <w:trPr>
          <w:trHeight w:val="224"/>
        </w:trPr>
        <w:tc>
          <w:tcPr>
            <w:tcW w:w="3240" w:type="dxa"/>
            <w:vAlign w:val="bottom"/>
            <w:tcBorders>
              <w:top w:val="single" w:sz="8" w:color="auto"/>
              <w:left w:val="single" w:sz="8" w:color="auto"/>
              <w:bottom w:val="single" w:sz="8" w:color="auto"/>
              <w:right w:val="single" w:sz="8" w:color="auto"/>
            </w:tcBorders>
          </w:tcPr>
          <w:p>
            <w:pPr>
              <w:jc w:val="center"/>
              <w:ind w:left="45"/>
              <w:spacing w:after="0"/>
              <w:rPr>
                <w:sz w:val="20"/>
                <w:szCs w:val="20"/>
                <w:color w:val="auto"/>
              </w:rPr>
            </w:pPr>
            <w:r>
              <w:rPr>
                <w:rFonts w:ascii="Arial" w:cs="Arial" w:eastAsia="Arial" w:hAnsi="Arial"/>
                <w:sz w:val="13"/>
                <w:szCs w:val="13"/>
                <w:b w:val="1"/>
                <w:bCs w:val="1"/>
                <w:color w:val="auto"/>
                <w:w w:val="97"/>
              </w:rPr>
              <w:t>CATEGORIES</w:t>
            </w:r>
          </w:p>
        </w:tc>
        <w:tc>
          <w:tcPr>
            <w:tcW w:w="6420" w:type="dxa"/>
            <w:vAlign w:val="bottom"/>
            <w:tcBorders>
              <w:top w:val="single" w:sz="8" w:color="auto"/>
              <w:bottom w:val="single" w:sz="8" w:color="auto"/>
              <w:right w:val="single" w:sz="8" w:color="auto"/>
            </w:tcBorders>
          </w:tcPr>
          <w:p>
            <w:pPr>
              <w:ind w:left="2820"/>
              <w:spacing w:after="0"/>
              <w:rPr>
                <w:sz w:val="20"/>
                <w:szCs w:val="20"/>
                <w:color w:val="auto"/>
              </w:rPr>
            </w:pPr>
            <w:r>
              <w:rPr>
                <w:rFonts w:ascii="Arial" w:cs="Arial" w:eastAsia="Arial" w:hAnsi="Arial"/>
                <w:sz w:val="13"/>
                <w:szCs w:val="13"/>
                <w:b w:val="1"/>
                <w:bCs w:val="1"/>
                <w:color w:val="auto"/>
              </w:rPr>
              <w:t>DESCRIPTION</w:t>
            </w:r>
          </w:p>
        </w:tc>
      </w:tr>
      <w:tr>
        <w:trPr>
          <w:trHeight w:val="203"/>
        </w:trPr>
        <w:tc>
          <w:tcPr>
            <w:tcW w:w="3240" w:type="dxa"/>
            <w:vAlign w:val="bottom"/>
            <w:tcBorders>
              <w:left w:val="single" w:sz="8" w:color="auto"/>
              <w:right w:val="single" w:sz="8" w:color="auto"/>
            </w:tcBorders>
          </w:tcPr>
          <w:p>
            <w:pPr>
              <w:spacing w:after="0"/>
              <w:rPr>
                <w:sz w:val="17"/>
                <w:szCs w:val="17"/>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8"/>
              </w:rPr>
              <w:t>HF is a heart condition in which the heart’s pumping capacity is not adequate to meet the</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89"/>
              </w:rPr>
              <w:t>demands for blood and oxygen required by the rest of the body. HF can be the result of a range of</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0"/>
              </w:rPr>
              <w:t>conditions that lead to weakening of the heart muscle. Conditions that can be associated with the</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4"/>
              </w:rPr>
              <w:t>development of HF include a heart attack, uncontrolled high blood pressure, congenital heart</w:t>
            </w:r>
          </w:p>
        </w:tc>
      </w:tr>
      <w:tr>
        <w:trPr>
          <w:trHeight w:val="200"/>
        </w:trPr>
        <w:tc>
          <w:tcPr>
            <w:tcW w:w="3240" w:type="dxa"/>
            <w:vAlign w:val="bottom"/>
            <w:tcBorders>
              <w:left w:val="single" w:sz="8" w:color="auto"/>
              <w:right w:val="single" w:sz="8" w:color="auto"/>
            </w:tcBorders>
          </w:tcPr>
          <w:p>
            <w:pPr>
              <w:spacing w:after="0"/>
              <w:rPr>
                <w:sz w:val="17"/>
                <w:szCs w:val="17"/>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disease (heart defects present at birth), and genetic cardiomyopathies.</w:t>
            </w:r>
          </w:p>
        </w:tc>
      </w:tr>
      <w:tr>
        <w:trPr>
          <w:trHeight w:val="490"/>
        </w:trPr>
        <w:tc>
          <w:tcPr>
            <w:tcW w:w="3240" w:type="dxa"/>
            <w:vAlign w:val="bottom"/>
            <w:tcBorders>
              <w:left w:val="single" w:sz="8" w:color="auto"/>
              <w:bottom w:val="single" w:sz="8" w:color="auto"/>
              <w:right w:val="single" w:sz="8" w:color="auto"/>
            </w:tcBorders>
          </w:tcPr>
          <w:p>
            <w:pPr>
              <w:jc w:val="center"/>
              <w:ind w:left="45"/>
              <w:spacing w:after="0"/>
              <w:rPr>
                <w:sz w:val="20"/>
                <w:szCs w:val="20"/>
                <w:color w:val="auto"/>
              </w:rPr>
            </w:pPr>
            <w:r>
              <w:rPr>
                <w:rFonts w:ascii="Arial" w:cs="Arial" w:eastAsia="Arial" w:hAnsi="Arial"/>
                <w:sz w:val="16"/>
                <w:szCs w:val="16"/>
                <w:color w:val="auto"/>
                <w:w w:val="89"/>
              </w:rPr>
              <w:t>Heart Failure (HF)</w:t>
            </w:r>
          </w:p>
        </w:tc>
        <w:tc>
          <w:tcPr>
            <w:tcW w:w="6420" w:type="dxa"/>
            <w:vAlign w:val="bottom"/>
            <w:tcBorders>
              <w:bottom w:val="single" w:sz="8" w:color="auto"/>
              <w:right w:val="single" w:sz="8" w:color="auto"/>
            </w:tcBorders>
          </w:tcPr>
          <w:p>
            <w:pPr>
              <w:spacing w:after="0"/>
              <w:rPr>
                <w:sz w:val="24"/>
                <w:szCs w:val="24"/>
                <w:color w:val="auto"/>
              </w:rPr>
            </w:pPr>
          </w:p>
        </w:tc>
      </w:tr>
      <w:tr>
        <w:trPr>
          <w:trHeight w:val="351"/>
        </w:trPr>
        <w:tc>
          <w:tcPr>
            <w:tcW w:w="3240" w:type="dxa"/>
            <w:vAlign w:val="bottom"/>
            <w:tcBorders>
              <w:left w:val="single" w:sz="8" w:color="auto"/>
              <w:right w:val="single" w:sz="8" w:color="auto"/>
            </w:tcBorders>
          </w:tcPr>
          <w:p>
            <w:pPr>
              <w:spacing w:after="0"/>
              <w:rPr>
                <w:sz w:val="24"/>
                <w:szCs w:val="24"/>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3"/>
              </w:rPr>
              <w:t>Arrhythmia is one of the most common heart conditions and is described as any change in the</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heart’s normal electrical impulses. Electrical impulses from within the heart initiate each</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2"/>
              </w:rPr>
              <w:t>heartbeat and ensure its normal pumping function. Arrhythmias can cause the heart to beat too</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1"/>
              </w:rPr>
              <w:t>quickly, too slowly or irregularly, resulting in a broad range of symptoms as well as sudden death</w:t>
            </w:r>
          </w:p>
        </w:tc>
      </w:tr>
      <w:tr>
        <w:trPr>
          <w:trHeight w:val="200"/>
        </w:trPr>
        <w:tc>
          <w:tcPr>
            <w:tcW w:w="3240" w:type="dxa"/>
            <w:vAlign w:val="bottom"/>
            <w:tcBorders>
              <w:left w:val="single" w:sz="8" w:color="auto"/>
              <w:right w:val="single" w:sz="8" w:color="auto"/>
            </w:tcBorders>
          </w:tcPr>
          <w:p>
            <w:pPr>
              <w:spacing w:after="0"/>
              <w:rPr>
                <w:sz w:val="17"/>
                <w:szCs w:val="17"/>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and stroke.</w:t>
            </w:r>
          </w:p>
        </w:tc>
      </w:tr>
      <w:tr>
        <w:trPr>
          <w:trHeight w:val="490"/>
        </w:trPr>
        <w:tc>
          <w:tcPr>
            <w:tcW w:w="3240" w:type="dxa"/>
            <w:vAlign w:val="bottom"/>
            <w:tcBorders>
              <w:left w:val="single" w:sz="8" w:color="auto"/>
              <w:bottom w:val="single" w:sz="8" w:color="auto"/>
              <w:right w:val="single" w:sz="8" w:color="auto"/>
            </w:tcBorders>
          </w:tcPr>
          <w:p>
            <w:pPr>
              <w:jc w:val="center"/>
              <w:ind w:left="45"/>
              <w:spacing w:after="0"/>
              <w:rPr>
                <w:sz w:val="20"/>
                <w:szCs w:val="20"/>
                <w:color w:val="auto"/>
              </w:rPr>
            </w:pPr>
            <w:r>
              <w:rPr>
                <w:rFonts w:ascii="Arial" w:cs="Arial" w:eastAsia="Arial" w:hAnsi="Arial"/>
                <w:sz w:val="16"/>
                <w:szCs w:val="16"/>
                <w:color w:val="auto"/>
                <w:w w:val="93"/>
              </w:rPr>
              <w:t>Arrhythmia</w:t>
            </w:r>
          </w:p>
        </w:tc>
        <w:tc>
          <w:tcPr>
            <w:tcW w:w="6420" w:type="dxa"/>
            <w:vAlign w:val="bottom"/>
            <w:tcBorders>
              <w:bottom w:val="single" w:sz="8" w:color="auto"/>
              <w:right w:val="single" w:sz="8" w:color="auto"/>
            </w:tcBorders>
          </w:tcPr>
          <w:p>
            <w:pPr>
              <w:spacing w:after="0"/>
              <w:rPr>
                <w:sz w:val="24"/>
                <w:szCs w:val="24"/>
                <w:color w:val="auto"/>
              </w:rPr>
            </w:pPr>
          </w:p>
        </w:tc>
      </w:tr>
      <w:tr>
        <w:trPr>
          <w:trHeight w:val="351"/>
        </w:trPr>
        <w:tc>
          <w:tcPr>
            <w:tcW w:w="3240" w:type="dxa"/>
            <w:vAlign w:val="bottom"/>
            <w:tcBorders>
              <w:left w:val="single" w:sz="8" w:color="auto"/>
              <w:right w:val="single" w:sz="8" w:color="auto"/>
            </w:tcBorders>
          </w:tcPr>
          <w:p>
            <w:pPr>
              <w:spacing w:after="0"/>
              <w:rPr>
                <w:sz w:val="24"/>
                <w:szCs w:val="24"/>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5"/>
              </w:rPr>
              <w:t>Heart value disease occurs when there is a problem with one or more of the four valves that</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4"/>
              </w:rPr>
              <w:t>normally work in unison to make sure that blood is pumped in the proper direction through the</w:t>
            </w:r>
          </w:p>
        </w:tc>
      </w:tr>
      <w:tr>
        <w:trPr>
          <w:trHeight w:val="200"/>
        </w:trPr>
        <w:tc>
          <w:tcPr>
            <w:tcW w:w="3240" w:type="dxa"/>
            <w:vAlign w:val="bottom"/>
            <w:tcBorders>
              <w:left w:val="single" w:sz="8" w:color="auto"/>
              <w:right w:val="single" w:sz="8" w:color="auto"/>
            </w:tcBorders>
          </w:tcPr>
          <w:p>
            <w:pPr>
              <w:spacing w:after="0"/>
              <w:rPr>
                <w:sz w:val="17"/>
                <w:szCs w:val="17"/>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four chambers of the heart.</w:t>
            </w:r>
          </w:p>
        </w:tc>
      </w:tr>
      <w:tr>
        <w:trPr>
          <w:trHeight w:val="867"/>
        </w:trPr>
        <w:tc>
          <w:tcPr>
            <w:tcW w:w="3240" w:type="dxa"/>
            <w:vAlign w:val="bottom"/>
            <w:tcBorders>
              <w:left w:val="single" w:sz="8" w:color="auto"/>
              <w:bottom w:val="single" w:sz="8" w:color="auto"/>
              <w:right w:val="single" w:sz="8" w:color="auto"/>
            </w:tcBorders>
          </w:tcPr>
          <w:p>
            <w:pPr>
              <w:jc w:val="center"/>
              <w:ind w:left="45"/>
              <w:spacing w:after="0"/>
              <w:rPr>
                <w:sz w:val="20"/>
                <w:szCs w:val="20"/>
                <w:color w:val="auto"/>
              </w:rPr>
            </w:pPr>
            <w:r>
              <w:rPr>
                <w:rFonts w:ascii="Arial" w:cs="Arial" w:eastAsia="Arial" w:hAnsi="Arial"/>
                <w:sz w:val="16"/>
                <w:szCs w:val="16"/>
                <w:color w:val="auto"/>
                <w:w w:val="87"/>
              </w:rPr>
              <w:t>Heart Valve Disease</w:t>
            </w:r>
          </w:p>
        </w:tc>
        <w:tc>
          <w:tcPr>
            <w:tcW w:w="6420" w:type="dxa"/>
            <w:vAlign w:val="bottom"/>
            <w:tcBorders>
              <w:bottom w:val="single" w:sz="8" w:color="auto"/>
              <w:right w:val="single" w:sz="8" w:color="auto"/>
            </w:tcBorders>
          </w:tcPr>
          <w:p>
            <w:pPr>
              <w:spacing w:after="0"/>
              <w:rPr>
                <w:sz w:val="24"/>
                <w:szCs w:val="24"/>
                <w:color w:val="auto"/>
              </w:rPr>
            </w:pPr>
          </w:p>
        </w:tc>
      </w:tr>
      <w:tr>
        <w:trPr>
          <w:trHeight w:val="351"/>
        </w:trPr>
        <w:tc>
          <w:tcPr>
            <w:tcW w:w="3240" w:type="dxa"/>
            <w:vAlign w:val="bottom"/>
            <w:tcBorders>
              <w:left w:val="single" w:sz="8" w:color="auto"/>
              <w:right w:val="single" w:sz="8" w:color="auto"/>
            </w:tcBorders>
          </w:tcPr>
          <w:p>
            <w:pPr>
              <w:spacing w:after="0"/>
              <w:rPr>
                <w:sz w:val="24"/>
                <w:szCs w:val="24"/>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89"/>
              </w:rPr>
              <w:t>CAD is among the most common type of heart disease and occurs when plaque grows in the walls</w:t>
            </w:r>
          </w:p>
        </w:tc>
      </w:tr>
      <w:tr>
        <w:trPr>
          <w:trHeight w:val="189"/>
        </w:trPr>
        <w:tc>
          <w:tcPr>
            <w:tcW w:w="324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2"/>
              </w:rPr>
              <w:t>of the coronary arteries, limiting the blood flow to the heart’s muscle. CAD can ultimately lead to</w:t>
            </w:r>
          </w:p>
        </w:tc>
      </w:tr>
      <w:tr>
        <w:trPr>
          <w:trHeight w:val="200"/>
        </w:trPr>
        <w:tc>
          <w:tcPr>
            <w:tcW w:w="3240" w:type="dxa"/>
            <w:vAlign w:val="bottom"/>
            <w:tcBorders>
              <w:left w:val="single" w:sz="8" w:color="auto"/>
              <w:right w:val="single" w:sz="8" w:color="auto"/>
            </w:tcBorders>
          </w:tcPr>
          <w:p>
            <w:pPr>
              <w:spacing w:after="0"/>
              <w:rPr>
                <w:sz w:val="17"/>
                <w:szCs w:val="17"/>
                <w:color w:val="auto"/>
              </w:rPr>
            </w:pPr>
          </w:p>
        </w:tc>
        <w:tc>
          <w:tcPr>
            <w:tcW w:w="64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 heart attack.</w:t>
            </w:r>
          </w:p>
        </w:tc>
      </w:tr>
      <w:tr>
        <w:trPr>
          <w:trHeight w:val="867"/>
        </w:trPr>
        <w:tc>
          <w:tcPr>
            <w:tcW w:w="3240" w:type="dxa"/>
            <w:vAlign w:val="bottom"/>
            <w:tcBorders>
              <w:left w:val="single" w:sz="8" w:color="auto"/>
              <w:bottom w:val="single" w:sz="8" w:color="auto"/>
              <w:right w:val="single" w:sz="8" w:color="auto"/>
            </w:tcBorders>
          </w:tcPr>
          <w:p>
            <w:pPr>
              <w:jc w:val="center"/>
              <w:ind w:left="45"/>
              <w:spacing w:after="0"/>
              <w:rPr>
                <w:sz w:val="20"/>
                <w:szCs w:val="20"/>
                <w:color w:val="auto"/>
              </w:rPr>
            </w:pPr>
            <w:r>
              <w:rPr>
                <w:rFonts w:ascii="Arial" w:cs="Arial" w:eastAsia="Arial" w:hAnsi="Arial"/>
                <w:sz w:val="16"/>
                <w:szCs w:val="16"/>
                <w:color w:val="auto"/>
                <w:w w:val="91"/>
              </w:rPr>
              <w:t>Coronary Artery Disease (CAD)</w:t>
            </w:r>
          </w:p>
        </w:tc>
        <w:tc>
          <w:tcPr>
            <w:tcW w:w="64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1313815</wp:posOffset>
            </wp:positionH>
            <wp:positionV relativeFrom="paragraph">
              <wp:posOffset>-4019550</wp:posOffset>
            </wp:positionV>
            <wp:extent cx="516890" cy="7188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6890" cy="718820"/>
                    </a:xfrm>
                    <a:prstGeom prst="rect">
                      <a:avLst/>
                    </a:prstGeom>
                    <a:noFill/>
                  </pic:spPr>
                </pic:pic>
              </a:graphicData>
            </a:graphic>
          </wp:anchor>
        </w:drawing>
        <w:drawing>
          <wp:anchor simplePos="0" relativeHeight="251657728" behindDoc="1" locked="0" layoutInCell="0" allowOverlap="1">
            <wp:simplePos x="0" y="0"/>
            <wp:positionH relativeFrom="column">
              <wp:posOffset>1149350</wp:posOffset>
            </wp:positionH>
            <wp:positionV relativeFrom="paragraph">
              <wp:posOffset>-2986405</wp:posOffset>
            </wp:positionV>
            <wp:extent cx="845820" cy="7188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45820" cy="71882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-1953260</wp:posOffset>
            </wp:positionV>
            <wp:extent cx="688975" cy="7188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8975" cy="718820"/>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-920115</wp:posOffset>
            </wp:positionV>
            <wp:extent cx="516890" cy="7188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6890" cy="718820"/>
                    </a:xfrm>
                    <a:prstGeom prst="rect">
                      <a:avLst/>
                    </a:prstGeom>
                    <a:noFill/>
                  </pic:spPr>
                </pic:pic>
              </a:graphicData>
            </a:graphic>
          </wp:anchor>
        </w:drawing>
      </w:r>
    </w:p>
    <w:p>
      <w:pPr>
        <w:spacing w:after="0" w:line="156" w:lineRule="exact"/>
        <w:rPr>
          <w:sz w:val="20"/>
          <w:szCs w:val="20"/>
          <w:color w:val="auto"/>
        </w:rPr>
      </w:pPr>
    </w:p>
    <w:p>
      <w:pPr>
        <w:jc w:val="both"/>
        <w:ind w:left="820" w:right="320" w:firstLine="385"/>
        <w:spacing w:after="0" w:line="256" w:lineRule="auto"/>
        <w:rPr>
          <w:sz w:val="20"/>
          <w:szCs w:val="20"/>
          <w:color w:val="auto"/>
        </w:rPr>
      </w:pPr>
      <w:r>
        <w:rPr>
          <w:rFonts w:ascii="Arial" w:cs="Arial" w:eastAsia="Arial" w:hAnsi="Arial"/>
          <w:sz w:val="16"/>
          <w:szCs w:val="16"/>
          <w:color w:val="auto"/>
        </w:rPr>
        <w:t>While there is significant unmet need in the field of heart disease, historically there have been challenges in developing novel therapies for the different forms of heart disease. We are currently focused on HF and arrhythmia, particularly when these diseases can be traced to some underlying genetic defect.</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Current Challenges in the Development of Novel Therapies for Heart Disease</w:t>
      </w:r>
    </w:p>
    <w:p>
      <w:pPr>
        <w:spacing w:after="0" w:line="111" w:lineRule="exact"/>
        <w:rPr>
          <w:sz w:val="20"/>
          <w:szCs w:val="20"/>
          <w:color w:val="auto"/>
        </w:rPr>
      </w:pPr>
    </w:p>
    <w:p>
      <w:pPr>
        <w:ind w:left="1660" w:right="40" w:hanging="469"/>
        <w:spacing w:after="0" w:line="259" w:lineRule="auto"/>
        <w:tabs>
          <w:tab w:leader="none" w:pos="1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Most development efforts focus on treating symptoms rather than targeting the underlying causes of diseases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First-line therapies for HF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generic small molecules, including ACE inhibitors, angiotensin II receptor blockers, beta blockers, aldosterone antagonists, and diuretics, are most commonly used, irrespective of the underlying cause of the HF.</w:t>
      </w:r>
    </w:p>
    <w:p>
      <w:pPr>
        <w:spacing w:after="0" w:line="76" w:lineRule="exact"/>
        <w:rPr>
          <w:rFonts w:ascii="Arial" w:cs="Arial" w:eastAsia="Arial" w:hAnsi="Arial"/>
          <w:sz w:val="16"/>
          <w:szCs w:val="16"/>
          <w:color w:val="auto"/>
        </w:rPr>
      </w:pPr>
    </w:p>
    <w:p>
      <w:pPr>
        <w:ind w:left="1660" w:right="380" w:hanging="469"/>
        <w:spacing w:after="0" w:line="272" w:lineRule="auto"/>
        <w:tabs>
          <w:tab w:leader="none" w:pos="1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Identifying new disease-modifying targets is challenging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a high reliance on animal models that are not always predictive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heart disease. There is only a 4% to 7% overall probability of</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460"/>
          </w:cols>
          <w:pgMar w:left="320" w:top="418" w:right="111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successful drug development from Phase 1 through commercialization for heart disease, among the lowest of all therapeutic areas.</w:t>
      </w:r>
    </w:p>
    <w:p>
      <w:pPr>
        <w:spacing w:after="0" w:line="118" w:lineRule="exact"/>
        <w:rPr>
          <w:sz w:val="20"/>
          <w:szCs w:val="20"/>
          <w:color w:val="auto"/>
        </w:rPr>
      </w:pPr>
    </w:p>
    <w:p>
      <w:pPr>
        <w:ind w:left="1660" w:right="60" w:hanging="469"/>
        <w:spacing w:after="0" w:line="251" w:lineRule="auto"/>
        <w:tabs>
          <w:tab w:leader="none" w:pos="16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Genetic diagnosis and genetic counseling are limited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patients presenting with heart disease do not currently obtain a genetic test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their diagnosis. Given there are almost no therapies that are targeted at the underlying genetic cause of the disease, physicians may believe a genetic test will not influence treatment and management decisions. Additionally, even when patients do receive a genetic diagnosis, genetic counseling and family screening are not commonly employed. As a result, family members who may be at risk of disease are not consistently identified early. Additionally, this also limits the availability of patients for clinical trials of genetic medicines in heart disease.</w:t>
      </w:r>
    </w:p>
    <w:p>
      <w:pPr>
        <w:spacing w:after="0" w:line="83" w:lineRule="exact"/>
        <w:rPr>
          <w:rFonts w:ascii="Arial" w:cs="Arial" w:eastAsia="Arial" w:hAnsi="Arial"/>
          <w:sz w:val="16"/>
          <w:szCs w:val="16"/>
          <w:color w:val="auto"/>
        </w:rPr>
      </w:pPr>
    </w:p>
    <w:p>
      <w:pPr>
        <w:ind w:left="1660" w:hanging="469"/>
        <w:spacing w:after="0" w:line="251" w:lineRule="auto"/>
        <w:tabs>
          <w:tab w:leader="none" w:pos="16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Regenerative therapy science is still in its early stages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attempts at developing cell and gene therapies for heart disease have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successful. Much effort was devoted to regenerative medicine approaches using autologous (from self) or allogeneic (from donors) cell sources, but after more than 150 clinical studies involving thousands of patients over the last two decades, those efforts have mostly ended in failure. Factors that likely contributed to these failures include (1) an insufficient number of new cells surviving rejection by the immune system, (2) only modest efficacy from the surviving cells, and (3) arrhythmia caused by abnormal electric activity and connections between new cells and the existing cells.</w:t>
      </w:r>
    </w:p>
    <w:p>
      <w:pPr>
        <w:spacing w:after="0" w:line="83" w:lineRule="exact"/>
        <w:rPr>
          <w:rFonts w:ascii="Arial" w:cs="Arial" w:eastAsia="Arial" w:hAnsi="Arial"/>
          <w:sz w:val="16"/>
          <w:szCs w:val="16"/>
          <w:color w:val="auto"/>
        </w:rPr>
      </w:pPr>
    </w:p>
    <w:p>
      <w:pPr>
        <w:ind w:left="1660" w:right="20" w:hanging="469"/>
        <w:spacing w:after="0" w:line="252" w:lineRule="auto"/>
        <w:tabs>
          <w:tab w:leader="none" w:pos="16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Gene therapy science for the heart is still maturing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have been few attempts at gene therapy for heart disease. Most early gene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therapy efforts used adenoviruses instead of AAV. The most well-known AAV-based effort involved the use of AAV1 to deliver SERCA2a. After promising preclinical and early clinical results, this effort was discontinued following an unsuccessful Phase 2b study. These first-generation gene therapy efforts for the heart did not have the benefit of more recent advances in capsids, promoters, delivery, and manufacturing.</w:t>
      </w:r>
    </w:p>
    <w:p>
      <w:pPr>
        <w:spacing w:after="0" w:line="83" w:lineRule="exact"/>
        <w:rPr>
          <w:rFonts w:ascii="Arial" w:cs="Arial" w:eastAsia="Arial" w:hAnsi="Arial"/>
          <w:sz w:val="16"/>
          <w:szCs w:val="16"/>
          <w:color w:val="auto"/>
        </w:rPr>
      </w:pPr>
    </w:p>
    <w:p>
      <w:pPr>
        <w:ind w:left="1660" w:right="60" w:hanging="469"/>
        <w:spacing w:after="0" w:line="320" w:lineRule="auto"/>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b w:val="1"/>
          <w:bCs w:val="1"/>
          <w:i w:val="1"/>
          <w:iCs w:val="1"/>
          <w:color w:val="auto"/>
        </w:rPr>
        <w:t>Regulatory requirements are stringent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Historically, cardiovascular drug development has involved large clinical studies to demonstrate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survival benefit over and above standard-of-care, and with very low tolerance for safety risks. Endpoints focused on functional improvements, such as change in ejection fraction (EF), have generally not been sufficient for FDA approval. This translates to a need for very large, long, and expensive randomized and placebo-controlled clinical studies. The average size of a clinical study used to support treatment recommendations for HF can involve approximately 2,000 to 8,000 patients. As an example, studies for therapies intended to treat diabetes may require safety trials involving 5,000 to 15,000 patients to rule out cardiovascular risk.</w:t>
      </w:r>
    </w:p>
    <w:p>
      <w:pPr>
        <w:spacing w:after="0" w:line="41" w:lineRule="exact"/>
        <w:rPr>
          <w:rFonts w:ascii="Arial" w:cs="Arial" w:eastAsia="Arial" w:hAnsi="Arial"/>
          <w:sz w:val="13"/>
          <w:szCs w:val="13"/>
          <w:color w:val="auto"/>
        </w:rPr>
      </w:pPr>
    </w:p>
    <w:p>
      <w:pPr>
        <w:ind w:left="1660" w:right="300" w:hanging="469"/>
        <w:spacing w:after="0" w:line="346" w:lineRule="auto"/>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b w:val="1"/>
          <w:bCs w:val="1"/>
          <w:i w:val="1"/>
          <w:iCs w:val="1"/>
          <w:color w:val="auto"/>
        </w:rPr>
        <w:t>Costs of development are high</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part due to the historical need for very large clinical studies, drug development for new therapies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heart disease has been very long and expensive. A recent analysis demonstrated that, on average, biopharmaceutical companies spent $1 billion in clinical development per cardiovascular drug product approval, the highest ratio among all therapeutic areas.</w:t>
      </w:r>
    </w:p>
    <w:p>
      <w:pPr>
        <w:spacing w:after="0" w:line="25" w:lineRule="exact"/>
        <w:rPr>
          <w:rFonts w:ascii="Arial" w:cs="Arial" w:eastAsia="Arial" w:hAnsi="Arial"/>
          <w:sz w:val="13"/>
          <w:szCs w:val="13"/>
          <w:color w:val="auto"/>
        </w:rPr>
      </w:pPr>
    </w:p>
    <w:p>
      <w:pPr>
        <w:ind w:left="1660" w:right="60" w:hanging="469"/>
        <w:spacing w:after="0" w:line="273"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b w:val="1"/>
          <w:bCs w:val="1"/>
          <w:i w:val="1"/>
          <w:iCs w:val="1"/>
          <w:color w:val="auto"/>
        </w:rPr>
        <w:t>Patient access barriers are challenging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addition to being the leading cause of death, heart disease is one of the largest and most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expensive categories for payers. The United States spends approximately $317 billion per year on heart disease alone, or nearly 17% of all U.S. healthcare spending, representing the most expensive category of chronic diseases to treat. The total direct and indirect costs of HF alone are expected to increase to $70 billion by 2030. As a result, heart disease is an area of focus for cost-containment and price sensitivity for new therapies for both private and public payers.</w:t>
      </w:r>
    </w:p>
    <w:p>
      <w:pPr>
        <w:spacing w:after="0" w:line="155" w:lineRule="exact"/>
        <w:rPr>
          <w:sz w:val="20"/>
          <w:szCs w:val="20"/>
          <w:color w:val="auto"/>
        </w:rPr>
      </w:pPr>
    </w:p>
    <w:p>
      <w:pPr>
        <w:ind w:left="820" w:right="200" w:firstLine="385"/>
        <w:spacing w:after="0" w:line="253" w:lineRule="auto"/>
        <w:rPr>
          <w:sz w:val="20"/>
          <w:szCs w:val="20"/>
          <w:color w:val="auto"/>
        </w:rPr>
      </w:pPr>
      <w:r>
        <w:rPr>
          <w:rFonts w:ascii="Arial" w:cs="Arial" w:eastAsia="Arial" w:hAnsi="Arial"/>
          <w:sz w:val="16"/>
          <w:szCs w:val="16"/>
          <w:color w:val="auto"/>
        </w:rPr>
        <w:t>These factors have contributed to a decline in successful heart disease drug development. Between 2000 and 2009, FDA approvals for new cardiovascular drug products declined by approximately 33% compared with the prior decade. While heart disease is the leading cause of death in the world, fewer resources have been mobilized in support of new therapies for heart disease relative to investment in other therapeutic areas, such as oncology and diseases of the central nervous system.</w:t>
      </w:r>
    </w:p>
    <w:p>
      <w:pPr>
        <w:spacing w:after="0" w:line="167"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However, there are recent signs of improvement. There is increasing insight into the genetic causes of heart disease and a greater push for more consistent genetic testing and family counseling supported by (1) updated</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420"/>
          </w:cols>
          <w:pgMar w:left="320" w:top="418" w:right="115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spacing w:after="0" w:line="308" w:lineRule="auto"/>
        <w:rPr>
          <w:sz w:val="20"/>
          <w:szCs w:val="20"/>
          <w:color w:val="auto"/>
        </w:rPr>
      </w:pPr>
      <w:r>
        <w:rPr>
          <w:rFonts w:ascii="Arial" w:cs="Arial" w:eastAsia="Arial" w:hAnsi="Arial"/>
          <w:sz w:val="13"/>
          <w:szCs w:val="13"/>
          <w:color w:val="auto"/>
        </w:rPr>
        <w:t>clinical practice guidelines such as 2020 American College of Cardiology (ACC) and American Heart Association (AHA) recommendations for patients with hypertrophic cardiomyopathy (HCM), (2) the push by patient advocacy organizations for mandatory screening of young athletes, and (3) increased availability of accessible genetic testing covering more than 150 relevant genes associated with inherited arrhythmia and cardiomyopathy conditions.</w:t>
      </w:r>
    </w:p>
    <w:p>
      <w:pPr>
        <w:spacing w:after="0" w:line="2" w:lineRule="exact"/>
        <w:rPr>
          <w:sz w:val="20"/>
          <w:szCs w:val="20"/>
          <w:color w:val="auto"/>
        </w:rPr>
      </w:pPr>
    </w:p>
    <w:p>
      <w:pPr>
        <w:ind w:left="820" w:right="320"/>
        <w:spacing w:after="0" w:line="248" w:lineRule="auto"/>
        <w:rPr>
          <w:sz w:val="20"/>
          <w:szCs w:val="20"/>
          <w:color w:val="auto"/>
        </w:rPr>
      </w:pPr>
      <w:r>
        <w:rPr>
          <w:rFonts w:ascii="Arial" w:cs="Arial" w:eastAsia="Arial" w:hAnsi="Arial"/>
          <w:sz w:val="16"/>
          <w:szCs w:val="16"/>
          <w:color w:val="auto"/>
        </w:rPr>
        <w:t>There are also a small but growing number of examples of clinical success with precision medicine approaches in cardiology, including in genetic cardiomyopathies. In addition, there is the potential for relaxation of some regulatory requirements that may enable approval of new cardiovascular therapies based on demonstrated effect on symptoms or physical function and not based solely on demonstrated improvement of survival or risk of hospitalization.</w:t>
      </w:r>
    </w:p>
    <w:p>
      <w:pPr>
        <w:spacing w:after="0" w:line="171" w:lineRule="exact"/>
        <w:rPr>
          <w:sz w:val="20"/>
          <w:szCs w:val="20"/>
          <w:color w:val="auto"/>
        </w:rPr>
      </w:pPr>
    </w:p>
    <w:p>
      <w:pPr>
        <w:jc w:val="both"/>
        <w:ind w:left="820" w:right="20" w:firstLine="385"/>
        <w:spacing w:after="0" w:line="256" w:lineRule="auto"/>
        <w:rPr>
          <w:sz w:val="20"/>
          <w:szCs w:val="20"/>
          <w:color w:val="auto"/>
        </w:rPr>
      </w:pPr>
      <w:r>
        <w:rPr>
          <w:rFonts w:ascii="Arial" w:cs="Arial" w:eastAsia="Arial" w:hAnsi="Arial"/>
          <w:sz w:val="16"/>
          <w:szCs w:val="16"/>
          <w:color w:val="auto"/>
        </w:rPr>
        <w:t>We believe with the evolving understanding of heart disease in the scientific community and the general public, there are significant opportunities where we can benefit from and support the evolution towards more precise diagnosis, drug development, and treatment for heart disease, as depicted in the diagram below.</w:t>
      </w:r>
    </w:p>
    <w:p>
      <w:pPr>
        <w:spacing w:after="0" w:line="162"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The Evolving Landscape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147955</wp:posOffset>
            </wp:positionV>
            <wp:extent cx="4529455" cy="18643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29455"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Strategy</w:t>
      </w:r>
    </w:p>
    <w:p>
      <w:pPr>
        <w:spacing w:after="0" w:line="103" w:lineRule="exact"/>
        <w:rPr>
          <w:sz w:val="20"/>
          <w:szCs w:val="20"/>
          <w:color w:val="auto"/>
        </w:rPr>
      </w:pPr>
    </w:p>
    <w:p>
      <w:pPr>
        <w:ind w:left="820" w:right="120" w:firstLine="385"/>
        <w:spacing w:after="0" w:line="253" w:lineRule="auto"/>
        <w:rPr>
          <w:sz w:val="20"/>
          <w:szCs w:val="20"/>
          <w:color w:val="auto"/>
        </w:rPr>
      </w:pPr>
      <w:r>
        <w:rPr>
          <w:rFonts w:ascii="Arial" w:cs="Arial" w:eastAsia="Arial" w:hAnsi="Arial"/>
          <w:sz w:val="16"/>
          <w:szCs w:val="16"/>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advances in the science to discover, develop, manufacture and ultimately commercialize a deep and diverse pipeline of novel therapies. The key components of our strategy to achieve these goals are:</w:t>
      </w:r>
    </w:p>
    <w:p>
      <w:pPr>
        <w:spacing w:after="0" w:line="81" w:lineRule="exact"/>
        <w:rPr>
          <w:sz w:val="20"/>
          <w:szCs w:val="20"/>
          <w:color w:val="auto"/>
        </w:rPr>
      </w:pPr>
    </w:p>
    <w:p>
      <w:pPr>
        <w:ind w:left="1660" w:right="60" w:hanging="469"/>
        <w:spacing w:after="0" w:line="320" w:lineRule="auto"/>
        <w:tabs>
          <w:tab w:leader="none" w:pos="1660" w:val="left"/>
        </w:tabs>
        <w:numPr>
          <w:ilvl w:val="0"/>
          <w:numId w:val="81"/>
        </w:numPr>
        <w:rPr>
          <w:rFonts w:ascii="Arial" w:cs="Arial" w:eastAsia="Arial" w:hAnsi="Arial"/>
          <w:sz w:val="13"/>
          <w:szCs w:val="13"/>
          <w:color w:val="auto"/>
        </w:rPr>
      </w:pPr>
      <w:r>
        <w:rPr>
          <w:rFonts w:ascii="Arial" w:cs="Arial" w:eastAsia="Arial" w:hAnsi="Arial"/>
          <w:sz w:val="13"/>
          <w:szCs w:val="13"/>
          <w:b w:val="1"/>
          <w:bCs w:val="1"/>
          <w:i w:val="1"/>
          <w:iCs w:val="1"/>
          <w:color w:val="auto"/>
        </w:rPr>
        <w:t>Focus exclusively on underlying causes of genetic forms of heart disease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Heart disease is still the leading cause of death globally, more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than all cancers combined, and the unmet medical 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41" w:lineRule="exact"/>
        <w:rPr>
          <w:rFonts w:ascii="Arial" w:cs="Arial" w:eastAsia="Arial" w:hAnsi="Arial"/>
          <w:sz w:val="13"/>
          <w:szCs w:val="13"/>
          <w:color w:val="auto"/>
        </w:rPr>
      </w:pPr>
    </w:p>
    <w:p>
      <w:pPr>
        <w:ind w:left="1660" w:right="20" w:hanging="469"/>
        <w:spacing w:after="0" w:line="259" w:lineRule="auto"/>
        <w:tabs>
          <w:tab w:leader="none" w:pos="1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Develop disease-modifying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focused on developing disease-modifying and potentially life-saving novel therapies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the underlying causes of heart disease. We are particularly interested in areas where there is no current standard-of-care or where we believe the</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400"/>
          </w:cols>
          <w:pgMar w:left="320" w:top="418" w:right="117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200"/>
        <w:spacing w:after="0" w:line="300" w:lineRule="auto"/>
        <w:rPr>
          <w:sz w:val="20"/>
          <w:szCs w:val="20"/>
          <w:color w:val="auto"/>
        </w:rPr>
      </w:pPr>
      <w:r>
        <w:rPr>
          <w:rFonts w:ascii="Arial" w:cs="Arial" w:eastAsia="Arial" w:hAnsi="Arial"/>
          <w:sz w:val="15"/>
          <w:szCs w:val="15"/>
          <w:color w:val="auto"/>
        </w:rPr>
        <w:t>nature and the magnitude of the effect of our therapies will be significant relative to existing standards-of-care. For example, we believe our AAV-based gene therapies for genetically defined conditions have the potential to be curative after a single dose.</w:t>
      </w:r>
    </w:p>
    <w:p>
      <w:pPr>
        <w:spacing w:after="0" w:line="52" w:lineRule="exact"/>
        <w:rPr>
          <w:sz w:val="20"/>
          <w:szCs w:val="20"/>
          <w:color w:val="auto"/>
        </w:rPr>
      </w:pPr>
    </w:p>
    <w:p>
      <w:pPr>
        <w:ind w:left="1660" w:right="40" w:hanging="469"/>
        <w:spacing w:after="0" w:line="319" w:lineRule="auto"/>
        <w:tabs>
          <w:tab w:leader="none" w:pos="1660" w:val="left"/>
        </w:tabs>
        <w:numPr>
          <w:ilvl w:val="0"/>
          <w:numId w:val="82"/>
        </w:numPr>
        <w:rPr>
          <w:rFonts w:ascii="Arial" w:cs="Arial" w:eastAsia="Arial" w:hAnsi="Arial"/>
          <w:sz w:val="13"/>
          <w:szCs w:val="13"/>
          <w:color w:val="auto"/>
        </w:rPr>
      </w:pPr>
      <w:r>
        <w:rPr>
          <w:rFonts w:ascii="Arial" w:cs="Arial" w:eastAsia="Arial" w:hAnsi="Arial"/>
          <w:sz w:val="13"/>
          <w:szCs w:val="13"/>
          <w:b w:val="1"/>
          <w:bCs w:val="1"/>
          <w:i w:val="1"/>
          <w:iCs w:val="1"/>
          <w:color w:val="auto"/>
        </w:rPr>
        <w:t>Discover novel therapies using three product platforms in parallel</w:t>
      </w:r>
      <w:r>
        <w:rPr>
          <w:rFonts w:ascii="Arial" w:cs="Arial" w:eastAsia="Arial" w:hAnsi="Arial"/>
          <w:sz w:val="13"/>
          <w:szCs w:val="13"/>
          <w:color w:val="auto"/>
        </w:rPr>
        <w:t>. To address the wide range of issues in heart diseases, we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advancing science from three distinct product platforms in parallel. Each platform tackles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3"/>
          <w:szCs w:val="13"/>
          <w:i w:val="1"/>
          <w:iCs w:val="1"/>
          <w:color w:val="auto"/>
        </w:rPr>
        <w:t>.</w:t>
      </w:r>
      <w:r>
        <w:rPr>
          <w:rFonts w:ascii="Arial" w:cs="Arial" w:eastAsia="Arial" w:hAnsi="Arial"/>
          <w:sz w:val="13"/>
          <w:szCs w:val="13"/>
          <w:color w:val="auto"/>
        </w:rPr>
        <w:t xml:space="preserve"> These platforms represent distinct but interrelated product engines that we believe will enable a robust pipeline of promising product candidates while also mitigating overall scientific risk.</w:t>
      </w:r>
    </w:p>
    <w:p>
      <w:pPr>
        <w:spacing w:after="0" w:line="41" w:lineRule="exact"/>
        <w:rPr>
          <w:rFonts w:ascii="Arial" w:cs="Arial" w:eastAsia="Arial" w:hAnsi="Arial"/>
          <w:sz w:val="13"/>
          <w:szCs w:val="13"/>
          <w:color w:val="auto"/>
        </w:rPr>
      </w:pPr>
    </w:p>
    <w:p>
      <w:pPr>
        <w:ind w:left="1660" w:hanging="469"/>
        <w:spacing w:after="0" w:line="324" w:lineRule="auto"/>
        <w:tabs>
          <w:tab w:leader="none" w:pos="1660" w:val="left"/>
        </w:tabs>
        <w:numPr>
          <w:ilvl w:val="0"/>
          <w:numId w:val="82"/>
        </w:numPr>
        <w:rPr>
          <w:rFonts w:ascii="Arial" w:cs="Arial" w:eastAsia="Arial" w:hAnsi="Arial"/>
          <w:sz w:val="13"/>
          <w:szCs w:val="13"/>
          <w:color w:val="auto"/>
        </w:rPr>
      </w:pPr>
      <w:r>
        <w:rPr>
          <w:rFonts w:ascii="Arial" w:cs="Arial" w:eastAsia="Arial" w:hAnsi="Arial"/>
          <w:sz w:val="13"/>
          <w:szCs w:val="13"/>
          <w:b w:val="1"/>
          <w:bCs w:val="1"/>
          <w:i w:val="1"/>
          <w:iCs w:val="1"/>
          <w:color w:val="auto"/>
        </w:rPr>
        <w:t>Target defined sub-populations of patients most likely to respond to our therapies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seek to focus on patient populations where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genetic cause of the disease is well-established, including genetic cardiomyopathies and other monogenic disorders. We also seek to use different strategies to sub-segment larger HF populations, such as HFrEF and HFpEF, through the use of genetics or biomarkers to improve selection of patients with attributes that are more suited to the specific mechanism of action. We believe this strategy can accelerate clinical development, reduce overall development costs, and improve the probability of clinical and regulatory success.</w:t>
      </w:r>
    </w:p>
    <w:p>
      <w:pPr>
        <w:spacing w:after="0" w:line="40" w:lineRule="exact"/>
        <w:rPr>
          <w:rFonts w:ascii="Arial" w:cs="Arial" w:eastAsia="Arial" w:hAnsi="Arial"/>
          <w:sz w:val="13"/>
          <w:szCs w:val="13"/>
          <w:color w:val="auto"/>
        </w:rPr>
      </w:pPr>
    </w:p>
    <w:p>
      <w:pPr>
        <w:ind w:left="1660" w:hanging="469"/>
        <w:spacing w:after="0" w:line="267"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b w:val="1"/>
          <w:bCs w:val="1"/>
          <w:i w:val="1"/>
          <w:iCs w:val="1"/>
          <w:color w:val="auto"/>
        </w:rPr>
        <w:t>Advance a deep and diverse pipeline of therapies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aim to advance potential product candidates from all three product platforms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concurrently, and the current pipeline already has at least one program from each product platform. The diversity of our programs illustrates the ambition of our vision and the versatility and depth of our scientific approaches. For example, from our Gene Therapy platform we are advancing AAV-based therapies for rare, genetic forms of heart disease including (i) TN-201, our MYBPC3 product candidate for gHCM, (ii) our PKP2 product candidate for gARVC and (iii) our DWORF product candidate for DCM and HFrEF; from our Cellular Regeneration platform, we are advancing the Reprogramming approach to creating new CMs to replace cells lost in patients with HF due to prior MI; and from our Precision Medicine platform, we are advancing TYA-11631, an HDAC6i small molecule intended to address HFpEF and gDCM. We are also working on several other undisclosed programs, particularly from our Gene Therapy and Precision Medicine platforms, that we believe will add to our future pipeline opportunities.</w:t>
      </w:r>
    </w:p>
    <w:p>
      <w:pPr>
        <w:spacing w:after="0" w:line="76" w:lineRule="exact"/>
        <w:rPr>
          <w:rFonts w:ascii="Arial" w:cs="Arial" w:eastAsia="Arial" w:hAnsi="Arial"/>
          <w:sz w:val="15"/>
          <w:szCs w:val="15"/>
          <w:color w:val="auto"/>
        </w:rPr>
      </w:pPr>
    </w:p>
    <w:p>
      <w:pPr>
        <w:ind w:left="1660" w:right="340" w:hanging="469"/>
        <w:spacing w:after="0" w:line="315" w:lineRule="auto"/>
        <w:tabs>
          <w:tab w:leader="none" w:pos="1660" w:val="left"/>
        </w:tabs>
        <w:numPr>
          <w:ilvl w:val="0"/>
          <w:numId w:val="82"/>
        </w:numPr>
        <w:rPr>
          <w:rFonts w:ascii="Arial" w:cs="Arial" w:eastAsia="Arial" w:hAnsi="Arial"/>
          <w:sz w:val="13"/>
          <w:szCs w:val="13"/>
          <w:color w:val="auto"/>
        </w:rPr>
      </w:pPr>
      <w:r>
        <w:rPr>
          <w:rFonts w:ascii="Arial" w:cs="Arial" w:eastAsia="Arial" w:hAnsi="Arial"/>
          <w:sz w:val="13"/>
          <w:szCs w:val="13"/>
          <w:b w:val="1"/>
          <w:bCs w:val="1"/>
          <w:i w:val="1"/>
          <w:iCs w:val="1"/>
          <w:color w:val="auto"/>
        </w:rPr>
        <w:t>Internalize and integrate core capabilities to support our innovation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have five core capabilities that we believe will enable us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rapidly discover, develop, and deliver heart therapies. These capabilities include: (i) Disease Models, (ii) Capsid Engineering,</w:t>
      </w:r>
    </w:p>
    <w:p>
      <w:pPr>
        <w:ind w:left="1660" w:right="40"/>
        <w:spacing w:after="0" w:line="248" w:lineRule="auto"/>
        <w:rPr>
          <w:rFonts w:ascii="Arial" w:cs="Arial" w:eastAsia="Arial" w:hAnsi="Arial"/>
          <w:sz w:val="13"/>
          <w:szCs w:val="13"/>
          <w:color w:val="auto"/>
        </w:rPr>
      </w:pPr>
      <w:r>
        <w:rPr>
          <w:rFonts w:ascii="Arial" w:cs="Arial" w:eastAsia="Arial" w:hAnsi="Arial"/>
          <w:sz w:val="16"/>
          <w:szCs w:val="16"/>
          <w:color w:val="auto"/>
        </w:rPr>
        <w:t>(iii) Promoter and Regulatory Elements, (iv) Drug Delivery and (v) Manufacturing.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CROs, or CDMOs—providing us better control of our timelines and costs.</w:t>
      </w:r>
    </w:p>
    <w:p>
      <w:pPr>
        <w:spacing w:after="0" w:line="88" w:lineRule="exact"/>
        <w:rPr>
          <w:rFonts w:ascii="Arial" w:cs="Arial" w:eastAsia="Arial" w:hAnsi="Arial"/>
          <w:sz w:val="13"/>
          <w:szCs w:val="13"/>
          <w:color w:val="auto"/>
        </w:rPr>
      </w:pPr>
    </w:p>
    <w:p>
      <w:pPr>
        <w:ind w:left="1660" w:right="80" w:hanging="469"/>
        <w:spacing w:after="0" w:line="323" w:lineRule="auto"/>
        <w:tabs>
          <w:tab w:leader="none" w:pos="1660" w:val="left"/>
        </w:tabs>
        <w:numPr>
          <w:ilvl w:val="0"/>
          <w:numId w:val="8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Become a fully integrated biopharmaceutical company with commercial capabilities. </w:t>
      </w:r>
      <w:r>
        <w:rPr>
          <w:rFonts w:ascii="Arial" w:cs="Arial" w:eastAsia="Arial" w:hAnsi="Arial"/>
          <w:sz w:val="13"/>
          <w:szCs w:val="13"/>
          <w:color w:val="auto"/>
        </w:rPr>
        <w:t>We aim to discover, develop, manufacture,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eventually commercialize therapies. We believe this strategy can make us a partner of choice for academics and larger companies alike who wish to access deep expertise in next 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Product Platforms</w:t>
      </w:r>
    </w:p>
    <w:p>
      <w:pPr>
        <w:spacing w:after="0" w:line="103" w:lineRule="exact"/>
        <w:rPr>
          <w:sz w:val="20"/>
          <w:szCs w:val="20"/>
          <w:color w:val="auto"/>
        </w:rPr>
      </w:pPr>
    </w:p>
    <w:p>
      <w:pPr>
        <w:ind w:left="820" w:right="400" w:firstLine="385"/>
        <w:spacing w:after="0" w:line="266" w:lineRule="auto"/>
        <w:rPr>
          <w:sz w:val="20"/>
          <w:szCs w:val="20"/>
          <w:color w:val="auto"/>
        </w:rPr>
      </w:pPr>
      <w:r>
        <w:rPr>
          <w:rFonts w:ascii="Arial" w:cs="Arial" w:eastAsia="Arial" w:hAnsi="Arial"/>
          <w:sz w:val="16"/>
          <w:szCs w:val="16"/>
          <w:color w:val="auto"/>
        </w:rPr>
        <w:t>To unlock the full potential of novel therapies across many forms of heart disease, we are advancing science from three product platforms in parallel. Each platform is intended to address different problems that have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420"/>
          </w:cols>
          <w:pgMar w:left="320" w:top="418" w:right="115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spacing w:after="0" w:line="323" w:lineRule="auto"/>
        <w:rPr>
          <w:sz w:val="20"/>
          <w:szCs w:val="20"/>
          <w:color w:val="auto"/>
        </w:rPr>
      </w:pPr>
      <w:r>
        <w:rPr>
          <w:rFonts w:ascii="Arial" w:cs="Arial" w:eastAsia="Arial" w:hAnsi="Arial"/>
          <w:sz w:val="13"/>
          <w:szCs w:val="13"/>
          <w:color w:val="auto"/>
        </w:rPr>
        <w:t>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3"/>
          <w:szCs w:val="13"/>
          <w:i w:val="1"/>
          <w:iCs w:val="1"/>
          <w:color w:val="auto"/>
        </w:rPr>
        <w:t>.</w:t>
      </w:r>
      <w:r>
        <w:rPr>
          <w:rFonts w:ascii="Arial" w:cs="Arial" w:eastAsia="Arial" w:hAnsi="Arial"/>
          <w:sz w:val="13"/>
          <w:szCs w:val="13"/>
          <w:color w:val="auto"/>
        </w:rPr>
        <w:t xml:space="preserve"> We are advancing programs from these distinct but interrelated product platforms that combine different science, capabilities, and intellectual property. We believe these three product platforms together yield better insights into disease processes, create more opportunities for successful drug development, mitigate scientific risk, and differentiate our efforts relative to competitors.</w:t>
      </w:r>
    </w:p>
    <w:p>
      <w:pPr>
        <w:spacing w:after="0" w:line="216"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147955</wp:posOffset>
            </wp:positionV>
            <wp:extent cx="4439285" cy="22834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39285" cy="228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 Therapy Platform</w:t>
      </w:r>
    </w:p>
    <w:p>
      <w:pPr>
        <w:spacing w:after="0" w:line="99"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Gene therapy focuses on repairing or replacing defective or mutated genes to produce a therapeutic effect or treat a disease. AAV is a non-enveloped virus that already exists in some humans and does not cause disease. In gene therapy, the viral DNA within an AAV is replaced with new DNA to become a precisely coded vector to deliver the engineered therapeutic to specific tissues or organs within the body.</w:t>
      </w:r>
    </w:p>
    <w:p>
      <w:pPr>
        <w:spacing w:after="0" w:line="149"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color w:val="auto"/>
        </w:rPr>
        <w:t>AAV vectors are the subject of significant research and development as they can be leveraged as a gene delivery vehicle for a wide range of therapeutic payloads to a wide variety of human cells. AAV-mediated gene therapy has been shown to be highly effective in targeting multiple organs, including the eye, the liver and the central nervous system. These viruses have been used to dose more than 3,300 patients in approximately 150 clinical studies around the world, and there are now several therapies that use such viruses that have been approved by the FDA and other regulatory agencies.</w:t>
      </w:r>
    </w:p>
    <w:p>
      <w:pPr>
        <w:spacing w:after="0" w:line="123"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Recent third-party clinical studies have demonstrated that AAV serotype 9 (AAV9) can effectively transduce the hearts of infants and adults. This supports the results of several published non-clinical studies using AAV9 in murine and NHP models. Overall, most data suggest that AAV9 may be the best of the known existing parental vectors for the purpose of cardiac gene therapy where the target cells are CMs (one of the most abundant cell types in the heart responsible for contraction).</w:t>
      </w:r>
    </w:p>
    <w:p>
      <w:pPr>
        <w:spacing w:after="0" w:line="167"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However, AAV9 has limitations. AAV9 has a well-established ability to also transduce the liver and the central nervous system, in addition to the heart, which can create safety considerations. Also, some individuals have neutralizing antibodies to AAV9, making them ineligible for AAV9-based treatments.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400"/>
          </w:cols>
          <w:pgMar w:left="320" w:top="418" w:right="117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500" w:firstLine="385"/>
        <w:spacing w:after="0" w:line="256" w:lineRule="auto"/>
        <w:rPr>
          <w:sz w:val="20"/>
          <w:szCs w:val="20"/>
          <w:color w:val="auto"/>
        </w:rPr>
      </w:pPr>
      <w:r>
        <w:rPr>
          <w:rFonts w:ascii="Arial" w:cs="Arial" w:eastAsia="Arial" w:hAnsi="Arial"/>
          <w:sz w:val="16"/>
          <w:szCs w:val="16"/>
          <w:color w:val="auto"/>
        </w:rPr>
        <w:t>Cardiac-specific promoters like cardiac troponin T (cTnT) can help limit the expression of AAV-delivered genes to CMs, but do not enable targeted gene expression in other heart cells (e.g. CFs). Additionally, the level of gene expression from these promoters may not be sufficient for therapeutic effect for some targets.</w:t>
      </w:r>
    </w:p>
    <w:p>
      <w:pPr>
        <w:spacing w:after="0" w:line="166" w:lineRule="exact"/>
        <w:rPr>
          <w:sz w:val="20"/>
          <w:szCs w:val="20"/>
          <w:color w:val="auto"/>
        </w:rPr>
      </w:pPr>
    </w:p>
    <w:p>
      <w:pPr>
        <w:ind w:left="820" w:right="40" w:firstLine="385"/>
        <w:spacing w:after="0" w:line="316" w:lineRule="auto"/>
        <w:rPr>
          <w:sz w:val="20"/>
          <w:szCs w:val="20"/>
          <w:color w:val="auto"/>
        </w:rPr>
      </w:pPr>
      <w:r>
        <w:rPr>
          <w:rFonts w:ascii="Arial" w:cs="Arial" w:eastAsia="Arial" w:hAnsi="Arial"/>
          <w:sz w:val="13"/>
          <w:szCs w:val="13"/>
          <w:color w:val="auto"/>
        </w:rPr>
        <w:t>Therefore, there is significant room for improvement, and we aim to improve gene therapy for the heart in ways that expand its utility. We believe our five core internal capabilities will allow us to identify, engineer, validate, deliver and manufacture novel AAV vectors to optimize the delivery and expression of therapies more selectively to cells of interest in the heart. With our capsid engineering capabilities, we have designed and screened more than one billion AAV variants to find novel capsids with higher tropism and transduction efficiency for different types of heart cells, lower transduction efficiency for the liver and other tissues, and lower susceptibility to neutralizing antibodies. We have discovered promoters and regulatory elements that enable more precise gene expression in specific heart cells. We are developing new catheters and are exploring different ROAs to more precisely deliver vectors to heart tissue. And we have established know-how to enable more optimal manufacturing, including of novel AAV capsids.</w:t>
      </w:r>
    </w:p>
    <w:p>
      <w:pPr>
        <w:spacing w:after="0" w:line="131" w:lineRule="exact"/>
        <w:rPr>
          <w:sz w:val="20"/>
          <w:szCs w:val="20"/>
          <w:color w:val="auto"/>
        </w:rPr>
      </w:pPr>
    </w:p>
    <w:p>
      <w:pPr>
        <w:jc w:val="both"/>
        <w:ind w:left="820" w:right="360" w:firstLine="385"/>
        <w:spacing w:after="0" w:line="256" w:lineRule="auto"/>
        <w:rPr>
          <w:sz w:val="20"/>
          <w:szCs w:val="20"/>
          <w:color w:val="auto"/>
        </w:rPr>
      </w:pPr>
      <w:r>
        <w:rPr>
          <w:rFonts w:ascii="Arial" w:cs="Arial" w:eastAsia="Arial" w:hAnsi="Arial"/>
          <w:sz w:val="16"/>
          <w:szCs w:val="16"/>
          <w:color w:val="auto"/>
        </w:rPr>
        <w:t>These capabilities open the opportunity to deliver novel gene therapies to patients with heart disease and to position us to become a leader in cardiac gene therapy. We are leveraging these capabilities to develop gene therapies for rare, genetic forms of heart disease, as well as to enable the transition to more prevalent forms as well.</w:t>
      </w:r>
    </w:p>
    <w:p>
      <w:pPr>
        <w:spacing w:after="0" w:line="166" w:lineRule="exact"/>
        <w:rPr>
          <w:sz w:val="20"/>
          <w:szCs w:val="20"/>
          <w:color w:val="auto"/>
        </w:rPr>
      </w:pPr>
    </w:p>
    <w:p>
      <w:pPr>
        <w:ind w:left="820" w:right="60" w:firstLine="385"/>
        <w:spacing w:after="0" w:line="316" w:lineRule="auto"/>
        <w:rPr>
          <w:sz w:val="20"/>
          <w:szCs w:val="20"/>
          <w:color w:val="auto"/>
        </w:rPr>
      </w:pPr>
      <w:r>
        <w:rPr>
          <w:rFonts w:ascii="Arial" w:cs="Arial" w:eastAsia="Arial" w:hAnsi="Arial"/>
          <w:sz w:val="13"/>
          <w:szCs w:val="13"/>
          <w:color w:val="auto"/>
        </w:rPr>
        <w:t xml:space="preserve">The product candidates arising from our Gene Therapy platform are intended to overcome the shortcomings of traditional pharmacological or surgical interventions that are not able to address the underlying genetic factors contributing to heart disease. Our initial area of focus is on the delivery of a healthy copy of genes that are known to be mutated in genetic cardiomyopathies; for example, our most advanced product candidate from our Gene Therapy platform involves delivering a healthy copy of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to address the leading cause of gHCM. This “lock and key” gene therapy program was selected following a screen of hundreds of potential targets. We believe our MYBPC3 program is able to benefit from a variety of factors, including high disease severity and large unmet need; relatively high prevalence; emerging science supporting haploinsufficiency as the disease driver; representative disease models; and illustrative proof-of-concept evidence for gene therapy from academic labs.</w:t>
      </w:r>
    </w:p>
    <w:p>
      <w:pPr>
        <w:spacing w:after="0" w:line="131" w:lineRule="exact"/>
        <w:rPr>
          <w:sz w:val="20"/>
          <w:szCs w:val="20"/>
          <w:color w:val="auto"/>
        </w:rPr>
      </w:pPr>
    </w:p>
    <w:p>
      <w:pPr>
        <w:ind w:left="820" w:right="140" w:firstLine="385"/>
        <w:spacing w:after="0" w:line="251" w:lineRule="auto"/>
        <w:rPr>
          <w:sz w:val="20"/>
          <w:szCs w:val="20"/>
          <w:color w:val="auto"/>
        </w:rPr>
      </w:pPr>
      <w:r>
        <w:rPr>
          <w:rFonts w:ascii="Arial" w:cs="Arial" w:eastAsia="Arial" w:hAnsi="Arial"/>
          <w:sz w:val="16"/>
          <w:szCs w:val="16"/>
          <w:color w:val="auto"/>
        </w:rPr>
        <w:t>We believe the versatility of our Gene Therapy platform and related differentiated capabilities enables us to rapidly expand our portfolio of therapies beyond the initial focus. For example, our PKP2 program is another example of a “lock and key” approach to addressing the leading cause of gARVC. Our DWORF program is based on the idea of delivering the recently discovered DWORF protein targeting a well-known SERCA2a pathway that has been shown to exert a therapeutic effect in a range of disease models. We continue to explore other genetic cardiomyopathies that can potentially be addressed by our Gene Therapy platform.</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Cellular Regeneration Platform</w:t>
      </w:r>
    </w:p>
    <w:p>
      <w:pPr>
        <w:spacing w:after="0" w:line="99"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Scientists have long known that the human heart is not able to regenerate itself, unlike many other organs in the body. Acute MI—more commonly referred to as a heart attack—can kill as many as 25% of CMs from the LV, or approximately one billion cells. The heart has no natural way to replace cells that are lost slowly with age or suddenly due to disease. One reason that HF is so prevalent and the leading cause of death in the world is due to the lack of regenerative potential of the heart. Acute MI is associated with a 30% mortality rate; about 50% of the deaths occur prior to arrival at the hospital. An additional 5% to 10% of survivors die within the first year after their MI. Approximately half of all patients with an MI are rehospitalized within one year of their first MI. Finding ways to replace lost heart cells is one of the “holy grails” of regenerative medicine.</w:t>
      </w:r>
    </w:p>
    <w:p>
      <w:pPr>
        <w:spacing w:after="0" w:line="128"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There are two abundant cell types in the heart: CMs, which are the cells that are responsible for contraction during each heartbeat, and CFs, that produce and secrete growth factors, cytokines and other signaling molecules</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440"/>
          </w:cols>
          <w:pgMar w:left="320" w:top="418" w:right="113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100"/>
        <w:spacing w:after="0" w:line="256" w:lineRule="auto"/>
        <w:rPr>
          <w:sz w:val="20"/>
          <w:szCs w:val="20"/>
          <w:color w:val="auto"/>
        </w:rPr>
      </w:pPr>
      <w:r>
        <w:rPr>
          <w:rFonts w:ascii="Arial" w:cs="Arial" w:eastAsia="Arial" w:hAnsi="Arial"/>
          <w:sz w:val="16"/>
          <w:szCs w:val="16"/>
          <w:color w:val="auto"/>
        </w:rPr>
        <w:t>contributing to structural, biochemical, mechanical and electrical properties of the myocardium. While CFs are able to divide and proliferate, CMs are post-mitotic, meaning they are incapable of regenerating. CMs that are lost due to aging or disease are replaced by fibrotic scar tissue that is permanent and irreparable with currently approved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128270</wp:posOffset>
            </wp:positionV>
            <wp:extent cx="1317625" cy="1706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1762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color w:val="auto"/>
        </w:rPr>
        <w:t xml:space="preserve">The field of cardiac regeneration has historically been dominated by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cell therapy approaches using autologous (from self) or allogeneic (from donors) cell sources to replace lost CMs. However, there have been no successful therapies after scores of clinical studies involving thousands of patients. Any modest efficacy seen in clinical studies are now often attributed to indirect paracrine effects rather than true cardiac regeneration. Some have tried to induce regeneration by infusion or injecting cells generated from hiPSC-CMs or human embryonic stem cells (hESCs), but that has been fraught with many challenges, as these cells have an embryonic phenotype and generate arrhythmias once injected into the heart; recipients need to be immunosuppressed to avoid rejection; and integration into the electric and mechanical connections of the heart is still imperfect.</w:t>
      </w:r>
    </w:p>
    <w:p>
      <w:pPr>
        <w:spacing w:after="0" w:line="128"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 xml:space="preserve">We are advancing a cardiac regeneration approach based on research conducted by our founders at Gladstone Institutes and UTSW, who pioneered the idea of restoring heart function after a heart attack by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regeneration of lost CMs. Our approach is intended to achieve this by using viral vectors to deliver a proprietary combination of three genes that when delivered together in a single AAV can permanently convert—or “reprogram”—a patient’s own resident CFs into new CMs.</w:t>
      </w:r>
    </w:p>
    <w:p>
      <w:pPr>
        <w:spacing w:after="0" w:line="167" w:lineRule="exact"/>
        <w:rPr>
          <w:sz w:val="20"/>
          <w:szCs w:val="20"/>
          <w:color w:val="auto"/>
        </w:rPr>
      </w:pPr>
    </w:p>
    <w:p>
      <w:pPr>
        <w:ind w:left="820" w:right="140" w:firstLine="385"/>
        <w:spacing w:after="0" w:line="267" w:lineRule="auto"/>
        <w:rPr>
          <w:sz w:val="20"/>
          <w:szCs w:val="20"/>
          <w:color w:val="auto"/>
        </w:rPr>
      </w:pPr>
      <w:r>
        <w:rPr>
          <w:rFonts w:ascii="Arial" w:cs="Arial" w:eastAsia="Arial" w:hAnsi="Arial"/>
          <w:sz w:val="15"/>
          <w:szCs w:val="15"/>
          <w:color w:val="auto"/>
        </w:rPr>
        <w:t xml:space="preserve">This approach was inspired by the Nobel-prize winning discoveries of Shinya Yamanaka who first discovered that human cells can be “reprogrammed” with certain specific factors—which became known as the “Yamanaka factors”—to become induced pluripotent stem cells (iPSCs), and that these newly formed iPSCs were in turn capable of differentiating to become any other human cell type in the body, including heart cells. Our founders and other academic labs built on this idea and demonstrated that it is possible to directly convert CFs to CMs without first going through the iPSC stage. Dr. Srivastava, one of our co-founders and a member of our board of directors, was the first to demonstrate proof of concept of this “direct reprogramming” approach for cardiac regeneration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in a mouse model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with human cells. Several independent academic labs around the world have subsequently replicated the results with direct reprogramming for cardiac regeneration using the same factors as well as new combinations.</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420"/>
          </w:cols>
          <w:pgMar w:left="320" w:top="418" w:right="115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figure below helps illustrate the idea of direct reprogramming of CFs to CMs using the Waddington model for cellular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153035</wp:posOffset>
            </wp:positionV>
            <wp:extent cx="4529455" cy="1961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294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There have been several historical challenges for the field of direct reprogramming for cardiac regeneration to turn this promising scientific discovery into potentially viable therapies. Most academic efforts required anywhere from three to five factors to achieve the conversion of human CFs to CMs, and the overall conversion rate was relatively low. Some of these efforts used a combination of retroviruses and small molecules to achieve this conversion, which is not clinically applicable. The published proof-of-concept work has been demonstrated in murine models of acute MI (i.e. immediately at the time of onset of heart attack), but not in models of HF following MI (i.e. following some period of time sometime after the heart attack has already happened) which more accurately simulates the situation that would be adopted in the clinical setting.</w:t>
      </w:r>
    </w:p>
    <w:p>
      <w:pPr>
        <w:spacing w:after="0" w:line="128"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 xml:space="preserve">We believe we are the first to potentially overcome these challenges. We have discovered a proprietary combination of three genes that can be co-packaged and co-expressed from a single proprietary AAV vector engineered for higher transduction of CFs when compared to existing parental capsids. We have demonstrated higher transdifferentiation rates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using human CFs that are higher than rates reported in published studies using combinations of other factors intended to drive reprogramming. We have demonstrated robust and durable proof-of-concept of this approach in multiple rodent models of acute MI and HF post-MI. Most importantly, based on publicly available information to date, we believe our results in a pig model of HF due to prior MI represent the first-ever successful demonstration of the potential therapeutic benefit of this approach in a human-sized heart.</w:t>
      </w:r>
    </w:p>
    <w:p>
      <w:pPr>
        <w:spacing w:after="0" w:line="128"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 xml:space="preserve">We believe our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approach to cardiac regeneration may have several advantages over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cell therapies. Because the newly formed CMs are generated from the patients’ own cells, they are not rejected by the body and no immunosuppression is needed. And since these newly formed CMs are generated from within the patient’s heart tissue, it may be easier for them to electrically and mechanically connect with surrounding cells as they mature and to contribute to healthy heart function with lower risk for arrhythmias. In addition, it is easier to manufacture and to deliver AAV-based therapies and to offer them at commercially viable prices compared to cell-based therapies.</w:t>
      </w:r>
    </w:p>
    <w:p>
      <w:pPr>
        <w:spacing w:after="0" w:line="154"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The initial focus of our Cellular Regeneration platform is on the development of disease-modifying treatments for HF due to prior MI. We believe the versatility of this product platform and related differentiated capabilities position us to expand our portfolio of therapies rapidly and pursue other indications involving loss of CMs</w:t>
      </w:r>
      <w:r>
        <w:rPr>
          <w:rFonts w:ascii="Arial" w:cs="Arial" w:eastAsia="Arial" w:hAnsi="Arial"/>
          <w:sz w:val="16"/>
          <w:szCs w:val="16"/>
          <w:i w:val="1"/>
          <w:iCs w:val="1"/>
          <w:color w:val="auto"/>
        </w:rPr>
        <w:t>.</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380"/>
          </w:cols>
          <w:pgMar w:left="320" w:top="418" w:right="119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Precision Medicine Platform</w:t>
      </w:r>
    </w:p>
    <w:p>
      <w:pPr>
        <w:spacing w:after="0" w:line="99" w:lineRule="exact"/>
        <w:rPr>
          <w:sz w:val="20"/>
          <w:szCs w:val="20"/>
          <w:color w:val="auto"/>
        </w:rPr>
      </w:pPr>
    </w:p>
    <w:p>
      <w:pPr>
        <w:jc w:val="both"/>
        <w:ind w:left="820" w:right="100" w:firstLine="385"/>
        <w:spacing w:after="0" w:line="329" w:lineRule="auto"/>
        <w:rPr>
          <w:sz w:val="20"/>
          <w:szCs w:val="20"/>
          <w:color w:val="auto"/>
        </w:rPr>
      </w:pPr>
      <w:r>
        <w:rPr>
          <w:rFonts w:ascii="Arial" w:cs="Arial" w:eastAsia="Arial" w:hAnsi="Arial"/>
          <w:sz w:val="13"/>
          <w:szCs w:val="13"/>
          <w:color w:val="auto"/>
        </w:rPr>
        <w:t>The idea of “precision medicine” has been around for a number of years, with the core concept of delivering the right therapy to the right patient at the right time. Recently, the idea of precision medicine has gained traction in oncology, in particular, with the benefit of a better understanding of the genetics of different tumor types, and a growing ability to match therapies to specific mutations (e.g. Genentech’s Herceptin therapy for HER2+ breast cancer). We aim to bring this concept of precision medicine to the discovery and development of targeted therapies for heart disease.</w:t>
      </w:r>
    </w:p>
    <w:p>
      <w:pPr>
        <w:spacing w:after="0" w:line="123"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There is an increasing understanding of the genetic basis for many cardiomyopathies, including DCM, HCM, restrictive cardiomyopathy (RCM) and arrhythmogenic cardiomyopathy (ACM). DCM provides an interesting case study. Mutations in more than 50 genes have been identified for gDCM, with more than 50% of patients presenting with multiple mutations. These mutations affect different parts of the cellular apparatus of patients’ CMs, including the sarcomere, nucleus, ion channels, and cellular membranes. Yet mutations in proteins with diverse biology present as a common disease phenotype, suggesting common nodes of disease yet to be discovered. Despite this heterogeneity of genetic background and underlying pathophysiology, the therapies used for these patients are the same as therapies used for patients with other forms of HF. We envision a future in which therapies are more specific to the underlying cause of disease and are used to treat patients who have been categorized based on their underlying genetic mutations.</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figure below helps illustrate our vision for “precision medicine” research and development for heart disease through the lens of gDCM: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153035</wp:posOffset>
            </wp:positionV>
            <wp:extent cx="4537075" cy="18865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3707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20" w:right="140" w:firstLine="385"/>
        <w:spacing w:after="0" w:line="253" w:lineRule="auto"/>
        <w:rPr>
          <w:sz w:val="20"/>
          <w:szCs w:val="20"/>
          <w:color w:val="auto"/>
        </w:rPr>
      </w:pPr>
      <w:r>
        <w:rPr>
          <w:rFonts w:ascii="Arial" w:cs="Arial" w:eastAsia="Arial" w:hAnsi="Arial"/>
          <w:sz w:val="16"/>
          <w:szCs w:val="16"/>
          <w:color w:val="auto"/>
        </w:rPr>
        <w:t xml:space="preserve">It is also necessary to have the appropriate disease models to discover new targets and to test new therapies. Unfortunately, there is still a lack of representative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the greater than 50 genes known to cause gDCM when mutated, less than ten have relevant murine models to support drug discovery. The situation is even worse for others forms of genetic cardiomyopathy. We are committed to finding new ways to model genetic cardiomyopathies,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but also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w:t>
      </w:r>
    </w:p>
    <w:p>
      <w:pPr>
        <w:spacing w:after="0" w:line="167"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There is a growing body of academic literature supporting the use of hiPSC-CMs to model human heart disease and the potential cardiotoxicity of therapeutics during drug discovery. This can be helpful where animal models for specific forms of heart disease either do not yet exist or are not yet sufficiently representative of human disease. There are also a growing number of biopharmaceutical companies that are using iPSCs for phenotypic screening and drug discovery. We are advancing a novel approach of using proprietary hiPSC-CMs disease models for target identification and drug discovery specifically for heart disease.</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420"/>
          </w:cols>
          <w:pgMar w:left="320" w:top="418" w:right="115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The figure below illustrates how we have internalized and integrated six key aspects necessary to advance the discovery of precision medicine therapeutics using hiPSC-CMs: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123190</wp:posOffset>
            </wp:positionV>
            <wp:extent cx="4469765" cy="2081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6976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color w:val="auto"/>
        </w:rPr>
        <w:t xml:space="preserve">We have demonstrated proof of concept of this approach using an hiPSC-CM disease model representing a specific gDCM mutation plus machine learning algorithms to measure variations in appearance of these cells when screened with a library of several thousand small molecule compounds. We identified several biologically relevant hits and validated HDAC6 as a specific target of interest. We have since turned our findings into a product candidate in our HDAC6i program with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activity and tolerability demonstrated in multiple heart disease models of HFpEF and gDCM.</w:t>
      </w:r>
    </w:p>
    <w:p>
      <w:pPr>
        <w:spacing w:after="0" w:line="123" w:lineRule="exact"/>
        <w:rPr>
          <w:sz w:val="20"/>
          <w:szCs w:val="20"/>
          <w:color w:val="auto"/>
        </w:rPr>
      </w:pPr>
    </w:p>
    <w:p>
      <w:pPr>
        <w:ind w:left="820" w:firstLine="385"/>
        <w:spacing w:after="0" w:line="343" w:lineRule="auto"/>
        <w:rPr>
          <w:sz w:val="20"/>
          <w:szCs w:val="20"/>
          <w:color w:val="auto"/>
        </w:rPr>
      </w:pPr>
      <w:r>
        <w:rPr>
          <w:rFonts w:ascii="Arial" w:cs="Arial" w:eastAsia="Arial" w:hAnsi="Arial"/>
          <w:sz w:val="13"/>
          <w:szCs w:val="13"/>
          <w:color w:val="auto"/>
        </w:rPr>
        <w:t>We are currently conducting target identification screens for both gene therapy and small molecules targets in multiple iPSC-CM disease models of gDCM. We are also expanding our efforts to different genetic backgrounds including the leading genetic causes of cardiomyopathy. We believe the versatility of our Precision Medicine platform and related capabilities enables us to rapidly expand our portfolio of product candidates beyond HDAC6i.</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Approach and Capabilities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We utilize five core internal capabilities to support our three product platforms. Our key capabilities include the creation and development of</w:t>
      </w:r>
    </w:p>
    <w:p>
      <w:pPr>
        <w:spacing w:after="0" w:line="51" w:lineRule="exact"/>
        <w:rPr>
          <w:sz w:val="20"/>
          <w:szCs w:val="20"/>
          <w:color w:val="auto"/>
        </w:rPr>
      </w:pPr>
    </w:p>
    <w:p>
      <w:pPr>
        <w:ind w:left="820" w:right="240" w:hanging="6"/>
        <w:spacing w:after="0" w:line="248" w:lineRule="auto"/>
        <w:tabs>
          <w:tab w:leader="none" w:pos="1042"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disease models to more accurately simulate human heart disease phenotypes, (2) proprietary heart-tropic AAV capsids designed to enable precise tissue targeting and increase safety, (3) proprietary promoters and regulatory elements to control gene expression, (4) fit-for-purpose drug delivery methods for more optimal uptake and distribution of our product candidates and (5) scalable AAV manufacturing to better control quality, costs, timelines and supply.</w:t>
      </w:r>
    </w:p>
    <w:p>
      <w:pPr>
        <w:spacing w:after="0" w:line="171"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We believe integration of these in-house capabilities provides us with several advantages and differentiates our efforts relative to other drug discovery companies, especially for gene therapy drug development. Through the combination of these capabilities, we are developing product candidates that can address the complicated characteristics of heart disease. For example, we believe with our capabilities in capsids and promoter design and delivery, we can overcome the limitations faced by prior cardiac gene therapy approaches by enabling more precise delivery and more robust gene expression and lowering the risk of off-target effects. We also believe that these approaches can overcome the historical challenges of drug development for heart disease, by enabling delivery of a wide range of therapeutic approaches to specific cells in the heart.</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400"/>
          </w:cols>
          <w:pgMar w:left="320" w:top="418" w:right="117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By having our capabilities in-house, we believe we are able to achieve deeper insight, shorten product development cycles, and improve the probability of technical and regulatory success for our product candidates compared to what can be achieved with a more outsourced approach. This further allows us to rapidly build a diverse pipeline of product candidates. Ultimately, we believe our differentiated capabilities can support development of product candidates that, if approved, could address the high unmet need of patients with cardiac diseases and could be delivered at a lower cost of goods than what is possible today.</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1. Disease Models</w:t>
      </w:r>
    </w:p>
    <w:p>
      <w:pPr>
        <w:spacing w:after="0" w:line="99"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 xml:space="preserve">We have internalized the ability to create and integrate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within our research organization, which allows us to simulate human heart disease phenotypes. We believe our success will be supported by the know-how we are developing and the proprietary integration of these disease models across our programs.</w:t>
      </w:r>
    </w:p>
    <w:p>
      <w:pPr>
        <w:spacing w:after="0" w:line="83" w:lineRule="exact"/>
        <w:rPr>
          <w:sz w:val="20"/>
          <w:szCs w:val="20"/>
          <w:color w:val="auto"/>
        </w:rPr>
      </w:pPr>
    </w:p>
    <w:p>
      <w:pPr>
        <w:ind w:left="1660" w:right="100" w:hanging="469"/>
        <w:spacing w:after="0" w:line="270" w:lineRule="auto"/>
        <w:tabs>
          <w:tab w:leader="none" w:pos="1660"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In vitro cell-based disease models</w:t>
      </w:r>
      <w:r>
        <w:rPr>
          <w:rFonts w:ascii="Arial" w:cs="Arial" w:eastAsia="Arial" w:hAnsi="Arial"/>
          <w:sz w:val="15"/>
          <w:szCs w:val="15"/>
          <w:color w:val="auto"/>
        </w:rPr>
        <w:t>: For our</w:t>
      </w:r>
      <w:r>
        <w:rPr>
          <w:rFonts w:ascii="Arial" w:cs="Arial" w:eastAsia="Arial" w:hAnsi="Arial"/>
          <w:sz w:val="15"/>
          <w:szCs w:val="15"/>
          <w:i w:val="1"/>
          <w:iCs w:val="1"/>
          <w:color w:val="auto"/>
        </w:rPr>
        <w:t xml:space="preserve"> in vitro </w:t>
      </w:r>
      <w:r>
        <w:rPr>
          <w:rFonts w:ascii="Arial" w:cs="Arial" w:eastAsia="Arial" w:hAnsi="Arial"/>
          <w:sz w:val="15"/>
          <w:szCs w:val="15"/>
          <w:color w:val="auto"/>
        </w:rPr>
        <w:t>disease models, we have leveraged the seminal discovery of methods used to generate</w:t>
      </w:r>
      <w:r>
        <w:rPr>
          <w:rFonts w:ascii="Arial" w:cs="Arial" w:eastAsia="Arial" w:hAnsi="Arial"/>
          <w:sz w:val="15"/>
          <w:szCs w:val="15"/>
          <w:i w:val="1"/>
          <w:iCs w:val="1"/>
          <w:color w:val="auto"/>
        </w:rPr>
        <w:t xml:space="preserve"> </w:t>
      </w:r>
      <w:r>
        <w:rPr>
          <w:rFonts w:ascii="Arial" w:cs="Arial" w:eastAsia="Arial" w:hAnsi="Arial"/>
          <w:sz w:val="15"/>
          <w:szCs w:val="15"/>
          <w:color w:val="auto"/>
        </w:rPr>
        <w:t>iPSCs to establish disease models based on human iPSC-derived cardiomyocytes (iPSC-CMs). We have implemented three primary approaches to model human heart disease in this way: (i) short interfering ribonucleic acid (siRNA) constructs to silence specific genes of interest in iPSC-CMs; (ii) CRISPR-based gene editing approaches to create isogenic iPSC-cell lines where specific genes have been altered; and (iii) iPSCs derived from patients with severe heart disease, for example, severe DCM resulting in early HF and transplant, sourced from commercial and academic collaborators.</w:t>
      </w:r>
    </w:p>
    <w:p>
      <w:pPr>
        <w:spacing w:after="0" w:line="61" w:lineRule="exact"/>
        <w:rPr>
          <w:rFonts w:ascii="Arial" w:cs="Arial" w:eastAsia="Arial" w:hAnsi="Arial"/>
          <w:sz w:val="15"/>
          <w:szCs w:val="15"/>
          <w:color w:val="auto"/>
        </w:rPr>
      </w:pPr>
    </w:p>
    <w:p>
      <w:pPr>
        <w:ind w:left="1680"/>
        <w:spacing w:after="0"/>
        <w:rPr>
          <w:rFonts w:ascii="Arial" w:cs="Arial" w:eastAsia="Arial" w:hAnsi="Arial"/>
          <w:sz w:val="15"/>
          <w:szCs w:val="15"/>
          <w:color w:val="auto"/>
        </w:rPr>
      </w:pPr>
      <w:r>
        <w:rPr>
          <w:rFonts w:ascii="Arial" w:cs="Arial" w:eastAsia="Arial" w:hAnsi="Arial"/>
          <w:sz w:val="16"/>
          <w:szCs w:val="16"/>
          <w:color w:val="auto"/>
        </w:rPr>
        <w:t>In the figure below, we illustrate our primary disease model approaches based on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145415</wp:posOffset>
            </wp:positionV>
            <wp:extent cx="4446905" cy="17741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4690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0420"/>
          </w:cols>
          <w:pgMar w:left="320" w:top="418" w:right="115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75" w:lineRule="auto"/>
        <w:rPr>
          <w:sz w:val="20"/>
          <w:szCs w:val="20"/>
          <w:color w:val="auto"/>
        </w:rPr>
      </w:pPr>
      <w:r>
        <w:rPr>
          <w:rFonts w:ascii="Arial" w:cs="Arial" w:eastAsia="Arial" w:hAnsi="Arial"/>
          <w:sz w:val="15"/>
          <w:szCs w:val="15"/>
          <w:color w:val="auto"/>
        </w:rPr>
        <w:t>These disease models can collectively help simulate the impact of human disease-causing mutations on the appearance and function of CMs. They can also help model the impact of potentially disease-modifying treatments on such cells. In the figure below, we illustrate how, through use of gene editing and gene silencing tools, we can modify the appearance of normal iPSC-CMs to appear disorganized, and subsequently restore cell appearance with compounds from our screening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120015</wp:posOffset>
            </wp:positionV>
            <wp:extent cx="4124960" cy="9359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24960" cy="93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80" w:right="80"/>
        <w:spacing w:after="0" w:line="256" w:lineRule="auto"/>
        <w:rPr>
          <w:sz w:val="20"/>
          <w:szCs w:val="20"/>
          <w:color w:val="auto"/>
        </w:rPr>
      </w:pPr>
      <w:r>
        <w:rPr>
          <w:rFonts w:ascii="Arial" w:cs="Arial" w:eastAsia="Arial" w:hAnsi="Arial"/>
          <w:sz w:val="16"/>
          <w:szCs w:val="16"/>
          <w:color w:val="auto"/>
        </w:rPr>
        <w:t>We initially used cells from these disease models plated in two-dimensional formats. We have since advanced our efforts to include three-dimensional engineered heart tissue disease models where the cells have a more mature phenotype and with contractility that can be measured more reliably.</w:t>
      </w:r>
    </w:p>
    <w:p>
      <w:pPr>
        <w:spacing w:after="0" w:line="83" w:lineRule="exact"/>
        <w:rPr>
          <w:sz w:val="20"/>
          <w:szCs w:val="20"/>
          <w:color w:val="auto"/>
        </w:rPr>
      </w:pPr>
    </w:p>
    <w:p>
      <w:pPr>
        <w:ind w:left="1660" w:right="100" w:hanging="469"/>
        <w:spacing w:after="0" w:line="256" w:lineRule="auto"/>
        <w:tabs>
          <w:tab w:leader="none" w:pos="166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iPSC production: </w:t>
      </w:r>
      <w:r>
        <w:rPr>
          <w:rFonts w:ascii="Arial" w:cs="Arial" w:eastAsia="Arial" w:hAnsi="Arial"/>
          <w:sz w:val="16"/>
          <w:szCs w:val="16"/>
          <w:color w:val="auto"/>
        </w:rPr>
        <w:t>To conduct robust target identification and drug discovery screens using our cell-based disease models, we need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produce large volumes of these hiPSC-CMs. We have developed the necessary know-how to do so reliably and reproducibly at increasing scale.</w:t>
      </w:r>
    </w:p>
    <w:p>
      <w:pPr>
        <w:spacing w:after="0" w:line="71"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5"/>
          <w:szCs w:val="15"/>
          <w:color w:val="auto"/>
        </w:rPr>
        <w:t>The figure below provides an overview of our scale-up process for hiPSC-CM production from six-well plates up to 3L bioreactors: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235585</wp:posOffset>
            </wp:positionV>
            <wp:extent cx="4132580" cy="778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32580" cy="77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right="60" w:hanging="469"/>
        <w:spacing w:after="0" w:line="256" w:lineRule="auto"/>
        <w:tabs>
          <w:tab w:leader="none" w:pos="166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Imaging techniques: </w:t>
      </w:r>
      <w:r>
        <w:rPr>
          <w:rFonts w:ascii="Arial" w:cs="Arial" w:eastAsia="Arial" w:hAnsi="Arial"/>
          <w:sz w:val="16"/>
          <w:szCs w:val="16"/>
          <w:color w:val="auto"/>
        </w:rPr>
        <w:t>We use a combination of immunostaining, high-resolution imaging, and imaging algorithms to visualize and quantify</w:t>
      </w:r>
      <w:r>
        <w:rPr>
          <w:rFonts w:ascii="Arial" w:cs="Arial" w:eastAsia="Arial" w:hAnsi="Arial"/>
          <w:sz w:val="16"/>
          <w:szCs w:val="16"/>
          <w:i w:val="1"/>
          <w:iCs w:val="1"/>
          <w:color w:val="auto"/>
        </w:rPr>
        <w:t xml:space="preserve"> </w:t>
      </w:r>
      <w:r>
        <w:rPr>
          <w:rFonts w:ascii="Arial" w:cs="Arial" w:eastAsia="Arial" w:hAnsi="Arial"/>
          <w:sz w:val="16"/>
          <w:szCs w:val="16"/>
          <w:color w:val="auto"/>
        </w:rPr>
        <w:t>phenotypic differences between our in-house iPSC-CM disease models. We can measure several details of the sarcomeres of these cell lines, including sarcomere density, disarray and Z-disc area.</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420"/>
          </w:cols>
          <w:pgMar w:left="320" w:top="418" w:right="115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200"/>
        <w:spacing w:after="0" w:line="266" w:lineRule="auto"/>
        <w:rPr>
          <w:sz w:val="20"/>
          <w:szCs w:val="20"/>
          <w:color w:val="auto"/>
        </w:rPr>
      </w:pPr>
      <w:r>
        <w:rPr>
          <w:rFonts w:ascii="Arial" w:cs="Arial" w:eastAsia="Arial" w:hAnsi="Arial"/>
          <w:sz w:val="16"/>
          <w:szCs w:val="16"/>
          <w:color w:val="auto"/>
        </w:rPr>
        <w:t>The figure below shows the degree of automated high-resolution image capture that is possible to help visualize the details of iPSC-CM disease models such as the sarcomere structure and other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123190</wp:posOffset>
            </wp:positionV>
            <wp:extent cx="4132580" cy="20586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32580" cy="205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80" w:right="80"/>
        <w:spacing w:after="0" w:line="256" w:lineRule="auto"/>
        <w:rPr>
          <w:sz w:val="20"/>
          <w:szCs w:val="20"/>
          <w:color w:val="auto"/>
        </w:rPr>
      </w:pPr>
      <w:r>
        <w:rPr>
          <w:rFonts w:ascii="Arial" w:cs="Arial" w:eastAsia="Arial" w:hAnsi="Arial"/>
          <w:sz w:val="16"/>
          <w:szCs w:val="16"/>
          <w:color w:val="auto"/>
        </w:rPr>
        <w:t>In the figure below, we show data that illustrate our ability to use proprietary imaging algorithms to quantify reproducible and statistically significant differences between particular attributes of the iPSC-CMs (e.g. Z-Disc Area of the sarcomere) across multiple disease model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158115</wp:posOffset>
            </wp:positionV>
            <wp:extent cx="2440940" cy="16548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40940" cy="1654810"/>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128270</wp:posOffset>
            </wp:positionV>
            <wp:extent cx="1654810" cy="1684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54810"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60" w:hanging="469"/>
        <w:spacing w:after="0" w:line="253" w:lineRule="auto"/>
        <w:tabs>
          <w:tab w:leader="none" w:pos="166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Machine learning algorithms: </w:t>
      </w:r>
      <w:r>
        <w:rPr>
          <w:rFonts w:ascii="Arial" w:cs="Arial" w:eastAsia="Arial" w:hAnsi="Arial"/>
          <w:sz w:val="16"/>
          <w:szCs w:val="16"/>
          <w:color w:val="auto"/>
        </w:rPr>
        <w:t>We have used machine learning algorithms to support high-throughput phenotypic screening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iPSC-CM disease models. The algorithms can rapidly and reproducibly measure subtle differences in the overall appearance between wild-type iPSC-CM cells and the different disease models, as well as differences on the disease models in response to compounds in our screening libraries.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420"/>
          </w:cols>
          <w:pgMar w:left="320" w:top="418" w:right="115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40"/>
        <w:spacing w:after="0" w:line="329" w:lineRule="auto"/>
        <w:rPr>
          <w:sz w:val="20"/>
          <w:szCs w:val="20"/>
          <w:color w:val="auto"/>
        </w:rPr>
      </w:pPr>
      <w:r>
        <w:rPr>
          <w:rFonts w:ascii="Arial" w:cs="Arial" w:eastAsia="Arial" w:hAnsi="Arial"/>
          <w:sz w:val="13"/>
          <w:szCs w:val="13"/>
          <w:color w:val="auto"/>
        </w:rPr>
        <w:t xml:space="preserve">The figure below illustrates the output of a screen in a disease model of DCM, using siRNA silencing of the </w:t>
      </w:r>
      <w:r>
        <w:rPr>
          <w:rFonts w:ascii="Arial" w:cs="Arial" w:eastAsia="Arial" w:hAnsi="Arial"/>
          <w:sz w:val="13"/>
          <w:szCs w:val="13"/>
          <w:i w:val="1"/>
          <w:iCs w:val="1"/>
          <w:color w:val="auto"/>
        </w:rPr>
        <w:t>BAG3</w:t>
      </w:r>
      <w:r>
        <w:rPr>
          <w:rFonts w:ascii="Arial" w:cs="Arial" w:eastAsia="Arial" w:hAnsi="Arial"/>
          <w:sz w:val="13"/>
          <w:szCs w:val="13"/>
          <w:color w:val="auto"/>
        </w:rPr>
        <w:t xml:space="preserve"> gene, with a curated library of greater than 5,000 small molecule compounds. A deep learning algorithm that was trained on images of the disease model and on normal cells was used to determine which compounds caused the sarcomeres within the cells to appear more disorganized, representing more sarcomere damage (red), or more organized, representing less sarcomere damage (green), as measured by a “cardiomyocyte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101600</wp:posOffset>
            </wp:positionV>
            <wp:extent cx="3923030" cy="2073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23030" cy="207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60" w:right="20" w:hanging="469"/>
        <w:spacing w:after="0" w:line="266" w:lineRule="auto"/>
        <w:tabs>
          <w:tab w:leader="none" w:pos="1660" w:val="left"/>
        </w:tabs>
        <w:numPr>
          <w:ilvl w:val="1"/>
          <w:numId w:val="88"/>
        </w:numPr>
        <w:rPr>
          <w:rFonts w:ascii="Arial" w:cs="Arial" w:eastAsia="Arial" w:hAnsi="Arial"/>
          <w:sz w:val="15"/>
          <w:szCs w:val="15"/>
          <w:color w:val="auto"/>
        </w:rPr>
      </w:pPr>
      <w:r>
        <w:rPr>
          <w:rFonts w:ascii="Arial" w:cs="Arial" w:eastAsia="Arial" w:hAnsi="Arial"/>
          <w:sz w:val="15"/>
          <w:szCs w:val="15"/>
          <w:i w:val="1"/>
          <w:iCs w:val="1"/>
          <w:color w:val="auto"/>
        </w:rPr>
        <w:t xml:space="preserve">In vivo models: </w:t>
      </w:r>
      <w:r>
        <w:rPr>
          <w:rFonts w:ascii="Arial" w:cs="Arial" w:eastAsia="Arial" w:hAnsi="Arial"/>
          <w:sz w:val="15"/>
          <w:szCs w:val="15"/>
          <w:color w:val="auto"/>
        </w:rPr>
        <w:t>For our</w:t>
      </w:r>
      <w:r>
        <w:rPr>
          <w:rFonts w:ascii="Arial" w:cs="Arial" w:eastAsia="Arial" w:hAnsi="Arial"/>
          <w:sz w:val="15"/>
          <w:szCs w:val="15"/>
          <w:i w:val="1"/>
          <w:iCs w:val="1"/>
          <w:color w:val="auto"/>
        </w:rPr>
        <w:t xml:space="preserve"> in vivo </w:t>
      </w:r>
      <w:r>
        <w:rPr>
          <w:rFonts w:ascii="Arial" w:cs="Arial" w:eastAsia="Arial" w:hAnsi="Arial"/>
          <w:sz w:val="15"/>
          <w:szCs w:val="15"/>
          <w:color w:val="auto"/>
        </w:rPr>
        <w:t>disease models, we have a dedicated onsite</w:t>
      </w:r>
      <w:r>
        <w:rPr>
          <w:rFonts w:ascii="Arial" w:cs="Arial" w:eastAsia="Arial" w:hAnsi="Arial"/>
          <w:sz w:val="15"/>
          <w:szCs w:val="15"/>
          <w:i w:val="1"/>
          <w:iCs w:val="1"/>
          <w:color w:val="auto"/>
        </w:rPr>
        <w:t xml:space="preserve"> in vivo </w:t>
      </w:r>
      <w:r>
        <w:rPr>
          <w:rFonts w:ascii="Arial" w:cs="Arial" w:eastAsia="Arial" w:hAnsi="Arial"/>
          <w:sz w:val="15"/>
          <w:szCs w:val="15"/>
          <w:color w:val="auto"/>
        </w:rPr>
        <w:t>pharmacology group and vivarium. We have established</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15 rodent heart disease models, both genetic and non-genetic, and continue to develop new models in-house as needed. We can dose both gene therapies as well as small molecules. We can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(e.g., NHPs and pigs),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257" w:lineRule="exact"/>
        <w:rPr>
          <w:rFonts w:ascii="Arial" w:cs="Arial" w:eastAsia="Arial" w:hAnsi="Arial"/>
          <w:sz w:val="15"/>
          <w:szCs w:val="15"/>
          <w:color w:val="auto"/>
        </w:rPr>
      </w:pPr>
    </w:p>
    <w:p>
      <w:pPr>
        <w:ind w:left="980" w:hanging="166"/>
        <w:spacing w:after="0"/>
        <w:tabs>
          <w:tab w:leader="none" w:pos="98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Capsid Engineering</w:t>
      </w:r>
    </w:p>
    <w:p>
      <w:pPr>
        <w:spacing w:after="0" w:line="99"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Our goal is to discover, design, and develop novel heart-tropic AAV capsids with superior attributes in order to enable more precise tissue targeting and to improve the safety profile of our product candidates. To achieve this goal, we have established in-house AAV capsid engineering capabilities and have designed and screened over one billion variants from diverse, proprietary libraries to discover, design, and develop novel capsids to support our programs.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440"/>
          </w:cols>
          <w:pgMar w:left="320" w:top="418" w:right="113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The table below captures the breadth and depth of the focused strategies we have pursued to discover novel AAV capsids:</w:t>
      </w:r>
    </w:p>
    <w:p>
      <w:pPr>
        <w:spacing w:after="0" w:line="209" w:lineRule="exact"/>
        <w:rPr>
          <w:sz w:val="20"/>
          <w:szCs w:val="20"/>
          <w:color w:val="auto"/>
        </w:rPr>
      </w:pPr>
    </w:p>
    <w:tbl>
      <w:tblPr>
        <w:tblLayout w:type="fixed"/>
        <w:tblInd w:w="1670" w:type="dxa"/>
        <w:tblCellMar>
          <w:top w:w="0" w:type="dxa"/>
          <w:left w:w="0" w:type="dxa"/>
          <w:bottom w:w="0" w:type="dxa"/>
          <w:right w:w="0" w:type="dxa"/>
        </w:tblCellMar>
      </w:tblPr>
      <w:tr>
        <w:trPr>
          <w:trHeight w:val="239"/>
        </w:trPr>
        <w:tc>
          <w:tcPr>
            <w:tcW w:w="1560" w:type="dxa"/>
            <w:vAlign w:val="bottom"/>
            <w:tcBorders>
              <w:top w:val="single" w:sz="8" w:color="auto"/>
              <w:left w:val="single" w:sz="8" w:color="auto"/>
              <w:bottom w:val="single" w:sz="8" w:color="auto"/>
            </w:tcBorders>
          </w:tcPr>
          <w:p>
            <w:pPr>
              <w:spacing w:after="0"/>
              <w:rPr>
                <w:sz w:val="20"/>
                <w:szCs w:val="20"/>
                <w:color w:val="auto"/>
              </w:rPr>
            </w:pPr>
          </w:p>
        </w:tc>
        <w:tc>
          <w:tcPr>
            <w:tcW w:w="636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Focused Multi-Year AAV Screening Efforts Using Diverse Strategies</w:t>
            </w:r>
          </w:p>
        </w:tc>
      </w:tr>
      <w:tr>
        <w:trPr>
          <w:trHeight w:val="270"/>
        </w:trPr>
        <w:tc>
          <w:tcPr>
            <w:tcW w:w="1560" w:type="dxa"/>
            <w:vAlign w:val="bottom"/>
            <w:tcBorders>
              <w:left w:val="single" w:sz="8" w:color="auto"/>
              <w:right w:val="single" w:sz="8" w:color="auto"/>
            </w:tcBorders>
          </w:tcPr>
          <w:p>
            <w:pPr>
              <w:jc w:val="center"/>
              <w:ind w:left="61"/>
              <w:spacing w:after="0"/>
              <w:rPr>
                <w:sz w:val="20"/>
                <w:szCs w:val="20"/>
                <w:color w:val="auto"/>
              </w:rPr>
            </w:pPr>
            <w:r>
              <w:rPr>
                <w:rFonts w:ascii="Arial" w:cs="Arial" w:eastAsia="Arial" w:hAnsi="Arial"/>
                <w:sz w:val="16"/>
                <w:szCs w:val="16"/>
                <w:color w:val="auto"/>
                <w:w w:val="92"/>
              </w:rPr>
              <w:t>Cell specificity</w:t>
            </w:r>
          </w:p>
        </w:tc>
        <w:tc>
          <w:tcPr>
            <w:tcW w:w="2040" w:type="dxa"/>
            <w:vAlign w:val="bottom"/>
            <w:tcBorders>
              <w:right w:val="single" w:sz="8" w:color="auto"/>
            </w:tcBorders>
          </w:tcPr>
          <w:p>
            <w:pPr>
              <w:spacing w:after="0"/>
              <w:rPr>
                <w:sz w:val="23"/>
                <w:szCs w:val="23"/>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Capsid engineering efforts for both CMs and CFs</w:t>
            </w:r>
          </w:p>
        </w:tc>
      </w:tr>
      <w:tr>
        <w:trPr>
          <w:trHeight w:val="72"/>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4320" w:type="dxa"/>
            <w:vAlign w:val="bottom"/>
            <w:tcBorders>
              <w:bottom w:val="single" w:sz="8" w:color="auto"/>
              <w:right w:val="single" w:sz="8" w:color="auto"/>
            </w:tcBorders>
          </w:tcPr>
          <w:p>
            <w:pPr>
              <w:spacing w:after="0"/>
              <w:rPr>
                <w:sz w:val="6"/>
                <w:szCs w:val="6"/>
                <w:color w:val="auto"/>
              </w:rPr>
            </w:pPr>
          </w:p>
        </w:tc>
      </w:tr>
      <w:tr>
        <w:trPr>
          <w:trHeight w:val="250"/>
        </w:trPr>
        <w:tc>
          <w:tcPr>
            <w:tcW w:w="1560" w:type="dxa"/>
            <w:vAlign w:val="bottom"/>
            <w:tcBorders>
              <w:left w:val="single" w:sz="8" w:color="auto"/>
              <w:right w:val="single" w:sz="8" w:color="auto"/>
            </w:tcBorders>
          </w:tcPr>
          <w:p>
            <w:pPr>
              <w:jc w:val="center"/>
              <w:ind w:left="61"/>
              <w:spacing w:after="0"/>
              <w:rPr>
                <w:sz w:val="20"/>
                <w:szCs w:val="20"/>
                <w:color w:val="auto"/>
              </w:rPr>
            </w:pPr>
            <w:r>
              <w:rPr>
                <w:rFonts w:ascii="Arial" w:cs="Arial" w:eastAsia="Arial" w:hAnsi="Arial"/>
                <w:sz w:val="16"/>
                <w:szCs w:val="16"/>
                <w:color w:val="auto"/>
                <w:w w:val="94"/>
              </w:rPr>
              <w:t>Library diversity</w:t>
            </w:r>
          </w:p>
        </w:tc>
        <w:tc>
          <w:tcPr>
            <w:tcW w:w="2040" w:type="dxa"/>
            <w:vAlign w:val="bottom"/>
            <w:tcBorders>
              <w:right w:val="single" w:sz="8" w:color="auto"/>
            </w:tcBorders>
          </w:tcPr>
          <w:p>
            <w:pPr>
              <w:spacing w:after="0"/>
              <w:rPr>
                <w:sz w:val="21"/>
                <w:szCs w:val="21"/>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0"/>
              </w:rPr>
              <w:t>Screened more than one billion variants from 30 diverse libraries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8"/>
              </w:rPr>
              <w:t>(rational design, peptide insertion, variable region, chimeric,</w:t>
            </w:r>
          </w:p>
        </w:tc>
      </w:tr>
      <w:tr>
        <w:trPr>
          <w:trHeight w:val="200"/>
        </w:trPr>
        <w:tc>
          <w:tcPr>
            <w:tcW w:w="15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etc.)</w:t>
            </w:r>
          </w:p>
        </w:tc>
      </w:tr>
      <w:tr>
        <w:trPr>
          <w:trHeight w:val="272"/>
        </w:trPr>
        <w:tc>
          <w:tcPr>
            <w:tcW w:w="1560" w:type="dxa"/>
            <w:vAlign w:val="bottom"/>
            <w:tcBorders>
              <w:left w:val="single" w:sz="8" w:color="auto"/>
              <w:bottom w:val="single" w:sz="8" w:color="auto"/>
              <w:right w:val="single" w:sz="8" w:color="auto"/>
            </w:tcBorders>
          </w:tcPr>
          <w:p>
            <w:pPr>
              <w:spacing w:after="0"/>
              <w:rPr>
                <w:sz w:val="23"/>
                <w:szCs w:val="23"/>
                <w:color w:val="auto"/>
              </w:rPr>
            </w:pPr>
          </w:p>
        </w:tc>
        <w:tc>
          <w:tcPr>
            <w:tcW w:w="2040" w:type="dxa"/>
            <w:vAlign w:val="bottom"/>
            <w:tcBorders>
              <w:bottom w:val="single" w:sz="8" w:color="auto"/>
              <w:right w:val="single" w:sz="8" w:color="auto"/>
            </w:tcBorders>
          </w:tcPr>
          <w:p>
            <w:pPr>
              <w:spacing w:after="0"/>
              <w:rPr>
                <w:sz w:val="23"/>
                <w:szCs w:val="23"/>
                <w:color w:val="auto"/>
              </w:rPr>
            </w:pPr>
          </w:p>
        </w:tc>
        <w:tc>
          <w:tcPr>
            <w:tcW w:w="4320" w:type="dxa"/>
            <w:vAlign w:val="bottom"/>
            <w:tcBorders>
              <w:bottom w:val="single" w:sz="8" w:color="auto"/>
              <w:right w:val="single" w:sz="8" w:color="auto"/>
            </w:tcBorders>
          </w:tcPr>
          <w:p>
            <w:pPr>
              <w:spacing w:after="0"/>
              <w:rPr>
                <w:sz w:val="23"/>
                <w:szCs w:val="23"/>
                <w:color w:val="auto"/>
              </w:rPr>
            </w:pPr>
          </w:p>
        </w:tc>
      </w:tr>
      <w:tr>
        <w:trPr>
          <w:trHeight w:val="250"/>
        </w:trPr>
        <w:tc>
          <w:tcPr>
            <w:tcW w:w="1560" w:type="dxa"/>
            <w:vAlign w:val="bottom"/>
            <w:tcBorders>
              <w:left w:val="single" w:sz="8" w:color="auto"/>
              <w:right w:val="single" w:sz="8" w:color="auto"/>
            </w:tcBorders>
          </w:tcPr>
          <w:p>
            <w:pPr>
              <w:jc w:val="center"/>
              <w:ind w:left="61"/>
              <w:spacing w:after="0"/>
              <w:rPr>
                <w:sz w:val="20"/>
                <w:szCs w:val="20"/>
                <w:color w:val="auto"/>
              </w:rPr>
            </w:pPr>
            <w:r>
              <w:rPr>
                <w:rFonts w:ascii="Arial" w:cs="Arial" w:eastAsia="Arial" w:hAnsi="Arial"/>
                <w:sz w:val="16"/>
                <w:szCs w:val="16"/>
                <w:color w:val="auto"/>
                <w:w w:val="88"/>
              </w:rPr>
              <w:t>Screening models</w:t>
            </w:r>
          </w:p>
        </w:tc>
        <w:tc>
          <w:tcPr>
            <w:tcW w:w="2040" w:type="dxa"/>
            <w:vAlign w:val="bottom"/>
            <w:tcBorders>
              <w:right w:val="single" w:sz="8" w:color="auto"/>
            </w:tcBorders>
          </w:tcPr>
          <w:p>
            <w:pPr>
              <w:spacing w:after="0"/>
              <w:rPr>
                <w:sz w:val="21"/>
                <w:szCs w:val="21"/>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5"/>
              </w:rPr>
              <w:t>Screening and validation in multiple models, including human</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3"/>
              </w:rPr>
              <w:t xml:space="preserve">iPSC-CMs, rodent models, NHPs as well as </w:t>
            </w:r>
            <w:r>
              <w:rPr>
                <w:rFonts w:ascii="Arial" w:cs="Arial" w:eastAsia="Arial" w:hAnsi="Arial"/>
                <w:sz w:val="16"/>
                <w:szCs w:val="16"/>
                <w:i w:val="1"/>
                <w:iCs w:val="1"/>
                <w:color w:val="auto"/>
                <w:w w:val="93"/>
              </w:rPr>
              <w:t>in silico</w:t>
            </w:r>
            <w:r>
              <w:rPr>
                <w:rFonts w:ascii="Arial" w:cs="Arial" w:eastAsia="Arial" w:hAnsi="Arial"/>
                <w:sz w:val="16"/>
                <w:szCs w:val="16"/>
                <w:color w:val="auto"/>
                <w:w w:val="93"/>
              </w:rPr>
              <w:t xml:space="preserve"> / machine</w:t>
            </w:r>
          </w:p>
        </w:tc>
      </w:tr>
      <w:tr>
        <w:trPr>
          <w:trHeight w:val="201"/>
        </w:trPr>
        <w:tc>
          <w:tcPr>
            <w:tcW w:w="156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43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learning models</w:t>
            </w:r>
          </w:p>
        </w:tc>
      </w:tr>
      <w:tr>
        <w:trPr>
          <w:trHeight w:val="251"/>
        </w:trPr>
        <w:tc>
          <w:tcPr>
            <w:tcW w:w="1560" w:type="dxa"/>
            <w:vAlign w:val="bottom"/>
            <w:tcBorders>
              <w:left w:val="single" w:sz="8" w:color="auto"/>
              <w:right w:val="single" w:sz="8" w:color="auto"/>
            </w:tcBorders>
          </w:tcPr>
          <w:p>
            <w:pPr>
              <w:jc w:val="center"/>
              <w:ind w:left="61"/>
              <w:spacing w:after="0"/>
              <w:rPr>
                <w:sz w:val="20"/>
                <w:szCs w:val="20"/>
                <w:color w:val="auto"/>
              </w:rPr>
            </w:pPr>
            <w:r>
              <w:rPr>
                <w:rFonts w:ascii="Arial" w:cs="Arial" w:eastAsia="Arial" w:hAnsi="Arial"/>
                <w:sz w:val="16"/>
                <w:szCs w:val="16"/>
                <w:color w:val="auto"/>
                <w:w w:val="88"/>
              </w:rPr>
              <w:t>Screening criteria</w:t>
            </w:r>
          </w:p>
        </w:tc>
        <w:tc>
          <w:tcPr>
            <w:tcW w:w="2040" w:type="dxa"/>
            <w:vAlign w:val="bottom"/>
            <w:tcBorders>
              <w:right w:val="single" w:sz="8" w:color="auto"/>
            </w:tcBorders>
          </w:tcPr>
          <w:p>
            <w:pPr>
              <w:spacing w:after="0"/>
              <w:rPr>
                <w:sz w:val="21"/>
                <w:szCs w:val="21"/>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6"/>
              </w:rPr>
              <w:t>Evaluating novel capsids for multiple criteria including higher</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4"/>
              </w:rPr>
              <w:t>heart transduction, lower liver transduction, lower antigenicity,</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8"/>
              </w:rPr>
              <w:t>and comparable manufacturability (as compared to relevant</w:t>
            </w:r>
          </w:p>
        </w:tc>
      </w:tr>
      <w:tr>
        <w:trPr>
          <w:trHeight w:val="201"/>
        </w:trPr>
        <w:tc>
          <w:tcPr>
            <w:tcW w:w="156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43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known serotypes)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-1721485</wp:posOffset>
            </wp:positionV>
            <wp:extent cx="1003300" cy="14751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03300" cy="1475105"/>
                    </a:xfrm>
                    <a:prstGeom prst="rect">
                      <a:avLst/>
                    </a:prstGeom>
                    <a:noFill/>
                  </pic:spPr>
                </pic:pic>
              </a:graphicData>
            </a:graphic>
          </wp:anchor>
        </w:drawing>
      </w:r>
    </w:p>
    <w:p>
      <w:pPr>
        <w:spacing w:after="0" w:line="74" w:lineRule="exact"/>
        <w:rPr>
          <w:sz w:val="20"/>
          <w:szCs w:val="20"/>
          <w:color w:val="auto"/>
        </w:rPr>
      </w:pPr>
    </w:p>
    <w:p>
      <w:pPr>
        <w:ind w:left="1660" w:hanging="469"/>
        <w:spacing w:after="0"/>
        <w:tabs>
          <w:tab w:leader="none" w:pos="1660" w:val="left"/>
        </w:tabs>
        <w:numPr>
          <w:ilvl w:val="0"/>
          <w:numId w:val="89"/>
        </w:numPr>
        <w:rPr>
          <w:rFonts w:ascii="Arial" w:cs="Arial" w:eastAsia="Arial" w:hAnsi="Arial"/>
          <w:sz w:val="13"/>
          <w:szCs w:val="13"/>
          <w:color w:val="auto"/>
        </w:rPr>
      </w:pPr>
      <w:r>
        <w:rPr>
          <w:rFonts w:ascii="Arial" w:cs="Arial" w:eastAsia="Arial" w:hAnsi="Arial"/>
          <w:sz w:val="13"/>
          <w:szCs w:val="13"/>
          <w:i w:val="1"/>
          <w:iCs w:val="1"/>
          <w:color w:val="auto"/>
        </w:rPr>
        <w:t xml:space="preserve">Cell specificity: </w:t>
      </w:r>
      <w:r>
        <w:rPr>
          <w:rFonts w:ascii="Arial" w:cs="Arial" w:eastAsia="Arial" w:hAnsi="Arial"/>
          <w:sz w:val="13"/>
          <w:szCs w:val="13"/>
          <w:color w:val="auto"/>
        </w:rPr>
        <w:t>We are using our capsid engineering capabilities to identify novel AAV capsids with an overall higher tropism for the heart</w:t>
      </w:r>
    </w:p>
    <w:p>
      <w:pPr>
        <w:spacing w:after="0" w:line="50" w:lineRule="exact"/>
        <w:rPr>
          <w:rFonts w:ascii="Arial" w:cs="Arial" w:eastAsia="Arial" w:hAnsi="Arial"/>
          <w:sz w:val="13"/>
          <w:szCs w:val="13"/>
          <w:color w:val="auto"/>
        </w:rPr>
      </w:pPr>
    </w:p>
    <w:p>
      <w:pPr>
        <w:ind w:left="1660" w:right="100"/>
        <w:spacing w:after="0" w:line="273" w:lineRule="auto"/>
        <w:rPr>
          <w:rFonts w:ascii="Arial" w:cs="Arial" w:eastAsia="Arial" w:hAnsi="Arial"/>
          <w:sz w:val="13"/>
          <w:szCs w:val="13"/>
          <w:color w:val="auto"/>
        </w:rPr>
      </w:pPr>
      <w:r>
        <w:rPr>
          <w:rFonts w:ascii="Arial" w:cs="Arial" w:eastAsia="Arial" w:hAnsi="Arial"/>
          <w:sz w:val="15"/>
          <w:szCs w:val="15"/>
          <w:color w:val="auto"/>
        </w:rPr>
        <w:t xml:space="preserve">compared to other organs and selectively target the two most abundant cell types in the heart: CMs and CFs. We already have achieved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vivo </w:t>
      </w:r>
      <w:r>
        <w:rPr>
          <w:rFonts w:ascii="Arial" w:cs="Arial" w:eastAsia="Arial" w:hAnsi="Arial"/>
          <w:sz w:val="15"/>
          <w:szCs w:val="15"/>
          <w:color w:val="auto"/>
        </w:rPr>
        <w:t>proof of concept for novel vectors for both cell types. Having capsids that more specifically target one cell type over another could</w:t>
      </w:r>
      <w:r>
        <w:rPr>
          <w:rFonts w:ascii="Arial" w:cs="Arial" w:eastAsia="Arial" w:hAnsi="Arial"/>
          <w:sz w:val="15"/>
          <w:szCs w:val="15"/>
          <w:i w:val="1"/>
          <w:iCs w:val="1"/>
          <w:color w:val="auto"/>
        </w:rPr>
        <w:t xml:space="preserve"> </w:t>
      </w:r>
      <w:r>
        <w:rPr>
          <w:rFonts w:ascii="Arial" w:cs="Arial" w:eastAsia="Arial" w:hAnsi="Arial"/>
          <w:sz w:val="15"/>
          <w:szCs w:val="15"/>
          <w:color w:val="auto"/>
        </w:rPr>
        <w:t>help improve efficacy and safety and lower cost of goods for our future product candidates.</w:t>
      </w:r>
    </w:p>
    <w:p>
      <w:pPr>
        <w:spacing w:after="0" w:line="72" w:lineRule="exact"/>
        <w:rPr>
          <w:rFonts w:ascii="Arial" w:cs="Arial" w:eastAsia="Arial" w:hAnsi="Arial"/>
          <w:sz w:val="13"/>
          <w:szCs w:val="13"/>
          <w:color w:val="auto"/>
        </w:rPr>
      </w:pPr>
    </w:p>
    <w:p>
      <w:pPr>
        <w:ind w:left="1660" w:right="60" w:hanging="469"/>
        <w:spacing w:after="0" w:line="253" w:lineRule="auto"/>
        <w:tabs>
          <w:tab w:leader="none" w:pos="166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Library diversity: </w:t>
      </w:r>
      <w:r>
        <w:rPr>
          <w:rFonts w:ascii="Arial" w:cs="Arial" w:eastAsia="Arial" w:hAnsi="Arial"/>
          <w:sz w:val="16"/>
          <w:szCs w:val="16"/>
          <w:color w:val="auto"/>
        </w:rPr>
        <w:t>We have screened more than one billion variants from 30 diverse libraries utilizing a range of strategies,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rational modification of surface residues as well as directed evolution efforts with peptide insertion libraries, chimeric libraries, and libraries based on systematic alteration of variable regions (VR) using different parental capsids. The diversity of approaches increases the likelihood that we will find capsids with novel properties.</w:t>
      </w:r>
    </w:p>
    <w:p>
      <w:pPr>
        <w:spacing w:after="0" w:line="73"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6"/>
          <w:szCs w:val="16"/>
          <w:color w:val="auto"/>
        </w:rPr>
        <w:t>The image below illustrates our efforts to achieve diverse heart-tropic AAV capsids.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145415</wp:posOffset>
            </wp:positionV>
            <wp:extent cx="4124960" cy="14973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24960" cy="149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60" w:right="300" w:hanging="469"/>
        <w:spacing w:after="0" w:line="266" w:lineRule="auto"/>
        <w:tabs>
          <w:tab w:leader="none" w:pos="166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Screening models: </w:t>
      </w:r>
      <w:r>
        <w:rPr>
          <w:rFonts w:ascii="Arial" w:cs="Arial" w:eastAsia="Arial" w:hAnsi="Arial"/>
          <w:sz w:val="16"/>
          <w:szCs w:val="16"/>
          <w:color w:val="auto"/>
        </w:rPr>
        <w:t>We have performed our screens in a variety of</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w:t>
      </w:r>
      <w:r>
        <w:rPr>
          <w:rFonts w:ascii="Arial" w:cs="Arial" w:eastAsia="Arial" w:hAnsi="Arial"/>
          <w:sz w:val="16"/>
          <w:szCs w:val="16"/>
          <w:i w:val="1"/>
          <w:iCs w:val="1"/>
          <w:color w:val="auto"/>
        </w:rPr>
        <w:t xml:space="preserve"> in vivo</w:t>
      </w:r>
      <w:r>
        <w:rPr>
          <w:rFonts w:ascii="Arial" w:cs="Arial" w:eastAsia="Arial" w:hAnsi="Arial"/>
          <w:sz w:val="16"/>
          <w:szCs w:val="16"/>
          <w:color w:val="auto"/>
        </w:rPr>
        <w:t>, and</w:t>
      </w:r>
      <w:r>
        <w:rPr>
          <w:rFonts w:ascii="Arial" w:cs="Arial" w:eastAsia="Arial" w:hAnsi="Arial"/>
          <w:sz w:val="16"/>
          <w:szCs w:val="16"/>
          <w:i w:val="1"/>
          <w:iCs w:val="1"/>
          <w:color w:val="auto"/>
        </w:rPr>
        <w:t xml:space="preserve"> in silico </w:t>
      </w:r>
      <w:r>
        <w:rPr>
          <w:rFonts w:ascii="Arial" w:cs="Arial" w:eastAsia="Arial" w:hAnsi="Arial"/>
          <w:sz w:val="16"/>
          <w:szCs w:val="16"/>
          <w:color w:val="auto"/>
        </w:rPr>
        <w:t>libraries. Current efforts are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direct screening in NHPs, as well as use of machine learning</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0420"/>
          </w:cols>
          <w:pgMar w:left="320" w:top="418" w:right="115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40"/>
        <w:spacing w:after="0" w:line="266" w:lineRule="auto"/>
        <w:rPr>
          <w:sz w:val="20"/>
          <w:szCs w:val="20"/>
          <w:color w:val="auto"/>
        </w:rPr>
      </w:pPr>
      <w:r>
        <w:rPr>
          <w:rFonts w:ascii="Arial" w:cs="Arial" w:eastAsia="Arial" w:hAnsi="Arial"/>
          <w:sz w:val="16"/>
          <w:szCs w:val="16"/>
          <w:color w:val="auto"/>
        </w:rPr>
        <w:t xml:space="preserve">algorithms. We believe our probability of finding novel variants that will translate to superior attributes in humans is highest in NHPs. We believe our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approaches can complement these efforts to help predict novel variants.</w:t>
      </w:r>
    </w:p>
    <w:p>
      <w:pPr>
        <w:spacing w:after="0" w:line="76" w:lineRule="exact"/>
        <w:rPr>
          <w:sz w:val="20"/>
          <w:szCs w:val="20"/>
          <w:color w:val="auto"/>
        </w:rPr>
      </w:pPr>
    </w:p>
    <w:p>
      <w:pPr>
        <w:ind w:left="1660" w:hanging="469"/>
        <w:spacing w:after="0" w:line="329" w:lineRule="auto"/>
        <w:tabs>
          <w:tab w:leader="none" w:pos="1660" w:val="left"/>
        </w:tabs>
        <w:numPr>
          <w:ilvl w:val="0"/>
          <w:numId w:val="91"/>
        </w:numPr>
        <w:rPr>
          <w:rFonts w:ascii="Arial" w:cs="Arial" w:eastAsia="Arial" w:hAnsi="Arial"/>
          <w:sz w:val="13"/>
          <w:szCs w:val="13"/>
          <w:color w:val="auto"/>
        </w:rPr>
      </w:pPr>
      <w:r>
        <w:rPr>
          <w:rFonts w:ascii="Arial" w:cs="Arial" w:eastAsia="Arial" w:hAnsi="Arial"/>
          <w:sz w:val="13"/>
          <w:szCs w:val="13"/>
          <w:i w:val="1"/>
          <w:iCs w:val="1"/>
          <w:color w:val="auto"/>
        </w:rPr>
        <w:t xml:space="preserve">Screening criteria: </w:t>
      </w:r>
      <w:r>
        <w:rPr>
          <w:rFonts w:ascii="Arial" w:cs="Arial" w:eastAsia="Arial" w:hAnsi="Arial"/>
          <w:sz w:val="13"/>
          <w:szCs w:val="13"/>
          <w:color w:val="auto"/>
        </w:rPr>
        <w:t>We have broad criteria for the selection of novel capsids, including improved tropism for the heart compared to other</w:t>
      </w:r>
      <w:r>
        <w:rPr>
          <w:rFonts w:ascii="Arial" w:cs="Arial" w:eastAsia="Arial" w:hAnsi="Arial"/>
          <w:sz w:val="13"/>
          <w:szCs w:val="13"/>
          <w:i w:val="1"/>
          <w:iCs w:val="1"/>
          <w:color w:val="auto"/>
        </w:rPr>
        <w:t xml:space="preserve"> </w:t>
      </w:r>
      <w:r>
        <w:rPr>
          <w:rFonts w:ascii="Arial" w:cs="Arial" w:eastAsia="Arial" w:hAnsi="Arial"/>
          <w:sz w:val="13"/>
          <w:szCs w:val="13"/>
          <w:color w:val="auto"/>
        </w:rPr>
        <w:t>organs, with a particular interest in de-targeting the liver; improved transduction of specific heart cell types; lower susceptibility to neutralizing antibodies; and comparable manufacturing in both HEK293- and Sf9/rBV-based manufacturing systems. We seek capsids that can outperform the relevant parental capsids, which may vary depending on the intended use and on some or all of these criteria.</w:t>
      </w:r>
    </w:p>
    <w:p>
      <w:pPr>
        <w:spacing w:after="0" w:line="29" w:lineRule="exact"/>
        <w:rPr>
          <w:rFonts w:ascii="Arial" w:cs="Arial" w:eastAsia="Arial" w:hAnsi="Arial"/>
          <w:sz w:val="13"/>
          <w:szCs w:val="13"/>
          <w:color w:val="auto"/>
        </w:rPr>
      </w:pPr>
    </w:p>
    <w:p>
      <w:pPr>
        <w:ind w:left="1680" w:right="40"/>
        <w:spacing w:after="0" w:line="275" w:lineRule="auto"/>
        <w:rPr>
          <w:rFonts w:ascii="Arial" w:cs="Arial" w:eastAsia="Arial" w:hAnsi="Arial"/>
          <w:sz w:val="13"/>
          <w:szCs w:val="13"/>
          <w:color w:val="auto"/>
        </w:rPr>
      </w:pPr>
      <w:r>
        <w:rPr>
          <w:rFonts w:ascii="Arial" w:cs="Arial" w:eastAsia="Arial" w:hAnsi="Arial"/>
          <w:sz w:val="15"/>
          <w:szCs w:val="15"/>
          <w:color w:val="auto"/>
        </w:rPr>
        <w:t>Through these efforts, we have discovered proprietary capsids with superior performance over parental variants in multiple species, including NHPs. These capsids have improved tropism for the heart compared to other organs and even for specific cells within the heart; improved transduction and expression within the heart cells; and lower susceptibility to neutralizing antibodies. We have also developed insights about the performance of novel capsids across different species including mice and NHPs.</w:t>
      </w:r>
    </w:p>
    <w:p>
      <w:pPr>
        <w:spacing w:after="0" w:line="58" w:lineRule="exact"/>
        <w:rPr>
          <w:rFonts w:ascii="Arial" w:cs="Arial" w:eastAsia="Arial" w:hAnsi="Arial"/>
          <w:sz w:val="13"/>
          <w:szCs w:val="13"/>
          <w:color w:val="auto"/>
        </w:rPr>
      </w:pPr>
    </w:p>
    <w:p>
      <w:pPr>
        <w:ind w:left="1680" w:right="60"/>
        <w:spacing w:after="0" w:line="275" w:lineRule="auto"/>
        <w:rPr>
          <w:rFonts w:ascii="Arial" w:cs="Arial" w:eastAsia="Arial" w:hAnsi="Arial"/>
          <w:sz w:val="13"/>
          <w:szCs w:val="13"/>
          <w:color w:val="auto"/>
        </w:rPr>
      </w:pPr>
      <w:r>
        <w:rPr>
          <w:rFonts w:ascii="Arial" w:cs="Arial" w:eastAsia="Arial" w:hAnsi="Arial"/>
          <w:sz w:val="15"/>
          <w:szCs w:val="15"/>
          <w:color w:val="auto"/>
        </w:rPr>
        <w:t>The data below are from the results of a head-to-head comparison in NHPs of novel capsids that were first identified via screening efforts in iPSC-CMs and a mouse model. Several capsids identified have superior transduction in the heart and lower transduction of the liver compared to AAV9, leading to an overall better heart-to-liver transduction ratio as validated in an NHP model. As shown below, our TNC-CM3 capsid has a five-fold better heart-to-liver transduction ratio compared to AAV9.</w:t>
      </w:r>
    </w:p>
    <w:p>
      <w:pPr>
        <w:spacing w:after="0" w:line="243"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Results of Head-to-Head Comparison of Novel AAV Capsids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147955</wp:posOffset>
            </wp:positionV>
            <wp:extent cx="3121660" cy="17291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2166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80" w:right="40"/>
        <w:spacing w:after="0" w:line="266" w:lineRule="auto"/>
        <w:rPr>
          <w:sz w:val="20"/>
          <w:szCs w:val="20"/>
          <w:color w:val="auto"/>
        </w:rPr>
      </w:pPr>
      <w:r>
        <w:rPr>
          <w:rFonts w:ascii="Arial" w:cs="Arial" w:eastAsia="Arial" w:hAnsi="Arial"/>
          <w:sz w:val="16"/>
          <w:szCs w:val="16"/>
          <w:color w:val="auto"/>
        </w:rPr>
        <w:t>Additionally, we have shown that several capsids we identified through this effort, such as TNC-CM5, have overall better ability to evade human neutralizing antibodies compared to AAV9.</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380"/>
          </w:cols>
          <w:pgMar w:left="320" w:top="418" w:right="119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1680" w:right="80"/>
        <w:spacing w:after="0" w:line="275" w:lineRule="auto"/>
        <w:rPr>
          <w:sz w:val="20"/>
          <w:szCs w:val="20"/>
          <w:color w:val="auto"/>
        </w:rPr>
      </w:pPr>
      <w:r>
        <w:rPr>
          <w:rFonts w:ascii="Arial" w:cs="Arial" w:eastAsia="Arial" w:hAnsi="Arial"/>
          <w:sz w:val="15"/>
          <w:szCs w:val="15"/>
          <w:color w:val="auto"/>
        </w:rPr>
        <w:t>The data below show preliminary results from efforts to identify novel AAV capsids by direct screening in NHPs. These results show it is possible to identify variants that have higher specificity for CMs of the (RV) compared to CMs of the LV. These capsids that are identified to have higher tropism for the RV may enable better targeting of heart tissue for conditions predominantly affecting a specific chamber of the heart such as arrhythmogenic right ventricular cardiomyopathy (ARVC):</w:t>
      </w:r>
    </w:p>
    <w:p>
      <w:pPr>
        <w:spacing w:after="0" w:line="243"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Early Results of Direct Screening of Novel AAV Capsids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147955</wp:posOffset>
            </wp:positionV>
            <wp:extent cx="2672715" cy="1856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72715" cy="185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3. Promoters and Regulatory Elements</w:t>
      </w:r>
    </w:p>
    <w:p>
      <w:pPr>
        <w:spacing w:after="0" w:line="99"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Enabled by our in-house molecular biology capabilities, we have created novel heart-specific promoters and regulatory elements to support our AAV-based programs and regulatory elements control gene expression within the cells. We are designing promoters and regulatory elements to help ensure a more precise and conditional expression of therapeutic payloads in different cell types in the heart. We believe our innovations in promoters and regulatory elements may further support the successful clinical development of our product candidates.</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Illustrative examples of our innovations in this area include:</w:t>
      </w:r>
    </w:p>
    <w:p>
      <w:pPr>
        <w:spacing w:after="0" w:line="111" w:lineRule="exact"/>
        <w:rPr>
          <w:sz w:val="20"/>
          <w:szCs w:val="20"/>
          <w:color w:val="auto"/>
        </w:rPr>
      </w:pPr>
    </w:p>
    <w:p>
      <w:pPr>
        <w:ind w:left="1660" w:right="40" w:hanging="469"/>
        <w:spacing w:after="0" w:line="272" w:lineRule="auto"/>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i w:val="1"/>
          <w:iCs w:val="1"/>
          <w:color w:val="auto"/>
        </w:rPr>
        <w:t xml:space="preserve">Heart specificity: </w:t>
      </w:r>
      <w:r>
        <w:rPr>
          <w:rFonts w:ascii="Arial" w:cs="Arial" w:eastAsia="Arial" w:hAnsi="Arial"/>
          <w:sz w:val="15"/>
          <w:szCs w:val="15"/>
          <w:color w:val="auto"/>
        </w:rPr>
        <w:t>We have developed cardiac-specific promoters that enable more selective and robust expression in the heart as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 other organs. During optimization of our MYBPC3 gene therapies, we discovered a CM-specific promoter, TNP-CM1, with improved performance attributes as compared to the standard cTnT promoter.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analyses confirmed that TNP-CM1 significantly increased expression of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compared to what can be achieved with the standard cTNT promoter. In addition, we observed 1000-fold selectivity of expression in cardiac tissue relative to other tissues.</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440"/>
          </w:cols>
          <w:pgMar w:left="320" w:top="418" w:right="113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360"/>
        <w:spacing w:after="0" w:line="266" w:lineRule="auto"/>
        <w:rPr>
          <w:sz w:val="20"/>
          <w:szCs w:val="20"/>
          <w:color w:val="auto"/>
        </w:rPr>
      </w:pPr>
      <w:r>
        <w:rPr>
          <w:rFonts w:ascii="Arial" w:cs="Arial" w:eastAsia="Arial" w:hAnsi="Arial"/>
          <w:sz w:val="16"/>
          <w:szCs w:val="16"/>
          <w:color w:val="auto"/>
        </w:rPr>
        <w:t>In the figure below, we show data that demonstrate how our TNP-CM1 promoter outperformed a standard cTnT promoter in terms of robust gene expression in the heart of mice without loss of heart specificity:</w:t>
      </w:r>
    </w:p>
    <w:p>
      <w:pPr>
        <w:spacing w:after="0" w:line="248" w:lineRule="exact"/>
        <w:rPr>
          <w:sz w:val="20"/>
          <w:szCs w:val="20"/>
          <w:color w:val="auto"/>
        </w:rPr>
      </w:pPr>
    </w:p>
    <w:p>
      <w:pPr>
        <w:ind w:left="2140"/>
        <w:spacing w:after="0"/>
        <w:rPr>
          <w:sz w:val="20"/>
          <w:szCs w:val="20"/>
          <w:color w:val="auto"/>
        </w:rPr>
      </w:pPr>
      <w:r>
        <w:rPr>
          <w:rFonts w:ascii="Arial" w:cs="Arial" w:eastAsia="Arial" w:hAnsi="Arial"/>
          <w:sz w:val="16"/>
          <w:szCs w:val="16"/>
          <w:b w:val="1"/>
          <w:bCs w:val="1"/>
          <w:i w:val="1"/>
          <w:iCs w:val="1"/>
          <w:color w:val="auto"/>
        </w:rPr>
        <w:t xml:space="preserve">MYBPC3 </w:t>
      </w:r>
      <w:r>
        <w:rPr>
          <w:rFonts w:ascii="Arial" w:cs="Arial" w:eastAsia="Arial" w:hAnsi="Arial"/>
          <w:sz w:val="16"/>
          <w:szCs w:val="16"/>
          <w:b w:val="1"/>
          <w:bCs w:val="1"/>
          <w:color w:val="auto"/>
        </w:rPr>
        <w:t>mRNA Expression in Wild-Type Mice with TNP-CM1 Compared to Standard cTnT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147955</wp:posOffset>
            </wp:positionV>
            <wp:extent cx="2672715" cy="1789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72715" cy="178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60" w:hanging="469"/>
        <w:spacing w:after="0" w:line="250" w:lineRule="auto"/>
        <w:tabs>
          <w:tab w:leader="none" w:pos="166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Cell specificity: </w:t>
      </w:r>
      <w:r>
        <w:rPr>
          <w:rFonts w:ascii="Arial" w:cs="Arial" w:eastAsia="Arial" w:hAnsi="Arial"/>
          <w:sz w:val="16"/>
          <w:szCs w:val="16"/>
          <w:color w:val="auto"/>
        </w:rPr>
        <w:t>We have also developed a proprietary combination of regulatory elements that enable more optimal and selective</w:t>
      </w:r>
      <w:r>
        <w:rPr>
          <w:rFonts w:ascii="Arial" w:cs="Arial" w:eastAsia="Arial" w:hAnsi="Arial"/>
          <w:sz w:val="16"/>
          <w:szCs w:val="16"/>
          <w:i w:val="1"/>
          <w:iCs w:val="1"/>
          <w:color w:val="auto"/>
        </w:rPr>
        <w:t xml:space="preserve"> </w:t>
      </w:r>
      <w:r>
        <w:rPr>
          <w:rFonts w:ascii="Arial" w:cs="Arial" w:eastAsia="Arial" w:hAnsi="Arial"/>
          <w:sz w:val="16"/>
          <w:szCs w:val="16"/>
          <w:color w:val="auto"/>
        </w:rPr>
        <w:t>expression in one cell type in the heart compared to others. For our Reprogramming program for cellular regeneration, we discovered ways to optimize the robust co-expression of two protein-coding genes and one miRNA gene delivered within a single AAV in CFs, which we believe supports higher efficacy in preclinical models. We also discovered how to use specific micro-RNA binding sites to silence the translation of those same genes in both existing CMs as well as newly created CMs, which may provide a safety benefit and reduce the chance for off-target effects.</w:t>
      </w:r>
    </w:p>
    <w:p>
      <w:pPr>
        <w:spacing w:after="0" w:line="76" w:lineRule="exact"/>
        <w:rPr>
          <w:rFonts w:ascii="Arial" w:cs="Arial" w:eastAsia="Arial" w:hAnsi="Arial"/>
          <w:sz w:val="16"/>
          <w:szCs w:val="16"/>
          <w:color w:val="auto"/>
        </w:rPr>
      </w:pPr>
    </w:p>
    <w:p>
      <w:pPr>
        <w:ind w:left="1680" w:right="40"/>
        <w:spacing w:after="0" w:line="251" w:lineRule="auto"/>
        <w:rPr>
          <w:rFonts w:ascii="Arial" w:cs="Arial" w:eastAsia="Arial" w:hAnsi="Arial"/>
          <w:sz w:val="16"/>
          <w:szCs w:val="16"/>
          <w:color w:val="auto"/>
        </w:rPr>
      </w:pPr>
      <w:r>
        <w:rPr>
          <w:rFonts w:ascii="Arial" w:cs="Arial" w:eastAsia="Arial" w:hAnsi="Arial"/>
          <w:sz w:val="16"/>
          <w:szCs w:val="16"/>
          <w:color w:val="auto"/>
        </w:rPr>
        <w:t>In the figure below, we illustrate how the use of a novel regulatory element, TNR-CF1, helped prevent the expression of a fluorescent protein (GFP) in the CMs of a mouse model and only allowed expression in the CFs. We have used this regulatory element in our Reprogramming program to focus the expression of our proprietary factors in resident CFs for the creation of new CMs, but to prevent the expression of those factors both in resident CMs and in newly created CMs, which we believe will improve the safety profile of our future product candidates: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0420"/>
          </w:cols>
          <w:pgMar w:left="320" w:top="418" w:right="115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Illustration of Precise Expression of Genes in CFs and CMs Using TNR-CF1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60" w:hanging="469"/>
        <w:spacing w:after="0" w:line="253" w:lineRule="auto"/>
        <w:tabs>
          <w:tab w:leader="none" w:pos="166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Tunable gene expression: </w:t>
      </w:r>
      <w:r>
        <w:rPr>
          <w:rFonts w:ascii="Arial" w:cs="Arial" w:eastAsia="Arial" w:hAnsi="Arial"/>
          <w:sz w:val="16"/>
          <w:szCs w:val="16"/>
          <w:color w:val="auto"/>
        </w:rPr>
        <w:t>We have also demonstrated the ability to develop an entire spectrum of novel promoters to titer the expression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genes within CMs. Through data (not shown) generated in our DWORF program, more than ten promoters were designed and tested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in hiPSC-CMs, 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in murine models to optimize the expression of the</w:t>
      </w:r>
      <w:r>
        <w:rPr>
          <w:rFonts w:ascii="Arial" w:cs="Arial" w:eastAsia="Arial" w:hAnsi="Arial"/>
          <w:sz w:val="16"/>
          <w:szCs w:val="16"/>
          <w:i w:val="1"/>
          <w:iCs w:val="1"/>
          <w:color w:val="auto"/>
        </w:rPr>
        <w:t xml:space="preserve"> DWORF </w:t>
      </w:r>
      <w:r>
        <w:rPr>
          <w:rFonts w:ascii="Arial" w:cs="Arial" w:eastAsia="Arial" w:hAnsi="Arial"/>
          <w:sz w:val="16"/>
          <w:szCs w:val="16"/>
          <w:color w:val="auto"/>
        </w:rPr>
        <w:t>gene to be higher than what can be achieved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 standard cTnT promoter.</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400"/>
          </w:cols>
          <w:pgMar w:left="320" w:top="418" w:right="117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56" w:lineRule="auto"/>
        <w:rPr>
          <w:sz w:val="20"/>
          <w:szCs w:val="20"/>
          <w:color w:val="auto"/>
        </w:rPr>
      </w:pPr>
      <w:r>
        <w:rPr>
          <w:rFonts w:ascii="Arial" w:cs="Arial" w:eastAsia="Arial" w:hAnsi="Arial"/>
          <w:sz w:val="16"/>
          <w:szCs w:val="16"/>
          <w:color w:val="auto"/>
        </w:rPr>
        <w:t xml:space="preserve">In the figure below, we show data for six of our promoters and cassette engineering efforts that illustrate how we have been able to create a suite of cardiac-specific constructs that are able to mediate significantly higher 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than can be achieved with a standard cTnT promoter:</w:t>
      </w:r>
    </w:p>
    <w:p>
      <w:pPr>
        <w:spacing w:after="0" w:line="256" w:lineRule="exact"/>
        <w:rPr>
          <w:sz w:val="20"/>
          <w:szCs w:val="20"/>
          <w:color w:val="auto"/>
        </w:rPr>
      </w:pPr>
    </w:p>
    <w:p>
      <w:pPr>
        <w:jc w:val="center"/>
        <w:ind w:left="1140" w:right="360"/>
        <w:spacing w:after="0" w:line="272" w:lineRule="auto"/>
        <w:rPr>
          <w:sz w:val="20"/>
          <w:szCs w:val="20"/>
          <w:color w:val="auto"/>
        </w:rPr>
      </w:pPr>
      <w:r>
        <w:rPr>
          <w:rFonts w:ascii="Arial" w:cs="Arial" w:eastAsia="Arial" w:hAnsi="Arial"/>
          <w:sz w:val="16"/>
          <w:szCs w:val="16"/>
          <w:b w:val="1"/>
          <w:bCs w:val="1"/>
          <w:i w:val="1"/>
          <w:iCs w:val="1"/>
          <w:color w:val="auto"/>
        </w:rPr>
        <w:t xml:space="preserve">DWORF </w:t>
      </w:r>
      <w:r>
        <w:rPr>
          <w:rFonts w:ascii="Arial" w:cs="Arial" w:eastAsia="Arial" w:hAnsi="Arial"/>
          <w:sz w:val="16"/>
          <w:szCs w:val="16"/>
          <w:b w:val="1"/>
          <w:bCs w:val="1"/>
          <w:color w:val="auto"/>
        </w:rPr>
        <w:t>Expression with Novel Cardiomyocyte-Specific Promoters and Constructs Compared with Standard cTnT Promoter and to</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Transgenic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120015</wp:posOffset>
            </wp:positionV>
            <wp:extent cx="2620010" cy="26650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20010"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4. Drug Delivery</w:t>
      </w:r>
    </w:p>
    <w:p>
      <w:pPr>
        <w:spacing w:after="0" w:line="99"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Delivery of drugs to the heart is widely considered to be an important challenge to successful translation of cardiac gene therapy and regenerative medicines into approved products. The diversity of programs in our current pipeline necessitates the use of different delivery methods. We are actively exploring different ROAs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170"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color w:val="auto"/>
        </w:rPr>
        <w:t>Several distinct methods of drug delivery for the heart have been explored by different groups for gene- or cell-based therapies, including infusion-based approaches, such as peripheral IV infusion, intracoronary infusion, and retrograde coronary sinus infusion, and injection-based, such as transendocardial injection and epicardial injection. These delivery methods vary significantly in terms of degree of invasiveness, distribution of therapy around the heart, degree of therapy uptake into the heart, technical difficulty of administration, and clinical relevance and experience. For some approaches, additional methods to improve therapeutic delivery have also been tested to improve perfusion of AAV into the heart. Through these efforts, several groups have demonstrated how different delivery methods can meaningfully affect the relative uptake and biodistribution of therapies in the heart compared to peripheral organs.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420"/>
          </w:cols>
          <w:pgMar w:left="320" w:top="418" w:right="115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Illustrative examples of various delivery methods for the heart are shown below:</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146050</wp:posOffset>
            </wp:positionV>
            <wp:extent cx="4529455" cy="1055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29455" cy="105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20" w:right="120" w:firstLine="385"/>
        <w:spacing w:after="0" w:line="275" w:lineRule="auto"/>
        <w:rPr>
          <w:sz w:val="20"/>
          <w:szCs w:val="20"/>
          <w:color w:val="auto"/>
        </w:rPr>
      </w:pPr>
      <w:r>
        <w:rPr>
          <w:rFonts w:ascii="Arial" w:cs="Arial" w:eastAsia="Arial" w:hAnsi="Arial"/>
          <w:sz w:val="15"/>
          <w:szCs w:val="15"/>
          <w:color w:val="auto"/>
        </w:rPr>
        <w:t>For the initial product candidates emerging from our Gene Therapy platform, including those from our MYBPC3 program, we generally need broad distribution across the heart tissue that is more suited to infusion-based approaches. By contrast, for the initial product candidates emerging from our Cellular Regeneration platform, including those from our Reprogramming program, we need more precise delivery into the heart tissue directly around a scar area of the LV in a way that is more suited to injection-based approaches.</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Illustrative examples of our innovations and capabilities in drug delivery include:</w:t>
      </w:r>
    </w:p>
    <w:p>
      <w:pPr>
        <w:spacing w:after="0" w:line="111" w:lineRule="exact"/>
        <w:rPr>
          <w:sz w:val="20"/>
          <w:szCs w:val="20"/>
          <w:color w:val="auto"/>
        </w:rPr>
      </w:pPr>
    </w:p>
    <w:p>
      <w:pPr>
        <w:ind w:left="1660" w:right="40" w:hanging="469"/>
        <w:spacing w:after="0" w:line="268"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Catheters</w:t>
      </w:r>
      <w:r>
        <w:rPr>
          <w:rFonts w:ascii="Arial" w:cs="Arial" w:eastAsia="Arial" w:hAnsi="Arial"/>
          <w:sz w:val="15"/>
          <w:szCs w:val="15"/>
          <w:color w:val="auto"/>
        </w:rPr>
        <w:t>: To support our Reprogramming program for cardiac regeneration, we are developing a novel transendocardial injection catheter</w:t>
      </w:r>
      <w:r>
        <w:rPr>
          <w:rFonts w:ascii="Arial" w:cs="Arial" w:eastAsia="Arial" w:hAnsi="Arial"/>
          <w:sz w:val="15"/>
          <w:szCs w:val="15"/>
          <w:i w:val="1"/>
          <w:iCs w:val="1"/>
          <w:color w:val="auto"/>
        </w:rPr>
        <w:t xml:space="preserve"> </w:t>
      </w:r>
      <w:r>
        <w:rPr>
          <w:rFonts w:ascii="Arial" w:cs="Arial" w:eastAsia="Arial" w:hAnsi="Arial"/>
          <w:sz w:val="15"/>
          <w:szCs w:val="15"/>
          <w:color w:val="auto"/>
        </w:rPr>
        <w:t>for more precise delivery of therapeutic payloads around the scar area that is formed after heart attack, but in a way that is minimally invasive and would not require heart surgery. The prototype of our catheter was designed with the help of interventional cardiologists and is based on similar catheters that have been successfully used in clinical trials. The catheter is designed to be steered into the heart via the femoral artery in the groin area. It has a deflectable tip that can be curved to better access the different parts of the heart. This initial prototype was tested in a large animal model and was able to direct injections to all areas of the LV. We are adding mapping capabilities to the design to allow for more precise delivery during the treatment procedure.</w:t>
      </w:r>
    </w:p>
    <w:p>
      <w:pPr>
        <w:spacing w:after="0" w:line="66" w:lineRule="exact"/>
        <w:rPr>
          <w:rFonts w:ascii="Arial" w:cs="Arial" w:eastAsia="Arial" w:hAnsi="Arial"/>
          <w:sz w:val="15"/>
          <w:szCs w:val="15"/>
          <w:color w:val="auto"/>
        </w:rPr>
      </w:pPr>
    </w:p>
    <w:p>
      <w:pPr>
        <w:ind w:left="1680" w:right="140"/>
        <w:spacing w:after="0" w:line="383" w:lineRule="auto"/>
        <w:rPr>
          <w:rFonts w:ascii="Arial" w:cs="Arial" w:eastAsia="Arial" w:hAnsi="Arial"/>
          <w:sz w:val="15"/>
          <w:szCs w:val="15"/>
          <w:color w:val="auto"/>
        </w:rPr>
      </w:pPr>
      <w:r>
        <w:rPr>
          <w:rFonts w:ascii="Arial" w:cs="Arial" w:eastAsia="Arial" w:hAnsi="Arial"/>
          <w:sz w:val="13"/>
          <w:szCs w:val="13"/>
          <w:color w:val="auto"/>
        </w:rPr>
        <w:t>The figures below include a picture of an initial prototype of our novel injection-based catheter for our Reprogramming program for cardiac regeneration, plus an illustration of how a deflectable tip plus embedded mapping electrodes can allow for more precise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79375</wp:posOffset>
            </wp:positionV>
            <wp:extent cx="1759585" cy="16846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59585"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60" w:hanging="469"/>
        <w:spacing w:after="0" w:line="253" w:lineRule="auto"/>
        <w:tabs>
          <w:tab w:leader="none" w:pos="1660" w:val="left"/>
        </w:tabs>
        <w:numPr>
          <w:ilvl w:val="1"/>
          <w:numId w:val="96"/>
        </w:numPr>
        <w:rPr>
          <w:rFonts w:ascii="Arial" w:cs="Arial" w:eastAsia="Arial" w:hAnsi="Arial"/>
          <w:sz w:val="16"/>
          <w:szCs w:val="16"/>
          <w:color w:val="auto"/>
        </w:rPr>
      </w:pPr>
      <w:r>
        <w:rPr>
          <w:rFonts w:ascii="Arial" w:cs="Arial" w:eastAsia="Arial" w:hAnsi="Arial"/>
          <w:sz w:val="16"/>
          <w:szCs w:val="16"/>
          <w:i w:val="1"/>
          <w:iCs w:val="1"/>
          <w:color w:val="auto"/>
        </w:rPr>
        <w:t>ROAs</w:t>
      </w:r>
      <w:r>
        <w:rPr>
          <w:rFonts w:ascii="Arial" w:cs="Arial" w:eastAsia="Arial" w:hAnsi="Arial"/>
          <w:sz w:val="16"/>
          <w:szCs w:val="16"/>
          <w:color w:val="auto"/>
        </w:rPr>
        <w:t>: We prioritize head-to-head comparison of different ROAs in large animal models to confirm the optimal method for delivery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product candidate. For our Reprogramming program, we have conducted experiments in pig models to demonstrate that a less invasive catheter-based transendocardial injection to the LV inside wall can achieve a similar degree of drug uptake and biodistribution as a more invasive direct epicardial injection to the LV outside wall requiring open-</w:t>
      </w:r>
    </w:p>
    <w:p>
      <w:pPr>
        <w:spacing w:after="0" w:line="139" w:lineRule="exact"/>
        <w:rPr>
          <w:rFonts w:ascii="Arial" w:cs="Arial" w:eastAsia="Arial" w:hAnsi="Arial"/>
          <w:sz w:val="16"/>
          <w:szCs w:val="16"/>
          <w:color w:val="auto"/>
        </w:rPr>
      </w:pPr>
    </w:p>
    <w:p>
      <w:pPr>
        <w:ind w:left="1020" w:hanging="206"/>
        <w:spacing w:after="0"/>
        <w:tabs>
          <w:tab w:leader="none" w:pos="1020" w:val="left"/>
        </w:tabs>
        <w:numPr>
          <w:ilvl w:val="0"/>
          <w:numId w:val="96"/>
        </w:numPr>
        <w:rPr>
          <w:rFonts w:ascii="Arial" w:cs="Arial" w:eastAsia="Arial" w:hAnsi="Arial"/>
          <w:sz w:val="13"/>
          <w:szCs w:val="13"/>
          <w:color w:val="auto"/>
        </w:rPr>
      </w:pPr>
      <w:r>
        <w:rPr>
          <w:rFonts w:ascii="Arial" w:cs="Arial" w:eastAsia="Arial" w:hAnsi="Arial"/>
          <w:sz w:val="16"/>
          <w:szCs w:val="16"/>
          <w:color w:val="auto"/>
        </w:rPr>
        <w:t xml:space="preserve">Source: Duan </w:t>
      </w:r>
      <w:r>
        <w:rPr>
          <w:rFonts w:ascii="Arial" w:cs="Arial" w:eastAsia="Arial" w:hAnsi="Arial"/>
          <w:sz w:val="16"/>
          <w:szCs w:val="16"/>
          <w:b w:val="1"/>
          <w:bCs w:val="1"/>
          <w:color w:val="auto"/>
        </w:rPr>
        <w:t>J Transl Int. Med</w:t>
      </w:r>
      <w:r>
        <w:rPr>
          <w:rFonts w:ascii="Arial" w:cs="Arial" w:eastAsia="Arial" w:hAnsi="Arial"/>
          <w:sz w:val="16"/>
          <w:szCs w:val="16"/>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-135890</wp:posOffset>
            </wp:positionV>
            <wp:extent cx="66611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440"/>
          </w:cols>
          <w:pgMar w:left="320" w:top="418" w:right="1139"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820"/>
        <w:spacing w:after="0" w:line="266" w:lineRule="auto"/>
        <w:rPr>
          <w:sz w:val="20"/>
          <w:szCs w:val="20"/>
          <w:color w:val="auto"/>
        </w:rPr>
      </w:pPr>
      <w:r>
        <w:rPr>
          <w:rFonts w:ascii="Arial" w:cs="Arial" w:eastAsia="Arial" w:hAnsi="Arial"/>
          <w:sz w:val="16"/>
          <w:szCs w:val="16"/>
          <w:color w:val="auto"/>
        </w:rPr>
        <w:t>heart surgery. For our MYBPC3 program, we have conducted experiments in NHPs to compare the degree of drug uptake and biodistribution for peripheral IV infusion and infusions delivered directly into the heart.</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5. Manufacturing</w:t>
      </w:r>
    </w:p>
    <w:p>
      <w:pPr>
        <w:spacing w:after="0" w:line="99"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We are internalizing AAV manufacturing capabilities to support our Gene Therapy and Cellular Regeneration platforms. Our overall strategy is to have total ownership of our PD, AD, and QC so that we have deep insight into the attributes of our drug substance (DS) and drug product (DP). Internalized manufacturing will enable continuous process improvement and innovation that can support manufacturing requirements for clinical development and commercialization not only for rare populations but also for more prevalent indications, and allow us to be a partner of choice in strategic drug development partnerships and with early-stage academic programs.</w:t>
      </w:r>
    </w:p>
    <w:p>
      <w:pPr>
        <w:spacing w:after="0" w:line="154" w:lineRule="exact"/>
        <w:rPr>
          <w:sz w:val="20"/>
          <w:szCs w:val="20"/>
          <w:color w:val="auto"/>
        </w:rPr>
      </w:pPr>
    </w:p>
    <w:p>
      <w:pPr>
        <w:ind w:left="820" w:right="280" w:firstLine="385"/>
        <w:spacing w:after="0" w:line="256" w:lineRule="auto"/>
        <w:rPr>
          <w:sz w:val="20"/>
          <w:szCs w:val="20"/>
          <w:color w:val="auto"/>
        </w:rPr>
      </w:pPr>
      <w:r>
        <w:rPr>
          <w:rFonts w:ascii="Arial" w:cs="Arial" w:eastAsia="Arial" w:hAnsi="Arial"/>
          <w:sz w:val="16"/>
          <w:szCs w:val="16"/>
          <w:color w:val="auto"/>
        </w:rPr>
        <w:t>Overall, the internalization of these efforts provides us with know-how that yields several advantages that allow us to be in a better position to swiftly transfer technology know-how to CDMOs in order to support our future capacity expansion needs or to achieve dual sourcing for product candidates for risk mitigation purposes.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 the figure below, we show the breadth and depth of our current and emerging AAV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146050</wp:posOffset>
            </wp:positionV>
            <wp:extent cx="4462145" cy="1939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46214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60" w:hanging="469"/>
        <w:spacing w:after="0" w:line="275"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 xml:space="preserve">Vector core: </w:t>
      </w:r>
      <w:r>
        <w:rPr>
          <w:rFonts w:ascii="Arial" w:cs="Arial" w:eastAsia="Arial" w:hAnsi="Arial"/>
          <w:sz w:val="15"/>
          <w:szCs w:val="15"/>
          <w:color w:val="auto"/>
        </w:rPr>
        <w:t>We have established vector production to support early research involving both parental and novel AAV capsids at the 50L</w:t>
      </w:r>
      <w:r>
        <w:rPr>
          <w:rFonts w:ascii="Arial" w:cs="Arial" w:eastAsia="Arial" w:hAnsi="Arial"/>
          <w:sz w:val="15"/>
          <w:szCs w:val="15"/>
          <w:i w:val="1"/>
          <w:iCs w:val="1"/>
          <w:color w:val="auto"/>
        </w:rPr>
        <w:t xml:space="preserve"> </w:t>
      </w:r>
      <w:r>
        <w:rPr>
          <w:rFonts w:ascii="Arial" w:cs="Arial" w:eastAsia="Arial" w:hAnsi="Arial"/>
          <w:sz w:val="15"/>
          <w:szCs w:val="15"/>
          <w:color w:val="auto"/>
        </w:rPr>
        <w:t>scale. We have hired key PD, AD and QC personnel to internalize those capabilities. We have also established the necessary PD expertise to support comparable product efficacy in both HEK293-based and Sf9/rBV-based manufacturing systems for both existing AAV serotypes as well as for novel capsids discovered from our capsid engineering efforts.</w:t>
      </w:r>
    </w:p>
    <w:p>
      <w:pPr>
        <w:spacing w:after="0" w:line="70" w:lineRule="exact"/>
        <w:rPr>
          <w:rFonts w:ascii="Arial" w:cs="Arial" w:eastAsia="Arial" w:hAnsi="Arial"/>
          <w:sz w:val="15"/>
          <w:szCs w:val="15"/>
          <w:color w:val="auto"/>
        </w:rPr>
      </w:pPr>
    </w:p>
    <w:p>
      <w:pPr>
        <w:ind w:left="1660" w:right="60" w:hanging="469"/>
        <w:spacing w:after="0" w:line="281"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 xml:space="preserve">Pilot plant operation: </w:t>
      </w:r>
      <w:r>
        <w:rPr>
          <w:rFonts w:ascii="Arial" w:cs="Arial" w:eastAsia="Arial" w:hAnsi="Arial"/>
          <w:sz w:val="15"/>
          <w:szCs w:val="15"/>
          <w:color w:val="auto"/>
        </w:rPr>
        <w:t>We have established an in-house Pilot Plant Operation at the 200L scale to support all non-clinical studies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those involving large animal models, such as pigs and NHPs, under Good Laboratory Practice regulations. Our initial production at this scale has been at yields and with full/empty capsid ratios that compare favorably to industry standards.</w:t>
      </w:r>
    </w:p>
    <w:p>
      <w:pPr>
        <w:spacing w:after="0" w:line="66" w:lineRule="exact"/>
        <w:rPr>
          <w:rFonts w:ascii="Arial" w:cs="Arial" w:eastAsia="Arial" w:hAnsi="Arial"/>
          <w:sz w:val="15"/>
          <w:szCs w:val="15"/>
          <w:color w:val="auto"/>
        </w:rPr>
      </w:pPr>
    </w:p>
    <w:p>
      <w:pPr>
        <w:ind w:left="1660" w:hanging="469"/>
        <w:spacing w:after="0" w:line="253" w:lineRule="auto"/>
        <w:tabs>
          <w:tab w:leader="none" w:pos="166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cGMP facility: </w:t>
      </w:r>
      <w:r>
        <w:rPr>
          <w:rFonts w:ascii="Arial" w:cs="Arial" w:eastAsia="Arial" w:hAnsi="Arial"/>
          <w:sz w:val="16"/>
          <w:szCs w:val="16"/>
          <w:color w:val="auto"/>
        </w:rPr>
        <w:t>We have initiated construction of a dedicated cGMP facility for drug product manufacturing in the San Francisco Bay Area.</w:t>
      </w:r>
      <w:r>
        <w:rPr>
          <w:rFonts w:ascii="Arial" w:cs="Arial" w:eastAsia="Arial" w:hAnsi="Arial"/>
          <w:sz w:val="16"/>
          <w:szCs w:val="16"/>
          <w:i w:val="1"/>
          <w:iCs w:val="1"/>
          <w:color w:val="auto"/>
        </w:rPr>
        <w:t xml:space="preserve"> </w:t>
      </w:r>
      <w:r>
        <w:rPr>
          <w:rFonts w:ascii="Arial" w:cs="Arial" w:eastAsia="Arial" w:hAnsi="Arial"/>
          <w:sz w:val="16"/>
          <w:szCs w:val="16"/>
          <w:color w:val="auto"/>
        </w:rPr>
        <w:t>The facility will initially produce drug product at the 1000L scale to support FIH studies for our MYBPC3 program. The facility will use a modular pod design that will support scale-out and scale-up of manufacturing capacity in response to evolving needs. We expect this facility will be operational in the first half of 2022.</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420"/>
          </w:cols>
          <w:pgMar w:left="320" w:top="418" w:right="115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80" w:hanging="469"/>
        <w:spacing w:after="0" w:line="281"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i w:val="1"/>
          <w:iCs w:val="1"/>
          <w:color w:val="auto"/>
        </w:rPr>
        <w:t xml:space="preserve">Intellectual property: </w:t>
      </w:r>
      <w:r>
        <w:rPr>
          <w:rFonts w:ascii="Arial" w:cs="Arial" w:eastAsia="Arial" w:hAnsi="Arial"/>
          <w:sz w:val="15"/>
          <w:szCs w:val="15"/>
          <w:color w:val="auto"/>
        </w:rPr>
        <w:t>We have in-licensed certain manufacturing-related intellectual property to support our programs. We have filed a</w:t>
      </w:r>
      <w:r>
        <w:rPr>
          <w:rFonts w:ascii="Arial" w:cs="Arial" w:eastAsia="Arial" w:hAnsi="Arial"/>
          <w:sz w:val="15"/>
          <w:szCs w:val="15"/>
          <w:i w:val="1"/>
          <w:iCs w:val="1"/>
          <w:color w:val="auto"/>
        </w:rPr>
        <w:t xml:space="preserve"> </w:t>
      </w:r>
      <w:r>
        <w:rPr>
          <w:rFonts w:ascii="Arial" w:cs="Arial" w:eastAsia="Arial" w:hAnsi="Arial"/>
          <w:sz w:val="15"/>
          <w:szCs w:val="15"/>
          <w:color w:val="auto"/>
        </w:rPr>
        <w:t>patent application on process improvements that will support scale-up of AAV manufacturing to larger bioreactors necessary for supply of our gene therapy product candidates intended for more prevalent heart disease populations.</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Programs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MYBPC3 Program for gHCM</w:t>
      </w:r>
    </w:p>
    <w:p>
      <w:pPr>
        <w:spacing w:after="0" w:line="99"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 xml:space="preserve">We are developing an AAV-based gene therapy designed to deliver a functional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in adults and children with gHCM due to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that enables more robust expression of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 to guide our path to clinical development. TN-201 has also been granted Orphan Drug Designation (ODD) by the FDA.</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Hypertrophic Cardiomyopathy</w:t>
      </w:r>
    </w:p>
    <w:p>
      <w:pPr>
        <w:spacing w:after="0" w:line="99"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HCM is a condition in which the heart walls become thickened without an obvious cause, resulting in a reduced ability to pump blood effectively. A chronic, progressive disease, HCM is usually caused by the inheritance of mutations in the contractile machinery proteins in the heart muscle cell. Signs and symptoms of HCM may begin in infancy, childhood or adulthood. Mildly and moderately affected patients experience chest pain, have trouble breathing, and have reduced exercise tolerance and fatigue. In certain HCM patients, disease progression results in a substantial limitation in activities and impact on quality of life. The most severely affected patients suffer premature death due to end-stage HF, malignant ventricular arrhythmia, or stroke. HCM with onset in childhood and adolescence is, in particular, associated with significant unmet medical need. When compared with adult-onset HCM, childhood-onset HCM is 36% more likely to develop life-threatening ventricular arrhythmias and twice as likely to require transplant or ventricular assist device.</w:t>
      </w:r>
    </w:p>
    <w:p>
      <w:pPr>
        <w:spacing w:after="0" w:line="163"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HCM is the most common form of heritable cardiomyopathy and is estimated to affect one in every 500 people, approximating more than 600,000 potential patients in the United States. A majority of HCM patients are currently undiagnosed, with diagnosis typically starting with the onset of symptoms, family screening, or the discovery of an abnormal ECG pattern.</w:t>
      </w:r>
    </w:p>
    <w:p>
      <w:pPr>
        <w:spacing w:after="0" w:line="166"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 xml:space="preserve">More than 2,000 mutations in eleven or more genes have been linked to HCM. Mutations in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are the most common cause, estimated to represent approximately 19% of the overall HCM population and to affect approximately 115,000 patients in the United States. Disease-causing mutations occur throughout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with most mutations being truncating mutations. Analysis of the hearts of patients who carry truncation mutations of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show on average an approximately 40% reduction in the level of functional MYBPC3 protein. In the most severe cases in which both copies of the gene are affected, there is a complete lack of functional MYBPC3 protein expression. We believe these findings support the idea that mutations of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cause human disease through haploinsufficiency, and also support the hypothesis that gene replacement may address the underlying cause of disease by increasing the levels of functional MYBPC3 protein.</w:t>
      </w:r>
    </w:p>
    <w:p>
      <w:pPr>
        <w:spacing w:after="0" w:line="131"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Normal MYBPC3 protein binds to the sarcomere and interacts with the muscle cell’s contractile machinery, actin and myosin proteins, as the heart beats. Based on published findings, it has been shown that MYBPC3 is involved in the folding of the myosin head into a state in which the head does not interact with actin or contribute to contraction.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0420"/>
          </w:cols>
          <w:pgMar w:left="320" w:top="418" w:right="115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schematic below illustrates the cellular localization of MYBPC3. Within the heart, CMs contain multiple myofibrils, which are comprised of myofilaments containing many sarcomeres. The sarcomeres contain thin filaments containing actin and thick filaments containing myosin; the myosin head binds and pulls actin like a hand on a rope and thus supports normal muscle contraction. MYBPC3 (in yellow) is located between the thin and thick filaments and regulates the folding of the myosin head and its interaction with actin, and in this way, is also a critical element supporting normal muscle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130810</wp:posOffset>
            </wp:positionV>
            <wp:extent cx="4529455" cy="16617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29455"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 xml:space="preserve">The reduced MYBPC3 protein levels associated with heterozygous mutations in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left ventricular assist devices (LVADs) or transplantation, in the most severely affected patients. Fibrosis and muscle cell disarray may also lead to arrhythmias in some patients, including life-threatening ventricular arrhythmias and atrial fibrillation, which can lead to stroke.</w:t>
      </w:r>
    </w:p>
    <w:p>
      <w:pPr>
        <w:spacing w:after="0" w:line="128"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An example of an actual heart from a patient who had hypertrophic cardiomyopathy, characterized by LV hypertrophy, fibrosis, high LV mass, outflow tract obstruction, and a small LV heart chamber,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123190</wp:posOffset>
            </wp:positionV>
            <wp:extent cx="1624330" cy="1939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24330"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420"/>
          </w:cols>
          <w:pgMar w:left="320" w:top="418" w:right="1159" w:bottom="1440" w:gutter="0" w:footer="0" w:header="0"/>
        </w:sectPr>
      </w:pPr>
    </w:p>
    <w:bookmarkStart w:id="155" w:name="page156"/>
    <w:bookmarkEnd w:id="1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 xml:space="preserve">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have also been associated with other forms of cardiomyopathy, including DCM, RCM, mixed cardiomyopathy, and ventricular non-compaction, which can lead to poor outcomes, particularly in children.</w:t>
      </w:r>
    </w:p>
    <w:p>
      <w:pPr>
        <w:spacing w:after="0" w:line="158"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 xml:space="preserve">Infants with homozygous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represent a particularly severe patient group with high risk of death within a year after birth without heart transplantation. Even with a transplant, ten-year survival after transplant for pediatric HCM patients remains less than 50%. Patients with heterozygous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generally have a typical life expectancy, although some patient groups have been associated with increased mortality. Young adult patients with HCM have four-fold higher mortality than the general U.S. population at a similar age. Patients with LV systolic dysfunction have increased mortality and high rates of cardiac transplantation and LVAD implantation.</w:t>
      </w:r>
    </w:p>
    <w:p>
      <w:pPr>
        <w:spacing w:after="0" w:line="154"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 xml:space="preserve">There are currently no approved therapies for the treatment of HCM and no therapies in clinical development specifically for HCM patients with </w:t>
      </w:r>
      <w:r>
        <w:rPr>
          <w:rFonts w:ascii="Arial" w:cs="Arial" w:eastAsia="Arial" w:hAnsi="Arial"/>
          <w:sz w:val="16"/>
          <w:szCs w:val="16"/>
          <w:i w:val="1"/>
          <w:iCs w:val="1"/>
          <w:color w:val="auto"/>
        </w:rPr>
        <w:t xml:space="preserve">MYBPC3 </w:t>
      </w:r>
      <w:r>
        <w:rPr>
          <w:rFonts w:ascii="Arial" w:cs="Arial" w:eastAsia="Arial" w:hAnsi="Arial"/>
          <w:sz w:val="16"/>
          <w:szCs w:val="16"/>
          <w:color w:val="auto"/>
        </w:rPr>
        <w:t>gene mutations. The current goal of HCM treatment is to relieve symptoms and prevent sudden cardiac death in people at high risk.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guideline-directed care, patients are typically prescribed one or more symptomatic therapies, including beta-blockers, verapamil, diltiazem, and disopyramide. These therapies do not address the underlying genetic cause of HCM and do not appear to affect disease progression. No randomized clinical trials have assessed these therapies specifically in HCM. Cardioverter-defibrillators may be implanted for patients at high risk for malignant arrhythmias and sudden death. For a subset of HCM patients with severe and disabling disease, surgery or other invasive interventions may be appropriate, including heart transplantation, and surgical removal of portions of the septum for patients with obstructions in the LV outflow tract, known as obstructive HCM.</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MYBPC3 Gene Therapy</w:t>
      </w:r>
    </w:p>
    <w:p>
      <w:pPr>
        <w:spacing w:after="0" w:line="9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 xml:space="preserve">We are developing an AAV-based gene therapy designed to deliver a fully-functional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heart-tropic promoter to restore normal levels of MYBPC3 protein. We believe our product candidate, TN-201, has the potential to address the underlying biological basis of disease in adult and pediatric HCM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0400"/>
          </w:cols>
          <w:pgMar w:left="320" w:top="418" w:right="117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 xml:space="preserve">Based on our preclinical data, we believe that gene replacement, through highly specific and robust expression of </w:t>
      </w:r>
      <w:r>
        <w:rPr>
          <w:rFonts w:ascii="Arial" w:cs="Arial" w:eastAsia="Arial" w:hAnsi="Arial"/>
          <w:sz w:val="13"/>
          <w:szCs w:val="13"/>
          <w:i w:val="1"/>
          <w:iCs w:val="1"/>
          <w:color w:val="auto"/>
        </w:rPr>
        <w:t>MYBPC3,</w:t>
      </w:r>
      <w:r>
        <w:rPr>
          <w:rFonts w:ascii="Arial" w:cs="Arial" w:eastAsia="Arial" w:hAnsi="Arial"/>
          <w:sz w:val="13"/>
          <w:szCs w:val="13"/>
          <w:color w:val="auto"/>
        </w:rPr>
        <w:t xml:space="preserve"> has the potential to slow or even reverse the course of gHCM disease in patients with </w:t>
      </w:r>
      <w:r>
        <w:rPr>
          <w:rFonts w:ascii="Arial" w:cs="Arial" w:eastAsia="Arial" w:hAnsi="Arial"/>
          <w:sz w:val="13"/>
          <w:szCs w:val="13"/>
          <w:i w:val="1"/>
          <w:iCs w:val="1"/>
          <w:color w:val="auto"/>
        </w:rPr>
        <w:t>MYBPC3</w:t>
      </w:r>
      <w:r>
        <w:rPr>
          <w:rFonts w:ascii="Arial" w:cs="Arial" w:eastAsia="Arial" w:hAnsi="Arial"/>
          <w:sz w:val="13"/>
          <w:szCs w:val="13"/>
          <w:color w:val="auto"/>
        </w:rPr>
        <w:t xml:space="preserve"> mutations, including LV hypertrophy and disease progression leading to outflow tract obstruction, HF, atrial fibrillation, and malignant arrhythmias. By improving upon these aspects of disease, TN-201 may improve heart functional capacity, stabilize or reverse disease symptoms, reduce the need for invasive treatments and improve survival for the most severely impacted patients. As with other AAV-based gene therapies, benefits are expected to be durable and a one-time dose may be sufficient for disease stabilization and potentially reversal. The idea of “lock and key” gene therapy is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104140</wp:posOffset>
            </wp:positionV>
            <wp:extent cx="4529455" cy="18491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29455" cy="184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w:t>
      </w:r>
    </w:p>
    <w:p>
      <w:pPr>
        <w:spacing w:after="0" w:line="99" w:lineRule="exact"/>
        <w:rPr>
          <w:sz w:val="20"/>
          <w:szCs w:val="20"/>
          <w:color w:val="auto"/>
        </w:rPr>
      </w:pPr>
    </w:p>
    <w:p>
      <w:pPr>
        <w:ind w:left="820" w:right="120" w:firstLine="385"/>
        <w:spacing w:after="0" w:line="316" w:lineRule="auto"/>
        <w:rPr>
          <w:sz w:val="20"/>
          <w:szCs w:val="20"/>
          <w:color w:val="auto"/>
        </w:rPr>
      </w:pPr>
      <w:r>
        <w:rPr>
          <w:rFonts w:ascii="Arial" w:cs="Arial" w:eastAsia="Arial" w:hAnsi="Arial"/>
          <w:sz w:val="13"/>
          <w:szCs w:val="13"/>
          <w:color w:val="auto"/>
        </w:rPr>
        <w:t xml:space="preserve">We developed a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knockout (KO) mouse model that simulates key aspects of the severe gHCM phenotype starting as early as two weeks of age. It is worth noting that this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model is homozygous, i.e., both copies of the gene are missing and so there is no production of the MYBPC3 protein. As expected, the severity of disease and the rate of disease progression are both greater than what is normally observed in most MYBPC3 patients, the majority of whom are heterozygous for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i.e., they have one normal, healthy copy of the gene that is producing at least some of the necessary MYBPC3 protein, plus one defective copy of the gene that is either producing no MYBPC3 protein at all or that is producing MYBPC3 protein that does not function properly in the sarcomere.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model is nonetheless useful as it provides important proof of concept for the potentially beneficial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effect of the MYBPC3 protein replacement via a gene therapy approach.</w:t>
      </w:r>
    </w:p>
    <w:p>
      <w:pPr>
        <w:spacing w:after="0" w:line="131"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In preclinical studies, we systemically administered a version of TN-201 optimized for the mouse (AAV:mMYBPC3) at 1×10</w:t>
      </w:r>
      <w:r>
        <w:rPr>
          <w:rFonts w:ascii="Arial" w:cs="Arial" w:eastAsia="Arial" w:hAnsi="Arial"/>
          <w:sz w:val="12"/>
          <w:szCs w:val="12"/>
          <w:color w:val="auto"/>
        </w:rPr>
        <w:t>14</w:t>
      </w:r>
      <w:r>
        <w:rPr>
          <w:rFonts w:ascii="Arial" w:cs="Arial" w:eastAsia="Arial" w:hAnsi="Arial"/>
          <w:sz w:val="15"/>
          <w:szCs w:val="15"/>
          <w:color w:val="auto"/>
        </w:rPr>
        <w:t xml:space="preserve"> vg/kg in two-week-old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mice. As shown in the figures below, treatment with AAV:mMYBPC3 improved heart function for the KO mice above their pre-treatment baseline levels, indicating partial reversal of the disease with an initial improvement of EF of more than 20% versus untreated controls that eventually increases to more than 30% at 13 months. At more than 13 months post treatment, these measures had not diminished, suggesting that a single systemic dose may be sufficient for a durable reversal of gHCM caused by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AAV:mMYBPC3 treatment also led to sustained improvements in LV mass normalized to body weight (BW) and EF. There is also a clear survival benefit with 100% survival in the AAV:mMYBPC3 arm and 100% mortality in the untreated control arm out to 16 months following dosing. Additionally, we observed improvements in LV diameter and ECG measurements. A summary of certain pre-clinical data supporting TN-201 was presented at the American Society of Gene and Cell Therapy (ASGCT) conference in 2021. Based on publicly available information, we believe these data are the first known demonstration of significant and durable disease reversal in a severe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model. Similar data have been</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420"/>
          </w:cols>
          <w:pgMar w:left="320" w:top="418" w:right="115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observed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mouse model with our product candidate TN-201, using a human version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145415</wp:posOffset>
            </wp:positionV>
            <wp:extent cx="4537075" cy="39382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37075" cy="393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In addition, a dose-response relationship has been demonstrated with AAV:mMYBPC3. As shown below, 1×10</w:t>
      </w:r>
      <w:r>
        <w:rPr>
          <w:rFonts w:ascii="Arial" w:cs="Arial" w:eastAsia="Arial" w:hAnsi="Arial"/>
          <w:sz w:val="12"/>
          <w:szCs w:val="12"/>
          <w:color w:val="auto"/>
        </w:rPr>
        <w:t>13</w:t>
      </w:r>
      <w:r>
        <w:rPr>
          <w:rFonts w:ascii="Arial" w:cs="Arial" w:eastAsia="Arial" w:hAnsi="Arial"/>
          <w:sz w:val="15"/>
          <w:szCs w:val="15"/>
          <w:color w:val="auto"/>
        </w:rPr>
        <w:t xml:space="preserve"> vg/kg, 3×10</w:t>
      </w:r>
      <w:r>
        <w:rPr>
          <w:rFonts w:ascii="Arial" w:cs="Arial" w:eastAsia="Arial" w:hAnsi="Arial"/>
          <w:sz w:val="12"/>
          <w:szCs w:val="12"/>
          <w:color w:val="auto"/>
        </w:rPr>
        <w:t>13</w:t>
      </w:r>
      <w:r>
        <w:rPr>
          <w:rFonts w:ascii="Arial" w:cs="Arial" w:eastAsia="Arial" w:hAnsi="Arial"/>
          <w:sz w:val="15"/>
          <w:szCs w:val="15"/>
          <w:color w:val="auto"/>
        </w:rPr>
        <w:t xml:space="preserve"> vg/kg and 1×10</w:t>
      </w:r>
      <w:r>
        <w:rPr>
          <w:rFonts w:ascii="Arial" w:cs="Arial" w:eastAsia="Arial" w:hAnsi="Arial"/>
          <w:sz w:val="12"/>
          <w:szCs w:val="12"/>
          <w:color w:val="auto"/>
        </w:rPr>
        <w:t>14</w:t>
      </w:r>
      <w:r>
        <w:rPr>
          <w:rFonts w:ascii="Arial" w:cs="Arial" w:eastAsia="Arial" w:hAnsi="Arial"/>
          <w:sz w:val="15"/>
          <w:szCs w:val="15"/>
          <w:color w:val="auto"/>
        </w:rPr>
        <w:t xml:space="preserve"> vg/kg weight-based doses all produced significant improvements in EF, LV mass normalized to body mass (LVM/BM), and measures of electrophysiological function (QT interval) at eight months post-injection in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HCM mouse model. The 1×10</w:t>
      </w:r>
      <w:r>
        <w:rPr>
          <w:rFonts w:ascii="Arial" w:cs="Arial" w:eastAsia="Arial" w:hAnsi="Arial"/>
          <w:sz w:val="12"/>
          <w:szCs w:val="12"/>
          <w:color w:val="auto"/>
        </w:rPr>
        <w:t>13</w:t>
      </w:r>
      <w:r>
        <w:rPr>
          <w:rFonts w:ascii="Arial" w:cs="Arial" w:eastAsia="Arial" w:hAnsi="Arial"/>
          <w:sz w:val="15"/>
          <w:szCs w:val="15"/>
          <w:color w:val="auto"/>
        </w:rPr>
        <w:t xml:space="preserve"> vg/kg dose had the lowest levels of efficacy, while the 3×10</w:t>
      </w:r>
      <w:r>
        <w:rPr>
          <w:rFonts w:ascii="Arial" w:cs="Arial" w:eastAsia="Arial" w:hAnsi="Arial"/>
          <w:sz w:val="12"/>
          <w:szCs w:val="12"/>
          <w:color w:val="auto"/>
        </w:rPr>
        <w:t>13</w:t>
      </w:r>
      <w:r>
        <w:rPr>
          <w:rFonts w:ascii="Arial" w:cs="Arial" w:eastAsia="Arial" w:hAnsi="Arial"/>
          <w:sz w:val="15"/>
          <w:szCs w:val="15"/>
          <w:color w:val="auto"/>
        </w:rPr>
        <w:t xml:space="preserve"> vg/kg had high improvement in the EF, similar to the 1×10</w:t>
      </w:r>
      <w:r>
        <w:rPr>
          <w:rFonts w:ascii="Arial" w:cs="Arial" w:eastAsia="Arial" w:hAnsi="Arial"/>
          <w:sz w:val="12"/>
          <w:szCs w:val="12"/>
          <w:color w:val="auto"/>
        </w:rPr>
        <w:t>14</w:t>
      </w:r>
      <w:r>
        <w:rPr>
          <w:rFonts w:ascii="Arial" w:cs="Arial" w:eastAsia="Arial" w:hAnsi="Arial"/>
          <w:sz w:val="15"/>
          <w:szCs w:val="15"/>
          <w:color w:val="auto"/>
        </w:rPr>
        <w:t xml:space="preserve"> vg/kg dose, suggesting a plateau in the dose-response curve. A similar dose response has also been observed with TN-201 in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mouse model.</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0420"/>
          </w:cols>
          <w:pgMar w:left="320" w:top="418" w:right="115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177800</wp:posOffset>
            </wp:positionV>
            <wp:extent cx="4379595" cy="19316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79595" cy="193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Based on these data, it may be feasible to consider doses for TN-201 in the 3×10</w:t>
      </w:r>
      <w:r>
        <w:rPr>
          <w:rFonts w:ascii="Arial" w:cs="Arial" w:eastAsia="Arial" w:hAnsi="Arial"/>
          <w:sz w:val="11"/>
          <w:szCs w:val="11"/>
          <w:color w:val="auto"/>
        </w:rPr>
        <w:t>13 vg/kg to 1</w:t>
      </w:r>
      <w:r>
        <w:rPr>
          <w:rFonts w:ascii="Arial" w:cs="Arial" w:eastAsia="Arial" w:hAnsi="Arial"/>
          <w:sz w:val="9"/>
          <w:szCs w:val="9"/>
          <w:color w:val="auto"/>
        </w:rPr>
        <w:t>×</w:t>
      </w:r>
      <w:r>
        <w:rPr>
          <w:rFonts w:ascii="Arial" w:cs="Arial" w:eastAsia="Arial" w:hAnsi="Arial"/>
          <w:sz w:val="11"/>
          <w:szCs w:val="11"/>
          <w:color w:val="auto"/>
        </w:rPr>
        <w:t>1014 vg/kg range during clinical development. This dose range</w:t>
      </w:r>
    </w:p>
    <w:p>
      <w:pPr>
        <w:spacing w:after="0" w:line="51" w:lineRule="exact"/>
        <w:rPr>
          <w:sz w:val="20"/>
          <w:szCs w:val="20"/>
          <w:color w:val="auto"/>
        </w:rPr>
      </w:pPr>
    </w:p>
    <w:p>
      <w:pPr>
        <w:ind w:left="820" w:right="140"/>
        <w:spacing w:after="0" w:line="242" w:lineRule="auto"/>
        <w:rPr>
          <w:sz w:val="20"/>
          <w:szCs w:val="20"/>
          <w:color w:val="auto"/>
        </w:rPr>
      </w:pPr>
      <w:r>
        <w:rPr>
          <w:rFonts w:ascii="Arial" w:cs="Arial" w:eastAsia="Arial" w:hAnsi="Arial"/>
          <w:sz w:val="13"/>
          <w:szCs w:val="13"/>
          <w:color w:val="auto"/>
        </w:rPr>
        <w:t>is also within the dose ranges reported by other companies in connection with an FDA-approved product and clinical studies of product candidates using AAV9 for gene therapy, including where the primary intended organ for the product candidate is the heart.</w:t>
      </w:r>
    </w:p>
    <w:p>
      <w:pPr>
        <w:spacing w:after="0" w:line="159"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 xml:space="preserve">One-time dosing of AAV:mMYBPC3 at 3x1013 and 1x1014 vg/kg achieved normal levels of protein expression in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mouse model hearts within two to six weeks following delivery, we have not observed MYBPC3 protein levels substantially above normal levels, suggesting that protein accumulation does not occur and supporting the potential for a broad therapeutic index with lessened concern of overexpression-related potential toxicities. In addition, histological assessments of AAV:mMYBPC3 treated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model murine hearts support the uniform and robust distribution of expression following AAV:mMYBPC3 infusion, suggesting gene therapy may be able to replace the missing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uniformly across the heart and consistent with heart biopsy samples from patients treated with other AAV9-based gene therapies in development.</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0420"/>
          </w:cols>
          <w:pgMar w:left="320" w:top="418" w:right="115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720" w:firstLine="385"/>
        <w:spacing w:after="0" w:line="266" w:lineRule="auto"/>
        <w:rPr>
          <w:sz w:val="20"/>
          <w:szCs w:val="20"/>
          <w:color w:val="auto"/>
        </w:rPr>
      </w:pPr>
      <w:r>
        <w:rPr>
          <w:rFonts w:ascii="Arial" w:cs="Arial" w:eastAsia="Arial" w:hAnsi="Arial"/>
          <w:sz w:val="16"/>
          <w:szCs w:val="16"/>
          <w:color w:val="auto"/>
        </w:rPr>
        <w:t>The figure below demonstrates a restoration of MYBPC3 protein levels to wildtype levels within two weeks following a single dose of AAV:mMYBPC3 at the 3×10</w:t>
      </w:r>
      <w:r>
        <w:rPr>
          <w:rFonts w:ascii="Arial" w:cs="Arial" w:eastAsia="Arial" w:hAnsi="Arial"/>
          <w:sz w:val="13"/>
          <w:szCs w:val="13"/>
          <w:color w:val="auto"/>
        </w:rPr>
        <w:t>13</w:t>
      </w:r>
      <w:r>
        <w:rPr>
          <w:rFonts w:ascii="Arial" w:cs="Arial" w:eastAsia="Arial" w:hAnsi="Arial"/>
          <w:sz w:val="16"/>
          <w:szCs w:val="16"/>
          <w:color w:val="auto"/>
        </w:rPr>
        <w:t xml:space="preserve"> vg/kg and 1×10</w:t>
      </w:r>
      <w:r>
        <w:rPr>
          <w:rFonts w:ascii="Arial" w:cs="Arial" w:eastAsia="Arial" w:hAnsi="Arial"/>
          <w:sz w:val="13"/>
          <w:szCs w:val="13"/>
          <w:color w:val="auto"/>
        </w:rPr>
        <w:t>14</w:t>
      </w:r>
      <w:r>
        <w:rPr>
          <w:rFonts w:ascii="Arial" w:cs="Arial" w:eastAsia="Arial" w:hAnsi="Arial"/>
          <w:sz w:val="16"/>
          <w:szCs w:val="16"/>
          <w:color w:val="auto"/>
        </w:rPr>
        <w:t xml:space="preserve"> vg/kg dose levels.</w:t>
      </w:r>
    </w:p>
    <w:p>
      <w:pPr>
        <w:sectPr>
          <w:pgSz w:w="11900" w:h="16838" w:orient="portrait"/>
          <w:cols w:equalWidth="0" w:num="1">
            <w:col w:w="10400"/>
          </w:cols>
          <w:pgMar w:left="320" w:top="418" w:right="1179" w:bottom="1440" w:gutter="0" w:footer="0" w:header="0"/>
        </w:sectPr>
      </w:pPr>
    </w:p>
    <w:p>
      <w:pPr>
        <w:spacing w:after="0" w:line="178" w:lineRule="exact"/>
        <w:rPr>
          <w:sz w:val="20"/>
          <w:szCs w:val="20"/>
          <w:color w:val="auto"/>
        </w:rPr>
      </w:pPr>
    </w:p>
    <w:p>
      <w:pPr>
        <w:jc w:val="center"/>
        <w:ind w:left="1060"/>
        <w:spacing w:after="0"/>
        <w:rPr>
          <w:sz w:val="20"/>
          <w:szCs w:val="20"/>
          <w:color w:val="auto"/>
        </w:rPr>
      </w:pPr>
      <w:r>
        <w:rPr>
          <w:rFonts w:ascii="Arial" w:cs="Arial" w:eastAsia="Arial" w:hAnsi="Arial"/>
          <w:sz w:val="16"/>
          <w:szCs w:val="16"/>
          <w:b w:val="1"/>
          <w:bCs w:val="1"/>
          <w:color w:val="auto"/>
        </w:rPr>
        <w:t>MYBPC3 RNA Expression Comparison</w:t>
      </w:r>
    </w:p>
    <w:p>
      <w:pPr>
        <w:spacing w:after="0" w:line="20" w:lineRule="exact"/>
        <w:rPr>
          <w:sz w:val="20"/>
          <w:szCs w:val="20"/>
          <w:color w:val="auto"/>
        </w:rPr>
      </w:pPr>
    </w:p>
    <w:p>
      <w:pPr>
        <w:jc w:val="center"/>
        <w:ind w:left="1060"/>
        <w:spacing w:after="0"/>
        <w:rPr>
          <w:sz w:val="20"/>
          <w:szCs w:val="20"/>
          <w:color w:val="auto"/>
        </w:rPr>
      </w:pPr>
      <w:r>
        <w:rPr>
          <w:rFonts w:ascii="Arial" w:cs="Arial" w:eastAsia="Arial" w:hAnsi="Arial"/>
          <w:sz w:val="13"/>
          <w:szCs w:val="13"/>
          <w:b w:val="1"/>
          <w:bCs w:val="1"/>
          <w:color w:val="auto"/>
        </w:rPr>
        <w:t xml:space="preserve">in Normal Mice and in Untreated vs Treated </w:t>
      </w:r>
      <w:r>
        <w:rPr>
          <w:rFonts w:ascii="Arial" w:cs="Arial" w:eastAsia="Arial" w:hAnsi="Arial"/>
          <w:sz w:val="13"/>
          <w:szCs w:val="13"/>
          <w:b w:val="1"/>
          <w:bCs w:val="1"/>
          <w:i w:val="1"/>
          <w:iCs w:val="1"/>
          <w:color w:val="auto"/>
        </w:rPr>
        <w:t>MYBPC3</w:t>
      </w:r>
      <w:r>
        <w:rPr>
          <w:rFonts w:ascii="Arial" w:cs="Arial" w:eastAsia="Arial" w:hAnsi="Arial"/>
          <w:sz w:val="13"/>
          <w:szCs w:val="13"/>
          <w:b w:val="1"/>
          <w:bCs w:val="1"/>
          <w:color w:val="auto"/>
        </w:rPr>
        <w:t xml:space="preserve"> KO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212725</wp:posOffset>
            </wp:positionV>
            <wp:extent cx="2058670" cy="16243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58670" cy="1624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MYBPC3 Protein Expression Comparison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in Normal Mice and in Untreated vs Treated </w:t>
      </w:r>
      <w:r>
        <w:rPr>
          <w:rFonts w:ascii="Arial" w:cs="Arial" w:eastAsia="Arial" w:hAnsi="Arial"/>
          <w:sz w:val="13"/>
          <w:szCs w:val="13"/>
          <w:b w:val="1"/>
          <w:bCs w:val="1"/>
          <w:i w:val="1"/>
          <w:iCs w:val="1"/>
          <w:color w:val="auto"/>
        </w:rPr>
        <w:t>MYBPC3</w:t>
      </w:r>
      <w:r>
        <w:rPr>
          <w:rFonts w:ascii="Arial" w:cs="Arial" w:eastAsia="Arial" w:hAnsi="Arial"/>
          <w:sz w:val="13"/>
          <w:szCs w:val="13"/>
          <w:b w:val="1"/>
          <w:bCs w:val="1"/>
          <w:color w:val="auto"/>
        </w:rPr>
        <w:t xml:space="preserve"> KO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145415</wp:posOffset>
            </wp:positionV>
            <wp:extent cx="1864360" cy="1692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64360" cy="1692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460"/>
            <w:col w:w="4440"/>
          </w:cols>
          <w:pgMar w:left="320" w:top="418"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20" w:right="240" w:firstLine="385"/>
        <w:spacing w:after="0" w:line="343" w:lineRule="auto"/>
        <w:rPr>
          <w:sz w:val="20"/>
          <w:szCs w:val="20"/>
          <w:color w:val="auto"/>
        </w:rPr>
      </w:pPr>
      <w:r>
        <w:rPr>
          <w:rFonts w:ascii="Arial" w:cs="Arial" w:eastAsia="Arial" w:hAnsi="Arial"/>
          <w:sz w:val="13"/>
          <w:szCs w:val="13"/>
          <w:color w:val="auto"/>
        </w:rPr>
        <w:t xml:space="preserve">Consistent with observed therapeutic benefit, treatment of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mice with AAV:mMYBPC3 is also associated with a substantial reduction of expression of genes associated with fibrosis and B-type natriuretic peptide (BNP), a circulating factor associated with heart damage and heart wall stretch. We intend to evaluate the impact of treatment on BNP as a potential PD biomarker in initial clinical studies.</w:t>
      </w:r>
    </w:p>
    <w:p>
      <w:pPr>
        <w:spacing w:after="0" w:line="114" w:lineRule="exact"/>
        <w:rPr>
          <w:sz w:val="20"/>
          <w:szCs w:val="20"/>
          <w:color w:val="auto"/>
        </w:rPr>
      </w:pPr>
    </w:p>
    <w:p>
      <w:pPr>
        <w:ind w:left="820" w:right="200" w:firstLine="385"/>
        <w:spacing w:after="0" w:line="300" w:lineRule="auto"/>
        <w:rPr>
          <w:sz w:val="20"/>
          <w:szCs w:val="20"/>
          <w:color w:val="auto"/>
        </w:rPr>
      </w:pPr>
      <w:r>
        <w:rPr>
          <w:rFonts w:ascii="Arial" w:cs="Arial" w:eastAsia="Arial" w:hAnsi="Arial"/>
          <w:sz w:val="15"/>
          <w:szCs w:val="15"/>
          <w:color w:val="auto"/>
        </w:rPr>
        <w:t>The figures below shows dose-dependent inhibition of expression of genes associated with cardiac strain (Nppa, Nppb, and Myh7) and fibrosis (Col1a1, Col4a1, and Postn) following a single dose of AAV:mMYBPC3 at the 3×10</w:t>
      </w:r>
      <w:r>
        <w:rPr>
          <w:rFonts w:ascii="Arial" w:cs="Arial" w:eastAsia="Arial" w:hAnsi="Arial"/>
          <w:sz w:val="12"/>
          <w:szCs w:val="12"/>
          <w:color w:val="auto"/>
        </w:rPr>
        <w:t>13</w:t>
      </w:r>
      <w:r>
        <w:rPr>
          <w:rFonts w:ascii="Arial" w:cs="Arial" w:eastAsia="Arial" w:hAnsi="Arial"/>
          <w:sz w:val="15"/>
          <w:szCs w:val="15"/>
          <w:color w:val="auto"/>
        </w:rPr>
        <w:t xml:space="preserve"> vg/kg and 1×10</w:t>
      </w:r>
      <w:r>
        <w:rPr>
          <w:rFonts w:ascii="Arial" w:cs="Arial" w:eastAsia="Arial" w:hAnsi="Arial"/>
          <w:sz w:val="12"/>
          <w:szCs w:val="12"/>
          <w:color w:val="auto"/>
        </w:rPr>
        <w:t>14</w:t>
      </w:r>
      <w:r>
        <w:rPr>
          <w:rFonts w:ascii="Arial" w:cs="Arial" w:eastAsia="Arial" w:hAnsi="Arial"/>
          <w:sz w:val="15"/>
          <w:szCs w:val="15"/>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-25400</wp:posOffset>
            </wp:positionV>
            <wp:extent cx="2200910" cy="22161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00910" cy="221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 xml:space="preserve">Treatment with either TN-201 or AAV:mMYBPC3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model has not been associated with significant BW differences, clinical observations, or differences in histopathological assessments across dose levels. In addition, no impact on BW has been observed at dose levels between 3×10</w:t>
      </w:r>
      <w:r>
        <w:rPr>
          <w:rFonts w:ascii="Arial" w:cs="Arial" w:eastAsia="Arial" w:hAnsi="Arial"/>
          <w:sz w:val="13"/>
          <w:szCs w:val="13"/>
          <w:color w:val="auto"/>
        </w:rPr>
        <w:t>13</w:t>
      </w:r>
      <w:r>
        <w:rPr>
          <w:rFonts w:ascii="Arial" w:cs="Arial" w:eastAsia="Arial" w:hAnsi="Arial"/>
          <w:sz w:val="16"/>
          <w:szCs w:val="16"/>
          <w:color w:val="auto"/>
        </w:rPr>
        <w:t xml:space="preserve"> vg/kg and 6×10</w:t>
      </w:r>
      <w:r>
        <w:rPr>
          <w:rFonts w:ascii="Arial" w:cs="Arial" w:eastAsia="Arial" w:hAnsi="Arial"/>
          <w:sz w:val="13"/>
          <w:szCs w:val="13"/>
          <w:color w:val="auto"/>
        </w:rPr>
        <w:t>14</w:t>
      </w:r>
      <w:r>
        <w:rPr>
          <w:rFonts w:ascii="Arial" w:cs="Arial" w:eastAsia="Arial" w:hAnsi="Arial"/>
          <w:sz w:val="16"/>
          <w:szCs w:val="16"/>
          <w:color w:val="auto"/>
        </w:rPr>
        <w:t xml:space="preserve"> vg/kg in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0400"/>
          </w:cols>
          <w:pgMar w:left="320" w:top="418" w:right="1179" w:bottom="1440" w:gutter="0" w:footer="0" w:header="0"/>
          <w:type w:val="continuous"/>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ind w:left="820" w:right="440"/>
        <w:spacing w:after="0" w:line="267" w:lineRule="auto"/>
        <w:rPr>
          <w:sz w:val="20"/>
          <w:szCs w:val="20"/>
          <w:color w:val="auto"/>
        </w:rPr>
      </w:pPr>
      <w:r>
        <w:rPr>
          <w:rFonts w:ascii="Arial" w:cs="Arial" w:eastAsia="Arial" w:hAnsi="Arial"/>
          <w:sz w:val="16"/>
          <w:szCs w:val="16"/>
          <w:color w:val="auto"/>
        </w:rPr>
        <w:t>safety studies in wildtype neonatal mice twelve weeks after dosing. The 6×10</w:t>
      </w:r>
      <w:r>
        <w:rPr>
          <w:rFonts w:ascii="Arial" w:cs="Arial" w:eastAsia="Arial" w:hAnsi="Arial"/>
          <w:sz w:val="13"/>
          <w:szCs w:val="13"/>
          <w:color w:val="auto"/>
        </w:rPr>
        <w:t>14</w:t>
      </w:r>
      <w:r>
        <w:rPr>
          <w:rFonts w:ascii="Arial" w:cs="Arial" w:eastAsia="Arial" w:hAnsi="Arial"/>
          <w:sz w:val="16"/>
          <w:szCs w:val="16"/>
          <w:color w:val="auto"/>
        </w:rPr>
        <w:t xml:space="preserve"> vg/kg dose level is estimated to be six to 20 times greater than the approximated target dose, further supporting a broad therapeutic index.</w:t>
      </w:r>
    </w:p>
    <w:p>
      <w:pPr>
        <w:spacing w:after="0" w:line="251"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Comparison with Previously Published Results for Our MYBPC3 Gene Therapy</w:t>
      </w:r>
    </w:p>
    <w:p>
      <w:pPr>
        <w:spacing w:after="0" w:line="99"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 xml:space="preserve">Our approach is differentiated from previously published MYBPC3 gene therapy approaches. During optimization of our MYBPC3 gene therapies, we discovered a CM-specific promoter, TNP-CM1, with improved performance attributes as compared to the standard cTnT promoter.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analyses confirmed that TNP-CM1 significantly increased expression of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compared to what can be achieved with the standard cTnT promoter. See “Business—Our Approach and Capabilities—3. Promoters and Regulatory Elements.” TNP-CM1 has been tested in a hiPSC-CM disease model, in multiple murine models, and in NHPs. As demonstrated below, in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mouse model, our proprietary cassettes show significantly improved heart function across all dose levels tested when compared to a construct containing a standard cTnT promoter and utilizing the same AAV capsid when dosed at three months of age (rather than two weeks) suggesting that it is possible to reverse cardiac dysfunction even after significant onset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126365</wp:posOffset>
            </wp:positionV>
            <wp:extent cx="1310005" cy="1819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10005"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 xml:space="preserve">TN-201 was selected as the development candidate for the MYBPC3 gene therapy program. The manufacturing process for TN-201 drug substance has been locked at the 200L scale. We intend to submit an IND or CTA to the FDA or EMA, respectively, in 2022. If our IND or CTA is approved, we plan to initiate global first-in-human studies in patients with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We have obtained useful feedback from regulatory authorities in multiple countries and the FDA has granted orphan drug designation for TN-201.</w:t>
      </w:r>
    </w:p>
    <w:p>
      <w:pPr>
        <w:spacing w:after="0" w:line="153"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 xml:space="preserve">We plan to initiate a prospective and retrospective natural history study in patients with </w:t>
      </w:r>
      <w:r>
        <w:rPr>
          <w:rFonts w:ascii="Arial" w:cs="Arial" w:eastAsia="Arial" w:hAnsi="Arial"/>
          <w:sz w:val="15"/>
          <w:szCs w:val="15"/>
          <w:i w:val="1"/>
          <w:iCs w:val="1"/>
          <w:color w:val="auto"/>
        </w:rPr>
        <w:t>MYBPC3</w:t>
      </w:r>
      <w:r>
        <w:rPr>
          <w:rFonts w:ascii="Arial" w:cs="Arial" w:eastAsia="Arial" w:hAnsi="Arial"/>
          <w:sz w:val="15"/>
          <w:szCs w:val="15"/>
          <w:color w:val="auto"/>
        </w:rPr>
        <w:t xml:space="preserve"> mutation-associated cardiomyopathy by the end of 2021. The objective of the natural history study, a non-interventional clinical study that follows patients with </w:t>
      </w:r>
      <w:r>
        <w:rPr>
          <w:rFonts w:ascii="Arial" w:cs="Arial" w:eastAsia="Arial" w:hAnsi="Arial"/>
          <w:sz w:val="15"/>
          <w:szCs w:val="15"/>
          <w:i w:val="1"/>
          <w:iCs w:val="1"/>
          <w:color w:val="auto"/>
        </w:rPr>
        <w:t>MYBPC3</w:t>
      </w:r>
      <w:r>
        <w:rPr>
          <w:rFonts w:ascii="Arial" w:cs="Arial" w:eastAsia="Arial" w:hAnsi="Arial"/>
          <w:sz w:val="15"/>
          <w:szCs w:val="15"/>
          <w:color w:val="auto"/>
        </w:rPr>
        <w:t xml:space="preserve"> mutations over time, is to characterize the outcomes, burden of illness, risk factors, quality of life, and biomarkers associated with disease progression in patients with cardiomyopathy due to </w:t>
      </w:r>
      <w:r>
        <w:rPr>
          <w:rFonts w:ascii="Arial" w:cs="Arial" w:eastAsia="Arial" w:hAnsi="Arial"/>
          <w:sz w:val="15"/>
          <w:szCs w:val="15"/>
          <w:i w:val="1"/>
          <w:iCs w:val="1"/>
          <w:color w:val="auto"/>
        </w:rPr>
        <w:t>MYBPC3</w:t>
      </w:r>
      <w:r>
        <w:rPr>
          <w:rFonts w:ascii="Arial" w:cs="Arial" w:eastAsia="Arial" w:hAnsi="Arial"/>
          <w:sz w:val="15"/>
          <w:szCs w:val="15"/>
          <w:color w:val="auto"/>
        </w:rPr>
        <w:t xml:space="preserve"> mutations as well as treatments, procedures, and patient outcomes.</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HDAC6i Program for HFpEF and gDCM</w:t>
      </w:r>
    </w:p>
    <w:p>
      <w:pPr>
        <w:spacing w:after="0" w:line="99" w:lineRule="exact"/>
        <w:rPr>
          <w:sz w:val="20"/>
          <w:szCs w:val="20"/>
          <w:color w:val="auto"/>
        </w:rPr>
      </w:pPr>
    </w:p>
    <w:p>
      <w:pPr>
        <w:ind w:left="820" w:right="60" w:firstLine="385"/>
        <w:spacing w:after="0" w:line="323" w:lineRule="auto"/>
        <w:rPr>
          <w:sz w:val="20"/>
          <w:szCs w:val="20"/>
          <w:color w:val="auto"/>
        </w:rPr>
      </w:pPr>
      <w:r>
        <w:rPr>
          <w:rFonts w:ascii="Arial" w:cs="Arial" w:eastAsia="Arial" w:hAnsi="Arial"/>
          <w:sz w:val="13"/>
          <w:szCs w:val="13"/>
          <w:color w:val="auto"/>
        </w:rPr>
        <w:t xml:space="preserve">Our HDAC6i program is intended for development in multiple patient populations with significant unmet need including HFpEF and gDCM. We have discovered a highly specific and potent HDAC6i for which medicinal chemistry has been completed and we have filed patent applications for two chemical series as well as four provisional patent applications related to methods of use. We have also 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activity of these molecules in multiple animal models, including in two different models of HFpEF and a single model of gDCM. Our HDAC6i product candidate, TYA-11631, has not demonstrated evidence of toxicity at levels dosed to date in small and large animal species. This program is currently in IND-enabling studies.</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0440"/>
          </w:cols>
          <w:pgMar w:left="320" w:top="418" w:right="113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HFpEF</w:t>
      </w:r>
    </w:p>
    <w:p>
      <w:pPr>
        <w:spacing w:after="0" w:line="99"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HFpEF is generally defined as HF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progressive in many patients. Symptoms initially include fatigue, shortness of breath, and tissue swelling, resulting in reduced physical activity. Over time, this results in a substantial limitation in activities and impact on quality of life, and patients are at risk of premature death.</w:t>
      </w:r>
    </w:p>
    <w:p>
      <w:pPr>
        <w:spacing w:after="0" w:line="170" w:lineRule="exact"/>
        <w:rPr>
          <w:sz w:val="20"/>
          <w:szCs w:val="20"/>
          <w:color w:val="auto"/>
        </w:rPr>
      </w:pPr>
    </w:p>
    <w:p>
      <w:pPr>
        <w:ind w:left="820" w:right="120" w:firstLine="385"/>
        <w:spacing w:after="0" w:line="343" w:lineRule="auto"/>
        <w:rPr>
          <w:sz w:val="20"/>
          <w:szCs w:val="20"/>
          <w:color w:val="auto"/>
        </w:rPr>
      </w:pPr>
      <w:r>
        <w:rPr>
          <w:rFonts w:ascii="Arial" w:cs="Arial" w:eastAsia="Arial" w:hAnsi="Arial"/>
          <w:sz w:val="13"/>
          <w:szCs w:val="13"/>
          <w:color w:val="auto"/>
        </w:rPr>
        <w:t>At least half of all hospital admissions for HF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HF and mortality rates over a five-year period are as high as 40% and 75%, respectively.</w:t>
      </w:r>
    </w:p>
    <w:p>
      <w:pPr>
        <w:spacing w:after="0" w:line="114" w:lineRule="exact"/>
        <w:rPr>
          <w:sz w:val="20"/>
          <w:szCs w:val="20"/>
          <w:color w:val="auto"/>
        </w:rPr>
      </w:pPr>
    </w:p>
    <w:p>
      <w:pPr>
        <w:ind w:left="820" w:right="80" w:firstLine="385"/>
        <w:spacing w:after="0" w:line="253" w:lineRule="auto"/>
        <w:rPr>
          <w:sz w:val="20"/>
          <w:szCs w:val="20"/>
          <w:color w:val="auto"/>
        </w:rPr>
      </w:pPr>
      <w:r>
        <w:rPr>
          <w:rFonts w:ascii="Arial" w:cs="Arial" w:eastAsia="Arial" w:hAnsi="Arial"/>
          <w:sz w:val="16"/>
          <w:szCs w:val="16"/>
          <w:color w:val="auto"/>
        </w:rPr>
        <w:t>Patients with HFpEF represent approximately half of HF patients. There are estimated to be over three million patients diagnosed with HFpEF in the United States. HFpEF prevalence is rapidly increasing, with prevalence anticipated to increase by more than 45% by 2030. The increase in HFpEF prevalence is at least in part due to the high overlap of this condition with diabetes and obesity which are also on the rise in the United States and globally.</w:t>
      </w:r>
    </w:p>
    <w:p>
      <w:pPr>
        <w:spacing w:after="0" w:line="167"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Despite limited data demonstrating efficacy in the HFpEF setting, patients generally receive therapies prescribed for HFrEF, including diuretics, beta-blockers, and ACE inhibitors. Patients with HFpEF are generally not responsive to therapies that have been shown to improve outcomes of patients with HFrEF. Without the development of more effective therapies specifically for HFpEF patients, disease management is mostly directed toward treating associated conditions and symptoms. Despite agreement for the need for therapies that alter the trajectory of HFpEF, clinical trials that have enrolled patients with HFpEF have not led to new therapies that meaningfully improve morbidity or mortality for the HFpEF patient population. We believe that HFpEF remains one of the greatest unmet needs in cardiovascular medicine.</w:t>
      </w:r>
    </w:p>
    <w:p>
      <w:pPr>
        <w:spacing w:after="0" w:line="251"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gDCM</w:t>
      </w:r>
    </w:p>
    <w:p>
      <w:pPr>
        <w:spacing w:after="0" w:line="99"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Genetic abnormalities linked to gDCM are estimated to be present in about 30% to 40% of DCM patients. Variants in more than 40 genes have been linked with gDCM with many patients having more than two mutations meeting criteria for causation of DCM. Despite a common disease phenotype, mutations linked to gDCM are present in proteins with diverse cellular locations within the cardiomyocyte, including localization to the nucleus, cellular membrane, sarcomere, and ion channels. Mutations, deletions, and truncations in one such protein, Bcl2-associated anthanogene 3 (BAG3), have been thought to be causative of DCM in a subset of gDCM patients. Patients with BAG3 DCM represents a particularly high unmet need with an average age of onset of 37 years and an increased rate of heart transplant and LVAD placement. For additional information regarding DCM and gDCM, see the “</w:t>
      </w:r>
      <w:r>
        <w:rPr>
          <w:rFonts w:ascii="Arial" w:cs="Arial" w:eastAsia="Arial" w:hAnsi="Arial"/>
          <w:sz w:val="15"/>
          <w:szCs w:val="15"/>
          <w:i w:val="1"/>
          <w:iCs w:val="1"/>
          <w:color w:val="auto"/>
        </w:rPr>
        <w:t>DWORF Program for DCM— Overview of DCM</w:t>
      </w:r>
      <w:r>
        <w:rPr>
          <w:rFonts w:ascii="Arial" w:cs="Arial" w:eastAsia="Arial" w:hAnsi="Arial"/>
          <w:sz w:val="15"/>
          <w:szCs w:val="15"/>
          <w:color w:val="auto"/>
        </w:rPr>
        <w:t>” below.</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HDAC6 inhibitor (TYA-11631)</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We have developed a number of highly selective proprietary HDAC6 small molecule inhibitors (HDAC6i), including TYA-11018 and our product candidate, TYA-11631. HDAC inhibitors have long been considered promising targets for many indications in a range of therapeutic areas, including oncology and other indications. Several partially selective HDAC6i are already in clinical development, but none yet for heart disease. There are currently no other HDAC inhibitors in clinical development for heart disease indications and we intend to be the first to advance a selective HDAC6i into clinical development for the treatment of HF.</w:t>
      </w:r>
    </w:p>
    <w:p>
      <w:pPr>
        <w:spacing w:after="0" w:line="170"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Less selective HDAC inhibitors in development in other indications have been associated with dose-limiting toxicities and safety liabilities, such as thrombocytopenia. In contrast, we have identified a number of highly</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0400"/>
          </w:cols>
          <w:pgMar w:left="320" w:top="418" w:right="117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60"/>
        <w:spacing w:after="0" w:line="266" w:lineRule="auto"/>
        <w:rPr>
          <w:sz w:val="20"/>
          <w:szCs w:val="20"/>
          <w:color w:val="auto"/>
        </w:rPr>
      </w:pPr>
      <w:r>
        <w:rPr>
          <w:rFonts w:ascii="Arial" w:cs="Arial" w:eastAsia="Arial" w:hAnsi="Arial"/>
          <w:sz w:val="16"/>
          <w:szCs w:val="16"/>
          <w:color w:val="auto"/>
        </w:rPr>
        <w:t>selective and potent HDAC6i with high levels of selectivity for HDAC6. As demonstrated in the figure below, some of our proprietary inhibitors are greater than 1,000 times more selective for HDAC6 than for other HDAC family members.</w:t>
      </w:r>
    </w:p>
    <w:p>
      <w:pPr>
        <w:spacing w:after="0" w:line="343"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TYA-11018 demonstrates 1000x Biochemical Selectivity for HDAC6 vs. Other HDACs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20" w:right="140" w:firstLine="385"/>
        <w:spacing w:after="0" w:line="275" w:lineRule="auto"/>
        <w:rPr>
          <w:sz w:val="20"/>
          <w:szCs w:val="20"/>
          <w:color w:val="auto"/>
        </w:rPr>
      </w:pPr>
      <w:r>
        <w:rPr>
          <w:rFonts w:ascii="Arial" w:cs="Arial" w:eastAsia="Arial" w:hAnsi="Arial"/>
          <w:sz w:val="15"/>
          <w:szCs w:val="15"/>
          <w:color w:val="auto"/>
        </w:rPr>
        <w:t xml:space="preserve">Internal data indicate that the higher selectivity of our compounds may translate to lower safety risks as compared to other selective compounds. As shown below,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experiments we have observed reduced off-target effects relative to other pan-HDAC inhibitors or partially selective HDAC6 inhibitors in clinical development, as measured by the relative number of megakaryocyte colonies formed in the presence of the compounds tested at different concentrations. No thrombocytopenia has been observed in animal models.</w:t>
      </w:r>
    </w:p>
    <w:p>
      <w:pPr>
        <w:spacing w:after="0" w:line="24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Significantly Reduced Risk of Thrombocytopenia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147955</wp:posOffset>
            </wp:positionV>
            <wp:extent cx="2455545" cy="2125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555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Our product candidate, TYA-11631, has favorable drug-like properties, including pharmacokinetics (PK), oral bioavailability, panel selectivity, protein-binding activity, and cellular toxicity, supporting the potential for once-daily oral dosing in humans. To date, there have been no adverse findings in multiple pilot toxicology studies in rats and NHPs with TYA-11631 and TYA-11018, including no treatment-related mortality, adverse effects in clinical signs, body weight, food consumption, or clinical pathology. We have filed patent applications</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0420"/>
          </w:cols>
          <w:pgMar w:left="320" w:top="418" w:right="115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266" w:lineRule="auto"/>
        <w:rPr>
          <w:sz w:val="20"/>
          <w:szCs w:val="20"/>
          <w:color w:val="auto"/>
        </w:rPr>
      </w:pPr>
      <w:r>
        <w:rPr>
          <w:rFonts w:ascii="Arial" w:cs="Arial" w:eastAsia="Arial" w:hAnsi="Arial"/>
          <w:sz w:val="16"/>
          <w:szCs w:val="16"/>
          <w:color w:val="auto"/>
        </w:rPr>
        <w:t>across multiple chemical series encompassing TYA-11631, TYA-11018, and other potential back-up molecules, as well as patent applications related to methods of use.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TYA-11631: Preclinical Studies in HFpEF</w:t>
      </w:r>
    </w:p>
    <w:p>
      <w:pPr>
        <w:spacing w:after="0" w:line="99"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Treatment with TYA-11631 has reversed measures of HFpEF, including heart filling defects known as diastolic dysfunction, in multiple animal models. In one HFpEF model developed in-house, we surgically applied moderate aortic banding (mTAC) in wild type mice fed a high fat diet (HFD). These interventions induced a cardio-metabolic HF phenotype that simulated the systemic and cardiovascular features of HFpEF in humans. Aspects of the HFpEF phenotype included increased LV wall thickness, LV hypertrophy, increased diastolic pressure, impaired LV relaxation and filling, and glucose intolerance, all where the EF is greater than or equal to 50%, called preserved EF.</w:t>
      </w:r>
    </w:p>
    <w:p>
      <w:pPr>
        <w:spacing w:after="0" w:line="154"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After the HFpEF phenotypes were established, animals were dosed orally with TYA-11631 or vehicle for six weeks. As illustrated below, TYA-11631 treatment reversed HFpEF disease phenotype across all studied parameters, including restoration of LV wall thickness, LV end diastolic pressure, LV relaxation and filling, and LV mass, compared to control. In addition, as shown below, the treated mice exhibited a clear trend of decreased lung weight, indicative of improvement in pulmonary congestion consistent with the reduction of filling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120015</wp:posOffset>
            </wp:positionV>
            <wp:extent cx="4446905" cy="257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446905" cy="257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0400"/>
          </w:cols>
          <w:pgMar w:left="320" w:top="418" w:right="117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In addition, as illustrated below, in multiple studies in HFpEF models, we have also observed an improvement in glucose tolerance suggesting that treatment with a selective HDAC6i may have a positive impact on glucose metabolism.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123190</wp:posOffset>
            </wp:positionV>
            <wp:extent cx="2096135" cy="1167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96135" cy="116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6000" w:type="dxa"/>
        <w:tblCellMar>
          <w:top w:w="0" w:type="dxa"/>
          <w:left w:w="0" w:type="dxa"/>
          <w:bottom w:w="0" w:type="dxa"/>
          <w:right w:w="0" w:type="dxa"/>
        </w:tblCellMar>
      </w:tblPr>
      <w:tr>
        <w:trPr>
          <w:trHeight w:val="149"/>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ind w:left="100"/>
              <w:spacing w:after="0"/>
              <w:rPr>
                <w:sz w:val="20"/>
                <w:szCs w:val="20"/>
                <w:color w:val="auto"/>
              </w:rPr>
            </w:pPr>
            <w:r>
              <w:rPr>
                <w:rFonts w:ascii="Arial" w:cs="Arial" w:eastAsia="Arial" w:hAnsi="Arial"/>
                <w:sz w:val="13"/>
                <w:szCs w:val="13"/>
                <w:color w:val="auto"/>
                <w:w w:val="84"/>
              </w:rPr>
              <w:t>p = 0.02</w:t>
            </w:r>
          </w:p>
        </w:tc>
      </w:tr>
      <w:tr>
        <w:trPr>
          <w:trHeight w:val="158"/>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ind w:left="100"/>
              <w:spacing w:after="0"/>
              <w:rPr>
                <w:sz w:val="20"/>
                <w:szCs w:val="20"/>
                <w:color w:val="auto"/>
              </w:rPr>
            </w:pPr>
            <w:r>
              <w:rPr>
                <w:rFonts w:ascii="Arial" w:cs="Arial" w:eastAsia="Arial" w:hAnsi="Arial"/>
                <w:sz w:val="13"/>
                <w:szCs w:val="13"/>
                <w:color w:val="auto"/>
                <w:w w:val="84"/>
              </w:rPr>
              <w:t>p &lt; 0.01</w:t>
            </w:r>
          </w:p>
        </w:tc>
      </w:tr>
    </w:tbl>
    <w:p>
      <w:pPr>
        <w:spacing w:after="0" w:line="164"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Consistent with the observed improvement in HFpEF phenotype, TYA-11631 treatment in this HFpEF model was also associated with reductions of key biomarkers of fibrosis, hypertrophy and cardiac damage, and inflammation in heart samples compared to levels observed in control animals,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128270</wp:posOffset>
            </wp:positionV>
            <wp:extent cx="4529455" cy="24853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29455" cy="248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TYA-11631: Preclinical Studies in Models of Metabolic Disease</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In addition to improvements in glucose metabolism associated with TYA-11631 treatment in HFpEF mouse models, treatment with TYA-11631 has also lead to improvements in glucose tolerance and insulin sensitivity in a Diet Induced Obesity (DIO) mouse model. As shown below, treatment with a single dose of TYA-11631 improves glucose tolerance in a dose-dependent manner in the DIO model. Furthermore, TYA-11631 treatment improves glucose tolerance in a dose-dependent manner after treatment for two weeks and insulin sensitivity in a dose-dependent manner after treatment for four weeks.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0420"/>
          </w:cols>
          <w:pgMar w:left="320" w:top="418" w:right="115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177800</wp:posOffset>
            </wp:positionV>
            <wp:extent cx="4529455" cy="18643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29455"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0" w:firstLine="385"/>
        <w:spacing w:after="0" w:line="323" w:lineRule="auto"/>
        <w:rPr>
          <w:sz w:val="20"/>
          <w:szCs w:val="20"/>
          <w:color w:val="auto"/>
        </w:rPr>
      </w:pPr>
      <w:r>
        <w:rPr>
          <w:rFonts w:ascii="Arial" w:cs="Arial" w:eastAsia="Arial" w:hAnsi="Arial"/>
          <w:sz w:val="13"/>
          <w:szCs w:val="13"/>
          <w:color w:val="auto"/>
        </w:rPr>
        <w:t>A single dose treatment of TYA-11631 in the DIO model is also associated with a significant reduction in inflammatory markers in adipose tissue relative to controls are shown below. Inflammatory biomarkers in adipose tissue are thought to be linked to glucose tolerance and insulin sensitivity. For example, adipose IL-6 deficiency has been associated with improvements in glucose tolerance. Loss of IL-10 has also been shown to protect mice from DIO and improve glucose tolerance and insulin sensitivity. Collectively, these data are supportive of a role for HDAC6 inhibition on glucose tolerance and insulin resistance with potential applicability to sub-populations of HFpEF patients with obesity, diabetes, or metabolic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102870</wp:posOffset>
            </wp:positionV>
            <wp:extent cx="4529455" cy="12649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29455"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HDAC6 Inhibitors: Potential Mechanism of Action in HFpEF</w:t>
      </w:r>
    </w:p>
    <w:p>
      <w:pPr>
        <w:spacing w:after="0" w:line="99" w:lineRule="exact"/>
        <w:rPr>
          <w:sz w:val="20"/>
          <w:szCs w:val="20"/>
          <w:color w:val="auto"/>
        </w:rPr>
      </w:pPr>
    </w:p>
    <w:p>
      <w:pPr>
        <w:ind w:left="820" w:right="140" w:firstLine="385"/>
        <w:spacing w:after="0" w:line="329" w:lineRule="auto"/>
        <w:rPr>
          <w:sz w:val="20"/>
          <w:szCs w:val="20"/>
          <w:color w:val="auto"/>
        </w:rPr>
      </w:pPr>
      <w:r>
        <w:rPr>
          <w:rFonts w:ascii="Arial" w:cs="Arial" w:eastAsia="Arial" w:hAnsi="Arial"/>
          <w:sz w:val="13"/>
          <w:szCs w:val="13"/>
          <w:color w:val="auto"/>
        </w:rPr>
        <w:t>The pathophysiological mechanisms underlying HFpEF is an active area of scientific research. Key aspects of HFpEF disease biology include oxidative stress and inflammation, cardiac fibrosis, cardiac hypertrophy, cardiac stiffness all resulting in diastolic dysfunction and decreased ability of the heart to fill its chambers during contraction. Defects in glucose tolerance and insulin sensitivity and overall defective metabolism have also been proposed to play a role in HFpEF onset and progression due to high overlap in the HFpEF population with diabetes and obesity as comorbidities.</w:t>
      </w:r>
    </w:p>
    <w:p>
      <w:pPr>
        <w:spacing w:after="0" w:line="123" w:lineRule="exact"/>
        <w:rPr>
          <w:sz w:val="20"/>
          <w:szCs w:val="20"/>
          <w:color w:val="auto"/>
        </w:rPr>
      </w:pPr>
    </w:p>
    <w:p>
      <w:pPr>
        <w:ind w:left="820" w:right="220" w:firstLine="385"/>
        <w:spacing w:after="0" w:line="383" w:lineRule="auto"/>
        <w:rPr>
          <w:sz w:val="20"/>
          <w:szCs w:val="20"/>
          <w:color w:val="auto"/>
        </w:rPr>
      </w:pPr>
      <w:r>
        <w:rPr>
          <w:rFonts w:ascii="Arial" w:cs="Arial" w:eastAsia="Arial" w:hAnsi="Arial"/>
          <w:sz w:val="13"/>
          <w:szCs w:val="13"/>
          <w:color w:val="auto"/>
        </w:rPr>
        <w:t>HDAC6 has been generally associated with several of these potential HFpEF mechanisms. Preclinical data generated to date is consistent with what is known in the published literature and is suggestive of a multi-modal mechanism of action that may address multiple aspects of disease.</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0380"/>
          </w:cols>
          <w:pgMar w:left="320" w:top="418" w:right="119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The schematic below shows a conceptual model of HFpEF disease biology highlighting key aspects (the yellow boxes in the figure below) for which there are external and internal data supporting the potential utility of HDAC6i.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123190</wp:posOffset>
            </wp:positionV>
            <wp:extent cx="4551680" cy="2455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51680" cy="245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0" w:hanging="386"/>
        <w:spacing w:after="0" w:line="281" w:lineRule="auto"/>
        <w:tabs>
          <w:tab w:leader="none" w:pos="1200" w:val="left"/>
        </w:tabs>
        <w:numPr>
          <w:ilvl w:val="0"/>
          <w:numId w:val="99"/>
        </w:numPr>
        <w:rPr>
          <w:rFonts w:ascii="Arial" w:cs="Arial" w:eastAsia="Arial" w:hAnsi="Arial"/>
          <w:sz w:val="15"/>
          <w:szCs w:val="15"/>
          <w:color w:val="auto"/>
        </w:rPr>
      </w:pPr>
      <w:r>
        <w:rPr>
          <w:rFonts w:ascii="Arial" w:cs="Arial" w:eastAsia="Arial" w:hAnsi="Arial"/>
          <w:sz w:val="15"/>
          <w:szCs w:val="15"/>
          <w:i w:val="1"/>
          <w:iCs w:val="1"/>
          <w:color w:val="auto"/>
        </w:rPr>
        <w:t xml:space="preserve">Inflammation / Oxidative stress: </w:t>
      </w:r>
      <w:r>
        <w:rPr>
          <w:rFonts w:ascii="Arial" w:cs="Arial" w:eastAsia="Arial" w:hAnsi="Arial"/>
          <w:sz w:val="15"/>
          <w:szCs w:val="15"/>
          <w:color w:val="auto"/>
        </w:rPr>
        <w:t>Published studies have linked inhibition of HDAC6 with inflammasome biology and enhancement of regulatory</w:t>
      </w:r>
      <w:r>
        <w:rPr>
          <w:rFonts w:ascii="Arial" w:cs="Arial" w:eastAsia="Arial" w:hAnsi="Arial"/>
          <w:sz w:val="15"/>
          <w:szCs w:val="15"/>
          <w:i w:val="1"/>
          <w:iCs w:val="1"/>
          <w:color w:val="auto"/>
        </w:rPr>
        <w:t xml:space="preserve"> </w:t>
      </w:r>
      <w:r>
        <w:rPr>
          <w:rFonts w:ascii="Arial" w:cs="Arial" w:eastAsia="Arial" w:hAnsi="Arial"/>
          <w:sz w:val="15"/>
          <w:szCs w:val="15"/>
          <w:color w:val="auto"/>
        </w:rPr>
        <w:t>T cell activity. In our preclinical studies, TYA-11631 has shown improvement in inflammatory markers in adipose tissue from the DIO model, while TYA-11018 has shown improvement in inflammatory markers in a BAG3 model of DCM.</w:t>
      </w:r>
    </w:p>
    <w:p>
      <w:pPr>
        <w:spacing w:after="0" w:line="172" w:lineRule="exact"/>
        <w:rPr>
          <w:rFonts w:ascii="Arial" w:cs="Arial" w:eastAsia="Arial" w:hAnsi="Arial"/>
          <w:sz w:val="15"/>
          <w:szCs w:val="15"/>
          <w:color w:val="auto"/>
        </w:rPr>
      </w:pPr>
    </w:p>
    <w:p>
      <w:pPr>
        <w:ind w:left="1200" w:right="60" w:hanging="386"/>
        <w:spacing w:after="0" w:line="323" w:lineRule="auto"/>
        <w:tabs>
          <w:tab w:leader="none" w:pos="1200"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Defective metabolism / glucose metabolism: </w:t>
      </w:r>
      <w:r>
        <w:rPr>
          <w:rFonts w:ascii="Arial" w:cs="Arial" w:eastAsia="Arial" w:hAnsi="Arial"/>
          <w:sz w:val="13"/>
          <w:szCs w:val="13"/>
          <w:color w:val="auto"/>
        </w:rPr>
        <w:t>In a published study, HDAC6 KO mice had a significant improvement in dexamethasone-induced</w:t>
      </w:r>
      <w:r>
        <w:rPr>
          <w:rFonts w:ascii="Arial" w:cs="Arial" w:eastAsia="Arial" w:hAnsi="Arial"/>
          <w:sz w:val="13"/>
          <w:szCs w:val="13"/>
          <w:i w:val="1"/>
          <w:iCs w:val="1"/>
          <w:color w:val="auto"/>
        </w:rPr>
        <w:t xml:space="preserve"> </w:t>
      </w:r>
      <w:r>
        <w:rPr>
          <w:rFonts w:ascii="Arial" w:cs="Arial" w:eastAsia="Arial" w:hAnsi="Arial"/>
          <w:sz w:val="13"/>
          <w:szCs w:val="13"/>
          <w:color w:val="auto"/>
        </w:rPr>
        <w:t>whole-body glucose intolerance and insulin resistance compared to wildtype mice, suggesting that HDAC6 may be an important regulator of gluconeogenesis and glucose metabolism. In our preclinical studies, TYA-11631 has also shown improvement in glucose tolerance in a HFpEF model; dose-dependent improvements in glucose tolerance and insulin resistance in a DIO mouse model; and improvement in glucose uptake in iPSC-CMs. TYA-11018 has also shown improvement in dysregulated metabolic pathways in a BAG model of DCM.</w:t>
      </w:r>
    </w:p>
    <w:p>
      <w:pPr>
        <w:spacing w:after="0" w:line="149" w:lineRule="exact"/>
        <w:rPr>
          <w:rFonts w:ascii="Arial" w:cs="Arial" w:eastAsia="Arial" w:hAnsi="Arial"/>
          <w:sz w:val="13"/>
          <w:szCs w:val="13"/>
          <w:color w:val="auto"/>
        </w:rPr>
      </w:pPr>
    </w:p>
    <w:p>
      <w:pPr>
        <w:ind w:left="1200" w:right="100" w:hanging="386"/>
        <w:spacing w:after="0" w:line="256" w:lineRule="auto"/>
        <w:tabs>
          <w:tab w:leader="none" w:pos="12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In published studies, HDAC6 inhibition by siRNA or partially selective inhibitors attenuates myofibroblast markers and HDAC6</w:t>
      </w:r>
      <w:r>
        <w:rPr>
          <w:rFonts w:ascii="Arial" w:cs="Arial" w:eastAsia="Arial" w:hAnsi="Arial"/>
          <w:sz w:val="16"/>
          <w:szCs w:val="16"/>
          <w:i w:val="1"/>
          <w:iCs w:val="1"/>
          <w:color w:val="auto"/>
        </w:rPr>
        <w:t xml:space="preserve"> </w:t>
      </w:r>
      <w:r>
        <w:rPr>
          <w:rFonts w:ascii="Arial" w:cs="Arial" w:eastAsia="Arial" w:hAnsi="Arial"/>
          <w:sz w:val="16"/>
          <w:szCs w:val="16"/>
          <w:color w:val="auto"/>
        </w:rPr>
        <w:t>knockdown has been demonstrated to inhibit CF proliferation. In our preclinical studies, TYA-11631 significantly improved markers of cardiac fibrosis in a HFpEF model.</w:t>
      </w:r>
    </w:p>
    <w:p>
      <w:pPr>
        <w:spacing w:after="0" w:line="189" w:lineRule="exact"/>
        <w:rPr>
          <w:rFonts w:ascii="Arial" w:cs="Arial" w:eastAsia="Arial" w:hAnsi="Arial"/>
          <w:sz w:val="16"/>
          <w:szCs w:val="16"/>
          <w:color w:val="auto"/>
        </w:rPr>
      </w:pPr>
    </w:p>
    <w:p>
      <w:pPr>
        <w:ind w:left="1200" w:right="120" w:hanging="386"/>
        <w:spacing w:after="0" w:line="253" w:lineRule="auto"/>
        <w:tabs>
          <w:tab w:leader="none" w:pos="12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Hypertrophy: </w:t>
      </w:r>
      <w:r>
        <w:rPr>
          <w:rFonts w:ascii="Arial" w:cs="Arial" w:eastAsia="Arial" w:hAnsi="Arial"/>
          <w:sz w:val="16"/>
          <w:szCs w:val="16"/>
          <w:color w:val="auto"/>
        </w:rPr>
        <w:t>Published studies illustrate that HDAC inhibitors can prevent cardiac hypertrophy in animal models in response to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hypertrophic stimuli. In a published study, HDAC inhibition suppressed cardiac hypertrophy and fibrosis in a model of hypertension through regulation of HDAC6/HDAC8 enzyme activity. In our preclinical studies, TYA-11631 has also shown improved in LV hypertrophy in multiple HFpEF models.</w:t>
      </w:r>
    </w:p>
    <w:p>
      <w:pPr>
        <w:spacing w:after="0" w:line="190" w:lineRule="exact"/>
        <w:rPr>
          <w:rFonts w:ascii="Arial" w:cs="Arial" w:eastAsia="Arial" w:hAnsi="Arial"/>
          <w:sz w:val="16"/>
          <w:szCs w:val="16"/>
          <w:color w:val="auto"/>
        </w:rPr>
      </w:pPr>
    </w:p>
    <w:p>
      <w:pPr>
        <w:ind w:left="1200" w:right="180" w:hanging="386"/>
        <w:spacing w:after="0" w:line="383" w:lineRule="auto"/>
        <w:tabs>
          <w:tab w:leader="none" w:pos="1200"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Impaired autophagy: </w:t>
      </w:r>
      <w:r>
        <w:rPr>
          <w:rFonts w:ascii="Arial" w:cs="Arial" w:eastAsia="Arial" w:hAnsi="Arial"/>
          <w:sz w:val="13"/>
          <w:szCs w:val="13"/>
          <w:color w:val="auto"/>
        </w:rPr>
        <w:t>Published studies illustrate the role of reduced autophagy in HFpEF and in aging hearts. In our preclinical studies, TYA-11018 has shown improvement in autophagy in a BAG model of DCM that was correlated with improvement in heart function.</w:t>
      </w:r>
    </w:p>
    <w:p>
      <w:pPr>
        <w:spacing w:after="0" w:line="112" w:lineRule="exact"/>
        <w:rPr>
          <w:rFonts w:ascii="Arial" w:cs="Arial" w:eastAsia="Arial" w:hAnsi="Arial"/>
          <w:sz w:val="13"/>
          <w:szCs w:val="13"/>
          <w:color w:val="auto"/>
        </w:rPr>
      </w:pPr>
    </w:p>
    <w:p>
      <w:pPr>
        <w:ind w:left="1200" w:right="120" w:hanging="386"/>
        <w:spacing w:after="0" w:line="266" w:lineRule="auto"/>
        <w:tabs>
          <w:tab w:leader="none" w:pos="12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Diastolic dysfunction: </w:t>
      </w:r>
      <w:r>
        <w:rPr>
          <w:rFonts w:ascii="Arial" w:cs="Arial" w:eastAsia="Arial" w:hAnsi="Arial"/>
          <w:sz w:val="16"/>
          <w:szCs w:val="16"/>
          <w:color w:val="auto"/>
        </w:rPr>
        <w:t>In a published study, pan-HDAC inhibitors improved diastolic dysfunction in two distinct murine models of HFpEF and</w:t>
      </w:r>
      <w:r>
        <w:rPr>
          <w:rFonts w:ascii="Arial" w:cs="Arial" w:eastAsia="Arial" w:hAnsi="Arial"/>
          <w:sz w:val="16"/>
          <w:szCs w:val="16"/>
          <w:i w:val="1"/>
          <w:iCs w:val="1"/>
          <w:color w:val="auto"/>
        </w:rPr>
        <w:t xml:space="preserve"> </w:t>
      </w:r>
      <w:r>
        <w:rPr>
          <w:rFonts w:ascii="Arial" w:cs="Arial" w:eastAsia="Arial" w:hAnsi="Arial"/>
          <w:sz w:val="16"/>
          <w:szCs w:val="16"/>
          <w:color w:val="auto"/>
        </w:rPr>
        <w:t>HDAC inhibition improved cardiopulmonary function in a feline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0300"/>
          </w:cols>
          <w:pgMar w:left="320" w:top="418" w:right="127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model of diastolic dysfunction. In our preclinical studies, TYA-11631 has also shown improved diastolic dysfunction in multiple HFpEF models.</w:t>
      </w:r>
    </w:p>
    <w:p>
      <w:pPr>
        <w:spacing w:after="0" w:line="322"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HDAC6 Inhibitors: Preclinical Studies in DCM</w:t>
      </w:r>
    </w:p>
    <w:p>
      <w:pPr>
        <w:spacing w:after="0" w:line="99" w:lineRule="exact"/>
        <w:rPr>
          <w:sz w:val="20"/>
          <w:szCs w:val="20"/>
          <w:color w:val="auto"/>
        </w:rPr>
      </w:pPr>
    </w:p>
    <w:p>
      <w:pPr>
        <w:ind w:left="820" w:right="240" w:firstLine="385"/>
        <w:spacing w:after="0" w:line="272" w:lineRule="auto"/>
        <w:rPr>
          <w:sz w:val="20"/>
          <w:szCs w:val="20"/>
          <w:color w:val="auto"/>
        </w:rPr>
      </w:pPr>
      <w:r>
        <w:rPr>
          <w:rFonts w:ascii="Arial" w:cs="Arial" w:eastAsia="Arial" w:hAnsi="Arial"/>
          <w:sz w:val="15"/>
          <w:szCs w:val="15"/>
          <w:color w:val="auto"/>
        </w:rPr>
        <w:t xml:space="preserve">Through our target identification Precision Medicine platform, HDAC6 was initially identified as a target for a genetically defined subset of DCM, BAG3 mutant DCM. We screened a large chemical library to identify compounds able to reverse sarcomere defects in BAG3-deficient iPSC-CMs. Sarcomere defects were rapidly and systemically assessed through our proprietary machine learning algorithms. Whereas a pan-HDAC inhibitor was identified in the initial compound screen as reversing sarcomere defects, we conducted follow-up screens using RNAi knockdowns of HDAC family members to identify HDAC6 as a potential therapeutic target </w:t>
      </w:r>
      <w:r>
        <w:rPr>
          <w:rFonts w:ascii="Arial" w:cs="Arial" w:eastAsia="Arial" w:hAnsi="Arial"/>
          <w:sz w:val="15"/>
          <w:szCs w:val="15"/>
          <w:i w:val="1"/>
          <w:iCs w:val="1"/>
          <w:color w:val="auto"/>
        </w:rPr>
        <w:t>in vitro</w:t>
      </w:r>
      <w:r>
        <w:rPr>
          <w:rFonts w:ascii="Arial" w:cs="Arial" w:eastAsia="Arial" w:hAnsi="Arial"/>
          <w:sz w:val="15"/>
          <w:szCs w:val="15"/>
          <w:color w:val="auto"/>
        </w:rPr>
        <w:t>.</w:t>
      </w:r>
    </w:p>
    <w:p>
      <w:pPr>
        <w:spacing w:after="0" w:line="154" w:lineRule="exact"/>
        <w:rPr>
          <w:sz w:val="20"/>
          <w:szCs w:val="20"/>
          <w:color w:val="auto"/>
        </w:rPr>
      </w:pPr>
    </w:p>
    <w:p>
      <w:pPr>
        <w:ind w:left="820" w:right="140" w:firstLine="385"/>
        <w:spacing w:after="0" w:line="256" w:lineRule="auto"/>
        <w:rPr>
          <w:sz w:val="20"/>
          <w:szCs w:val="20"/>
          <w:color w:val="auto"/>
        </w:rPr>
      </w:pPr>
      <w:r>
        <w:rPr>
          <w:rFonts w:ascii="Arial" w:cs="Arial" w:eastAsia="Arial" w:hAnsi="Arial"/>
          <w:sz w:val="16"/>
          <w:szCs w:val="16"/>
          <w:color w:val="auto"/>
        </w:rPr>
        <w:t xml:space="preserve">We have validated these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findings by testing our HDAC6i compounds in BAG3 mutant mice models. As shown in the figure below, treatment of a rapidly worsening mouse model of BAG3 mutant DCM with TYA-11018 resulted in a greater than 20% improvement in EF after eight weeks of treatment compared to a control group treated with vehicle.</w:t>
      </w:r>
    </w:p>
    <w:p>
      <w:pPr>
        <w:spacing w:after="0" w:line="256" w:lineRule="exact"/>
        <w:rPr>
          <w:sz w:val="20"/>
          <w:szCs w:val="20"/>
          <w:color w:val="auto"/>
        </w:rPr>
      </w:pPr>
    </w:p>
    <w:p>
      <w:pPr>
        <w:jc w:val="center"/>
        <w:ind w:right="-919"/>
        <w:spacing w:after="0"/>
        <w:rPr>
          <w:sz w:val="20"/>
          <w:szCs w:val="20"/>
          <w:color w:val="auto"/>
        </w:rPr>
      </w:pPr>
      <w:r>
        <w:rPr>
          <w:rFonts w:ascii="Arial" w:cs="Arial" w:eastAsia="Arial" w:hAnsi="Arial"/>
          <w:sz w:val="16"/>
          <w:szCs w:val="16"/>
          <w:b w:val="1"/>
          <w:bCs w:val="1"/>
          <w:color w:val="auto"/>
        </w:rPr>
        <w:t>Significant and Durable Improvement in Ejection Fraction</w:t>
      </w:r>
    </w:p>
    <w:p>
      <w:pPr>
        <w:spacing w:after="0" w:line="20" w:lineRule="exact"/>
        <w:rPr>
          <w:sz w:val="20"/>
          <w:szCs w:val="20"/>
          <w:color w:val="auto"/>
        </w:rPr>
      </w:pPr>
    </w:p>
    <w:p>
      <w:pPr>
        <w:jc w:val="center"/>
        <w:ind w:right="-919"/>
        <w:spacing w:after="0"/>
        <w:rPr>
          <w:sz w:val="20"/>
          <w:szCs w:val="20"/>
          <w:color w:val="auto"/>
        </w:rPr>
      </w:pPr>
      <w:r>
        <w:rPr>
          <w:rFonts w:ascii="Arial" w:cs="Arial" w:eastAsia="Arial" w:hAnsi="Arial"/>
          <w:sz w:val="16"/>
          <w:szCs w:val="16"/>
          <w:b w:val="1"/>
          <w:bCs w:val="1"/>
          <w:color w:val="auto"/>
        </w:rPr>
        <w:t>in Severe BAG3 Mutant DCM Mouse Model</w:t>
      </w:r>
    </w:p>
    <w:p>
      <w:pPr>
        <w:spacing w:after="0" w:line="5" w:lineRule="exact"/>
        <w:rPr>
          <w:sz w:val="20"/>
          <w:szCs w:val="20"/>
          <w:color w:val="auto"/>
        </w:rPr>
      </w:pPr>
    </w:p>
    <w:p>
      <w:pPr>
        <w:jc w:val="center"/>
        <w:ind w:right="-919"/>
        <w:spacing w:after="0"/>
        <w:rPr>
          <w:sz w:val="20"/>
          <w:szCs w:val="20"/>
          <w:color w:val="auto"/>
        </w:rPr>
      </w:pPr>
      <w:r>
        <w:rPr>
          <w:rFonts w:ascii="Arial" w:cs="Arial" w:eastAsia="Arial" w:hAnsi="Arial"/>
          <w:sz w:val="16"/>
          <w:szCs w:val="16"/>
          <w:b w:val="1"/>
          <w:bCs w:val="1"/>
          <w:color w:val="auto"/>
        </w:rPr>
        <w:t>Treated with TYA-11018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138430</wp:posOffset>
            </wp:positionV>
            <wp:extent cx="3204210" cy="16548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0421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In contrast to other HDAC proteins, HDAC6 is a tubulin deacetylase. When HDAC6 is inhibited, tubulin acetylation is promoted, leading to increased microtubule stability. Increased microtubule stability has been linked to an increase in assembly of vesicles called autophagosomes which are involved in the clearance of aggregated and misfolded proteins in diseased cells. In the diseased heart, one potential mechanism of action for HDAC6 inhibition is promoting autophagy, driving a clearance of aggregated proteins in the heart, and thus restoring normal cellular function and structure. Protein aggregation is characteristic of some forms of DCM and have been linked to cardiomyocyte and cardiac dysfunction. The BAG3 mutant DCM patient population may be particularly sensitive to this mechanism of action for HDAC6 inhibition. BAG3 facilitates autophagy as a co-chaperone protein with heat shock proteins and mutation in BAG3 may lead to potentially defective autophagy in the heart.</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0340"/>
          </w:cols>
          <w:pgMar w:left="320" w:top="418" w:right="123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schematic below shows promotion of autophagy as a potential mechanism of action for HDAC6 inhibition in DCM.</w:t>
      </w:r>
    </w:p>
    <w:p>
      <w:pPr>
        <w:spacing w:after="0" w:line="18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Mechanism for HDAC6i Inhibition to Promote Autophagy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147955</wp:posOffset>
            </wp:positionV>
            <wp:extent cx="1609725" cy="1557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09725" cy="155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20" w:right="120" w:firstLine="385"/>
        <w:spacing w:after="0" w:line="281" w:lineRule="auto"/>
        <w:rPr>
          <w:sz w:val="20"/>
          <w:szCs w:val="20"/>
          <w:color w:val="auto"/>
        </w:rPr>
      </w:pPr>
      <w:r>
        <w:rPr>
          <w:rFonts w:ascii="Arial" w:cs="Arial" w:eastAsia="Arial" w:hAnsi="Arial"/>
          <w:sz w:val="15"/>
          <w:szCs w:val="15"/>
          <w:color w:val="auto"/>
        </w:rPr>
        <w:t xml:space="preserve">The role of HDAC6 inhibition in the promotion of autophagy is supported by biomarker analyses in TYA-11018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efficacy studies in the BAG3 DCM mouse model. As shown in the figure below, one autophagy marker, LC3, increases in correlation with functional measures such as EF in efficacy studies, suggestive of the potential role of autophagy as a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117475</wp:posOffset>
            </wp:positionV>
            <wp:extent cx="2852420" cy="1684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52420"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TYA-11631: Planned Clinical Development</w:t>
      </w:r>
    </w:p>
    <w:p>
      <w:pPr>
        <w:spacing w:after="0" w:line="99" w:lineRule="exact"/>
        <w:rPr>
          <w:sz w:val="20"/>
          <w:szCs w:val="20"/>
          <w:color w:val="auto"/>
        </w:rPr>
      </w:pPr>
    </w:p>
    <w:p>
      <w:pPr>
        <w:ind w:left="820" w:right="220" w:firstLine="385"/>
        <w:spacing w:after="0" w:line="275" w:lineRule="auto"/>
        <w:rPr>
          <w:sz w:val="20"/>
          <w:szCs w:val="20"/>
          <w:color w:val="auto"/>
        </w:rPr>
      </w:pPr>
      <w:r>
        <w:rPr>
          <w:rFonts w:ascii="Arial" w:cs="Arial" w:eastAsia="Arial" w:hAnsi="Arial"/>
          <w:sz w:val="15"/>
          <w:szCs w:val="15"/>
          <w:color w:val="auto"/>
        </w:rPr>
        <w:t>We plan to submit an IND to the FDA in 2022 and, if approved, initiate first-in-human safety studies in healthy volunteers before initiating proof-of-concept studies and proof-of-activity studies. During clinical development, we plan to examine the role of TYA-11631 in sub-populations of HFpEF patients with obesity, diabetes or metabolic syndrome as well as potentially in sub-populations of gDCM where there is stronger alignment between the multi-modal mechanism of action of TYA-11631 with the pathophysiology of the disease.</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PKP2 Program for gARVC</w:t>
      </w:r>
    </w:p>
    <w:p>
      <w:pPr>
        <w:spacing w:after="0" w:line="9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 xml:space="preserve">We are developing an AAV-based gene therapy designed to deliver a functional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in adults with gARVC due to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 estimated to affect more than 70,000 patients in the United States. These mutations can cause enlargement of the RV in affected individuals, replacement of heart muscle with fibrotic</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0420"/>
          </w:cols>
          <w:pgMar w:left="320" w:top="418" w:right="115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2" w:lineRule="auto"/>
        <w:rPr>
          <w:sz w:val="20"/>
          <w:szCs w:val="20"/>
          <w:color w:val="auto"/>
        </w:rPr>
      </w:pPr>
      <w:r>
        <w:rPr>
          <w:rFonts w:ascii="Arial" w:cs="Arial" w:eastAsia="Arial" w:hAnsi="Arial"/>
          <w:sz w:val="15"/>
          <w:szCs w:val="15"/>
          <w:color w:val="auto"/>
        </w:rPr>
        <w:t>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relevant murine model after a single dose. Based on publicly available information to date, we believe these data are the first known demonstrations of durable disease modification, survival benefit, and prevention of arrhythmia using an AAV:PKP2 gene therapy construct.</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ARVC</w:t>
      </w:r>
    </w:p>
    <w:p>
      <w:pPr>
        <w:spacing w:after="0" w:line="99" w:lineRule="exact"/>
        <w:rPr>
          <w:sz w:val="20"/>
          <w:szCs w:val="20"/>
          <w:color w:val="auto"/>
        </w:rPr>
      </w:pPr>
    </w:p>
    <w:p>
      <w:pPr>
        <w:ind w:left="820" w:right="120" w:firstLine="385"/>
        <w:spacing w:after="0" w:line="256" w:lineRule="auto"/>
        <w:rPr>
          <w:sz w:val="20"/>
          <w:szCs w:val="20"/>
          <w:color w:val="auto"/>
        </w:rPr>
      </w:pPr>
      <w:r>
        <w:rPr>
          <w:rFonts w:ascii="Arial" w:cs="Arial" w:eastAsia="Arial" w:hAnsi="Arial"/>
          <w:sz w:val="16"/>
          <w:szCs w:val="16"/>
          <w:color w:val="auto"/>
        </w:rPr>
        <w:t>ARVC is largely an inherited disease characterized by the progressive loss of muscle cells in the heart’s RV and replacement with a composite of fibrotic tissue and fatty deposits. As a result of this structural change, the heart becomes dilated and is prone to ventricular arrhythmia (VA) and particularly ventricular tachychardia (VT) (abnormally high heart rate).</w:t>
      </w:r>
    </w:p>
    <w:p>
      <w:pPr>
        <w:spacing w:after="0" w:line="166"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When symptoms are present, they tend to occur around 30 years of age, with the mean age of presentation in patients before the age of 40 years old. Patients with ARVC most commonly present with symptoms related to VA (such as palpitations, lightheadedness, and fainting) or cardiac arrest. ARVC is an important cause of sudden cardiac arrest in young patients, and particularly in athletes. The median age at cardiac arrest in ARVC patients is 25 years old.</w:t>
      </w:r>
    </w:p>
    <w:p>
      <w:pPr>
        <w:spacing w:after="0" w:line="167" w:lineRule="exact"/>
        <w:rPr>
          <w:sz w:val="20"/>
          <w:szCs w:val="20"/>
          <w:color w:val="auto"/>
        </w:rPr>
      </w:pPr>
    </w:p>
    <w:p>
      <w:pPr>
        <w:jc w:val="both"/>
        <w:ind w:left="820" w:firstLine="385"/>
        <w:spacing w:after="0" w:line="256" w:lineRule="auto"/>
        <w:rPr>
          <w:sz w:val="20"/>
          <w:szCs w:val="20"/>
          <w:color w:val="auto"/>
        </w:rPr>
      </w:pPr>
      <w:r>
        <w:rPr>
          <w:rFonts w:ascii="Arial" w:cs="Arial" w:eastAsia="Arial" w:hAnsi="Arial"/>
          <w:sz w:val="16"/>
          <w:szCs w:val="16"/>
          <w:color w:val="auto"/>
        </w:rPr>
        <w:t xml:space="preserve">ARVC has an estimated prevalence in the general population of approximately 1:2000. Mutations in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are the most common genetic cause of ARVC, with approximately 41% to 46% of ARVC patients carrying pathogenic variants. We therefore estimate more than 70,000 patients in the United States are affected by </w:t>
      </w:r>
      <w:r>
        <w:rPr>
          <w:rFonts w:ascii="Arial" w:cs="Arial" w:eastAsia="Arial" w:hAnsi="Arial"/>
          <w:sz w:val="16"/>
          <w:szCs w:val="16"/>
          <w:i w:val="1"/>
          <w:iCs w:val="1"/>
          <w:color w:val="auto"/>
        </w:rPr>
        <w:t>PKP2</w:t>
      </w:r>
      <w:r>
        <w:rPr>
          <w:rFonts w:ascii="Arial" w:cs="Arial" w:eastAsia="Arial" w:hAnsi="Arial"/>
          <w:sz w:val="16"/>
          <w:szCs w:val="16"/>
          <w:color w:val="auto"/>
        </w:rPr>
        <w:t xml:space="preserve"> mutations.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 xml:space="preserve">Mutations of the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are inherited in an autosomal dominant fashion i.e. a mutation in one gene is sufficient to cause the disease. Over</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 xml:space="preserve">14 mutations have been linked to the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Most of these mutations are predicted to result in a truncated protein product, which suggests a disease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mechanism due to loss of function, resulting in haploinsufficiency.</w:t>
      </w:r>
    </w:p>
    <w:p>
      <w:pPr>
        <w:spacing w:after="0" w:line="182"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As illustrated below, the PKP2 protein is an integral component of cell adhesion protein complexes known as desmosomes which connect adjacent cardiomyocytes in the heart. Desmosomes are responsible for stabilizing the heart and for maintaining channels called gap junctions that allow for cellular communication among heart cells, which in turn is important to proper synchronization of cardiomyocyte contractions across the myocardium contributing to each heartbeat.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129540</wp:posOffset>
            </wp:positionV>
            <wp:extent cx="4529455" cy="10706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29455" cy="107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Other components of desmosome include desmoplakin (</w:t>
      </w:r>
      <w:r>
        <w:rPr>
          <w:rFonts w:ascii="Arial" w:cs="Arial" w:eastAsia="Arial" w:hAnsi="Arial"/>
          <w:sz w:val="16"/>
          <w:szCs w:val="16"/>
          <w:i w:val="1"/>
          <w:iCs w:val="1"/>
          <w:color w:val="auto"/>
        </w:rPr>
        <w:t>DSP gene</w:t>
      </w:r>
      <w:r>
        <w:rPr>
          <w:rFonts w:ascii="Arial" w:cs="Arial" w:eastAsia="Arial" w:hAnsi="Arial"/>
          <w:sz w:val="16"/>
          <w:szCs w:val="16"/>
          <w:color w:val="auto"/>
        </w:rPr>
        <w:t>), desmoglein 2 (</w:t>
      </w:r>
      <w:r>
        <w:rPr>
          <w:rFonts w:ascii="Arial" w:cs="Arial" w:eastAsia="Arial" w:hAnsi="Arial"/>
          <w:sz w:val="16"/>
          <w:szCs w:val="16"/>
          <w:i w:val="1"/>
          <w:iCs w:val="1"/>
          <w:color w:val="auto"/>
        </w:rPr>
        <w:t>DSG2</w:t>
      </w:r>
      <w:r>
        <w:rPr>
          <w:rFonts w:ascii="Arial" w:cs="Arial" w:eastAsia="Arial" w:hAnsi="Arial"/>
          <w:sz w:val="16"/>
          <w:szCs w:val="16"/>
          <w:color w:val="auto"/>
        </w:rPr>
        <w:t xml:space="preserve"> gene), desmocollin 2 (</w:t>
      </w:r>
      <w:r>
        <w:rPr>
          <w:rFonts w:ascii="Arial" w:cs="Arial" w:eastAsia="Arial" w:hAnsi="Arial"/>
          <w:sz w:val="16"/>
          <w:szCs w:val="16"/>
          <w:i w:val="1"/>
          <w:iCs w:val="1"/>
          <w:color w:val="auto"/>
        </w:rPr>
        <w:t>DSC2</w:t>
      </w:r>
      <w:r>
        <w:rPr>
          <w:rFonts w:ascii="Arial" w:cs="Arial" w:eastAsia="Arial" w:hAnsi="Arial"/>
          <w:sz w:val="16"/>
          <w:szCs w:val="16"/>
          <w:color w:val="auto"/>
        </w:rPr>
        <w:t xml:space="preserve"> gene), desmin (</w:t>
      </w:r>
      <w:r>
        <w:rPr>
          <w:rFonts w:ascii="Arial" w:cs="Arial" w:eastAsia="Arial" w:hAnsi="Arial"/>
          <w:sz w:val="16"/>
          <w:szCs w:val="16"/>
          <w:i w:val="1"/>
          <w:iCs w:val="1"/>
          <w:color w:val="auto"/>
        </w:rPr>
        <w:t>DES gene</w:t>
      </w:r>
      <w:r>
        <w:rPr>
          <w:rFonts w:ascii="Arial" w:cs="Arial" w:eastAsia="Arial" w:hAnsi="Arial"/>
          <w:sz w:val="16"/>
          <w:szCs w:val="16"/>
          <w:color w:val="auto"/>
        </w:rPr>
        <w:t>), and plakoglobin (</w:t>
      </w:r>
      <w:r>
        <w:rPr>
          <w:rFonts w:ascii="Arial" w:cs="Arial" w:eastAsia="Arial" w:hAnsi="Arial"/>
          <w:sz w:val="16"/>
          <w:szCs w:val="16"/>
          <w:i w:val="1"/>
          <w:iCs w:val="1"/>
          <w:color w:val="auto"/>
        </w:rPr>
        <w:t>JUP</w:t>
      </w:r>
      <w:r>
        <w:rPr>
          <w:rFonts w:ascii="Arial" w:cs="Arial" w:eastAsia="Arial" w:hAnsi="Arial"/>
          <w:sz w:val="16"/>
          <w:szCs w:val="16"/>
          <w:color w:val="auto"/>
        </w:rPr>
        <w:t xml:space="preserve"> gene). Mutations of the </w:t>
      </w:r>
      <w:r>
        <w:rPr>
          <w:rFonts w:ascii="Arial" w:cs="Arial" w:eastAsia="Arial" w:hAnsi="Arial"/>
          <w:sz w:val="16"/>
          <w:szCs w:val="16"/>
          <w:i w:val="1"/>
          <w:iCs w:val="1"/>
          <w:color w:val="auto"/>
        </w:rPr>
        <w:t>DSP</w:t>
      </w:r>
      <w:r>
        <w:rPr>
          <w:rFonts w:ascii="Arial" w:cs="Arial" w:eastAsia="Arial" w:hAnsi="Arial"/>
          <w:sz w:val="16"/>
          <w:szCs w:val="16"/>
          <w:color w:val="auto"/>
        </w:rPr>
        <w:t xml:space="preserve">, </w:t>
      </w:r>
      <w:r>
        <w:rPr>
          <w:rFonts w:ascii="Arial" w:cs="Arial" w:eastAsia="Arial" w:hAnsi="Arial"/>
          <w:sz w:val="16"/>
          <w:szCs w:val="16"/>
          <w:i w:val="1"/>
          <w:iCs w:val="1"/>
          <w:color w:val="auto"/>
        </w:rPr>
        <w:t>DSG2</w:t>
      </w:r>
      <w:r>
        <w:rPr>
          <w:rFonts w:ascii="Arial" w:cs="Arial" w:eastAsia="Arial" w:hAnsi="Arial"/>
          <w:sz w:val="16"/>
          <w:szCs w:val="16"/>
          <w:color w:val="auto"/>
        </w:rPr>
        <w:t xml:space="preserve">, </w:t>
      </w:r>
      <w:r>
        <w:rPr>
          <w:rFonts w:ascii="Arial" w:cs="Arial" w:eastAsia="Arial" w:hAnsi="Arial"/>
          <w:sz w:val="16"/>
          <w:szCs w:val="16"/>
          <w:i w:val="1"/>
          <w:iCs w:val="1"/>
          <w:color w:val="auto"/>
        </w:rPr>
        <w:t>DSC2</w:t>
      </w:r>
      <w:r>
        <w:rPr>
          <w:rFonts w:ascii="Arial" w:cs="Arial" w:eastAsia="Arial" w:hAnsi="Arial"/>
          <w:sz w:val="16"/>
          <w:szCs w:val="16"/>
          <w:color w:val="auto"/>
        </w:rPr>
        <w:t xml:space="preserve">, </w:t>
      </w:r>
      <w:r>
        <w:rPr>
          <w:rFonts w:ascii="Arial" w:cs="Arial" w:eastAsia="Arial" w:hAnsi="Arial"/>
          <w:sz w:val="16"/>
          <w:szCs w:val="16"/>
          <w:i w:val="1"/>
          <w:iCs w:val="1"/>
          <w:color w:val="auto"/>
        </w:rPr>
        <w:t>DES, JUP</w:t>
      </w:r>
      <w:r>
        <w:rPr>
          <w:rFonts w:ascii="Arial" w:cs="Arial" w:eastAsia="Arial" w:hAnsi="Arial"/>
          <w:sz w:val="16"/>
          <w:szCs w:val="16"/>
          <w:color w:val="auto"/>
        </w:rPr>
        <w:t xml:space="preserve"> can also cause gARVC, illustrating the importance of the structural integrity of the desmosome complex. Patients with </w:t>
      </w:r>
      <w:r>
        <w:rPr>
          <w:rFonts w:ascii="Arial" w:cs="Arial" w:eastAsia="Arial" w:hAnsi="Arial"/>
          <w:sz w:val="16"/>
          <w:szCs w:val="16"/>
          <w:i w:val="1"/>
          <w:iCs w:val="1"/>
          <w:color w:val="auto"/>
        </w:rPr>
        <w:t>PKP2</w:t>
      </w:r>
      <w:r>
        <w:rPr>
          <w:rFonts w:ascii="Arial" w:cs="Arial" w:eastAsia="Arial" w:hAnsi="Arial"/>
          <w:sz w:val="16"/>
          <w:szCs w:val="16"/>
          <w:color w:val="auto"/>
        </w:rPr>
        <w:t xml:space="preserve"> mutations typically present at a younger age than patients carrying other mutations linked to ARVC and are thought to follow a similar disease progression to other ARVC patients.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420"/>
          </w:cols>
          <w:pgMar w:left="320" w:top="418" w:right="115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 xml:space="preserve">The figure below analyzes heart tissue from an ARVC patient with the </w:t>
      </w:r>
      <w:r>
        <w:rPr>
          <w:rFonts w:ascii="Arial" w:cs="Arial" w:eastAsia="Arial" w:hAnsi="Arial"/>
          <w:sz w:val="15"/>
          <w:szCs w:val="15"/>
          <w:i w:val="1"/>
          <w:iCs w:val="1"/>
          <w:color w:val="auto"/>
        </w:rPr>
        <w:t>PKP2</w:t>
      </w:r>
      <w:r>
        <w:rPr>
          <w:rFonts w:ascii="Arial" w:cs="Arial" w:eastAsia="Arial" w:hAnsi="Arial"/>
          <w:sz w:val="15"/>
          <w:szCs w:val="15"/>
          <w:color w:val="auto"/>
        </w:rPr>
        <w:t xml:space="preserve"> mutation and compares it to the heart tissue from a normal individual. The tissue has been stained for desmosome proteins PKP2 and plakoglobin as well as other transmembrane proteins that are not part of the desmosome but that are also present at cell-cell junctions in different body organs (e.g., N-cadherin). As illustrated, N-cadherin, PKP2, and plakoglobin are all correctly localized to the junctions between CMs in the healthy control sample. However, when the </w:t>
      </w:r>
      <w:r>
        <w:rPr>
          <w:rFonts w:ascii="Arial" w:cs="Arial" w:eastAsia="Arial" w:hAnsi="Arial"/>
          <w:sz w:val="15"/>
          <w:szCs w:val="15"/>
          <w:i w:val="1"/>
          <w:iCs w:val="1"/>
          <w:color w:val="auto"/>
        </w:rPr>
        <w:t>PKP2</w:t>
      </w:r>
      <w:r>
        <w:rPr>
          <w:rFonts w:ascii="Arial" w:cs="Arial" w:eastAsia="Arial" w:hAnsi="Arial"/>
          <w:sz w:val="15"/>
          <w:szCs w:val="15"/>
          <w:color w:val="auto"/>
        </w:rPr>
        <w:t xml:space="preserve"> gene is mutated, N-cadherin continues to correctly localize but both the PKP2 and plakoglobin proteins are no longer properly localized to the desmosome. Based on publicly available information to date, we believe these data illustrate how PKP2 protein is critical to maintaining the structural integrity of the desmosome, and that mutations in the </w:t>
      </w:r>
      <w:r>
        <w:rPr>
          <w:rFonts w:ascii="Arial" w:cs="Arial" w:eastAsia="Arial" w:hAnsi="Arial"/>
          <w:sz w:val="15"/>
          <w:szCs w:val="15"/>
          <w:i w:val="1"/>
          <w:iCs w:val="1"/>
          <w:color w:val="auto"/>
        </w:rPr>
        <w:t>PKP2</w:t>
      </w:r>
      <w:r>
        <w:rPr>
          <w:rFonts w:ascii="Arial" w:cs="Arial" w:eastAsia="Arial" w:hAnsi="Arial"/>
          <w:sz w:val="15"/>
          <w:szCs w:val="15"/>
          <w:color w:val="auto"/>
        </w:rPr>
        <w:t xml:space="preserve"> gene are enough to disrupt this complex in human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125095</wp:posOffset>
            </wp:positionV>
            <wp:extent cx="4065270" cy="24707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065270" cy="247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As a result of this impairment, CMs can become detached from each other when placed under the normal mechanical stress of the beating heart, or under the extra mechanical stress in the heart caused by athletic activity. This detachment causes cell death, which in turn causes inflammation, scar formation, and fat deposition.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420"/>
          </w:cols>
          <w:pgMar w:left="320" w:top="418" w:right="115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An example of an actual heart from a patient who had ARVC is shown below</w:t>
      </w:r>
      <w:r>
        <w:rPr>
          <w:rFonts w:ascii="Arial" w:cs="Arial" w:eastAsia="Arial" w:hAnsi="Arial"/>
          <w:sz w:val="13"/>
          <w:szCs w:val="13"/>
          <w:color w:val="auto"/>
        </w:rPr>
        <w:t>(2)</w:t>
      </w:r>
      <w:r>
        <w:rPr>
          <w:rFonts w:ascii="Arial" w:cs="Arial" w:eastAsia="Arial" w:hAnsi="Arial"/>
          <w:sz w:val="16"/>
          <w:szCs w:val="16"/>
          <w:color w:val="auto"/>
        </w:rPr>
        <w:t>. This illustrates commonly seen abnormalities in ARVC hearts as a result of the improper function of the desmosome, including dilation (enlargement) of the RV chamber and replacement of healthy heart tissue by fibrotic tissue and fatty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128270</wp:posOffset>
            </wp:positionV>
            <wp:extent cx="1841500" cy="23958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41500" cy="239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Following a diagnosis, ARVC patients are typically implanted with an Implantable Cardioverter Defibrillator (ICD) placed to control arrhythmias and treated with beta-blockers. ICD implantation may be associated with complications in some patients, including potential for heart perforation and additional surgery. Patients may progress to catheter ablation procedures which have a high rate of recurrence of VA and have not been shown to reduce risk of sudden cardiac death or improve survival. Despite the availability of these treatments, clinical HF has been documented in up to 40% of ARVC patients, and when heart transplantation is required, transplants occur at an average age of 40 and within seven years of the onset of HF symptoms. There are currently no approved therapies that address the underlying genetic causes of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44450</wp:posOffset>
            </wp:positionV>
            <wp:extent cx="66611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84" w:lineRule="exact"/>
        <w:rPr>
          <w:sz w:val="20"/>
          <w:szCs w:val="20"/>
          <w:color w:val="auto"/>
        </w:rPr>
      </w:pPr>
    </w:p>
    <w:p>
      <w:pPr>
        <w:ind w:left="820"/>
        <w:spacing w:after="0"/>
        <w:rPr>
          <w:sz w:val="20"/>
          <w:szCs w:val="20"/>
          <w:color w:val="auto"/>
        </w:rPr>
      </w:pPr>
      <w:r>
        <w:rPr>
          <w:rFonts w:ascii="Arial" w:cs="Arial" w:eastAsia="Arial" w:hAnsi="Arial"/>
          <w:sz w:val="13"/>
          <w:szCs w:val="13"/>
          <w:color w:val="auto"/>
        </w:rPr>
        <w:t xml:space="preserve">(2) Source: Pinamonti, Brun, Mestroni, Sinagra </w:t>
      </w:r>
      <w:r>
        <w:rPr>
          <w:rFonts w:ascii="Arial" w:cs="Arial" w:eastAsia="Arial" w:hAnsi="Arial"/>
          <w:sz w:val="20"/>
          <w:szCs w:val="20"/>
          <w:b w:val="1"/>
          <w:bCs w:val="1"/>
          <w:color w:val="auto"/>
          <w:vertAlign w:val="superscript"/>
        </w:rPr>
        <w:t>World J Cardiol</w:t>
      </w:r>
      <w:r>
        <w:rPr>
          <w:rFonts w:ascii="Arial" w:cs="Arial" w:eastAsia="Arial" w:hAnsi="Arial"/>
          <w:sz w:val="13"/>
          <w:szCs w:val="13"/>
          <w:color w:val="auto"/>
        </w:rPr>
        <w:t xml:space="preserve"> </w:t>
      </w:r>
      <w:r>
        <w:rPr>
          <w:rFonts w:ascii="Arial" w:cs="Arial" w:eastAsia="Arial" w:hAnsi="Arial"/>
          <w:sz w:val="20"/>
          <w:szCs w:val="20"/>
          <w:color w:val="auto"/>
          <w:vertAlign w:val="superscript"/>
        </w:rPr>
        <w:t>2014.</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0360"/>
          </w:cols>
          <w:pgMar w:left="320" w:top="418" w:right="121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PKP2 Gene Therapy</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 xml:space="preserve">We are developing an AAV-based gene therapy to deliver the fully-functional copy of the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to deliver a fully functional copy of the human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to the hearts of gARVC patients carrying </w:t>
      </w:r>
      <w:r>
        <w:rPr>
          <w:rFonts w:ascii="Arial" w:cs="Arial" w:eastAsia="Arial" w:hAnsi="Arial"/>
          <w:sz w:val="13"/>
          <w:szCs w:val="13"/>
          <w:i w:val="1"/>
          <w:iCs w:val="1"/>
          <w:color w:val="auto"/>
        </w:rPr>
        <w:t>PKP2</w:t>
      </w:r>
      <w:r>
        <w:rPr>
          <w:rFonts w:ascii="Arial" w:cs="Arial" w:eastAsia="Arial" w:hAnsi="Arial"/>
          <w:sz w:val="13"/>
          <w:szCs w:val="13"/>
          <w:color w:val="auto"/>
        </w:rPr>
        <w:t xml:space="preserve"> mutations. We believe that gene replacement through delivery of the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to CMs represents a promising “lock and key” treatment that can address the underlying cause of this disease. As the disease is most often caused by haploinsufficiency, expression of a functional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to replace the missing PKP2 protein in cardiomyocytes is expected to restore proper structure and function of the desmosome. This in turn can prevent adverse heart remodeling and improve heart contraction and electrical function. The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will be delivered using AAVs with tropism for the heart and expression of the PKP2 protein will limited to the heart through use of a CM-specific promoter. Our PKP2 gene therapy program, illustrated below, is currently at the candidate selection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106045</wp:posOffset>
            </wp:positionV>
            <wp:extent cx="4537075" cy="18865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3707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0340"/>
          </w:cols>
          <w:pgMar w:left="320" w:top="418" w:right="123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 in PKP2-cKO Model</w:t>
      </w:r>
    </w:p>
    <w:p>
      <w:pPr>
        <w:spacing w:after="0" w:line="99"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 xml:space="preserve">We developed a </w:t>
      </w:r>
      <w:r>
        <w:rPr>
          <w:rFonts w:ascii="Arial" w:cs="Arial" w:eastAsia="Arial" w:hAnsi="Arial"/>
          <w:sz w:val="13"/>
          <w:szCs w:val="13"/>
          <w:i w:val="1"/>
          <w:iCs w:val="1"/>
          <w:color w:val="auto"/>
        </w:rPr>
        <w:t>PKP2</w:t>
      </w:r>
      <w:r>
        <w:rPr>
          <w:rFonts w:ascii="Arial" w:cs="Arial" w:eastAsia="Arial" w:hAnsi="Arial"/>
          <w:sz w:val="13"/>
          <w:szCs w:val="13"/>
          <w:color w:val="auto"/>
        </w:rPr>
        <w:t xml:space="preserve"> conditional knockout (</w:t>
      </w:r>
      <w:r>
        <w:rPr>
          <w:rFonts w:ascii="Arial" w:cs="Arial" w:eastAsia="Arial" w:hAnsi="Arial"/>
          <w:sz w:val="13"/>
          <w:szCs w:val="13"/>
          <w:i w:val="1"/>
          <w:iCs w:val="1"/>
          <w:color w:val="auto"/>
        </w:rPr>
        <w:t>PKP2</w:t>
      </w:r>
      <w:r>
        <w:rPr>
          <w:rFonts w:ascii="Arial" w:cs="Arial" w:eastAsia="Arial" w:hAnsi="Arial"/>
          <w:sz w:val="13"/>
          <w:szCs w:val="13"/>
          <w:color w:val="auto"/>
        </w:rPr>
        <w:t xml:space="preserve">-cKO) mouse model that simulates key aspects of gARVC including dilation of the right ventricle, decline in left ventricular heart function, severe arrhythmia, abnormal ECG trace, and early mortality. The onset of symptoms is very rapid and within three weeks after induction of the phenotype. It is worth noting that this </w:t>
      </w:r>
      <w:r>
        <w:rPr>
          <w:rFonts w:ascii="Arial" w:cs="Arial" w:eastAsia="Arial" w:hAnsi="Arial"/>
          <w:sz w:val="13"/>
          <w:szCs w:val="13"/>
          <w:i w:val="1"/>
          <w:iCs w:val="1"/>
          <w:color w:val="auto"/>
        </w:rPr>
        <w:t>PKP2</w:t>
      </w:r>
      <w:r>
        <w:rPr>
          <w:rFonts w:ascii="Arial" w:cs="Arial" w:eastAsia="Arial" w:hAnsi="Arial"/>
          <w:sz w:val="13"/>
          <w:szCs w:val="13"/>
          <w:color w:val="auto"/>
        </w:rPr>
        <w:t xml:space="preserve">-cKO model is homozygous, i.e., both copies of the gene are missing and so there is no production of the PKP2 protein. As expected, the severity of disease and the rate of disease progression in this are both greater than what is normally observed in most </w:t>
      </w:r>
      <w:r>
        <w:rPr>
          <w:rFonts w:ascii="Arial" w:cs="Arial" w:eastAsia="Arial" w:hAnsi="Arial"/>
          <w:sz w:val="13"/>
          <w:szCs w:val="13"/>
          <w:i w:val="1"/>
          <w:iCs w:val="1"/>
          <w:color w:val="auto"/>
        </w:rPr>
        <w:t>PKP2</w:t>
      </w:r>
      <w:r>
        <w:rPr>
          <w:rFonts w:ascii="Arial" w:cs="Arial" w:eastAsia="Arial" w:hAnsi="Arial"/>
          <w:sz w:val="13"/>
          <w:szCs w:val="13"/>
          <w:color w:val="auto"/>
        </w:rPr>
        <w:t xml:space="preserve"> patients who are almost all heterozygous for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mutations, i.e., they have one normal, healthy copy of the gene that is producing at least some of the necessary PKP2 protein, plus one defective copy of the gene that is either producing no PKP2 protein at all or that is producing PKP2 protein that does not function properly in the desmosome. The </w:t>
      </w:r>
      <w:r>
        <w:rPr>
          <w:rFonts w:ascii="Arial" w:cs="Arial" w:eastAsia="Arial" w:hAnsi="Arial"/>
          <w:sz w:val="13"/>
          <w:szCs w:val="13"/>
          <w:i w:val="1"/>
          <w:iCs w:val="1"/>
          <w:color w:val="auto"/>
        </w:rPr>
        <w:t>PKP2</w:t>
      </w:r>
      <w:r>
        <w:rPr>
          <w:rFonts w:ascii="Arial" w:cs="Arial" w:eastAsia="Arial" w:hAnsi="Arial"/>
          <w:sz w:val="13"/>
          <w:szCs w:val="13"/>
          <w:color w:val="auto"/>
        </w:rPr>
        <w:t xml:space="preserve">-cKO model is nonetheless useful as it provides important proof of concept for the potentially beneficial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effect of the PKP2 protein replacement via a gene therapy approach.</w:t>
      </w:r>
    </w:p>
    <w:p>
      <w:pPr>
        <w:spacing w:after="0" w:line="133" w:lineRule="exact"/>
        <w:rPr>
          <w:sz w:val="20"/>
          <w:szCs w:val="20"/>
          <w:color w:val="auto"/>
        </w:rPr>
      </w:pPr>
    </w:p>
    <w:p>
      <w:pPr>
        <w:ind w:left="820" w:right="280" w:firstLine="385"/>
        <w:spacing w:after="0" w:line="281" w:lineRule="auto"/>
        <w:rPr>
          <w:sz w:val="20"/>
          <w:szCs w:val="20"/>
          <w:color w:val="auto"/>
        </w:rPr>
      </w:pPr>
      <w:r>
        <w:rPr>
          <w:rFonts w:ascii="Arial" w:cs="Arial" w:eastAsia="Arial" w:hAnsi="Arial"/>
          <w:sz w:val="15"/>
          <w:szCs w:val="15"/>
          <w:color w:val="auto"/>
        </w:rPr>
        <w:t xml:space="preserve">In preclinical studies, we systematically administered AAV:mPKP2 in </w:t>
      </w:r>
      <w:r>
        <w:rPr>
          <w:rFonts w:ascii="Arial" w:cs="Arial" w:eastAsia="Arial" w:hAnsi="Arial"/>
          <w:sz w:val="15"/>
          <w:szCs w:val="15"/>
          <w:i w:val="1"/>
          <w:iCs w:val="1"/>
          <w:color w:val="auto"/>
        </w:rPr>
        <w:t>PKP2</w:t>
      </w:r>
      <w:r>
        <w:rPr>
          <w:rFonts w:ascii="Arial" w:cs="Arial" w:eastAsia="Arial" w:hAnsi="Arial"/>
          <w:sz w:val="15"/>
          <w:szCs w:val="15"/>
          <w:color w:val="auto"/>
        </w:rPr>
        <w:t>-cKO mice in parallel with induction of the ARVC phenotype. As shown in the figures below, AAV:mPKP2 treatment improved several ARVC phenotypes compared to saline-treated controls (HBSS), including preventing right ventricle enlargement, preventing decline of LV function, and improving survival after a single IV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117475</wp:posOffset>
            </wp:positionV>
            <wp:extent cx="4529455" cy="17741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294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0420"/>
          </w:cols>
          <w:pgMar w:left="320" w:top="418" w:right="115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 xml:space="preserve">In addition,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therapy also corrected the hallmark electrophysiological defects associated with ARVC. The graphs below show nearly complete prevention of the arrhythmia in </w:t>
      </w:r>
      <w:r>
        <w:rPr>
          <w:rFonts w:ascii="Arial" w:cs="Arial" w:eastAsia="Arial" w:hAnsi="Arial"/>
          <w:sz w:val="16"/>
          <w:szCs w:val="16"/>
          <w:i w:val="1"/>
          <w:iCs w:val="1"/>
          <w:color w:val="auto"/>
        </w:rPr>
        <w:t>PKP2</w:t>
      </w:r>
      <w:r>
        <w:rPr>
          <w:rFonts w:ascii="Arial" w:cs="Arial" w:eastAsia="Arial" w:hAnsi="Arial"/>
          <w:sz w:val="16"/>
          <w:szCs w:val="16"/>
          <w:color w:val="auto"/>
        </w:rPr>
        <w:t>-cKO animals treated with AAV:mPKP2 versus controls, including prevention of nonsustained ventricular tachycardia (NSVT) and premature ventricular contractions (PVCs), which were reduced nearly to wild levels as apparent from the ECG trace and the from the quantification with a Ventricular Arrythmia Score measuring the incidence of spontaneous arrhythmias during 30 minutes of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130810</wp:posOffset>
            </wp:positionV>
            <wp:extent cx="4537075" cy="3698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37075" cy="3698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0200"/>
          </w:cols>
          <w:pgMar w:left="320" w:top="418" w:right="137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00" w:lineRule="auto"/>
        <w:rPr>
          <w:sz w:val="20"/>
          <w:szCs w:val="20"/>
          <w:color w:val="auto"/>
        </w:rPr>
      </w:pPr>
      <w:r>
        <w:rPr>
          <w:rFonts w:ascii="Arial" w:cs="Arial" w:eastAsia="Arial" w:hAnsi="Arial"/>
          <w:sz w:val="15"/>
          <w:szCs w:val="15"/>
          <w:color w:val="auto"/>
        </w:rPr>
        <w:t xml:space="preserve">The graphs below show normalization of the QRS complex in </w:t>
      </w:r>
      <w:r>
        <w:rPr>
          <w:rFonts w:ascii="Arial" w:cs="Arial" w:eastAsia="Arial" w:hAnsi="Arial"/>
          <w:sz w:val="15"/>
          <w:szCs w:val="15"/>
          <w:i w:val="1"/>
          <w:iCs w:val="1"/>
          <w:color w:val="auto"/>
        </w:rPr>
        <w:t>PKP2</w:t>
      </w:r>
      <w:r>
        <w:rPr>
          <w:rFonts w:ascii="Arial" w:cs="Arial" w:eastAsia="Arial" w:hAnsi="Arial"/>
          <w:sz w:val="15"/>
          <w:szCs w:val="15"/>
          <w:color w:val="auto"/>
        </w:rPr>
        <w:t>-cKO animals treated with AAV:mPKP2 versus controls, including prevention of QT elongation (as measured by QT interval) and abnormal P wave and R wave amplitudes (as measured by the P/R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108585</wp:posOffset>
            </wp:positionV>
            <wp:extent cx="4537075" cy="1856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37075" cy="185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Based on publicly available information to date, we believe these data are the first known demonstration of durable disease modification, survival benefit, and prevention of arrhythmia using an AAV:PKP2 gene therapy construct.</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 xml:space="preserve">We intend to submit an IND or CTA to the FDA or EMA, respectively, no earlier than 2023. If our IND or CTA is approved, we plan to initiate global first-in-human studies in patients with truncation mutations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DWORF Program for DCM and HFrEF</w:t>
      </w:r>
    </w:p>
    <w:p>
      <w:pPr>
        <w:spacing w:after="0" w:line="99" w:lineRule="exact"/>
        <w:rPr>
          <w:sz w:val="20"/>
          <w:szCs w:val="20"/>
          <w:color w:val="auto"/>
        </w:rPr>
      </w:pPr>
    </w:p>
    <w:p>
      <w:pPr>
        <w:ind w:left="820" w:right="160" w:firstLine="385"/>
        <w:spacing w:after="0" w:line="272" w:lineRule="auto"/>
        <w:rPr>
          <w:sz w:val="20"/>
          <w:szCs w:val="20"/>
          <w:color w:val="auto"/>
        </w:rPr>
      </w:pPr>
      <w:r>
        <w:rPr>
          <w:rFonts w:ascii="Arial" w:cs="Arial" w:eastAsia="Arial" w:hAnsi="Arial"/>
          <w:sz w:val="15"/>
          <w:szCs w:val="15"/>
          <w:color w:val="auto"/>
        </w:rPr>
        <w:t xml:space="preserve">The DWORF program is intended to provide meaningful therapeutic benefit for multiple patient populations with significant unmet need with a focus on DCM and HFrEF. We and our academic collaborators have accumulated significant preclinical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evidence for the therapeutic benefit of over-expression of the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in multiple murine models, including models of DCM and HFrEF, as well as tolerability in murine models. These findings in animal models support the idea that overexpression of DWORF may be a promising approach for both rare and prevalent forms of HF. This program is currently at the candidate selection stage.</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DCM</w:t>
      </w:r>
    </w:p>
    <w:p>
      <w:pPr>
        <w:spacing w:after="0" w:line="99" w:lineRule="exact"/>
        <w:rPr>
          <w:sz w:val="20"/>
          <w:szCs w:val="20"/>
          <w:color w:val="auto"/>
        </w:rPr>
      </w:pPr>
    </w:p>
    <w:p>
      <w:pPr>
        <w:ind w:left="820" w:right="240" w:firstLine="385"/>
        <w:spacing w:after="0" w:line="281" w:lineRule="auto"/>
        <w:rPr>
          <w:sz w:val="20"/>
          <w:szCs w:val="20"/>
          <w:color w:val="auto"/>
        </w:rPr>
      </w:pPr>
      <w:r>
        <w:rPr>
          <w:rFonts w:ascii="Arial" w:cs="Arial" w:eastAsia="Arial" w:hAnsi="Arial"/>
          <w:sz w:val="15"/>
          <w:szCs w:val="15"/>
          <w:color w:val="auto"/>
        </w:rPr>
        <w:t>DCM is broadly defined as HF where the EF is below 40% and the LV walls are thin and over-expanded, leading to insufficient contraction, reduced blood flow pumped by the heart, and abnormal heart rhythms. DCM can be caused by a variety of mechanisms, including genetics, coronary artery disease, high blood pressure, heart attack, and viral infection due to a high risk of ventricular arrythmias.</w:t>
      </w:r>
    </w:p>
    <w:p>
      <w:pPr>
        <w:spacing w:after="0" w:line="149" w:lineRule="exact"/>
        <w:rPr>
          <w:sz w:val="20"/>
          <w:szCs w:val="20"/>
          <w:color w:val="auto"/>
        </w:rPr>
      </w:pPr>
    </w:p>
    <w:p>
      <w:pPr>
        <w:ind w:left="820" w:right="120" w:firstLine="385"/>
        <w:spacing w:after="0" w:line="275" w:lineRule="auto"/>
        <w:rPr>
          <w:sz w:val="20"/>
          <w:szCs w:val="20"/>
          <w:color w:val="auto"/>
        </w:rPr>
      </w:pPr>
      <w:r>
        <w:rPr>
          <w:rFonts w:ascii="Arial" w:cs="Arial" w:eastAsia="Arial" w:hAnsi="Arial"/>
          <w:sz w:val="15"/>
          <w:szCs w:val="15"/>
          <w:color w:val="auto"/>
        </w:rPr>
        <w:t>DCM is a life-threatening and progressive disease. Once symptoms appear, a patient’s condition typically declines progressively. Typical symptoms of HF due to DCM include shortness of breath, fatigue, swelling in the extremities, or an irregular heartbeat. As the disease progresses, patients become increasingly debilitated and experience sustained shortness of breath, even at rest. Diastolic function, or the heart’s ability to relax and fill with blood, is also impaired because the heart is already expanded and fibrotic. The dilated LV is deprived of an</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420"/>
          </w:cols>
          <w:pgMar w:left="320" w:top="418" w:right="115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40"/>
        <w:spacing w:after="0" w:line="266" w:lineRule="auto"/>
        <w:rPr>
          <w:sz w:val="20"/>
          <w:szCs w:val="20"/>
          <w:color w:val="auto"/>
        </w:rPr>
      </w:pPr>
      <w:r>
        <w:rPr>
          <w:rFonts w:ascii="Arial" w:cs="Arial" w:eastAsia="Arial" w:hAnsi="Arial"/>
          <w:sz w:val="16"/>
          <w:szCs w:val="16"/>
          <w:color w:val="auto"/>
        </w:rPr>
        <w:t>adequate supply of oxygen that may contribute to further fibrosis and the risk of dangerous heart rhythm disturbances. At any stage of the disease, whether or not symptoms have appeared, DCM patients are at risk of sudden cardiac death.</w:t>
      </w:r>
    </w:p>
    <w:p>
      <w:pPr>
        <w:spacing w:after="0" w:line="158"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A subset of DCM is caused by genetic mutations in proteins involved in muscle contraction. Mutations in one such protein, phospholamban (PLN), can cause DCM. These mutations are believed to result in abnormal regulation of calcium biology instrumental in muscle contraction, leading to ventricular dilation, fibrosis and HF over time. Some patients with PLN mutations have a high severity of disease, including patients with R9C and R14del mutations.</w:t>
      </w:r>
    </w:p>
    <w:p>
      <w:pPr>
        <w:spacing w:after="0" w:line="167" w:lineRule="exact"/>
        <w:rPr>
          <w:sz w:val="20"/>
          <w:szCs w:val="20"/>
          <w:color w:val="auto"/>
        </w:rPr>
      </w:pPr>
    </w:p>
    <w:p>
      <w:pPr>
        <w:ind w:left="820" w:right="140" w:firstLine="385"/>
        <w:spacing w:after="0" w:line="300" w:lineRule="auto"/>
        <w:rPr>
          <w:sz w:val="20"/>
          <w:szCs w:val="20"/>
          <w:color w:val="auto"/>
        </w:rPr>
      </w:pPr>
      <w:r>
        <w:rPr>
          <w:rFonts w:ascii="Arial" w:cs="Arial" w:eastAsia="Arial" w:hAnsi="Arial"/>
          <w:sz w:val="15"/>
          <w:szCs w:val="15"/>
          <w:color w:val="auto"/>
        </w:rPr>
        <w:t>It is estimated that DCM affects about one million people in the United States, with genetic abnormalities linked to DCM estimated to be present in about 30% to 40% of DCM patients. PLN mutations are rare with an estimated 0.5% of DCM patients carrying PLN mutations.</w:t>
      </w:r>
    </w:p>
    <w:p>
      <w:pPr>
        <w:spacing w:after="0" w:line="135" w:lineRule="exact"/>
        <w:rPr>
          <w:sz w:val="20"/>
          <w:szCs w:val="20"/>
          <w:color w:val="auto"/>
        </w:rPr>
      </w:pPr>
    </w:p>
    <w:p>
      <w:pPr>
        <w:ind w:left="820" w:right="60" w:firstLine="385"/>
        <w:spacing w:after="0" w:line="275" w:lineRule="auto"/>
        <w:rPr>
          <w:sz w:val="20"/>
          <w:szCs w:val="20"/>
          <w:color w:val="auto"/>
        </w:rPr>
      </w:pPr>
      <w:r>
        <w:rPr>
          <w:rFonts w:ascii="Arial" w:cs="Arial" w:eastAsia="Arial" w:hAnsi="Arial"/>
          <w:sz w:val="15"/>
          <w:szCs w:val="15"/>
          <w:color w:val="auto"/>
        </w:rPr>
        <w:t>Current therapy for DCM generally uses therapies developed for HFrEF. While current pharmacologic therapies have improved prognosis and the quality of life of DCM patients, the premature morbidity and mortality rate remains unacceptably high. End-stage DCM is the leading indication for use of last line therapies, including LVADs and heart transplantation. Within five years of diagnosis, 43% of patients with advanced DCM have either died or needed a heart transplant. Thus, there is a large unmet need for novel and more individualized therapeutic options.</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HFrEF</w:t>
      </w:r>
    </w:p>
    <w:p>
      <w:pPr>
        <w:spacing w:after="0" w:line="99" w:lineRule="exact"/>
        <w:rPr>
          <w:sz w:val="20"/>
          <w:szCs w:val="20"/>
          <w:color w:val="auto"/>
        </w:rPr>
      </w:pPr>
    </w:p>
    <w:p>
      <w:pPr>
        <w:ind w:left="820" w:right="120" w:firstLine="385"/>
        <w:spacing w:after="0" w:line="383" w:lineRule="auto"/>
        <w:rPr>
          <w:sz w:val="20"/>
          <w:szCs w:val="20"/>
          <w:color w:val="auto"/>
        </w:rPr>
      </w:pPr>
      <w:r>
        <w:rPr>
          <w:rFonts w:ascii="Arial" w:cs="Arial" w:eastAsia="Arial" w:hAnsi="Arial"/>
          <w:sz w:val="13"/>
          <w:szCs w:val="13"/>
          <w:color w:val="auto"/>
        </w:rPr>
        <w:t>Among patients with HF, the amount of blood that is pumped out of the LV (LV EF), can vary significantly, and is often characterized as reduced if below 40% (HFrEF), mid-range if between 40% to 50% (HFmrEF) or preserved if greater than or equal to 50% of normal LV EF (HFpEF).</w:t>
      </w:r>
    </w:p>
    <w:p>
      <w:pPr>
        <w:spacing w:after="0" w:line="89" w:lineRule="exact"/>
        <w:rPr>
          <w:sz w:val="20"/>
          <w:szCs w:val="20"/>
          <w:color w:val="auto"/>
        </w:rPr>
      </w:pPr>
    </w:p>
    <w:p>
      <w:pPr>
        <w:ind w:left="820" w:right="340" w:firstLine="385"/>
        <w:spacing w:after="0" w:line="281" w:lineRule="auto"/>
        <w:rPr>
          <w:sz w:val="20"/>
          <w:szCs w:val="20"/>
          <w:color w:val="auto"/>
        </w:rPr>
      </w:pPr>
      <w:r>
        <w:rPr>
          <w:rFonts w:ascii="Arial" w:cs="Arial" w:eastAsia="Arial" w:hAnsi="Arial"/>
          <w:sz w:val="15"/>
          <w:szCs w:val="15"/>
          <w:color w:val="auto"/>
        </w:rPr>
        <w:t>Approximately 50% of HF cases are HFrEF, representing a prevalence of nearly four million patients in the United States. In addition, the incidence and prevalence of HFrEF continues to rise. This increase is driven by an aging population, improved survival from MI and other forms of heart disease, and the increasing prevalence of predisposing risk factors such as diabetes and obesity.</w:t>
      </w:r>
    </w:p>
    <w:p>
      <w:pPr>
        <w:spacing w:after="0" w:line="149" w:lineRule="exact"/>
        <w:rPr>
          <w:sz w:val="20"/>
          <w:szCs w:val="20"/>
          <w:color w:val="auto"/>
        </w:rPr>
      </w:pPr>
    </w:p>
    <w:p>
      <w:pPr>
        <w:ind w:left="820" w:right="100" w:firstLine="385"/>
        <w:spacing w:after="0" w:line="329" w:lineRule="auto"/>
        <w:rPr>
          <w:sz w:val="20"/>
          <w:szCs w:val="20"/>
          <w:color w:val="auto"/>
        </w:rPr>
      </w:pPr>
      <w:r>
        <w:rPr>
          <w:rFonts w:ascii="Arial" w:cs="Arial" w:eastAsia="Arial" w:hAnsi="Arial"/>
          <w:sz w:val="13"/>
          <w:szCs w:val="13"/>
          <w:color w:val="auto"/>
        </w:rPr>
        <w:t>HFrEF patients continue to have substantial unmet need despite advances in pharmacological treatments, with up to 30% of treated patients experiencing a significant limitation in physical activity. Development of HF continues to be associated with significant morbidity and mortality, with a one-year mortality rate of 7% and one-year hospitalization rate of 32%. Over a five-year period, readmission for HF and mortality rates are as high as 48% and 75%, respectively, highlighting the significant and increasing burden of illness for patients and healthcare systems.</w:t>
      </w:r>
    </w:p>
    <w:p>
      <w:pPr>
        <w:spacing w:after="0" w:line="123"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The standard of care for HFrEF involves multiple different classes of therapies, including ACE inhibitors, beta blockers, vasodilator, aldosterone antagonists, and others. For end-stage HFrEF patients refractory to medical therapy, the treatment options are limited to LVADs and heart transplantation. LVADs have a finite duration of efficacy and are associated with the potential for fatal complications, frequent hospital readmissions, and high treatment cost. Heart transplant availability is restricted by the scarce supply of donor organs, risk of transplant rejection, and lifelong treatment with immunosuppression therapeutic regimes that are associated with organ damage.</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DWORF Gene Therapy</w:t>
      </w:r>
    </w:p>
    <w:p>
      <w:pPr>
        <w:spacing w:after="0" w:line="99" w:lineRule="exact"/>
        <w:rPr>
          <w:sz w:val="20"/>
          <w:szCs w:val="20"/>
          <w:color w:val="auto"/>
        </w:rPr>
      </w:pPr>
    </w:p>
    <w:p>
      <w:pPr>
        <w:ind w:left="820" w:right="160" w:firstLine="385"/>
        <w:spacing w:after="0" w:line="256" w:lineRule="auto"/>
        <w:rPr>
          <w:sz w:val="20"/>
          <w:szCs w:val="20"/>
          <w:color w:val="auto"/>
        </w:rPr>
      </w:pPr>
      <w:r>
        <w:rPr>
          <w:rFonts w:ascii="Arial" w:cs="Arial" w:eastAsia="Arial" w:hAnsi="Arial"/>
          <w:sz w:val="16"/>
          <w:szCs w:val="16"/>
          <w:color w:val="auto"/>
        </w:rPr>
        <w:t xml:space="preserve">We are developing an AAV-based gene therapy to deliver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to CMs for the treatment of DCM and HFrEF. DWORF is a recently discovered small peptide that localizes primarily to the sarcoplasmic reticulum of the cardiac muscle cell. During muscle cell activation, calcium is released from sarcoplasmic</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0440"/>
          </w:cols>
          <w:pgMar w:left="320" w:top="418" w:right="113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2" w:lineRule="auto"/>
        <w:rPr>
          <w:sz w:val="20"/>
          <w:szCs w:val="20"/>
          <w:color w:val="auto"/>
        </w:rPr>
      </w:pPr>
      <w:r>
        <w:rPr>
          <w:rFonts w:ascii="Arial" w:cs="Arial" w:eastAsia="Arial" w:hAnsi="Arial"/>
          <w:sz w:val="15"/>
          <w:szCs w:val="15"/>
          <w:color w:val="auto"/>
        </w:rPr>
        <w:t>reticulum into the muscle cell’s cytosol and into the sarcomere, leading to muscle contraction. Sarcoplasmic/endoplasmic reticulum Ca2+ ATPase 2a (SERCA2a) is a major isoform of SERCA expressed in CMs and plays an essential role in the regulation of cardiac contractility. SERCA2a transports calcium from the cytosol back into the sarcoplasmic reticulum, preserving the calcium gradient required for contraction. DWORF binds to SERCA2a and displaces the inhibitory PLN peptide, resulting in increased SERCA2a activity, increased levels of calcium pumped into the sarcoplasmic reticulum, and increased muscle contraction, ultimately leading to an improvement in heart function.</w:t>
      </w:r>
    </w:p>
    <w:p>
      <w:pPr>
        <w:spacing w:after="0" w:line="154"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 xml:space="preserve">We believe DWORF is an ideal target for the treatment of HFrEF. DWORF is a small peptide that is readily expressed when delivered by AAV. The small size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leaves additional room in the AAV capsid to include optimized combinations or promoters and regulatory elements to tailor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expression levels. In addition, published studies have shown that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expression is lower in failing human hearts compared to non-diseased hearts.</w:t>
      </w:r>
    </w:p>
    <w:p>
      <w:pPr>
        <w:spacing w:after="0" w:line="167"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The figure below shows expression analyses in human HF tissue. DWORF mRNA is reduced in failing hearts whereas atrial natriuretic peptide (NPPA) mRNA, a marker of congestive HF, is significantly increased in failing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123190</wp:posOffset>
            </wp:positionV>
            <wp:extent cx="1003300" cy="12426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0330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20" w:right="100" w:firstLine="385"/>
        <w:spacing w:after="0" w:line="272" w:lineRule="auto"/>
        <w:rPr>
          <w:sz w:val="20"/>
          <w:szCs w:val="20"/>
          <w:color w:val="auto"/>
        </w:rPr>
      </w:pPr>
      <w:r>
        <w:rPr>
          <w:rFonts w:ascii="Arial" w:cs="Arial" w:eastAsia="Arial" w:hAnsi="Arial"/>
          <w:sz w:val="15"/>
          <w:szCs w:val="15"/>
          <w:color w:val="auto"/>
        </w:rPr>
        <w:t xml:space="preserve">One therapeutic hypothesis is that restoring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expression to normal levels, through treatment with a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therapy, may normalize calcium flux in CMs and increase contractile strength in DCM patients as well as the broader HFrEF patient population. In addition, DCM patients carrying PLN mutations have mutant PLN peptides that inhibit SERCA2a and decrease contraction.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therapy produces DWORF peptides that directly compete with mutant PLN peptides by preferentially binding with SERCA2a, which can increase muscle contraction, potentially resulting in halting or even reversal of disease progression.</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0380"/>
          </w:cols>
          <w:pgMar w:left="320" w:top="418" w:right="119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 xml:space="preserve">Our DWORF program, illustrated below, is currently at the candidate selection stage with multiple constructs under consideration.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expression is limited to the CM through use of a novel CM-specific promoter. Our intended product candidate will use an AAV capsid with high tropism for the heart, either AAV9 or a novel proprietary capsid developed through our capsid engineering capabilities, to deliver the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We are exploring different ROAs including systemic (IV) or delivery directly to the heart through an infusion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120015</wp:posOffset>
            </wp:positionV>
            <wp:extent cx="4529455" cy="19989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529455"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w:t>
      </w:r>
    </w:p>
    <w:p>
      <w:pPr>
        <w:spacing w:after="0" w:line="193" w:lineRule="exact"/>
        <w:rPr>
          <w:sz w:val="20"/>
          <w:szCs w:val="20"/>
          <w:color w:val="auto"/>
        </w:rPr>
      </w:pPr>
    </w:p>
    <w:p>
      <w:pPr>
        <w:ind w:left="820" w:right="180" w:firstLine="385"/>
        <w:spacing w:after="0" w:line="253" w:lineRule="auto"/>
        <w:rPr>
          <w:sz w:val="20"/>
          <w:szCs w:val="20"/>
          <w:color w:val="auto"/>
        </w:rPr>
      </w:pPr>
      <w:r>
        <w:rPr>
          <w:rFonts w:ascii="Arial" w:cs="Arial" w:eastAsia="Arial" w:hAnsi="Arial"/>
          <w:sz w:val="16"/>
          <w:szCs w:val="16"/>
          <w:i w:val="1"/>
          <w:iCs w:val="1"/>
          <w:color w:val="auto"/>
        </w:rPr>
        <w:t>Results in DCM (with MLP KO model)</w:t>
      </w:r>
      <w:r>
        <w:rPr>
          <w:rFonts w:ascii="Arial" w:cs="Arial" w:eastAsia="Arial" w:hAnsi="Arial"/>
          <w:sz w:val="16"/>
          <w:szCs w:val="16"/>
          <w:color w:val="auto"/>
        </w:rPr>
        <w:t>: Overexpression of</w:t>
      </w:r>
      <w:r>
        <w:rPr>
          <w:rFonts w:ascii="Arial" w:cs="Arial" w:eastAsia="Arial" w:hAnsi="Arial"/>
          <w:sz w:val="16"/>
          <w:szCs w:val="16"/>
          <w:i w:val="1"/>
          <w:iCs w:val="1"/>
          <w:color w:val="auto"/>
        </w:rPr>
        <w:t xml:space="preserve"> DWORF </w:t>
      </w:r>
      <w:r>
        <w:rPr>
          <w:rFonts w:ascii="Arial" w:cs="Arial" w:eastAsia="Arial" w:hAnsi="Arial"/>
          <w:sz w:val="16"/>
          <w:szCs w:val="16"/>
          <w:color w:val="auto"/>
        </w:rPr>
        <w:t>has led to improvements in multiple parameters in mouse models of DCM.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co-founder Eric Olson, Ph.D. has demonstrated that overexpression of </w:t>
      </w:r>
      <w:r>
        <w:rPr>
          <w:rFonts w:ascii="Arial" w:cs="Arial" w:eastAsia="Arial" w:hAnsi="Arial"/>
          <w:sz w:val="16"/>
          <w:szCs w:val="16"/>
          <w:i w:val="1"/>
          <w:iCs w:val="1"/>
          <w:color w:val="auto"/>
        </w:rPr>
        <w:t>DWORF</w:t>
      </w:r>
      <w:r>
        <w:rPr>
          <w:rFonts w:ascii="Arial" w:cs="Arial" w:eastAsia="Arial" w:hAnsi="Arial"/>
          <w:sz w:val="16"/>
          <w:szCs w:val="16"/>
          <w:color w:val="auto"/>
        </w:rPr>
        <w:t xml:space="preserve"> in a transgenic (Tg) model leads to improvements in heart size, normalization of wall thickness and also improvements in EF, as demonstrated in the Muscle Lim Protein (MLP) KO mouse model of DCM, a model considered representative of the broader DCM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129540</wp:posOffset>
            </wp:positionV>
            <wp:extent cx="4529455" cy="19088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29455" cy="190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0400"/>
          </w:cols>
          <w:pgMar w:left="320" w:top="418" w:right="117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In addition to improvement in heart function, as shown in the figure below, Tg DWORF overexpression also prevents muscle cell disarray and fibrosis in the MLP KO model of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123190</wp:posOffset>
            </wp:positionV>
            <wp:extent cx="4529455" cy="2103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29455"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20" w:firstLine="385"/>
        <w:spacing w:after="0" w:line="383" w:lineRule="auto"/>
        <w:rPr>
          <w:sz w:val="20"/>
          <w:szCs w:val="20"/>
          <w:color w:val="auto"/>
        </w:rPr>
      </w:pPr>
      <w:r>
        <w:rPr>
          <w:rFonts w:ascii="Arial" w:cs="Arial" w:eastAsia="Arial" w:hAnsi="Arial"/>
          <w:sz w:val="13"/>
          <w:szCs w:val="13"/>
          <w:color w:val="auto"/>
        </w:rPr>
        <w:t>Treatment with AAV:DWORF constructs has shown similar improvements in heart remodeling following treatment. As shown below, experiments conducted in the lab of Eric Olson demonstrated improvements in heart remodeling with an AAV:DWORF construct in the MLP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79375</wp:posOffset>
            </wp:positionV>
            <wp:extent cx="1953895" cy="22758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53895"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0420"/>
          </w:cols>
          <w:pgMar w:left="320" w:top="418" w:right="115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We have also demonstrated improvement in the same MLP KO model using our proprietary AAV:DWORF constructs. We have developed multiple proprietary promoters that drive multiple different levels of expression. As shown below, AAV:DWORF constructs containing these promoters (TNP-CM2, TNP-CM4, and TNP-CM7) improved in EF relative to a saline control in the MLP KO mouse model of DCM, with improvements in EF as high as approximately 14% achieved with constructs containing the TNP-CM4 promoter:</w:t>
      </w:r>
    </w:p>
    <w:p>
      <w:pPr>
        <w:spacing w:after="0" w:line="258"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Comparison of Effect of Three DWORF Constructs in Severe MLP KO DCM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147955</wp:posOffset>
            </wp:positionV>
            <wp:extent cx="2328545" cy="1916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28545"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i w:val="1"/>
          <w:iCs w:val="1"/>
          <w:color w:val="auto"/>
        </w:rPr>
        <w:t>Results in DCM (with PLN Mutant Models)</w:t>
      </w:r>
      <w:r>
        <w:rPr>
          <w:rFonts w:ascii="Arial" w:cs="Arial" w:eastAsia="Arial" w:hAnsi="Arial"/>
          <w:sz w:val="16"/>
          <w:szCs w:val="16"/>
          <w:color w:val="auto"/>
        </w:rPr>
        <w:t>: Overexpression of</w:t>
      </w:r>
      <w:r>
        <w:rPr>
          <w:rFonts w:ascii="Arial" w:cs="Arial" w:eastAsia="Arial" w:hAnsi="Arial"/>
          <w:sz w:val="16"/>
          <w:szCs w:val="16"/>
          <w:i w:val="1"/>
          <w:iCs w:val="1"/>
          <w:color w:val="auto"/>
        </w:rPr>
        <w:t xml:space="preserve"> DWORF </w:t>
      </w:r>
      <w:r>
        <w:rPr>
          <w:rFonts w:ascii="Arial" w:cs="Arial" w:eastAsia="Arial" w:hAnsi="Arial"/>
          <w:sz w:val="16"/>
          <w:szCs w:val="16"/>
          <w:color w:val="auto"/>
        </w:rPr>
        <w:t>has also demonstrated meaningful improvements in mouse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PLN mutant DCM. In experiments conducted in the lab of Eric Olson, mice with PLN R9C mutations are characterized by strong PLN inhibition of the SERCA2a calcium pump, resulting in decreased calcium flux, reduced heart muscle contraction, and decreased heart function. Tg overexpression of </w:t>
      </w:r>
      <w:r>
        <w:rPr>
          <w:rFonts w:ascii="Arial" w:cs="Arial" w:eastAsia="Arial" w:hAnsi="Arial"/>
          <w:sz w:val="16"/>
          <w:szCs w:val="16"/>
          <w:i w:val="1"/>
          <w:iCs w:val="1"/>
          <w:color w:val="auto"/>
        </w:rPr>
        <w:t xml:space="preserve">DWORF </w:t>
      </w:r>
      <w:r>
        <w:rPr>
          <w:rFonts w:ascii="Arial" w:cs="Arial" w:eastAsia="Arial" w:hAnsi="Arial"/>
          <w:sz w:val="16"/>
          <w:szCs w:val="16"/>
          <w:color w:val="auto"/>
        </w:rPr>
        <w:t>has been shown, as illustrated below, to improve fibrosis and heart remodeling in animals six months of age and improve survival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genetic model of 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198120</wp:posOffset>
            </wp:positionV>
            <wp:extent cx="2635250" cy="14674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35250" cy="146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0380"/>
          </w:cols>
          <w:pgMar w:left="320" w:top="418" w:right="119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177800</wp:posOffset>
            </wp:positionV>
            <wp:extent cx="2515235" cy="1459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15235" cy="145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DWORF Overexpression Improves Survival in PLN R9C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148590</wp:posOffset>
            </wp:positionV>
            <wp:extent cx="3481070" cy="14897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81070"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 xml:space="preserve">We have tested different AAV:DWORF constructs in both healthy and disease mouse models and have not observed any safety signals at clinically relevant levels of </w:t>
      </w:r>
      <w:r>
        <w:rPr>
          <w:rFonts w:ascii="Arial" w:cs="Arial" w:eastAsia="Arial" w:hAnsi="Arial"/>
          <w:sz w:val="16"/>
          <w:szCs w:val="16"/>
          <w:i w:val="1"/>
          <w:iCs w:val="1"/>
          <w:color w:val="auto"/>
        </w:rPr>
        <w:t>DWORF</w:t>
      </w:r>
      <w:r>
        <w:rPr>
          <w:rFonts w:ascii="Arial" w:cs="Arial" w:eastAsia="Arial" w:hAnsi="Arial"/>
          <w:sz w:val="16"/>
          <w:szCs w:val="16"/>
          <w:color w:val="auto"/>
        </w:rPr>
        <w:t xml:space="preserve"> overexpression.</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ind w:left="820" w:right="300" w:firstLine="385"/>
        <w:spacing w:after="0" w:line="281" w:lineRule="auto"/>
        <w:rPr>
          <w:sz w:val="20"/>
          <w:szCs w:val="20"/>
          <w:color w:val="auto"/>
        </w:rPr>
      </w:pPr>
      <w:r>
        <w:rPr>
          <w:rFonts w:ascii="Arial" w:cs="Arial" w:eastAsia="Arial" w:hAnsi="Arial"/>
          <w:sz w:val="15"/>
          <w:szCs w:val="15"/>
          <w:color w:val="auto"/>
        </w:rPr>
        <w:t>After selection of our product candidate, we plan to initiate IND-enabling studies. We intend to submit an IND or CTA to the FDA or EMA, respectively, no earlier than 2023. During clinical development, we plan to examine the role of AAV:DWORF in DCM as well as potentially in sub-populations of HFrEF where there is alignment between AAV:DWORF with the pathophysiology of the disease.</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Reprogramming Program for HF due to Prior MI</w:t>
      </w:r>
    </w:p>
    <w:p>
      <w:pPr>
        <w:spacing w:after="0" w:line="99"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 xml:space="preserve">We are developing an AAV-based approach to cellular regeneration that involves 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We have discovered a proprietary combination of three genes that can drive robust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reprogramming of CFs to CMs when delivered together in a single AAV. As shown in the figures below, see “Reprogramming: Preclinical Studies”, significant (p&lt;0.01) and durable improvement in EF has been achieved across 29 weeks post-treatment in rats, as well as tolerability in multiple small and large animal models.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7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0420"/>
          </w:cols>
          <w:pgMar w:left="320" w:top="418" w:right="115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HF due to prior MI</w:t>
      </w:r>
    </w:p>
    <w:p>
      <w:pPr>
        <w:spacing w:after="0" w:line="99" w:lineRule="exact"/>
        <w:rPr>
          <w:sz w:val="20"/>
          <w:szCs w:val="20"/>
          <w:color w:val="auto"/>
        </w:rPr>
      </w:pPr>
    </w:p>
    <w:p>
      <w:pPr>
        <w:ind w:left="820" w:right="180" w:firstLine="385"/>
        <w:spacing w:after="0" w:line="272" w:lineRule="auto"/>
        <w:rPr>
          <w:sz w:val="20"/>
          <w:szCs w:val="20"/>
          <w:color w:val="auto"/>
        </w:rPr>
      </w:pPr>
      <w:r>
        <w:rPr>
          <w:rFonts w:ascii="Arial" w:cs="Arial" w:eastAsia="Arial" w:hAnsi="Arial"/>
          <w:sz w:val="15"/>
          <w:szCs w:val="15"/>
          <w:color w:val="auto"/>
        </w:rPr>
        <w:t>CAD is the single most common cause of HF. CAD is often associated with an MI, in which blood flow to a section of the heart, usually the LV, becomes limited, causing the cells in that section of the heart, including CMs and CFs, to die. The heart cannot replace the lost CMs while the CFs multiply significantly, resulting in scar tissue formation and stiffening of the LV walls, leading to progressive and irreversible cardiovascular remodeling. As a result, the heart continues to lose its ability to pump as strongly and may fail over time. In addition to HF, these patients also have a persistent risk of arrhythmias and increased likelihood of a second heart attack or sudden death.</w:t>
      </w:r>
    </w:p>
    <w:p>
      <w:pPr>
        <w:spacing w:after="0" w:line="154"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In the United States, greater than 800,000 people have a heart attack every year; of these approximately 200,000 already had a prior heart attack. Approximately 20% of patients age 45 and older will have another heart attack within five years of their first one. Despite advances in treatment options, mortality due to heart attack is still high; data from the U.S. National Vital Statistics Reports shows the median life expectancy among individuals aged 65 to 69 who have had a heart attack is just 8.3 years as compared to 18.7 years among those who have not.</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There are no known therapies that address the loss of CMs associated with MI and the resulting morbidity and mortality.</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Direct In Vivo Reprogramming of Resident CFs to Create CMs</w:t>
      </w:r>
    </w:p>
    <w:p>
      <w:pPr>
        <w:spacing w:after="0" w:line="99"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 xml:space="preserve">Cellular reprogramming is the process of converting cells of one type into another cell type. Shinya Yamanaka and John Gurdon won the Nobel Prize for their discovery that cells in the body can be reprogrammed to become stem cells, called iPSCs, capable of developing into any other type of cell in the body using a combination of four transcriptional factors. Since then, researchers have also found other combinations of factors capable of directly converting cells from one type to another without first going through the iPSC state. Dr. Srivastava, one of our co-founders and a member of our board of directors, was the first to demonstrate direct reprogramming of CFs into CMs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creating the potential for a new approach to cardiac regeneration.</w:t>
      </w:r>
    </w:p>
    <w:p>
      <w:pPr>
        <w:spacing w:after="0" w:line="171" w:lineRule="exact"/>
        <w:rPr>
          <w:sz w:val="20"/>
          <w:szCs w:val="20"/>
          <w:color w:val="auto"/>
        </w:rPr>
      </w:pPr>
    </w:p>
    <w:p>
      <w:pPr>
        <w:ind w:left="820" w:right="60" w:firstLine="385"/>
        <w:spacing w:after="0" w:line="307" w:lineRule="auto"/>
        <w:rPr>
          <w:sz w:val="20"/>
          <w:szCs w:val="20"/>
          <w:color w:val="auto"/>
        </w:rPr>
      </w:pPr>
      <w:r>
        <w:rPr>
          <w:rFonts w:ascii="Arial" w:cs="Arial" w:eastAsia="Arial" w:hAnsi="Arial"/>
          <w:sz w:val="13"/>
          <w:szCs w:val="13"/>
          <w:color w:val="auto"/>
        </w:rPr>
        <w:t xml:space="preserve">Building on this pioneering work, we have developed a novel AAV-based therapy for direct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reprogramming of resident CFs into CMs to replace the CMs lost due to an MI. Our goal is to convert the CFs into new CMs to help repair the heart after an MI, and ultimately slow down, stabilize or even potentially reverse the progression to HF. Our approach leverages substantial in-house advances in our reprogramming factors, capsid engineering, regulatory elements, and drug delivery to translate cardiac reprogramming science towards clinically relevant solutions.</w:t>
      </w:r>
    </w:p>
    <w:p>
      <w:pPr>
        <w:spacing w:after="0" w:line="1" w:lineRule="exact"/>
        <w:rPr>
          <w:sz w:val="20"/>
          <w:szCs w:val="20"/>
          <w:color w:val="auto"/>
        </w:rPr>
      </w:pPr>
    </w:p>
    <w:p>
      <w:pPr>
        <w:ind w:left="1660" w:right="80" w:hanging="469"/>
        <w:spacing w:after="0" w:line="323" w:lineRule="auto"/>
        <w:tabs>
          <w:tab w:leader="none" w:pos="166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Reprogramming factors</w:t>
      </w:r>
      <w:r>
        <w:rPr>
          <w:rFonts w:ascii="Arial" w:cs="Arial" w:eastAsia="Arial" w:hAnsi="Arial"/>
          <w:sz w:val="13"/>
          <w:szCs w:val="13"/>
          <w:color w:val="auto"/>
        </w:rPr>
        <w:t>. Through extensive</w:t>
      </w:r>
      <w:r>
        <w:rPr>
          <w:rFonts w:ascii="Arial" w:cs="Arial" w:eastAsia="Arial" w:hAnsi="Arial"/>
          <w:sz w:val="13"/>
          <w:szCs w:val="13"/>
          <w:i w:val="1"/>
          <w:iCs w:val="1"/>
          <w:color w:val="auto"/>
        </w:rPr>
        <w:t xml:space="preserve"> in vitro </w:t>
      </w:r>
      <w:r>
        <w:rPr>
          <w:rFonts w:ascii="Arial" w:cs="Arial" w:eastAsia="Arial" w:hAnsi="Arial"/>
          <w:sz w:val="13"/>
          <w:szCs w:val="13"/>
          <w:color w:val="auto"/>
        </w:rPr>
        <w:t>screening efforts in actual human CFs, we identified a unique combination of three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genes encoding Myocardin, ASCL1, and miR-133 that together can drive robust direct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reprogramming of CFs to CMs, and that we have designed to fit into a single AAV. We use the term reprogramming factors to refer to such combination of genes and any other combinations of genes that when delivered together in a single AAV into CFs, result in the direct reprogramming of the CFs into CMs.</w:t>
      </w:r>
    </w:p>
    <w:p>
      <w:pPr>
        <w:spacing w:after="0" w:line="44" w:lineRule="exact"/>
        <w:rPr>
          <w:rFonts w:ascii="Arial" w:cs="Arial" w:eastAsia="Arial" w:hAnsi="Arial"/>
          <w:sz w:val="13"/>
          <w:szCs w:val="13"/>
          <w:color w:val="auto"/>
        </w:rPr>
      </w:pPr>
    </w:p>
    <w:p>
      <w:pPr>
        <w:ind w:left="1660" w:right="100" w:hanging="469"/>
        <w:spacing w:after="0" w:line="281"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i w:val="1"/>
          <w:iCs w:val="1"/>
          <w:color w:val="auto"/>
        </w:rPr>
        <w:t>Capsid engineering</w:t>
      </w:r>
      <w:r>
        <w:rPr>
          <w:rFonts w:ascii="Arial" w:cs="Arial" w:eastAsia="Arial" w:hAnsi="Arial"/>
          <w:sz w:val="15"/>
          <w:szCs w:val="15"/>
          <w:color w:val="auto"/>
        </w:rPr>
        <w:t>. While AAV9 can be used to target CMs, it does not sufficiently transduce CFs. We have discovered a novel capsid,</w:t>
      </w:r>
      <w:r>
        <w:rPr>
          <w:rFonts w:ascii="Arial" w:cs="Arial" w:eastAsia="Arial" w:hAnsi="Arial"/>
          <w:sz w:val="15"/>
          <w:szCs w:val="15"/>
          <w:i w:val="1"/>
          <w:iCs w:val="1"/>
          <w:color w:val="auto"/>
        </w:rPr>
        <w:t xml:space="preserve"> </w:t>
      </w:r>
      <w:r>
        <w:rPr>
          <w:rFonts w:ascii="Arial" w:cs="Arial" w:eastAsia="Arial" w:hAnsi="Arial"/>
          <w:sz w:val="15"/>
          <w:szCs w:val="15"/>
          <w:color w:val="auto"/>
        </w:rPr>
        <w:t>TNC-CF1, which has a higher transduction efficiency for human CFs as compared to currently known AAV serotypes. Initial data suggest this novel capsid may also be less susceptible to neutralizing antibodies compared to known serotypes.</w:t>
      </w:r>
    </w:p>
    <w:p>
      <w:pPr>
        <w:spacing w:after="0" w:line="66" w:lineRule="exact"/>
        <w:rPr>
          <w:rFonts w:ascii="Arial" w:cs="Arial" w:eastAsia="Arial" w:hAnsi="Arial"/>
          <w:sz w:val="15"/>
          <w:szCs w:val="15"/>
          <w:color w:val="auto"/>
        </w:rPr>
      </w:pPr>
    </w:p>
    <w:p>
      <w:pPr>
        <w:ind w:left="1660" w:right="100" w:hanging="469"/>
        <w:spacing w:after="0" w:line="272"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i w:val="1"/>
          <w:iCs w:val="1"/>
          <w:color w:val="auto"/>
        </w:rPr>
        <w:t>Regulatory elements</w:t>
      </w:r>
      <w:r>
        <w:rPr>
          <w:rFonts w:ascii="Arial" w:cs="Arial" w:eastAsia="Arial" w:hAnsi="Arial"/>
          <w:sz w:val="15"/>
          <w:szCs w:val="15"/>
          <w:color w:val="auto"/>
        </w:rPr>
        <w:t>. We have pursued rigorous, iterative optimization efforts to create proprietary reprogramming products. We have</w:t>
      </w:r>
      <w:r>
        <w:rPr>
          <w:rFonts w:ascii="Arial" w:cs="Arial" w:eastAsia="Arial" w:hAnsi="Arial"/>
          <w:sz w:val="15"/>
          <w:szCs w:val="15"/>
          <w:i w:val="1"/>
          <w:iCs w:val="1"/>
          <w:color w:val="auto"/>
        </w:rPr>
        <w:t xml:space="preserve"> </w:t>
      </w:r>
      <w:r>
        <w:rPr>
          <w:rFonts w:ascii="Arial" w:cs="Arial" w:eastAsia="Arial" w:hAnsi="Arial"/>
          <w:sz w:val="15"/>
          <w:szCs w:val="15"/>
          <w:color w:val="auto"/>
        </w:rPr>
        <w:t>further optimized Myocardin and cassette regulatory elements to both decrease cassette size and improve reprogramming efficiency. After extensive exploration of single and double promoter strategies, we have selected the CAG promoter to drive robust expression of our reprogramming factors. We limit expression of our reprogramming factors in mature CMs by including a miR-208 binding site that decreases reprogramming factor expression in mature CMs after differentiation from fibroblasts.</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0440"/>
          </w:cols>
          <w:pgMar w:left="320" w:top="418" w:right="113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line="253" w:lineRule="auto"/>
        <w:tabs>
          <w:tab w:leader="none" w:pos="166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Drug delivery</w:t>
      </w:r>
      <w:r>
        <w:rPr>
          <w:rFonts w:ascii="Arial" w:cs="Arial" w:eastAsia="Arial" w:hAnsi="Arial"/>
          <w:sz w:val="16"/>
          <w:szCs w:val="16"/>
          <w:color w:val="auto"/>
        </w:rPr>
        <w:t>. We are developing, in conjunction with leaders in interventional cardiology, a proprietary percutaneous endomyocardial</w:t>
      </w:r>
      <w:r>
        <w:rPr>
          <w:rFonts w:ascii="Arial" w:cs="Arial" w:eastAsia="Arial" w:hAnsi="Arial"/>
          <w:sz w:val="16"/>
          <w:szCs w:val="16"/>
          <w:i w:val="1"/>
          <w:iCs w:val="1"/>
          <w:color w:val="auto"/>
        </w:rPr>
        <w:t xml:space="preserve"> </w:t>
      </w:r>
      <w:r>
        <w:rPr>
          <w:rFonts w:ascii="Arial" w:cs="Arial" w:eastAsia="Arial" w:hAnsi="Arial"/>
          <w:sz w:val="16"/>
          <w:szCs w:val="16"/>
          <w:color w:val="auto"/>
        </w:rPr>
        <w:t>injection catheter (TND-INJ1) to inject and deliver our gene therapies around scars in the heart in a non-surgical, minimally-invasive procedure. Many potential sites for future clinical studies have experience with endomyocardial injection catheters through previous and ongoing cell therapy studies.</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schematic below summarizes the components of our intended reprogramming gene therapy product candidate and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167640</wp:posOffset>
            </wp:positionV>
            <wp:extent cx="4529455" cy="1961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294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0240"/>
          </w:cols>
          <w:pgMar w:left="320" w:top="418" w:right="133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w:t>
      </w:r>
    </w:p>
    <w:p>
      <w:pPr>
        <w:spacing w:after="0" w:line="99" w:lineRule="exact"/>
        <w:rPr>
          <w:sz w:val="20"/>
          <w:szCs w:val="20"/>
          <w:color w:val="auto"/>
        </w:rPr>
      </w:pPr>
    </w:p>
    <w:p>
      <w:pPr>
        <w:jc w:val="both"/>
        <w:ind w:left="820" w:right="520" w:firstLine="385"/>
        <w:spacing w:after="0" w:line="256" w:lineRule="auto"/>
        <w:rPr>
          <w:sz w:val="20"/>
          <w:szCs w:val="20"/>
          <w:color w:val="auto"/>
        </w:rPr>
      </w:pPr>
      <w:r>
        <w:rPr>
          <w:rFonts w:ascii="Arial" w:cs="Arial" w:eastAsia="Arial" w:hAnsi="Arial"/>
          <w:sz w:val="16"/>
          <w:szCs w:val="16"/>
          <w:color w:val="auto"/>
        </w:rPr>
        <w:t xml:space="preserve">We have conducted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to optimize our direct reprogramming approach</w:t>
      </w:r>
      <w:r>
        <w:rPr>
          <w:rFonts w:ascii="Arial" w:cs="Arial" w:eastAsia="Arial" w:hAnsi="Arial"/>
          <w:sz w:val="16"/>
          <w:szCs w:val="16"/>
          <w:i w:val="1"/>
          <w:iCs w:val="1"/>
          <w:color w:val="auto"/>
        </w:rPr>
        <w:t>.</w:t>
      </w:r>
      <w:r>
        <w:rPr>
          <w:rFonts w:ascii="Arial" w:cs="Arial" w:eastAsia="Arial" w:hAnsi="Arial"/>
          <w:sz w:val="16"/>
          <w:szCs w:val="16"/>
          <w:color w:val="auto"/>
        </w:rPr>
        <w:t xml:space="preserve"> Our most advanced results have been achieved primarily with two different constructs, TN1-002 and TN1-006. A summary of certain pre-clinical data supporting the Reprogramming program in general and TN1-002 in particular was presented at the ASGCT conference in 2020.</w:t>
      </w:r>
    </w:p>
    <w:p>
      <w:pPr>
        <w:spacing w:after="0" w:line="189" w:lineRule="exact"/>
        <w:rPr>
          <w:sz w:val="20"/>
          <w:szCs w:val="20"/>
          <w:color w:val="auto"/>
        </w:rPr>
      </w:pPr>
    </w:p>
    <w:p>
      <w:pPr>
        <w:ind w:left="1660" w:hanging="469"/>
        <w:spacing w:after="0" w:line="251" w:lineRule="auto"/>
        <w:tabs>
          <w:tab w:leader="none" w:pos="16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Results from in vitro conversion of human CFs</w:t>
      </w:r>
      <w:r>
        <w:rPr>
          <w:rFonts w:ascii="Arial" w:cs="Arial" w:eastAsia="Arial" w:hAnsi="Arial"/>
          <w:sz w:val="16"/>
          <w:szCs w:val="16"/>
          <w:color w:val="auto"/>
        </w:rPr>
        <w:t>. Our reprogramming approach has been optimized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in adult human CFs.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conducted extensive iterative experiments to compare the relative efficiency of various constructs to convert CFs to CMs. CM-specific markers like cTnT and a-Actinin are measured to determine the proportion of cells that have been converted from CFs to CMs. The figure below illustrates the results from such an experiment, demonstrating how our TN1-006 construct can convert approximately 40% of human CFs to CMs:</w:t>
      </w:r>
    </w:p>
    <w:p>
      <w:pPr>
        <w:spacing w:after="0" w:line="26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i w:val="1"/>
          <w:iCs w:val="1"/>
          <w:color w:val="auto"/>
        </w:rPr>
        <w:t xml:space="preserve">In vitro </w:t>
      </w:r>
      <w:r>
        <w:rPr>
          <w:rFonts w:ascii="Arial" w:cs="Arial" w:eastAsia="Arial" w:hAnsi="Arial"/>
          <w:sz w:val="16"/>
          <w:szCs w:val="16"/>
          <w:b w:val="1"/>
          <w:bCs w:val="1"/>
          <w:color w:val="auto"/>
        </w:rPr>
        <w:t>Comparison of Reprogramming Efficiency</w:t>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of Adult Human Cardiac Fibroblasts to Cardiomyocytes with Different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138430</wp:posOffset>
            </wp:positionV>
            <wp:extent cx="3773170" cy="3571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773170" cy="357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420"/>
          </w:cols>
          <w:pgMar w:left="320" w:top="418" w:right="115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line="275"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i w:val="1"/>
          <w:iCs w:val="1"/>
          <w:color w:val="auto"/>
        </w:rPr>
        <w:t>Results from rodent disease models</w:t>
      </w:r>
      <w:r>
        <w:rPr>
          <w:rFonts w:ascii="Arial" w:cs="Arial" w:eastAsia="Arial" w:hAnsi="Arial"/>
          <w:sz w:val="15"/>
          <w:szCs w:val="15"/>
          <w:color w:val="auto"/>
        </w:rPr>
        <w:t>. We have demonstrated durable and dose-dependent improvement in EF in both mouse and rat models</w:t>
      </w:r>
      <w:r>
        <w:rPr>
          <w:rFonts w:ascii="Arial" w:cs="Arial" w:eastAsia="Arial" w:hAnsi="Arial"/>
          <w:sz w:val="15"/>
          <w:szCs w:val="15"/>
          <w:i w:val="1"/>
          <w:iCs w:val="1"/>
          <w:color w:val="auto"/>
        </w:rPr>
        <w:t xml:space="preserve"> </w:t>
      </w:r>
      <w:r>
        <w:rPr>
          <w:rFonts w:ascii="Arial" w:cs="Arial" w:eastAsia="Arial" w:hAnsi="Arial"/>
          <w:sz w:val="15"/>
          <w:szCs w:val="15"/>
          <w:color w:val="auto"/>
        </w:rPr>
        <w:t>of HF following an induced MI. In our rat model, TN1-006 was injected directly around the scar area formed two weeks after an induced MI. The figure below demonstrates dose-dependent improvement in EF, with an approximately 10% improvement in EF achieved at the highest dose compared to controls that was sustained up to the end of the experiment at 29 weeks:</w:t>
      </w:r>
    </w:p>
    <w:p>
      <w:pPr>
        <w:spacing w:after="0" w:line="243" w:lineRule="exact"/>
        <w:rPr>
          <w:sz w:val="20"/>
          <w:szCs w:val="20"/>
          <w:color w:val="auto"/>
        </w:rPr>
      </w:pPr>
    </w:p>
    <w:p>
      <w:pPr>
        <w:jc w:val="center"/>
        <w:ind w:right="-899"/>
        <w:spacing w:after="0"/>
        <w:rPr>
          <w:sz w:val="20"/>
          <w:szCs w:val="20"/>
          <w:color w:val="auto"/>
        </w:rPr>
      </w:pPr>
      <w:r>
        <w:rPr>
          <w:rFonts w:ascii="Arial" w:cs="Arial" w:eastAsia="Arial" w:hAnsi="Arial"/>
          <w:sz w:val="16"/>
          <w:szCs w:val="16"/>
          <w:b w:val="1"/>
          <w:bCs w:val="1"/>
          <w:color w:val="auto"/>
        </w:rPr>
        <w:t>Improvement in Ejection Fraction with TN1-006 Reprogramming</w:t>
      </w:r>
    </w:p>
    <w:p>
      <w:pPr>
        <w:spacing w:after="0" w:line="20" w:lineRule="exact"/>
        <w:rPr>
          <w:sz w:val="20"/>
          <w:szCs w:val="20"/>
          <w:color w:val="auto"/>
        </w:rPr>
      </w:pPr>
    </w:p>
    <w:p>
      <w:pPr>
        <w:jc w:val="center"/>
        <w:ind w:right="-899"/>
        <w:spacing w:after="0"/>
        <w:rPr>
          <w:sz w:val="20"/>
          <w:szCs w:val="20"/>
          <w:color w:val="auto"/>
        </w:rPr>
      </w:pPr>
      <w:r>
        <w:rPr>
          <w:rFonts w:ascii="Arial" w:cs="Arial" w:eastAsia="Arial" w:hAnsi="Arial"/>
          <w:sz w:val="16"/>
          <w:szCs w:val="16"/>
          <w:b w:val="1"/>
          <w:bCs w:val="1"/>
          <w:color w:val="auto"/>
        </w:rPr>
        <w:t>in Rat Model of Heart Failure Post-MI</w:t>
      </w:r>
    </w:p>
    <w:p>
      <w:pPr>
        <w:spacing w:after="0" w:line="5" w:lineRule="exact"/>
        <w:rPr>
          <w:sz w:val="20"/>
          <w:szCs w:val="20"/>
          <w:color w:val="auto"/>
        </w:rPr>
      </w:pPr>
    </w:p>
    <w:p>
      <w:pPr>
        <w:jc w:val="center"/>
        <w:ind w:right="-899"/>
        <w:spacing w:after="0"/>
        <w:rPr>
          <w:sz w:val="20"/>
          <w:szCs w:val="20"/>
          <w:color w:val="auto"/>
        </w:rPr>
      </w:pPr>
      <w:r>
        <w:rPr>
          <w:rFonts w:ascii="Arial" w:cs="Arial" w:eastAsia="Arial" w:hAnsi="Arial"/>
          <w:sz w:val="16"/>
          <w:szCs w:val="16"/>
          <w:b w:val="1"/>
          <w:bCs w:val="1"/>
          <w:color w:val="auto"/>
        </w:rPr>
        <w:t>(after 29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138430</wp:posOffset>
            </wp:positionV>
            <wp:extent cx="2335530" cy="23507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335530" cy="235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0340"/>
          </w:cols>
          <w:pgMar w:left="320" w:top="418" w:right="1239"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0" w:hanging="469"/>
        <w:spacing w:after="0" w:line="275"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Results from pig disease model</w:t>
      </w:r>
      <w:r>
        <w:rPr>
          <w:rFonts w:ascii="Arial" w:cs="Arial" w:eastAsia="Arial" w:hAnsi="Arial"/>
          <w:sz w:val="15"/>
          <w:szCs w:val="15"/>
          <w:color w:val="auto"/>
        </w:rPr>
        <w:t>. We have demonstrated durable improvement in EF in a pig model of HF following an induced MI. In a pig</w:t>
      </w:r>
      <w:r>
        <w:rPr>
          <w:rFonts w:ascii="Arial" w:cs="Arial" w:eastAsia="Arial" w:hAnsi="Arial"/>
          <w:sz w:val="15"/>
          <w:szCs w:val="15"/>
          <w:i w:val="1"/>
          <w:iCs w:val="1"/>
          <w:color w:val="auto"/>
        </w:rPr>
        <w:t xml:space="preserve"> </w:t>
      </w:r>
      <w:r>
        <w:rPr>
          <w:rFonts w:ascii="Arial" w:cs="Arial" w:eastAsia="Arial" w:hAnsi="Arial"/>
          <w:sz w:val="15"/>
          <w:szCs w:val="15"/>
          <w:color w:val="auto"/>
        </w:rPr>
        <w:t>model, TN1-002 was injected directly around the scar area formed 28 days after an induced MI. The figure below demonstrates approximately 10% improvement in EF compared to each animal’s own pre-dose baseline and more than 11% improvement compared to control-treated animals that remained sustained until the end of the experiment at nine weeks:</w:t>
      </w: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Improvement in Ejection Fraction (EF) following Treatment with TN1-002 from</w:t>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Reprogramming Study in Pig Model of Heart Failure Post-MI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40"/>
        <w:spacing w:after="0" w:line="329" w:lineRule="auto"/>
        <w:rPr>
          <w:sz w:val="20"/>
          <w:szCs w:val="20"/>
          <w:color w:val="auto"/>
        </w:rPr>
      </w:pPr>
      <w:r>
        <w:rPr>
          <w:rFonts w:ascii="Arial" w:cs="Arial" w:eastAsia="Arial" w:hAnsi="Arial"/>
          <w:sz w:val="13"/>
          <w:szCs w:val="13"/>
          <w:color w:val="auto"/>
        </w:rPr>
        <w:t>We believe these data compare favorably to published efficacy data for other cell and gene therapy interventions in large animal models. Very few previous therapeutic attempts have achieved meaningful improvement in EF compared to pre-dose baseline in large animal models, with typical improvements, when observed, of less than 5%. From an assessment of the published literature, including a meta-analysis of multiple therapeutics in HFrEF, we believe that each 5% increase in EF is expected to reduce mortality by approximately 15%.</w:t>
      </w:r>
    </w:p>
    <w:p>
      <w:pPr>
        <w:spacing w:after="0" w:line="29" w:lineRule="exact"/>
        <w:rPr>
          <w:sz w:val="20"/>
          <w:szCs w:val="20"/>
          <w:color w:val="auto"/>
        </w:rPr>
      </w:pPr>
    </w:p>
    <w:p>
      <w:pPr>
        <w:ind w:left="1680"/>
        <w:spacing w:after="0" w:line="316" w:lineRule="auto"/>
        <w:rPr>
          <w:sz w:val="20"/>
          <w:szCs w:val="20"/>
          <w:color w:val="auto"/>
        </w:rPr>
      </w:pPr>
      <w:r>
        <w:rPr>
          <w:rFonts w:ascii="Arial" w:cs="Arial" w:eastAsia="Arial" w:hAnsi="Arial"/>
          <w:sz w:val="13"/>
          <w:szCs w:val="13"/>
          <w:color w:val="auto"/>
        </w:rPr>
        <w:t>This pig model is known to have high variability in disease progression among individual animals. In order to confirm that the results obtained with TN1-002 reflected true improvements in heart function, we conducted extensive additional analysis of other parameters, including heart size (for example, LV diameter and volume during systole and diastole), measures of cardiac output (for example, stroke volume), measures of heart injury (for example, troponin levels), and final scar size at the level of individual animals. As shown in the figure below, our analysis revealed high heterogeneity in the change in absolute EF% among individual animal responses to TN1-002 from a decline of -2% to improvement of +24%, and that seven out of ten treated animals were considered “responders” (based on EF% increase of greater than 5% over pre-dose baseline) while three out of ten were considered “non-responders”.</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0420"/>
          </w:cols>
          <w:pgMar w:left="320" w:top="418" w:right="115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Analysis of Individual Animal Changes in Ejection Fraction</w:t>
      </w:r>
    </w:p>
    <w:p>
      <w:pPr>
        <w:spacing w:after="0" w:line="20"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Following Treatment with TN1-002 from</w:t>
      </w:r>
    </w:p>
    <w:p>
      <w:pPr>
        <w:spacing w:after="0" w:line="5"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138430</wp:posOffset>
            </wp:positionV>
            <wp:extent cx="2305685" cy="25082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05685"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80" w:right="20"/>
        <w:spacing w:after="0" w:line="256" w:lineRule="auto"/>
        <w:rPr>
          <w:sz w:val="20"/>
          <w:szCs w:val="20"/>
          <w:color w:val="auto"/>
        </w:rPr>
      </w:pPr>
      <w:r>
        <w:rPr>
          <w:rFonts w:ascii="Arial" w:cs="Arial" w:eastAsia="Arial" w:hAnsi="Arial"/>
          <w:sz w:val="16"/>
          <w:szCs w:val="16"/>
          <w:color w:val="auto"/>
        </w:rPr>
        <w:t>Further analysis of responder animals as compared to non-responder animals demonstrated responders generally had improvement in most parameters that were internally consistent and suggestive of positive heart remodeling. By comparison, the pattern of these additional parameters was not internally consistent among non-responders.</w:t>
      </w:r>
    </w:p>
    <w:p>
      <w:pPr>
        <w:spacing w:after="0" w:line="71" w:lineRule="exact"/>
        <w:rPr>
          <w:sz w:val="20"/>
          <w:szCs w:val="20"/>
          <w:color w:val="auto"/>
        </w:rPr>
      </w:pPr>
    </w:p>
    <w:p>
      <w:pPr>
        <w:ind w:left="1680"/>
        <w:spacing w:after="0" w:line="266" w:lineRule="auto"/>
        <w:rPr>
          <w:sz w:val="20"/>
          <w:szCs w:val="20"/>
          <w:color w:val="auto"/>
        </w:rPr>
      </w:pPr>
      <w:r>
        <w:rPr>
          <w:rFonts w:ascii="Arial" w:cs="Arial" w:eastAsia="Arial" w:hAnsi="Arial"/>
          <w:sz w:val="16"/>
          <w:szCs w:val="16"/>
          <w:color w:val="auto"/>
        </w:rPr>
        <w:t>The figure below demonstrates the expected inverse correlation of the degree of EF improvement of responders to the change in heart size, as measured by LV end systolic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123190</wp:posOffset>
            </wp:positionV>
            <wp:extent cx="3601085" cy="21113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601085" cy="211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0400"/>
          </w:cols>
          <w:pgMar w:left="320" w:top="418" w:right="1179" w:bottom="1440" w:gutter="0" w:footer="0" w:header="0"/>
        </w:sectPr>
      </w:pPr>
    </w:p>
    <w:bookmarkStart w:id="188" w:name="page189"/>
    <w:bookmarkEnd w:id="1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20"/>
        <w:spacing w:after="0" w:line="253" w:lineRule="auto"/>
        <w:rPr>
          <w:sz w:val="20"/>
          <w:szCs w:val="20"/>
          <w:color w:val="auto"/>
        </w:rPr>
      </w:pPr>
      <w:r>
        <w:rPr>
          <w:rFonts w:ascii="Arial" w:cs="Arial" w:eastAsia="Arial" w:hAnsi="Arial"/>
          <w:sz w:val="16"/>
          <w:szCs w:val="16"/>
          <w:color w:val="auto"/>
        </w:rPr>
        <w:t>Further analysis of heart samples from responder as compared to non-responder animals from this study revealed that responder animals had significantly higher measurable levels of the TN1-002 vector and the reprogramming factors than the non-responder animals. This provides additional support that the improvements in EF results seen in this experiment were a direct result of the delivery and expression of reprogramming factors by our AAV capsid.</w:t>
      </w:r>
    </w:p>
    <w:p>
      <w:pPr>
        <w:spacing w:after="0" w:line="167" w:lineRule="exact"/>
        <w:rPr>
          <w:sz w:val="20"/>
          <w:szCs w:val="20"/>
          <w:color w:val="auto"/>
        </w:rPr>
      </w:pPr>
    </w:p>
    <w:p>
      <w:pPr>
        <w:ind w:left="1680" w:right="160"/>
        <w:spacing w:after="0" w:line="383" w:lineRule="auto"/>
        <w:rPr>
          <w:sz w:val="20"/>
          <w:szCs w:val="20"/>
          <w:color w:val="auto"/>
        </w:rPr>
      </w:pPr>
      <w:r>
        <w:rPr>
          <w:rFonts w:ascii="Arial" w:cs="Arial" w:eastAsia="Arial" w:hAnsi="Arial"/>
          <w:sz w:val="13"/>
          <w:szCs w:val="13"/>
          <w:color w:val="auto"/>
        </w:rPr>
        <w:t>The figures below illustrate that the level of AAV transduction and transgene expression was observed to be higher in samples obtained from responders compared to non-responders to TN1-002 in the study of reprogramming in the pig model of HF post-MI:</w:t>
      </w:r>
    </w:p>
    <w:p>
      <w:pPr>
        <w:spacing w:after="0" w:line="179"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Comparison of TN1-002 AAV Transduction in Heart Samples</w:t>
      </w:r>
    </w:p>
    <w:p>
      <w:pPr>
        <w:spacing w:after="0" w:line="20"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of Responders vs. Non-Responders from</w:t>
      </w:r>
    </w:p>
    <w:p>
      <w:pPr>
        <w:spacing w:after="0" w:line="5"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138430</wp:posOffset>
            </wp:positionV>
            <wp:extent cx="2230755" cy="801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30755" cy="80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Comparison of TN1-002 Transgene Expression in Heart Samples</w:t>
      </w:r>
    </w:p>
    <w:p>
      <w:pPr>
        <w:spacing w:after="0" w:line="20"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of Responders vs. Non-Responders from</w:t>
      </w:r>
    </w:p>
    <w:p>
      <w:pPr>
        <w:spacing w:after="0" w:line="5"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138430</wp:posOffset>
            </wp:positionV>
            <wp:extent cx="1295400" cy="8312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954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80" w:right="260"/>
        <w:spacing w:after="0" w:line="256" w:lineRule="auto"/>
        <w:rPr>
          <w:sz w:val="20"/>
          <w:szCs w:val="20"/>
          <w:color w:val="auto"/>
        </w:rPr>
      </w:pPr>
      <w:r>
        <w:rPr>
          <w:rFonts w:ascii="Arial" w:cs="Arial" w:eastAsia="Arial" w:hAnsi="Arial"/>
          <w:sz w:val="16"/>
          <w:szCs w:val="16"/>
          <w:color w:val="auto"/>
        </w:rPr>
        <w:t>Our preclinical findings to date provide direction to our ongoing candidate selection efforts. We continue to seek ways to ensure more consistent delivery and expression of our reprogramming factors to CFs, including with the use of novel capsids and novel delivery methods.</w:t>
      </w:r>
    </w:p>
    <w:p>
      <w:pPr>
        <w:spacing w:after="0" w:line="189" w:lineRule="exact"/>
        <w:rPr>
          <w:sz w:val="20"/>
          <w:szCs w:val="20"/>
          <w:color w:val="auto"/>
        </w:rPr>
      </w:pPr>
    </w:p>
    <w:p>
      <w:pPr>
        <w:ind w:left="1660" w:right="220" w:hanging="469"/>
        <w:spacing w:after="0" w:line="300" w:lineRule="auto"/>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i w:val="1"/>
          <w:iCs w:val="1"/>
          <w:color w:val="auto"/>
        </w:rPr>
        <w:t>Safety</w:t>
      </w:r>
      <w:r>
        <w:rPr>
          <w:rFonts w:ascii="Arial" w:cs="Arial" w:eastAsia="Arial" w:hAnsi="Arial"/>
          <w:sz w:val="15"/>
          <w:szCs w:val="15"/>
          <w:color w:val="auto"/>
        </w:rPr>
        <w:t>. To date, no negative safety findings have been associated with either TN1-002 or TN1-006 in</w:t>
      </w:r>
      <w:r>
        <w:rPr>
          <w:rFonts w:ascii="Arial" w:cs="Arial" w:eastAsia="Arial" w:hAnsi="Arial"/>
          <w:sz w:val="15"/>
          <w:szCs w:val="15"/>
          <w:i w:val="1"/>
          <w:iCs w:val="1"/>
          <w:color w:val="auto"/>
        </w:rPr>
        <w:t xml:space="preserve"> in vivo </w:t>
      </w:r>
      <w:r>
        <w:rPr>
          <w:rFonts w:ascii="Arial" w:cs="Arial" w:eastAsia="Arial" w:hAnsi="Arial"/>
          <w:sz w:val="15"/>
          <w:szCs w:val="15"/>
          <w:color w:val="auto"/>
        </w:rPr>
        <w:t>experiments in rat and pig</w:t>
      </w:r>
      <w:r>
        <w:rPr>
          <w:rFonts w:ascii="Arial" w:cs="Arial" w:eastAsia="Arial" w:hAnsi="Arial"/>
          <w:sz w:val="15"/>
          <w:szCs w:val="15"/>
          <w:i w:val="1"/>
          <w:iCs w:val="1"/>
          <w:color w:val="auto"/>
        </w:rPr>
        <w:t xml:space="preserve"> </w:t>
      </w:r>
      <w:r>
        <w:rPr>
          <w:rFonts w:ascii="Arial" w:cs="Arial" w:eastAsia="Arial" w:hAnsi="Arial"/>
          <w:sz w:val="15"/>
          <w:szCs w:val="15"/>
          <w:color w:val="auto"/>
        </w:rPr>
        <w:t>models, including clinical findings, histopathology, assessment of arrhythmia, and other measures.</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jc w:val="both"/>
        <w:ind w:left="820" w:right="300" w:firstLine="385"/>
        <w:spacing w:after="0" w:line="256" w:lineRule="auto"/>
        <w:rPr>
          <w:sz w:val="20"/>
          <w:szCs w:val="20"/>
          <w:color w:val="auto"/>
        </w:rPr>
      </w:pPr>
      <w:r>
        <w:rPr>
          <w:rFonts w:ascii="Arial" w:cs="Arial" w:eastAsia="Arial" w:hAnsi="Arial"/>
          <w:sz w:val="16"/>
          <w:szCs w:val="16"/>
          <w:color w:val="auto"/>
        </w:rPr>
        <w:t>We have received feedback from the FDA through an INTERACT (INitial Targeted Engagement for Regulatory Advice on CBER producTs) review to inform the design of our future preclinical studies. After selection of our product candidate, we plan to initiate IND-enabling studies. We intend to submit an IND or CTA to the FDA or EMA, respectively, no earlier than 2023.</w:t>
      </w:r>
    </w:p>
    <w:p>
      <w:pPr>
        <w:spacing w:after="0" w:line="166"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Our development plan is anticipated to include patients with advanced HF due to prior MI who meet qualifications for a heart transplant or LVAD as well as a broader patient population with severe ischemic cardiomyopathy. In the future, we also may explore potential for development in other forms of HF caused by a loss of cardiomyocytes, but not involving a myocardial infarction.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0360"/>
          </w:cols>
          <w:pgMar w:left="320" w:top="418" w:right="121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Pipeline Expansion Opportunities</w:t>
      </w:r>
    </w:p>
    <w:p>
      <w:pPr>
        <w:spacing w:after="0" w:line="99"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We believe the versatility of our three product platforms and our related differentiated capabilities enables us to rapidly expand our portfolio beyond the initial areas of focus. In addition to the named programs in our current pipeline, there are several programs emerging from each of our platforms that are intended to address rare genetic cardiomyopathies as well as more prevalent forms of heart disease. We continue to research, discover and evaluate new programs arising from our three product platforms. We also continue to explore opportunities to collaborate with leading academic and biopharmaceutical organizations with complementary science and capabilities that share our bold vision for the development of next-generation therapies to benefit individuals and families fighting heart disease.</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Third Party Agreements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2020 License Agreement with The Board of Regents of the University of Texas System on behalf of UTSW</w:t>
      </w:r>
    </w:p>
    <w:p>
      <w:pPr>
        <w:spacing w:after="0" w:line="99" w:lineRule="exact"/>
        <w:rPr>
          <w:sz w:val="20"/>
          <w:szCs w:val="20"/>
          <w:color w:val="auto"/>
        </w:rPr>
      </w:pPr>
    </w:p>
    <w:p>
      <w:pPr>
        <w:ind w:left="820" w:right="20" w:firstLine="385"/>
        <w:spacing w:after="0" w:line="268" w:lineRule="auto"/>
        <w:rPr>
          <w:sz w:val="20"/>
          <w:szCs w:val="20"/>
          <w:color w:val="auto"/>
        </w:rPr>
      </w:pPr>
      <w:r>
        <w:rPr>
          <w:rFonts w:ascii="Arial" w:cs="Arial" w:eastAsia="Arial" w:hAnsi="Arial"/>
          <w:sz w:val="15"/>
          <w:szCs w:val="15"/>
          <w:color w:val="auto"/>
        </w:rPr>
        <w:t>We have licensed intellectual property from UTSW in a license agreement effective January 10, 2020 with regard to our DWORF program. We entered into the license agreement with The Board of Regents of the University of Texas System on behalf of UTSW for a worldwide license to develop and commercialize products covered by the UTSW-licensed intellectual property relating to therapeutics overexpressing the peptide named DWORF for all uses. Our license under the license agreement is exclusive with respect to the UTSW patent rights licensed thereunder and non-exclusive with respect to the UTSW tangible materials provided thereunder. All of the DWORF gene therapy product candidates currently in our pipeline rely upon the license granted to us under this agreement. Such license is subject to (a) certain non-commercial rights reserved by UTSW and (b) certain rights retained by the U.S. government, including so called march-in rights.</w:t>
      </w:r>
    </w:p>
    <w:p>
      <w:pPr>
        <w:spacing w:after="0" w:line="161"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Under the license agreement, we are obligated to make milestone payments to UTSW aggregating up to $2.75 million upon the achievement of specified development and regulatory approval milestones and up to $12 million upon the achievement of specified sales milestones, in each case, for products covered by the UTSW licensed patent rights. We are also obligated to pay single-digit royalties to UTSW based on net sales by us or our affiliates and sublicensees of products covered by the UTSW licensed patent rights. In addition, in the event we grant a sublicense or an option to obtain a sublicense under the UTSW licensed patent rights, we are obligated to pay UTSW a specified portion of the income we receive therefrom. Further, in the event we undergo a change of control, we may be obligated to make a payment to UTSW of up to $3 million.</w:t>
      </w:r>
    </w:p>
    <w:p>
      <w:pPr>
        <w:spacing w:after="0" w:line="128" w:lineRule="exact"/>
        <w:rPr>
          <w:sz w:val="20"/>
          <w:szCs w:val="20"/>
          <w:color w:val="auto"/>
        </w:rPr>
      </w:pPr>
    </w:p>
    <w:p>
      <w:pPr>
        <w:jc w:val="both"/>
        <w:ind w:left="820" w:right="140" w:firstLine="385"/>
        <w:spacing w:after="0" w:line="256" w:lineRule="auto"/>
        <w:rPr>
          <w:sz w:val="20"/>
          <w:szCs w:val="20"/>
          <w:color w:val="auto"/>
        </w:rPr>
      </w:pPr>
      <w:r>
        <w:rPr>
          <w:rFonts w:ascii="Arial" w:cs="Arial" w:eastAsia="Arial" w:hAnsi="Arial"/>
          <w:sz w:val="16"/>
          <w:szCs w:val="16"/>
          <w:color w:val="auto"/>
        </w:rPr>
        <w:t>Our royalty obligations with respect to each product covered by UTSW licensed patent rights in a country extend until the latest of expiration of the last-to-expire patent claim licensed from UTSW covering the product in the country, the exclusivity term covering the product in the country and a specified number of years after the first commercial sale of the product in the country.</w:t>
      </w:r>
    </w:p>
    <w:p>
      <w:pPr>
        <w:spacing w:after="0" w:line="166" w:lineRule="exact"/>
        <w:rPr>
          <w:sz w:val="20"/>
          <w:szCs w:val="20"/>
          <w:color w:val="auto"/>
        </w:rPr>
      </w:pPr>
    </w:p>
    <w:p>
      <w:pPr>
        <w:jc w:val="both"/>
        <w:ind w:left="820" w:right="160" w:firstLine="385"/>
        <w:spacing w:after="0" w:line="256" w:lineRule="auto"/>
        <w:rPr>
          <w:sz w:val="20"/>
          <w:szCs w:val="20"/>
          <w:color w:val="auto"/>
        </w:rPr>
      </w:pPr>
      <w:r>
        <w:rPr>
          <w:rFonts w:ascii="Arial" w:cs="Arial" w:eastAsia="Arial" w:hAnsi="Arial"/>
          <w:sz w:val="16"/>
          <w:szCs w:val="16"/>
          <w:color w:val="auto"/>
        </w:rPr>
        <w:t>Under the license agreement, we are obligated to use a certain level of effort to develop and commercialize one or more products covered by the UTSW licensed patent rights and to achieve certain development or regulatory approval milestones within set times, subject to certain extensions and required payments for such extensions.</w:t>
      </w:r>
    </w:p>
    <w:p>
      <w:pPr>
        <w:spacing w:after="0" w:line="166"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UTSW has the right to terminate the license agreement for our uncured material breach of the license agreement, including if we fail to use a certain level of effort to achieve specified development or regulatory approval milestones within specified timeframes, or if we unsuccessfully challenge the validity of the UTSW licensed patent rights or for certain events related to our bankruptcy. We have the right to terminate the agreement at any time.</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0420"/>
          </w:cols>
          <w:pgMar w:left="320" w:top="418" w:right="115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Competition</w:t>
      </w:r>
    </w:p>
    <w:p>
      <w:pPr>
        <w:spacing w:after="0" w:line="103"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intellectual property. We believe our three product platforms, scientific know-how, five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and that may be developed in the future.</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Due to the depth and diversity of our pipeline, we may face competition from a variety of companies, including:</w:t>
      </w:r>
    </w:p>
    <w:p>
      <w:pPr>
        <w:spacing w:after="0" w:line="107" w:lineRule="exact"/>
        <w:rPr>
          <w:sz w:val="20"/>
          <w:szCs w:val="20"/>
          <w:color w:val="auto"/>
        </w:rPr>
      </w:pPr>
    </w:p>
    <w:p>
      <w:pPr>
        <w:ind w:left="1660" w:right="420" w:hanging="469"/>
        <w:spacing w:after="0" w:line="259" w:lineRule="auto"/>
        <w:tabs>
          <w:tab w:leader="none" w:pos="166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General cardiovascular drug development: </w:t>
      </w:r>
      <w:r>
        <w:rPr>
          <w:rFonts w:ascii="Arial" w:cs="Arial" w:eastAsia="Arial" w:hAnsi="Arial"/>
          <w:sz w:val="16"/>
          <w:szCs w:val="16"/>
          <w:color w:val="auto"/>
        </w:rPr>
        <w:t>Companies known to have approved products and active drug development efforts for</w:t>
      </w:r>
      <w:r>
        <w:rPr>
          <w:rFonts w:ascii="Arial" w:cs="Arial" w:eastAsia="Arial" w:hAnsi="Arial"/>
          <w:sz w:val="16"/>
          <w:szCs w:val="16"/>
          <w:b w:val="1"/>
          <w:bCs w:val="1"/>
          <w:color w:val="auto"/>
        </w:rPr>
        <w:t xml:space="preserve"> </w:t>
      </w:r>
      <w:r>
        <w:rPr>
          <w:rFonts w:ascii="Arial" w:cs="Arial" w:eastAsia="Arial" w:hAnsi="Arial"/>
          <w:sz w:val="16"/>
          <w:szCs w:val="16"/>
          <w:color w:val="auto"/>
        </w:rPr>
        <w:t>cardiovascular disease include but are not limited to AstraZeneca, Bayer, Bristol Myers Squibb, Cytokinetics, Eli Lilly, Johnson &amp; Johnson/Janssen, Maze Therapeutics, Merck, Novartis, and Novo Nordisk;</w:t>
      </w:r>
    </w:p>
    <w:p>
      <w:pPr>
        <w:spacing w:after="0" w:line="76" w:lineRule="exact"/>
        <w:rPr>
          <w:rFonts w:ascii="Arial" w:cs="Arial" w:eastAsia="Arial" w:hAnsi="Arial"/>
          <w:sz w:val="16"/>
          <w:szCs w:val="16"/>
          <w:color w:val="auto"/>
        </w:rPr>
      </w:pPr>
    </w:p>
    <w:p>
      <w:pPr>
        <w:ind w:left="1660" w:right="120" w:hanging="469"/>
        <w:spacing w:after="0" w:line="259" w:lineRule="auto"/>
        <w:tabs>
          <w:tab w:leader="none" w:pos="166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Gene Therapy platform: </w:t>
      </w:r>
      <w:r>
        <w:rPr>
          <w:rFonts w:ascii="Arial" w:cs="Arial" w:eastAsia="Arial" w:hAnsi="Arial"/>
          <w:sz w:val="16"/>
          <w:szCs w:val="16"/>
          <w:color w:val="auto"/>
        </w:rPr>
        <w:t>Companies known to be pursuing gene therapy approaches for the heart include but are not limited to 4D</w:t>
      </w:r>
      <w:r>
        <w:rPr>
          <w:rFonts w:ascii="Arial" w:cs="Arial" w:eastAsia="Arial" w:hAnsi="Arial"/>
          <w:sz w:val="16"/>
          <w:szCs w:val="16"/>
          <w:b w:val="1"/>
          <w:bCs w:val="1"/>
          <w:color w:val="auto"/>
        </w:rPr>
        <w:t xml:space="preserve"> </w:t>
      </w:r>
      <w:r>
        <w:rPr>
          <w:rFonts w:ascii="Arial" w:cs="Arial" w:eastAsia="Arial" w:hAnsi="Arial"/>
          <w:sz w:val="16"/>
          <w:szCs w:val="16"/>
          <w:color w:val="auto"/>
        </w:rPr>
        <w:t>Molecular Therapeutics, Bayer, Bristol Myers Squibb, BioMarin Pharmaceutical, DiNAQOR, Nuevocor, Precigen, Renova Therapeutics, Renovacor, Rocket Pharmaceuticals, Sardicor, Stride Bio, and uniQure;</w:t>
      </w:r>
    </w:p>
    <w:p>
      <w:pPr>
        <w:spacing w:after="0" w:line="76" w:lineRule="exact"/>
        <w:rPr>
          <w:rFonts w:ascii="Arial" w:cs="Arial" w:eastAsia="Arial" w:hAnsi="Arial"/>
          <w:sz w:val="16"/>
          <w:szCs w:val="16"/>
          <w:color w:val="auto"/>
        </w:rPr>
      </w:pPr>
    </w:p>
    <w:p>
      <w:pPr>
        <w:ind w:left="1660" w:right="100" w:hanging="469"/>
        <w:spacing w:after="0" w:line="259" w:lineRule="auto"/>
        <w:tabs>
          <w:tab w:leader="none" w:pos="166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Cellular Regeneration platform: </w:t>
      </w:r>
      <w:r>
        <w:rPr>
          <w:rFonts w:ascii="Arial" w:cs="Arial" w:eastAsia="Arial" w:hAnsi="Arial"/>
          <w:sz w:val="16"/>
          <w:szCs w:val="16"/>
          <w:color w:val="auto"/>
        </w:rPr>
        <w:t>Companies known to be pursuing approaches to cellular regeneration for the heart include but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AstraZeneca, Bayer, BioCardia, Cardior Pharmaceuticals, Jaan Biotherapeutics, Khloris Biosciences, Mesoblast, Mogrify, Sana Biotechnologies and Xylocor Therapeutics; and</w:t>
      </w:r>
    </w:p>
    <w:p>
      <w:pPr>
        <w:spacing w:after="0" w:line="76" w:lineRule="exact"/>
        <w:rPr>
          <w:rFonts w:ascii="Arial" w:cs="Arial" w:eastAsia="Arial" w:hAnsi="Arial"/>
          <w:sz w:val="16"/>
          <w:szCs w:val="16"/>
          <w:color w:val="auto"/>
        </w:rPr>
      </w:pPr>
    </w:p>
    <w:p>
      <w:pPr>
        <w:ind w:left="1660" w:hanging="469"/>
        <w:spacing w:after="0" w:line="272" w:lineRule="auto"/>
        <w:tabs>
          <w:tab w:leader="none" w:pos="166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Precision Medicine platform: </w:t>
      </w:r>
      <w:r>
        <w:rPr>
          <w:rFonts w:ascii="Arial" w:cs="Arial" w:eastAsia="Arial" w:hAnsi="Arial"/>
          <w:sz w:val="16"/>
          <w:szCs w:val="16"/>
          <w:color w:val="auto"/>
        </w:rPr>
        <w:t>Companies known to be pursuing approaches to drug discovery for the heart using disease models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iPSC-CMs include but are not limited to DiNAQOR and Tara Biosystems.</w:t>
      </w:r>
    </w:p>
    <w:p>
      <w:pPr>
        <w:spacing w:after="0" w:line="153" w:lineRule="exact"/>
        <w:rPr>
          <w:sz w:val="20"/>
          <w:szCs w:val="20"/>
          <w:color w:val="auto"/>
        </w:rPr>
      </w:pPr>
    </w:p>
    <w:p>
      <w:pPr>
        <w:ind w:left="820" w:right="160" w:firstLine="385"/>
        <w:spacing w:after="0" w:line="329" w:lineRule="auto"/>
        <w:rPr>
          <w:sz w:val="20"/>
          <w:szCs w:val="20"/>
          <w:color w:val="auto"/>
        </w:rPr>
      </w:pPr>
      <w:r>
        <w:rPr>
          <w:rFonts w:ascii="Arial" w:cs="Arial" w:eastAsia="Arial" w:hAnsi="Arial"/>
          <w:sz w:val="13"/>
          <w:szCs w:val="13"/>
          <w:color w:val="auto"/>
        </w:rPr>
        <w:t>We cannot predict whether other therapies may be developed that demonstrate greater efficacy, and we may have direct and substantial competition from such therapies in the future. We expect to face increasing competition as new, more effective treatments enter the market and further advancements in technologies are made. We expect market adoption of any treatments that we develop and commercialize to be dependent on, among other things, efficacy, safety, delivery, price and the availability of reimbursement from government and other third-party payors.</w:t>
      </w:r>
    </w:p>
    <w:p>
      <w:pPr>
        <w:spacing w:after="0" w:line="123"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product candidates.</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Intellectual Property</w:t>
      </w:r>
    </w:p>
    <w:p>
      <w:pPr>
        <w:spacing w:after="0" w:line="103"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 candidates, technology and know-how, to operate without infringing, misappropriating or otherwise violating the intellectual property or other the proprietary rights of others and to prevent others from infringing,</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0420"/>
          </w:cols>
          <w:pgMar w:left="320" w:top="418" w:right="115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65" w:lineRule="auto"/>
        <w:rPr>
          <w:sz w:val="20"/>
          <w:szCs w:val="20"/>
          <w:color w:val="auto"/>
        </w:rPr>
      </w:pPr>
      <w:r>
        <w:rPr>
          <w:rFonts w:ascii="Arial" w:cs="Arial" w:eastAsia="Arial" w:hAnsi="Arial"/>
          <w:sz w:val="15"/>
          <w:szCs w:val="15"/>
          <w:color w:val="auto"/>
        </w:rPr>
        <w:t>misappropriating or otherwise violating our intellectual property or other proprietary rights. To protect our intellectual property rights, we primarily rely on patent and trade secret laws, confidentiality procedures, and employee disclosure and invention assignment agreements. Our policy is to seek to protect our proprietary position by, among other methods, pursuing patent applications in the United States and in certain jurisdictions outside of the United States related to our proprietary technology, inventions, improvements and product candidates that are important to the development and implementation of our business. Our patent portfolio is intended to cover our product candidates and components thereof, their methods of use and processes for their manufacture, our proprietary reagents and assays and any other inventions that are commercially important to our business. The development of our product candidates and technology is at an early stage and consequently, our patent portfolio is also at an early stage. We have in-licensed one issued U.S. patent, own one issued U.S. patent, and own one allowed U.S. patent application relating to our technology and product candidates. Many of our and our licensors’ patent applications are either at the provisional stage or at an early stage in prosecution. We cannot be sure that any patents will be granted with respect to any of our pending patent applications or with respect to any patent applications filed by us in the future, nor can we be sure that any patents that may be granted to us in the future will be commercially useful in protecting our technology and product candidates.</w:t>
      </w:r>
    </w:p>
    <w:p>
      <w:pPr>
        <w:spacing w:after="0" w:line="167" w:lineRule="exact"/>
        <w:rPr>
          <w:sz w:val="20"/>
          <w:szCs w:val="20"/>
          <w:color w:val="auto"/>
        </w:rPr>
      </w:pPr>
    </w:p>
    <w:p>
      <w:pPr>
        <w:ind w:left="820" w:right="520" w:firstLine="385"/>
        <w:spacing w:after="0" w:line="383" w:lineRule="auto"/>
        <w:rPr>
          <w:sz w:val="20"/>
          <w:szCs w:val="20"/>
          <w:color w:val="auto"/>
        </w:rPr>
      </w:pPr>
      <w:r>
        <w:rPr>
          <w:rFonts w:ascii="Arial" w:cs="Arial" w:eastAsia="Arial" w:hAnsi="Arial"/>
          <w:sz w:val="13"/>
          <w:szCs w:val="13"/>
          <w:color w:val="auto"/>
        </w:rPr>
        <w:t>Our owned and exclusively licensed patent portfolio covers various aspects of our programs and technology, including our small-molecule compounds, gene delivery vectors, and gene therapy programs. Further details on certain segments of our patent portfolio are included below.</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 Therapy Platform</w:t>
      </w:r>
    </w:p>
    <w:p>
      <w:pPr>
        <w:spacing w:after="0" w:line="99" w:lineRule="exact"/>
        <w:rPr>
          <w:sz w:val="20"/>
          <w:szCs w:val="20"/>
          <w:color w:val="auto"/>
        </w:rPr>
      </w:pPr>
    </w:p>
    <w:p>
      <w:pPr>
        <w:ind w:left="820" w:right="200" w:firstLine="385"/>
        <w:spacing w:after="0" w:line="316" w:lineRule="auto"/>
        <w:rPr>
          <w:sz w:val="20"/>
          <w:szCs w:val="20"/>
          <w:color w:val="auto"/>
        </w:rPr>
      </w:pPr>
      <w:r>
        <w:rPr>
          <w:rFonts w:ascii="Arial" w:cs="Arial" w:eastAsia="Arial" w:hAnsi="Arial"/>
          <w:sz w:val="13"/>
          <w:szCs w:val="13"/>
          <w:i w:val="1"/>
          <w:iCs w:val="1"/>
          <w:color w:val="auto"/>
        </w:rPr>
        <w:t>MYBPC3</w:t>
      </w:r>
      <w:r>
        <w:rPr>
          <w:rFonts w:ascii="Arial" w:cs="Arial" w:eastAsia="Arial" w:hAnsi="Arial"/>
          <w:sz w:val="13"/>
          <w:szCs w:val="13"/>
          <w:color w:val="auto"/>
        </w:rPr>
        <w:t>: With regard to our MYBPC3 program, as of July 1, 2021, we solely own two pending Patent Cooperation Treaty (PCT) patent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applications and one pending U.S. patent application which the USPTO has allowed and which we expect to issue as a U.S. patent in due course. Any U.S. or foreign patents issued from national stage filings of the PCT patent applications are expected to expire in 2041, assuming payment of all appropriate maintenance, renewal, annuity or other governmental fees and that national phase entries are timely made based upon the pending PCT applications, and without taking potential patent term extensions or adjustments into account. The pending U.S. provisional patent applications cover various aspects of our MYBPC3 lead products, including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expression vectors, recombinant AAV (rAAV) virions, rAAV viral genomes, expression cassettes, and methods of using such compositions for therapeutic indications.</w:t>
      </w:r>
    </w:p>
    <w:p>
      <w:pPr>
        <w:spacing w:after="0" w:line="131"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i w:val="1"/>
          <w:iCs w:val="1"/>
          <w:color w:val="auto"/>
        </w:rPr>
        <w:t>PKP2</w:t>
      </w:r>
      <w:r>
        <w:rPr>
          <w:rFonts w:ascii="Arial" w:cs="Arial" w:eastAsia="Arial" w:hAnsi="Arial"/>
          <w:sz w:val="15"/>
          <w:szCs w:val="15"/>
          <w:color w:val="auto"/>
        </w:rPr>
        <w:t>: With regard to our PKP2 program, as of July 1, 2021, we solely own three pending U.S. provisional patent applications. Patents claiming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priority to these three U.S. provisional patent applications, if issued, are expected to expire between 2041 and 2042, assuming payment of all appropriate maintenance, renewal, annuity or other governmental fees and without taking potential patent term extensions or adjustments into account. These provisional patent applications are related to proprietary </w:t>
      </w:r>
      <w:r>
        <w:rPr>
          <w:rFonts w:ascii="Arial" w:cs="Arial" w:eastAsia="Arial" w:hAnsi="Arial"/>
          <w:sz w:val="15"/>
          <w:szCs w:val="15"/>
          <w:i w:val="1"/>
          <w:iCs w:val="1"/>
          <w:color w:val="auto"/>
        </w:rPr>
        <w:t>PKP2</w:t>
      </w:r>
      <w:r>
        <w:rPr>
          <w:rFonts w:ascii="Arial" w:cs="Arial" w:eastAsia="Arial" w:hAnsi="Arial"/>
          <w:sz w:val="15"/>
          <w:szCs w:val="15"/>
          <w:color w:val="auto"/>
        </w:rPr>
        <w:t xml:space="preserve"> gene expression vectors and methods of use.</w:t>
      </w:r>
    </w:p>
    <w:p>
      <w:pPr>
        <w:spacing w:after="0" w:line="153"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i w:val="1"/>
          <w:iCs w:val="1"/>
          <w:color w:val="auto"/>
        </w:rPr>
        <w:t>DWORF</w:t>
      </w:r>
      <w:r>
        <w:rPr>
          <w:rFonts w:ascii="Arial" w:cs="Arial" w:eastAsia="Arial" w:hAnsi="Arial"/>
          <w:sz w:val="13"/>
          <w:szCs w:val="13"/>
          <w:color w:val="auto"/>
        </w:rPr>
        <w:t>: With regard to our DWORF program, as of July 1, 2021, we exclusively license one U.S. patent and one pending U.S. patent application</w:t>
      </w:r>
      <w:r>
        <w:rPr>
          <w:rFonts w:ascii="Arial" w:cs="Arial" w:eastAsia="Arial" w:hAnsi="Arial"/>
          <w:sz w:val="13"/>
          <w:szCs w:val="13"/>
          <w:i w:val="1"/>
          <w:iCs w:val="1"/>
          <w:color w:val="auto"/>
        </w:rPr>
        <w:t xml:space="preserve"> </w:t>
      </w:r>
      <w:r>
        <w:rPr>
          <w:rFonts w:ascii="Arial" w:cs="Arial" w:eastAsia="Arial" w:hAnsi="Arial"/>
          <w:sz w:val="13"/>
          <w:szCs w:val="13"/>
          <w:color w:val="auto"/>
        </w:rPr>
        <w:t>from UTSW (the UT Patents). The U.S. patent is expected to expire, and the pending U.S. patent application, if issued, is expected to expire, in 2037, assuming payment of all appropriate maintenance, renewal, annuity or other governmental fees and without taking potential patent term extensions or adjustments into account. The UT Patents covers methods of enhancing activity of the SERCA pump using the DWORF peptide and using such methods to treat heart disease. Furthermore, we solely own a pending U.S. provisional patent application related to proprietary vectors and methods of use. Patents claiming priority to this U.S. provisional patent application, if issued, are expected to expire in 2041, assuming payment of all appropriate maintenance, renewal, annuity or other governmental fees, and without taking potential patent term extensions or adjustments into account.</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0420"/>
          </w:cols>
          <w:pgMar w:left="320" w:top="418" w:right="115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Cellular Regeneration Platform</w:t>
      </w:r>
    </w:p>
    <w:p>
      <w:pPr>
        <w:spacing w:after="0" w:line="99"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With respect to our Cellular Regeneration platform, as of July 1, 2021, we solely own three patent families directed to product candidates in our Reprogramming program, including two pending PCT patent applications, one issued U.S. patent, one pending non-provisional U.S. patent application and nine foreign counterparts of these patent applications. Any U.S. or foreign patents issued from national stage filings of the PCT patent applications are expected to expire between 2039 and 2041, assuming payment of all appropriate maintenance, renewal, annuity or other governmental fees and that national phase entries are timely made based upon the pending PCT applications, and without taking potential patent term extensions or adjustments into account. The three patent families cover various aspects of our Reprogramming program, including gene delivery vectors, methods of treating a heart condition, engineered myocardin proteins, vectors encoding engineered myocardins, and methods of use. Additionally, we solely own a fourth patent family that is directed to AAV-based gene vectors for cardiac cell transduction, with one pending international PCT patent application. Any U.S. or foreign patents issued from national stage filings of this PCT patent application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w:t>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Precision Medicine Platform</w:t>
      </w:r>
    </w:p>
    <w:p>
      <w:pPr>
        <w:spacing w:after="0" w:line="99" w:lineRule="exact"/>
        <w:rPr>
          <w:sz w:val="20"/>
          <w:szCs w:val="20"/>
          <w:color w:val="auto"/>
        </w:rPr>
      </w:pPr>
    </w:p>
    <w:p>
      <w:pPr>
        <w:ind w:left="820" w:right="140" w:firstLine="385"/>
        <w:spacing w:after="0" w:line="251" w:lineRule="auto"/>
        <w:rPr>
          <w:sz w:val="20"/>
          <w:szCs w:val="20"/>
          <w:color w:val="auto"/>
        </w:rPr>
      </w:pPr>
      <w:r>
        <w:rPr>
          <w:rFonts w:ascii="Arial" w:cs="Arial" w:eastAsia="Arial" w:hAnsi="Arial"/>
          <w:sz w:val="16"/>
          <w:szCs w:val="16"/>
          <w:color w:val="auto"/>
        </w:rPr>
        <w:t>With regard to our HDAC6i program, as of July 1, 2021, we solely own two pending PCT patent applications and four pending U.S. provisional patent applications. Any U.S. or foreign patents issued from national stage filings of these PCT patent applications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 Our patent applications cover our lead HDAC6i compounds and various analogs.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Trade Secrets</w:t>
      </w:r>
    </w:p>
    <w:p>
      <w:pPr>
        <w:spacing w:after="0" w:line="99" w:lineRule="exact"/>
        <w:rPr>
          <w:sz w:val="20"/>
          <w:szCs w:val="20"/>
          <w:color w:val="auto"/>
        </w:rPr>
      </w:pPr>
    </w:p>
    <w:p>
      <w:pPr>
        <w:ind w:left="820" w:right="20" w:firstLine="385"/>
        <w:spacing w:after="0" w:line="310" w:lineRule="auto"/>
        <w:rPr>
          <w:sz w:val="20"/>
          <w:szCs w:val="20"/>
          <w:color w:val="auto"/>
        </w:rPr>
      </w:pPr>
      <w:r>
        <w:rPr>
          <w:rFonts w:ascii="Arial" w:cs="Arial" w:eastAsia="Arial" w:hAnsi="Arial"/>
          <w:sz w:val="13"/>
          <w:szCs w:val="13"/>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However, we cannot guarantee that we have entered into such agreements with each party that has or may have had access to our trade secrets or proprietary information or has been involved in the development of intellectual property. Additionally, these agreements may be breached and we may not have adequate remedies for any breach. Furthermore, third parties may independently develop substantially equivalent proprietary information and techniques or otherwise gain access to our trade secrets or disclose our technology. As a result, we may not be able to meaningfully protect our trade secrets. We also seek to preserve the integrity and confidentiality of our data and trade secrets by maintaining physical security of our premises and physical and electronic security of our information technology systems. However, such security measures may be breached and we may not have adequate remedies for such breaches.</w:t>
      </w:r>
    </w:p>
    <w:p>
      <w:pPr>
        <w:spacing w:after="0" w:line="32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For more information regarding the risks related to our intellectual property, see “Risk Factors—Risks Related to Our Intellectual Property.”</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Manufacturing</w:t>
      </w:r>
    </w:p>
    <w:p>
      <w:pPr>
        <w:spacing w:after="0" w:line="103" w:lineRule="exact"/>
        <w:rPr>
          <w:sz w:val="20"/>
          <w:szCs w:val="20"/>
          <w:color w:val="auto"/>
        </w:rPr>
      </w:pPr>
    </w:p>
    <w:p>
      <w:pPr>
        <w:ind w:left="820" w:right="120" w:firstLine="385"/>
        <w:spacing w:after="0" w:line="266" w:lineRule="auto"/>
        <w:rPr>
          <w:sz w:val="20"/>
          <w:szCs w:val="20"/>
          <w:color w:val="auto"/>
        </w:rPr>
      </w:pPr>
      <w:r>
        <w:rPr>
          <w:rFonts w:ascii="Arial" w:cs="Arial" w:eastAsia="Arial" w:hAnsi="Arial"/>
          <w:sz w:val="16"/>
          <w:szCs w:val="16"/>
          <w:color w:val="auto"/>
        </w:rPr>
        <w:t>We intend to rely on our internal manufacturing capabilities for the production of drug substance for initial clinical studies of our MYBPC3 gene therapy program. Over time we intend to rely on a combination of our</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0420"/>
          </w:cols>
          <w:pgMar w:left="320" w:top="418" w:right="115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580"/>
        <w:spacing w:after="0" w:line="266" w:lineRule="auto"/>
        <w:rPr>
          <w:sz w:val="20"/>
          <w:szCs w:val="20"/>
          <w:color w:val="auto"/>
        </w:rPr>
      </w:pPr>
      <w:r>
        <w:rPr>
          <w:rFonts w:ascii="Arial" w:cs="Arial" w:eastAsia="Arial" w:hAnsi="Arial"/>
          <w:sz w:val="16"/>
          <w:szCs w:val="16"/>
          <w:color w:val="auto"/>
        </w:rPr>
        <w:t>internal manufacturing capabilities as well as on external CDMOs for our portfolio programs as they progress through various stages of clinical development and eventually to commercialization, if approved.</w:t>
      </w:r>
    </w:p>
    <w:p>
      <w:pPr>
        <w:spacing w:after="0" w:line="158" w:lineRule="exact"/>
        <w:rPr>
          <w:sz w:val="20"/>
          <w:szCs w:val="20"/>
          <w:color w:val="auto"/>
        </w:rPr>
      </w:pPr>
    </w:p>
    <w:p>
      <w:pPr>
        <w:ind w:left="820" w:right="320" w:firstLine="385"/>
        <w:spacing w:after="0" w:line="251" w:lineRule="auto"/>
        <w:rPr>
          <w:sz w:val="20"/>
          <w:szCs w:val="20"/>
          <w:color w:val="auto"/>
        </w:rPr>
      </w:pPr>
      <w:r>
        <w:rPr>
          <w:rFonts w:ascii="Arial" w:cs="Arial" w:eastAsia="Arial" w:hAnsi="Arial"/>
          <w:sz w:val="16"/>
          <w:szCs w:val="16"/>
          <w:color w:val="auto"/>
        </w:rPr>
        <w:t>We plan to fully integrate and internalize AAV manufacturing capabilities to support our initial Gene Therapy and Cellular Regeneration platforms. We have established an in-house Pilot Plant Operation facility that operates at the 200L scale to support all non-clinical studies including IND-enabling efficacy, pharmacology and toxicology studies. This facility is compliant with Good Laboratory Practice (GLP) regulations and can produce materials sufficient for large animal studies including pigs and NHPs. Our initial production at this scale has been at yields and with full to empty capsid ratios that compare favorably to industry standards.</w:t>
      </w:r>
    </w:p>
    <w:p>
      <w:pPr>
        <w:spacing w:after="0" w:line="170"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We have initiated construction of a dedicated cGMP facility for drug product manufacturing in the San Francisco Bay Area that we expect will be operational in the first half of 2022. The facility will initially produce drug product at the 1000L scale to support first-in-human studies for our MYBPC3 program. The facility will use a modular pod design that will support scale-out and scale-up of manufacturing capacity in response to evolving needs.</w:t>
      </w:r>
    </w:p>
    <w:p>
      <w:pPr>
        <w:spacing w:after="0" w:line="167"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In addition to our internal cGMP manufacturing capabilities, we have also negotiated and entered into master service agreements with two CDMOs for additional capacity and risk mitigation. Additionally, we will rely on third parties for certain manufacturing related release assays, for which we intend to secure dual-sourced capacity for risk mitigation.</w:t>
      </w:r>
    </w:p>
    <w:p>
      <w:pPr>
        <w:spacing w:after="0" w:line="166" w:lineRule="exact"/>
        <w:rPr>
          <w:sz w:val="20"/>
          <w:szCs w:val="20"/>
          <w:color w:val="auto"/>
        </w:rPr>
      </w:pPr>
    </w:p>
    <w:p>
      <w:pPr>
        <w:ind w:left="820" w:right="40" w:firstLine="385"/>
        <w:spacing w:after="0" w:line="300" w:lineRule="auto"/>
        <w:rPr>
          <w:sz w:val="20"/>
          <w:szCs w:val="20"/>
          <w:color w:val="auto"/>
        </w:rPr>
      </w:pPr>
      <w:r>
        <w:rPr>
          <w:rFonts w:ascii="Arial" w:cs="Arial" w:eastAsia="Arial" w:hAnsi="Arial"/>
          <w:sz w:val="15"/>
          <w:szCs w:val="15"/>
          <w:color w:val="auto"/>
        </w:rPr>
        <w:t>To optimize our use of resources and utilize extensive experience in small molecule manufacturing, we intend to work with CDMOs for our small molecule programs. We intend to initiate cGMP manufacturing for our HDAC6 inhibitor program, TYA-11631, before the end of 2021.</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Government Regulation</w:t>
      </w:r>
    </w:p>
    <w:p>
      <w:pPr>
        <w:spacing w:after="0" w:line="103" w:lineRule="exact"/>
        <w:rPr>
          <w:sz w:val="20"/>
          <w:szCs w:val="20"/>
          <w:color w:val="auto"/>
        </w:rPr>
      </w:pPr>
    </w:p>
    <w:p>
      <w:pPr>
        <w:ind w:left="820" w:right="80" w:firstLine="385"/>
        <w:spacing w:after="0" w:line="267" w:lineRule="auto"/>
        <w:rPr>
          <w:sz w:val="20"/>
          <w:szCs w:val="20"/>
          <w:color w:val="auto"/>
        </w:rPr>
      </w:pPr>
      <w:r>
        <w:rPr>
          <w:rFonts w:ascii="Arial" w:cs="Arial" w:eastAsia="Arial" w:hAnsi="Arial"/>
          <w:sz w:val="15"/>
          <w:szCs w:val="15"/>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 Biologic and Small Molecule Drug Product Development</w:t>
      </w:r>
    </w:p>
    <w:p>
      <w:pPr>
        <w:spacing w:after="0" w:line="99"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In the United States,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0420"/>
          </w:cols>
          <w:pgMar w:left="320" w:top="418" w:right="115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383" w:lineRule="auto"/>
        <w:rPr>
          <w:sz w:val="20"/>
          <w:szCs w:val="20"/>
          <w:color w:val="auto"/>
        </w:rPr>
      </w:pPr>
      <w:r>
        <w:rPr>
          <w:rFonts w:ascii="Arial" w:cs="Arial" w:eastAsia="Arial" w:hAnsi="Arial"/>
          <w:sz w:val="13"/>
          <w:szCs w:val="13"/>
          <w:color w:val="auto"/>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6" w:lineRule="exact"/>
        <w:rPr>
          <w:sz w:val="20"/>
          <w:szCs w:val="20"/>
          <w:color w:val="auto"/>
        </w:rPr>
      </w:pPr>
    </w:p>
    <w:p>
      <w:pPr>
        <w:ind w:left="1660" w:right="20" w:hanging="469"/>
        <w:spacing w:after="0" w:line="266"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Completion of extensive preclinical studies in accordance with applicable regulations, including studies conducted in accordance with GLP requirements;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Submission to the FDA of an IND, which must become effective before human clinical trials may begin;</w:t>
      </w:r>
    </w:p>
    <w:p>
      <w:pPr>
        <w:spacing w:after="0" w:line="110" w:lineRule="exact"/>
        <w:rPr>
          <w:rFonts w:ascii="Arial" w:cs="Arial" w:eastAsia="Arial" w:hAnsi="Arial"/>
          <w:sz w:val="16"/>
          <w:szCs w:val="16"/>
          <w:color w:val="auto"/>
        </w:rPr>
      </w:pPr>
    </w:p>
    <w:p>
      <w:pPr>
        <w:ind w:left="1660" w:right="520" w:hanging="469"/>
        <w:spacing w:after="0" w:line="266"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(IRB), or ethics committee at each clinical trial site before each trial may be initiated;</w:t>
      </w:r>
    </w:p>
    <w:p>
      <w:pPr>
        <w:spacing w:after="0" w:line="75" w:lineRule="exact"/>
        <w:rPr>
          <w:rFonts w:ascii="Arial" w:cs="Arial" w:eastAsia="Arial" w:hAnsi="Arial"/>
          <w:sz w:val="16"/>
          <w:szCs w:val="16"/>
          <w:color w:val="auto"/>
        </w:rPr>
      </w:pPr>
    </w:p>
    <w:p>
      <w:pPr>
        <w:ind w:left="1660" w:right="140" w:hanging="469"/>
        <w:spacing w:after="0" w:line="256"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Submission to the FDA of a BLA or NDA;</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 BLA or NDA to accept the filing for review;</w:t>
      </w:r>
    </w:p>
    <w:p>
      <w:pPr>
        <w:spacing w:after="0" w:line="110" w:lineRule="exact"/>
        <w:rPr>
          <w:rFonts w:ascii="Arial" w:cs="Arial" w:eastAsia="Arial" w:hAnsi="Arial"/>
          <w:sz w:val="16"/>
          <w:szCs w:val="16"/>
          <w:color w:val="auto"/>
        </w:rPr>
      </w:pPr>
    </w:p>
    <w:p>
      <w:pPr>
        <w:ind w:left="1660" w:right="140" w:hanging="469"/>
        <w:spacing w:after="0" w:line="253"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quality controls, or the small molecule product’s identity, chemistry, and quality controls;</w:t>
      </w:r>
    </w:p>
    <w:p>
      <w:pPr>
        <w:spacing w:after="0" w:line="84" w:lineRule="exact"/>
        <w:rPr>
          <w:rFonts w:ascii="Arial" w:cs="Arial" w:eastAsia="Arial" w:hAnsi="Arial"/>
          <w:sz w:val="16"/>
          <w:szCs w:val="16"/>
          <w:color w:val="auto"/>
        </w:rPr>
      </w:pPr>
    </w:p>
    <w:p>
      <w:pPr>
        <w:ind w:left="1660" w:hanging="469"/>
        <w:spacing w:after="0"/>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Potential FDA audit of the preclinical study and/or clinical trial sites that generated the data in support of the BLA or NDA;</w:t>
      </w:r>
    </w:p>
    <w:p>
      <w:pPr>
        <w:spacing w:after="0" w:line="110" w:lineRule="exact"/>
        <w:rPr>
          <w:rFonts w:ascii="Arial" w:cs="Arial" w:eastAsia="Arial" w:hAnsi="Arial"/>
          <w:sz w:val="16"/>
          <w:szCs w:val="16"/>
          <w:color w:val="auto"/>
        </w:rPr>
      </w:pPr>
    </w:p>
    <w:p>
      <w:pPr>
        <w:ind w:left="1660" w:right="460" w:hanging="469"/>
        <w:spacing w:after="0" w:line="266"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Satisfactory completion of other studies required by the FDA, including immunogenicity, carcinogenicity, genotoxicity, and stability studies;</w:t>
      </w:r>
    </w:p>
    <w:p>
      <w:pPr>
        <w:spacing w:after="0" w:line="75" w:lineRule="exact"/>
        <w:rPr>
          <w:rFonts w:ascii="Arial" w:cs="Arial" w:eastAsia="Arial" w:hAnsi="Arial"/>
          <w:sz w:val="16"/>
          <w:szCs w:val="16"/>
          <w:color w:val="auto"/>
        </w:rPr>
      </w:pPr>
    </w:p>
    <w:p>
      <w:pPr>
        <w:ind w:left="1660" w:right="580" w:hanging="469"/>
        <w:spacing w:after="0" w:line="266"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FDA review and approval of the BLA or NDA, including consideration of the views of any FDA advisory committee, prior to any commercial marketing or sale of the biologic or small molecular therapeutic in the United States; and</w:t>
      </w:r>
    </w:p>
    <w:p>
      <w:pPr>
        <w:spacing w:after="0" w:line="75"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the potential requirement to implement a REMS, and the potential requirement to conduct post-approval studies.</w:t>
      </w:r>
    </w:p>
    <w:p>
      <w:pPr>
        <w:spacing w:after="0" w:line="158" w:lineRule="exact"/>
        <w:rPr>
          <w:sz w:val="20"/>
          <w:szCs w:val="20"/>
          <w:color w:val="auto"/>
        </w:rPr>
      </w:pPr>
    </w:p>
    <w:p>
      <w:pPr>
        <w:ind w:left="820" w:right="120" w:firstLine="385"/>
        <w:spacing w:after="0" w:line="256" w:lineRule="auto"/>
        <w:rPr>
          <w:sz w:val="20"/>
          <w:szCs w:val="20"/>
          <w:color w:val="auto"/>
        </w:rPr>
      </w:pPr>
      <w:r>
        <w:rPr>
          <w:rFonts w:ascii="Arial" w:cs="Arial" w:eastAsia="Arial" w:hAnsi="Arial"/>
          <w:sz w:val="16"/>
          <w:szCs w:val="16"/>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Preclinical Studies and IND</w:t>
      </w:r>
    </w:p>
    <w:p>
      <w:pPr>
        <w:spacing w:after="0" w:line="99" w:lineRule="exact"/>
        <w:rPr>
          <w:sz w:val="20"/>
          <w:szCs w:val="20"/>
          <w:color w:val="auto"/>
        </w:rPr>
      </w:pPr>
    </w:p>
    <w:p>
      <w:pPr>
        <w:ind w:left="820" w:right="80" w:firstLine="385"/>
        <w:spacing w:after="0" w:line="268" w:lineRule="auto"/>
        <w:rPr>
          <w:sz w:val="20"/>
          <w:szCs w:val="20"/>
          <w:color w:val="auto"/>
        </w:rPr>
      </w:pPr>
      <w:r>
        <w:rPr>
          <w:rFonts w:ascii="Arial" w:cs="Arial" w:eastAsia="Arial" w:hAnsi="Arial"/>
          <w:sz w:val="15"/>
          <w:szCs w:val="15"/>
          <w:color w:val="auto"/>
        </w:rPr>
        <w:t xml:space="preserve">Preclinical studies include laboratory evaluation of product biochemistry, formulation and stability, as well as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0440"/>
          </w:cols>
          <w:pgMar w:left="320" w:top="418" w:right="113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440"/>
        <w:spacing w:after="0" w:line="343" w:lineRule="auto"/>
        <w:rPr>
          <w:sz w:val="20"/>
          <w:szCs w:val="20"/>
          <w:color w:val="auto"/>
        </w:rPr>
      </w:pPr>
      <w:r>
        <w:rPr>
          <w:rFonts w:ascii="Arial" w:cs="Arial" w:eastAsia="Arial" w:hAnsi="Arial"/>
          <w:sz w:val="13"/>
          <w:szCs w:val="13"/>
          <w:color w:val="auto"/>
        </w:rPr>
        <w:t>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Clinical Trials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63"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2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Clinical trials in the United States generally are conducted in three sequential phases, known as Phase 1, Phase 2 and Phase 3, and may overlap.</w:t>
      </w:r>
    </w:p>
    <w:p>
      <w:pPr>
        <w:spacing w:after="0" w:line="145" w:lineRule="exact"/>
        <w:rPr>
          <w:sz w:val="20"/>
          <w:szCs w:val="20"/>
          <w:color w:val="auto"/>
        </w:rPr>
      </w:pPr>
    </w:p>
    <w:p>
      <w:pPr>
        <w:ind w:left="1660" w:right="260" w:hanging="469"/>
        <w:spacing w:after="0" w:line="256" w:lineRule="auto"/>
        <w:tabs>
          <w:tab w:leader="none" w:pos="1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3" w:lineRule="exact"/>
        <w:rPr>
          <w:rFonts w:ascii="Arial" w:cs="Arial" w:eastAsia="Arial" w:hAnsi="Arial"/>
          <w:sz w:val="16"/>
          <w:szCs w:val="16"/>
          <w:color w:val="auto"/>
        </w:rPr>
      </w:pPr>
    </w:p>
    <w:p>
      <w:pPr>
        <w:ind w:left="1660" w:right="20" w:hanging="469"/>
        <w:spacing w:after="0" w:line="256" w:lineRule="auto"/>
        <w:tabs>
          <w:tab w:leader="none" w:pos="1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3" w:lineRule="exact"/>
        <w:rPr>
          <w:rFonts w:ascii="Arial" w:cs="Arial" w:eastAsia="Arial" w:hAnsi="Arial"/>
          <w:sz w:val="16"/>
          <w:szCs w:val="16"/>
          <w:color w:val="auto"/>
        </w:rPr>
      </w:pPr>
    </w:p>
    <w:p>
      <w:pPr>
        <w:ind w:left="1660" w:right="20" w:hanging="469"/>
        <w:spacing w:after="0" w:line="329" w:lineRule="auto"/>
        <w:tabs>
          <w:tab w:leader="none" w:pos="16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23" w:lineRule="exact"/>
        <w:rPr>
          <w:sz w:val="20"/>
          <w:szCs w:val="20"/>
          <w:color w:val="auto"/>
        </w:rPr>
      </w:pPr>
    </w:p>
    <w:p>
      <w:pPr>
        <w:ind w:left="820" w:right="260" w:firstLine="385"/>
        <w:spacing w:after="0" w:line="256" w:lineRule="auto"/>
        <w:rPr>
          <w:sz w:val="20"/>
          <w:szCs w:val="20"/>
          <w:color w:val="auto"/>
        </w:rPr>
      </w:pPr>
      <w:r>
        <w:rPr>
          <w:rFonts w:ascii="Arial" w:cs="Arial" w:eastAsia="Arial" w:hAnsi="Arial"/>
          <w:sz w:val="16"/>
          <w:szCs w:val="16"/>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66"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Progress reports detailing the results of the clinical trials, among other information, must be submitted at least annually to the FDA and written IND safety reports must be submitted to the FDA and the investigators for</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0420"/>
          </w:cols>
          <w:pgMar w:left="320" w:top="418" w:right="115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60"/>
        <w:spacing w:after="0" w:line="256" w:lineRule="auto"/>
        <w:rPr>
          <w:sz w:val="20"/>
          <w:szCs w:val="20"/>
          <w:color w:val="auto"/>
        </w:rPr>
      </w:pPr>
      <w:r>
        <w:rPr>
          <w:rFonts w:ascii="Arial" w:cs="Arial" w:eastAsia="Arial" w:hAnsi="Arial"/>
          <w:sz w:val="16"/>
          <w:szCs w:val="16"/>
          <w:color w:val="auto"/>
        </w:rPr>
        <w:t xml:space="preserve">serious and unexpected suspected adverse events, findings from other studies suggesting a significant risk to humans exposed to the investigational product,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66"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328"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Further, as a result of the COVID-19 pandemic, the extent and length of which are uncertain, we will be required to develop and implement additional clinical trial policies and procedures designed to help protect trial participants from the COVID-19 virus, which may include using telemedicine visits and remote monitoring of patients and clinical sites. We will also need to ensure data from our clinical studies that may be disrupted as a result of the pandemic is collected pursuant to the trial protocol and is consistent with GCPs, with any material protocol deviation reviewed and approved by the site IRB. Patients who may miss scheduled appoints, any interruption in trial drug supply, or other consequence that may result in incomplete data being generated during a trial as a result of the pandemic must be adequately documented and justified. For example, on March 18, 2020, the FDA issued a guidance, as updated subsequently by the FDA, on conducting clinical trials during the pandemic. The guidance describes a number of considerations for sponsors of clinical trials impacted by the pandemic, including the requirement to include in the clinical trial report (or as a separate document) contingency measures implemented to manage the trial and any disruption of the trial as a result of COVID-19, among others. Other industry guidance issued by the FDA during the COVID-19 pandemic includes manufacturing, supply chain, and drug and biological product inspections during the COVID-19 public health emergency; GMP considerations for responding to COVID-19 infection in employees in biopharmaceutical manufacturing; and remote interactive evaluations of drug manufacturing and bioresearch monitoring facilities, among others. If new guidance and policies are promulgated by the FDA that require changes in our clinical protocol or clinical development plans, our anticipated timelines and regulatory approval may be delayed or materially impacted.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NDA and BLA Review Process</w:t>
      </w:r>
    </w:p>
    <w:p>
      <w:pPr>
        <w:spacing w:after="0" w:line="99"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0400"/>
          </w:cols>
          <w:pgMar w:left="320" w:top="418" w:right="117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20"/>
        <w:spacing w:after="0" w:line="253" w:lineRule="auto"/>
        <w:rPr>
          <w:sz w:val="20"/>
          <w:szCs w:val="20"/>
          <w:color w:val="auto"/>
        </w:rPr>
      </w:pPr>
      <w:r>
        <w:rPr>
          <w:rFonts w:ascii="Arial" w:cs="Arial" w:eastAsia="Arial" w:hAnsi="Arial"/>
          <w:sz w:val="16"/>
          <w:szCs w:val="16"/>
          <w:color w:val="auto"/>
        </w:rPr>
        <w:t>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167" w:lineRule="exact"/>
        <w:rPr>
          <w:sz w:val="20"/>
          <w:szCs w:val="20"/>
          <w:color w:val="auto"/>
        </w:rPr>
      </w:pPr>
    </w:p>
    <w:p>
      <w:pPr>
        <w:ind w:left="820" w:right="80" w:firstLine="385"/>
        <w:spacing w:after="0" w:line="268" w:lineRule="auto"/>
        <w:rPr>
          <w:sz w:val="20"/>
          <w:szCs w:val="20"/>
          <w:color w:val="auto"/>
        </w:rPr>
      </w:pPr>
      <w:r>
        <w:rPr>
          <w:rFonts w:ascii="Arial" w:cs="Arial" w:eastAsia="Arial" w:hAnsi="Arial"/>
          <w:sz w:val="15"/>
          <w:szCs w:val="15"/>
          <w:color w:val="auto"/>
        </w:rPr>
        <w:t>Under the Prescription Drug User Fee Act (PDUFA), as amended, each BLA or NDA must be accompanied by a user fee. FDA adjusts the PDUFA user fees on an annual basis. According to the FDA’s FY 2021 fee schedule, effective through September 30, 2021, the user fee for an application requiring clinical data, such as a BLA or NDA, is approximately $2.9 million. PDUFA also imposes an annual program fee for each marketed human prescription drug product ($336,432 in 2021)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161"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128" w:lineRule="exact"/>
        <w:rPr>
          <w:sz w:val="20"/>
          <w:szCs w:val="20"/>
          <w:color w:val="auto"/>
        </w:rPr>
      </w:pPr>
    </w:p>
    <w:p>
      <w:pPr>
        <w:ind w:left="820" w:right="40" w:firstLine="385"/>
        <w:spacing w:after="0" w:line="308" w:lineRule="auto"/>
        <w:rPr>
          <w:sz w:val="20"/>
          <w:szCs w:val="20"/>
          <w:color w:val="auto"/>
        </w:rPr>
      </w:pPr>
      <w:r>
        <w:rPr>
          <w:rFonts w:ascii="Arial" w:cs="Arial" w:eastAsia="Arial" w:hAnsi="Arial"/>
          <w:sz w:val="13"/>
          <w:szCs w:val="13"/>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200" w:lineRule="exact"/>
        <w:rPr>
          <w:sz w:val="20"/>
          <w:szCs w:val="20"/>
          <w:color w:val="auto"/>
        </w:rPr>
      </w:pP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Orphan Drugs</w:t>
      </w:r>
    </w:p>
    <w:p>
      <w:pPr>
        <w:spacing w:after="0" w:line="99" w:lineRule="exact"/>
        <w:rPr>
          <w:sz w:val="20"/>
          <w:szCs w:val="20"/>
          <w:color w:val="auto"/>
        </w:rPr>
      </w:pPr>
    </w:p>
    <w:p>
      <w:pPr>
        <w:ind w:left="820" w:right="480" w:firstLine="385"/>
        <w:spacing w:after="0" w:line="266" w:lineRule="auto"/>
        <w:rPr>
          <w:sz w:val="20"/>
          <w:szCs w:val="20"/>
          <w:color w:val="auto"/>
        </w:rPr>
      </w:pPr>
      <w:r>
        <w:rPr>
          <w:rFonts w:ascii="Arial" w:cs="Arial" w:eastAsia="Arial" w:hAnsi="Arial"/>
          <w:sz w:val="16"/>
          <w:szCs w:val="16"/>
          <w:color w:val="auto"/>
        </w:rPr>
        <w:t>Under the Orphan Drug Act, the FDA may grant orphan designation to a drug product intended to treat a rare disease or condition, which is generally a disease or condition that affects fewer than 200,000 individuals in</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0440"/>
          </w:cols>
          <w:pgMar w:left="320" w:top="418" w:right="113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383" w:lineRule="auto"/>
        <w:rPr>
          <w:sz w:val="20"/>
          <w:szCs w:val="20"/>
          <w:color w:val="auto"/>
        </w:rPr>
      </w:pPr>
      <w:r>
        <w:rPr>
          <w:rFonts w:ascii="Arial" w:cs="Arial" w:eastAsia="Arial" w:hAnsi="Arial"/>
          <w:sz w:val="13"/>
          <w:szCs w:val="13"/>
          <w:color w:val="auto"/>
        </w:rPr>
        <w:t>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89" w:lineRule="exact"/>
        <w:rPr>
          <w:sz w:val="20"/>
          <w:szCs w:val="20"/>
          <w:color w:val="auto"/>
        </w:rPr>
      </w:pPr>
    </w:p>
    <w:p>
      <w:pPr>
        <w:ind w:left="820" w:right="240" w:firstLine="385"/>
        <w:spacing w:after="0" w:line="281" w:lineRule="auto"/>
        <w:rPr>
          <w:sz w:val="20"/>
          <w:szCs w:val="20"/>
          <w:color w:val="auto"/>
        </w:rPr>
      </w:pPr>
      <w:r>
        <w:rPr>
          <w:rFonts w:ascii="Arial" w:cs="Arial" w:eastAsia="Arial" w:hAnsi="Arial"/>
          <w:sz w:val="15"/>
          <w:szCs w:val="15"/>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49" w:lineRule="exact"/>
        <w:rPr>
          <w:sz w:val="20"/>
          <w:szCs w:val="20"/>
          <w:color w:val="auto"/>
        </w:rPr>
      </w:pPr>
    </w:p>
    <w:p>
      <w:pPr>
        <w:ind w:left="820" w:right="20" w:firstLine="385"/>
        <w:spacing w:after="0" w:line="312" w:lineRule="auto"/>
        <w:rPr>
          <w:sz w:val="20"/>
          <w:szCs w:val="20"/>
          <w:color w:val="auto"/>
        </w:rPr>
      </w:pPr>
      <w:r>
        <w:rPr>
          <w:rFonts w:ascii="Arial" w:cs="Arial" w:eastAsia="Arial" w:hAnsi="Arial"/>
          <w:sz w:val="13"/>
          <w:szCs w:val="13"/>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200" w:lineRule="exact"/>
        <w:rPr>
          <w:sz w:val="20"/>
          <w:szCs w:val="20"/>
          <w:color w:val="auto"/>
        </w:rPr>
      </w:pP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Expedited Development and Review Programs</w:t>
      </w:r>
    </w:p>
    <w:p>
      <w:pPr>
        <w:spacing w:after="0" w:line="99"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154" w:lineRule="exact"/>
        <w:rPr>
          <w:sz w:val="20"/>
          <w:szCs w:val="20"/>
          <w:color w:val="auto"/>
        </w:rPr>
      </w:pPr>
    </w:p>
    <w:p>
      <w:pPr>
        <w:ind w:left="820" w:firstLine="385"/>
        <w:spacing w:after="0" w:line="343" w:lineRule="auto"/>
        <w:rPr>
          <w:sz w:val="20"/>
          <w:szCs w:val="20"/>
          <w:color w:val="auto"/>
        </w:rPr>
      </w:pPr>
      <w:r>
        <w:rPr>
          <w:rFonts w:ascii="Arial" w:cs="Arial" w:eastAsia="Arial" w:hAnsi="Arial"/>
          <w:sz w:val="13"/>
          <w:szCs w:val="13"/>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14" w:lineRule="exact"/>
        <w:rPr>
          <w:sz w:val="20"/>
          <w:szCs w:val="20"/>
          <w:color w:val="auto"/>
        </w:rPr>
      </w:pPr>
    </w:p>
    <w:p>
      <w:pPr>
        <w:ind w:left="820" w:right="100" w:firstLine="385"/>
        <w:spacing w:after="0" w:line="267" w:lineRule="auto"/>
        <w:rPr>
          <w:sz w:val="20"/>
          <w:szCs w:val="20"/>
          <w:color w:val="auto"/>
        </w:rPr>
      </w:pPr>
      <w:r>
        <w:rPr>
          <w:rFonts w:ascii="Arial" w:cs="Arial" w:eastAsia="Arial" w:hAnsi="Arial"/>
          <w:sz w:val="15"/>
          <w:szCs w:val="15"/>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 Such restrictions could have a materially adverse effect on our business and our ability to obtain profitability.</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0420"/>
          </w:cols>
          <w:pgMar w:left="320" w:top="418" w:right="115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Abbreviated Licensure Pathway of Biological Products as Biosimilars or Interchangeable Biosimilars</w:t>
      </w:r>
    </w:p>
    <w:p>
      <w:pPr>
        <w:spacing w:after="0" w:line="99"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87" w:lineRule="exact"/>
        <w:rPr>
          <w:sz w:val="20"/>
          <w:szCs w:val="20"/>
          <w:color w:val="auto"/>
        </w:rPr>
      </w:pPr>
    </w:p>
    <w:p>
      <w:pPr>
        <w:ind w:left="1660" w:right="320" w:hanging="469"/>
        <w:spacing w:after="0" w:line="266" w:lineRule="auto"/>
        <w:tabs>
          <w:tab w:leader="none" w:pos="1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Analytical studies demonstrating that the proposed biosimilar product is highly similar to the approved product notwithstanding minor differences in clinically inactive components;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Animal studies (including the assessment of toxicity); and</w:t>
      </w:r>
    </w:p>
    <w:p>
      <w:pPr>
        <w:spacing w:after="0" w:line="110" w:lineRule="exact"/>
        <w:rPr>
          <w:rFonts w:ascii="Arial" w:cs="Arial" w:eastAsia="Arial" w:hAnsi="Arial"/>
          <w:sz w:val="16"/>
          <w:szCs w:val="16"/>
          <w:color w:val="auto"/>
        </w:rPr>
      </w:pPr>
    </w:p>
    <w:p>
      <w:pPr>
        <w:ind w:left="1660" w:right="80" w:hanging="469"/>
        <w:spacing w:after="0" w:line="383" w:lineRule="auto"/>
        <w:tabs>
          <w:tab w:leader="none" w:pos="16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 addition, an application must include information demonstrating that:</w:t>
      </w:r>
    </w:p>
    <w:p>
      <w:pPr>
        <w:spacing w:after="0" w:line="111" w:lineRule="exact"/>
        <w:rPr>
          <w:sz w:val="20"/>
          <w:szCs w:val="20"/>
          <w:color w:val="auto"/>
        </w:rPr>
      </w:pPr>
    </w:p>
    <w:p>
      <w:pPr>
        <w:ind w:left="1660" w:hanging="469"/>
        <w:spacing w:after="0" w:line="383" w:lineRule="auto"/>
        <w:tabs>
          <w:tab w:leader="none" w:pos="16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6" w:lineRule="exact"/>
        <w:rPr>
          <w:rFonts w:ascii="Arial" w:cs="Arial" w:eastAsia="Arial" w:hAnsi="Arial"/>
          <w:sz w:val="13"/>
          <w:szCs w:val="13"/>
          <w:color w:val="auto"/>
        </w:rPr>
      </w:pPr>
    </w:p>
    <w:p>
      <w:pPr>
        <w:ind w:left="1660" w:right="260" w:hanging="469"/>
        <w:spacing w:after="0" w:line="266" w:lineRule="auto"/>
        <w:tabs>
          <w:tab w:leader="none" w:pos="1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condition or conditions of use prescribed, recommended or suggested in the labeling for the proposed biosimilar product have been previously approved for the reference product;</w:t>
      </w:r>
    </w:p>
    <w:p>
      <w:pPr>
        <w:spacing w:after="0" w:line="75"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route of administration, the dosage form and the strength of the proposed biosimilar product are the same as those for the reference product; and</w:t>
      </w:r>
    </w:p>
    <w:p>
      <w:pPr>
        <w:spacing w:after="0" w:line="75" w:lineRule="exact"/>
        <w:rPr>
          <w:rFonts w:ascii="Arial" w:cs="Arial" w:eastAsia="Arial" w:hAnsi="Arial"/>
          <w:sz w:val="16"/>
          <w:szCs w:val="16"/>
          <w:color w:val="auto"/>
        </w:rPr>
      </w:pPr>
    </w:p>
    <w:p>
      <w:pPr>
        <w:ind w:left="1660" w:right="560" w:hanging="469"/>
        <w:spacing w:after="0" w:line="266" w:lineRule="auto"/>
        <w:tabs>
          <w:tab w:leader="none" w:pos="1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facility in which the biological product is manufactured, processed, packed or held meets standards designed to assure that the biological product continues to be safe, pure and potent.</w:t>
      </w:r>
    </w:p>
    <w:p>
      <w:pPr>
        <w:spacing w:after="0" w:line="158"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72" w:lineRule="exact"/>
        <w:rPr>
          <w:sz w:val="20"/>
          <w:szCs w:val="20"/>
          <w:color w:val="auto"/>
        </w:rPr>
      </w:pPr>
    </w:p>
    <w:p>
      <w:pPr>
        <w:ind w:left="1660" w:hanging="469"/>
        <w:spacing w:after="0"/>
        <w:tabs>
          <w:tab w:leader="none" w:pos="1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proposed product is biosimilar to the reference product;</w:t>
      </w:r>
    </w:p>
    <w:p>
      <w:pPr>
        <w:spacing w:after="0" w:line="110" w:lineRule="exact"/>
        <w:rPr>
          <w:rFonts w:ascii="Arial" w:cs="Arial" w:eastAsia="Arial" w:hAnsi="Arial"/>
          <w:sz w:val="16"/>
          <w:szCs w:val="16"/>
          <w:color w:val="auto"/>
        </w:rPr>
      </w:pPr>
    </w:p>
    <w:p>
      <w:pPr>
        <w:ind w:left="5500" w:right="1320" w:hanging="4309"/>
        <w:spacing w:after="0" w:line="436" w:lineRule="auto"/>
        <w:tabs>
          <w:tab w:leader="none" w:pos="165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proposed product is expected to produce the same clinical result as the reference product in any given patient; and 197</w:t>
      </w:r>
    </w:p>
    <w:p>
      <w:pPr>
        <w:sectPr>
          <w:pgSz w:w="11900" w:h="16838" w:orient="portrait"/>
          <w:cols w:equalWidth="0" w:num="1">
            <w:col w:w="10440"/>
          </w:cols>
          <w:pgMar w:left="320" w:top="418" w:right="113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80" w:hanging="469"/>
        <w:spacing w:after="0" w:line="256" w:lineRule="auto"/>
        <w:tabs>
          <w:tab w:leader="none" w:pos="1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66" w:lineRule="exact"/>
        <w:rPr>
          <w:sz w:val="20"/>
          <w:szCs w:val="20"/>
          <w:color w:val="auto"/>
        </w:rPr>
      </w:pPr>
    </w:p>
    <w:p>
      <w:pPr>
        <w:ind w:left="820" w:right="60" w:firstLine="385"/>
        <w:spacing w:after="0" w:line="275" w:lineRule="auto"/>
        <w:rPr>
          <w:sz w:val="20"/>
          <w:szCs w:val="20"/>
          <w:color w:val="auto"/>
        </w:rPr>
      </w:pPr>
      <w:r>
        <w:rPr>
          <w:rFonts w:ascii="Arial" w:cs="Arial" w:eastAsia="Arial" w:hAnsi="Arial"/>
          <w:sz w:val="15"/>
          <w:szCs w:val="15"/>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153" w:lineRule="exact"/>
        <w:rPr>
          <w:sz w:val="20"/>
          <w:szCs w:val="20"/>
          <w:color w:val="auto"/>
        </w:rPr>
      </w:pPr>
    </w:p>
    <w:p>
      <w:pPr>
        <w:jc w:val="both"/>
        <w:ind w:left="820" w:right="20" w:firstLine="385"/>
        <w:spacing w:after="0" w:line="268" w:lineRule="auto"/>
        <w:rPr>
          <w:sz w:val="20"/>
          <w:szCs w:val="20"/>
          <w:color w:val="auto"/>
        </w:rPr>
      </w:pPr>
      <w:r>
        <w:rPr>
          <w:rFonts w:ascii="Arial" w:cs="Arial" w:eastAsia="Arial" w:hAnsi="Arial"/>
          <w:sz w:val="15"/>
          <w:szCs w:val="15"/>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161" w:lineRule="exact"/>
        <w:rPr>
          <w:sz w:val="20"/>
          <w:szCs w:val="20"/>
          <w:color w:val="auto"/>
        </w:rPr>
      </w:pPr>
    </w:p>
    <w:p>
      <w:pPr>
        <w:ind w:left="820" w:right="60" w:firstLine="385"/>
        <w:spacing w:after="0" w:line="323" w:lineRule="auto"/>
        <w:rPr>
          <w:sz w:val="20"/>
          <w:szCs w:val="20"/>
          <w:color w:val="auto"/>
        </w:rPr>
      </w:pPr>
      <w:r>
        <w:rPr>
          <w:rFonts w:ascii="Arial" w:cs="Arial" w:eastAsia="Arial" w:hAnsi="Arial"/>
          <w:sz w:val="13"/>
          <w:szCs w:val="13"/>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126"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167"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63" w:lineRule="exact"/>
        <w:rPr>
          <w:sz w:val="20"/>
          <w:szCs w:val="20"/>
          <w:color w:val="auto"/>
        </w:rPr>
      </w:pPr>
    </w:p>
    <w:p>
      <w:pPr>
        <w:ind w:left="820" w:right="140" w:firstLine="385"/>
        <w:spacing w:after="0" w:line="250" w:lineRule="auto"/>
        <w:rPr>
          <w:sz w:val="20"/>
          <w:szCs w:val="20"/>
          <w:color w:val="auto"/>
        </w:rPr>
      </w:pPr>
      <w:r>
        <w:rPr>
          <w:rFonts w:ascii="Arial" w:cs="Arial" w:eastAsia="Arial" w:hAnsi="Arial"/>
          <w:sz w:val="16"/>
          <w:szCs w:val="16"/>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0420"/>
          </w:cols>
          <w:pgMar w:left="320" w:top="418" w:right="115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40"/>
        <w:spacing w:after="0" w:line="383" w:lineRule="auto"/>
        <w:rPr>
          <w:sz w:val="20"/>
          <w:szCs w:val="20"/>
          <w:color w:val="auto"/>
        </w:rPr>
      </w:pPr>
      <w:r>
        <w:rPr>
          <w:rFonts w:ascii="Arial" w:cs="Arial" w:eastAsia="Arial" w:hAnsi="Arial"/>
          <w:sz w:val="13"/>
          <w:szCs w:val="13"/>
          <w:color w:val="auto"/>
        </w:rPr>
        <w:t>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Abbreviated NDA Pathway for Generic Drug Products</w:t>
      </w:r>
    </w:p>
    <w:p>
      <w:pPr>
        <w:spacing w:after="0" w:line="99"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color w:val="auto"/>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API, drug product formulation, specifications, stability, analytical methods, manufacturing process validation data, quality control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99"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163"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70"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2" w:lineRule="exact"/>
        <w:rPr>
          <w:sz w:val="20"/>
          <w:szCs w:val="20"/>
          <w:color w:val="auto"/>
        </w:rPr>
      </w:pPr>
    </w:p>
    <w:p>
      <w:pPr>
        <w:ind w:left="5500" w:right="240" w:hanging="4309"/>
        <w:spacing w:after="0" w:line="436" w:lineRule="auto"/>
        <w:tabs>
          <w:tab w:leader="none" w:pos="165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 199</w:t>
      </w:r>
    </w:p>
    <w:p>
      <w:pPr>
        <w:sectPr>
          <w:pgSz w:w="11900" w:h="16838" w:orient="portrait"/>
          <w:cols w:equalWidth="0" w:num="1">
            <w:col w:w="10400"/>
          </w:cols>
          <w:pgMar w:left="320" w:top="418" w:right="117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Warning letters, or holds on post-approval clinical studies;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Applications, or suspension or revocation of product license approvals;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or</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93"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FDA Regulation of Combination Biologic-Medical Device Products</w:t>
      </w:r>
    </w:p>
    <w:p>
      <w:pPr>
        <w:spacing w:after="0" w:line="99"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67" w:lineRule="exact"/>
        <w:rPr>
          <w:sz w:val="20"/>
          <w:szCs w:val="20"/>
          <w:color w:val="auto"/>
        </w:rPr>
      </w:pPr>
    </w:p>
    <w:p>
      <w:pPr>
        <w:ind w:left="820" w:right="160" w:firstLine="385"/>
        <w:spacing w:after="0" w:line="250" w:lineRule="auto"/>
        <w:rPr>
          <w:sz w:val="20"/>
          <w:szCs w:val="20"/>
          <w:color w:val="auto"/>
        </w:rPr>
      </w:pPr>
      <w:r>
        <w:rPr>
          <w:rFonts w:ascii="Arial" w:cs="Arial" w:eastAsia="Arial" w:hAnsi="Arial"/>
          <w:sz w:val="16"/>
          <w:szCs w:val="16"/>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(QS), regulations applicable to medical devices.</w:t>
      </w:r>
    </w:p>
    <w:p>
      <w:pPr>
        <w:spacing w:after="0" w:line="171" w:lineRule="exact"/>
        <w:rPr>
          <w:sz w:val="20"/>
          <w:szCs w:val="20"/>
          <w:color w:val="auto"/>
        </w:rPr>
      </w:pPr>
    </w:p>
    <w:p>
      <w:pPr>
        <w:ind w:left="820" w:right="60" w:firstLine="385"/>
        <w:spacing w:after="0" w:line="316" w:lineRule="auto"/>
        <w:rPr>
          <w:sz w:val="20"/>
          <w:szCs w:val="20"/>
          <w:color w:val="auto"/>
        </w:rPr>
      </w:pPr>
      <w:r>
        <w:rPr>
          <w:rFonts w:ascii="Arial" w:cs="Arial" w:eastAsia="Arial" w:hAnsi="Arial"/>
          <w:sz w:val="13"/>
          <w:szCs w:val="13"/>
          <w:color w:val="auto"/>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0360"/>
          </w:cols>
          <w:pgMar w:left="320" w:top="418" w:right="121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510(k) clearance process</w:t>
      </w:r>
    </w:p>
    <w:p>
      <w:pPr>
        <w:spacing w:after="0" w:line="99"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28" w:lineRule="exact"/>
        <w:rPr>
          <w:sz w:val="20"/>
          <w:szCs w:val="20"/>
          <w:color w:val="auto"/>
        </w:rPr>
      </w:pPr>
    </w:p>
    <w:p>
      <w:pPr>
        <w:ind w:left="820" w:right="240" w:firstLine="385"/>
        <w:spacing w:after="0" w:line="343" w:lineRule="auto"/>
        <w:rPr>
          <w:sz w:val="20"/>
          <w:szCs w:val="20"/>
          <w:color w:val="auto"/>
        </w:rPr>
      </w:pPr>
      <w:r>
        <w:rPr>
          <w:rFonts w:ascii="Arial" w:cs="Arial" w:eastAsia="Arial" w:hAnsi="Arial"/>
          <w:sz w:val="13"/>
          <w:szCs w:val="13"/>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 novo classification process</w:t>
      </w:r>
    </w:p>
    <w:p>
      <w:pPr>
        <w:spacing w:after="0" w:line="99"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PMA approval process</w:t>
      </w:r>
    </w:p>
    <w:p>
      <w:pPr>
        <w:spacing w:after="0" w:line="99"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extensive testing, control, documentation, and other QA and GMP requirements.</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U.S. Regulatory Matters</w:t>
      </w:r>
    </w:p>
    <w:p>
      <w:pPr>
        <w:spacing w:after="0" w:line="99" w:lineRule="exact"/>
        <w:rPr>
          <w:sz w:val="20"/>
          <w:szCs w:val="20"/>
          <w:color w:val="auto"/>
        </w:rPr>
      </w:pPr>
    </w:p>
    <w:p>
      <w:pPr>
        <w:ind w:left="820" w:right="80" w:firstLine="385"/>
        <w:spacing w:after="0" w:line="329" w:lineRule="auto"/>
        <w:rPr>
          <w:sz w:val="20"/>
          <w:szCs w:val="20"/>
          <w:color w:val="auto"/>
        </w:rPr>
      </w:pPr>
      <w:r>
        <w:rPr>
          <w:rFonts w:ascii="Arial" w:cs="Arial" w:eastAsia="Arial" w:hAnsi="Arial"/>
          <w:sz w:val="13"/>
          <w:szCs w:val="13"/>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0420"/>
          </w:cols>
          <w:pgMar w:left="320" w:top="418" w:right="115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49" w:lineRule="auto"/>
        <w:rPr>
          <w:sz w:val="20"/>
          <w:szCs w:val="20"/>
          <w:color w:val="auto"/>
        </w:rPr>
      </w:pPr>
      <w:r>
        <w:rPr>
          <w:rFonts w:ascii="Arial" w:cs="Arial" w:eastAsia="Arial" w:hAnsi="Arial"/>
          <w:sz w:val="16"/>
          <w:szCs w:val="16"/>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71"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70"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58" w:lineRule="exact"/>
        <w:rPr>
          <w:sz w:val="20"/>
          <w:szCs w:val="20"/>
          <w:color w:val="auto"/>
        </w:rPr>
      </w:pPr>
    </w:p>
    <w:p>
      <w:pPr>
        <w:ind w:left="820" w:right="260" w:firstLine="385"/>
        <w:spacing w:after="0" w:line="319" w:lineRule="auto"/>
        <w:rPr>
          <w:sz w:val="20"/>
          <w:szCs w:val="20"/>
          <w:color w:val="auto"/>
        </w:rPr>
      </w:pPr>
      <w:r>
        <w:rPr>
          <w:rFonts w:ascii="Arial" w:cs="Arial" w:eastAsia="Arial" w:hAnsi="Arial"/>
          <w:sz w:val="13"/>
          <w:szCs w:val="13"/>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28" w:lineRule="exact"/>
        <w:rPr>
          <w:sz w:val="20"/>
          <w:szCs w:val="20"/>
          <w:color w:val="auto"/>
        </w:rPr>
      </w:pPr>
    </w:p>
    <w:p>
      <w:pPr>
        <w:ind w:left="820" w:right="180" w:firstLine="385"/>
        <w:spacing w:after="0" w:line="343" w:lineRule="auto"/>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 Data Privacy and Security Laws</w:t>
      </w:r>
    </w:p>
    <w:p>
      <w:pPr>
        <w:spacing w:after="0" w:line="99"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5"/>
          <w:szCs w:val="15"/>
          <w:color w:val="auto"/>
        </w:rPr>
        <w:t>In the United States, there are a broad variety of laws, rules, regulations and standards relating to privacy, data protection and information security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0440"/>
          </w:cols>
          <w:pgMar w:left="320" w:top="418" w:right="113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10" w:lineRule="auto"/>
        <w:rPr>
          <w:sz w:val="20"/>
          <w:szCs w:val="20"/>
          <w:color w:val="auto"/>
        </w:rPr>
      </w:pPr>
      <w:r>
        <w:rPr>
          <w:rFonts w:ascii="Arial" w:cs="Arial" w:eastAsia="Arial" w:hAnsi="Arial"/>
          <w:sz w:val="13"/>
          <w:szCs w:val="13"/>
          <w:color w:val="auto"/>
        </w:rPr>
        <w:t>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“Risk Factors— 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00" w:lineRule="exact"/>
        <w:rPr>
          <w:sz w:val="20"/>
          <w:szCs w:val="20"/>
          <w:color w:val="auto"/>
        </w:rPr>
      </w:pP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 Patent-Term Restoration and Marketing Exclusivity</w:t>
      </w:r>
    </w:p>
    <w:p>
      <w:pPr>
        <w:spacing w:after="0" w:line="99"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167" w:lineRule="exact"/>
        <w:rPr>
          <w:sz w:val="20"/>
          <w:szCs w:val="20"/>
          <w:color w:val="auto"/>
        </w:rPr>
      </w:pPr>
    </w:p>
    <w:p>
      <w:pPr>
        <w:ind w:left="820" w:right="20" w:firstLine="385"/>
        <w:spacing w:after="0" w:line="310" w:lineRule="auto"/>
        <w:rPr>
          <w:sz w:val="20"/>
          <w:szCs w:val="20"/>
          <w:color w:val="auto"/>
        </w:rPr>
      </w:pPr>
      <w:r>
        <w:rPr>
          <w:rFonts w:ascii="Arial" w:cs="Arial" w:eastAsia="Arial" w:hAnsi="Arial"/>
          <w:sz w:val="13"/>
          <w:szCs w:val="13"/>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0420"/>
          </w:cols>
          <w:pgMar w:left="320" w:top="418" w:right="115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European Union Drug Development</w:t>
      </w:r>
    </w:p>
    <w:p>
      <w:pPr>
        <w:spacing w:after="0" w:line="99"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31" w:lineRule="exact"/>
        <w:rPr>
          <w:sz w:val="20"/>
          <w:szCs w:val="20"/>
          <w:color w:val="auto"/>
        </w:rPr>
      </w:pPr>
    </w:p>
    <w:p>
      <w:pPr>
        <w:ind w:left="820" w:right="220" w:firstLine="385"/>
        <w:spacing w:after="0" w:line="275" w:lineRule="auto"/>
        <w:rPr>
          <w:sz w:val="20"/>
          <w:szCs w:val="20"/>
          <w:color w:val="auto"/>
        </w:rPr>
      </w:pPr>
      <w:r>
        <w:rPr>
          <w:rFonts w:ascii="Arial" w:cs="Arial" w:eastAsia="Arial" w:hAnsi="Arial"/>
          <w:sz w:val="15"/>
          <w:szCs w:val="15"/>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European Union will be identical. In the meantime, Clinical Trials Directive 2001/20/EC continues to govern all clinical trials performed in the European Union.</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EU Drug Review and Approval</w:t>
      </w:r>
    </w:p>
    <w:p>
      <w:pPr>
        <w:spacing w:after="0" w:line="99" w:lineRule="exact"/>
        <w:rPr>
          <w:sz w:val="20"/>
          <w:szCs w:val="20"/>
          <w:color w:val="auto"/>
        </w:rPr>
      </w:pPr>
    </w:p>
    <w:p>
      <w:pPr>
        <w:jc w:val="both"/>
        <w:ind w:left="820" w:right="240" w:firstLine="385"/>
        <w:spacing w:after="0" w:line="256" w:lineRule="auto"/>
        <w:rPr>
          <w:sz w:val="20"/>
          <w:szCs w:val="20"/>
          <w:color w:val="auto"/>
        </w:rPr>
      </w:pPr>
      <w:r>
        <w:rPr>
          <w:rFonts w:ascii="Arial" w:cs="Arial" w:eastAsia="Arial" w:hAnsi="Arial"/>
          <w:sz w:val="16"/>
          <w:szCs w:val="16"/>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83" w:lineRule="exact"/>
        <w:rPr>
          <w:sz w:val="20"/>
          <w:szCs w:val="20"/>
          <w:color w:val="auto"/>
        </w:rPr>
      </w:pPr>
    </w:p>
    <w:p>
      <w:pPr>
        <w:ind w:left="1660" w:hanging="469"/>
        <w:spacing w:after="0" w:line="250" w:lineRule="auto"/>
        <w:tabs>
          <w:tab w:leader="none" w:pos="1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0420"/>
          </w:cols>
          <w:pgMar w:left="320" w:top="418" w:right="115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40"/>
        <w:spacing w:after="0" w:line="256" w:lineRule="auto"/>
        <w:rPr>
          <w:sz w:val="20"/>
          <w:szCs w:val="20"/>
          <w:color w:val="auto"/>
        </w:rPr>
      </w:pPr>
      <w:r>
        <w:rPr>
          <w:rFonts w:ascii="Arial" w:cs="Arial" w:eastAsia="Arial" w:hAnsi="Arial"/>
          <w:sz w:val="16"/>
          <w:szCs w:val="16"/>
          <w:color w:val="auto"/>
        </w:rPr>
        <w:t>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3" w:lineRule="exact"/>
        <w:rPr>
          <w:sz w:val="20"/>
          <w:szCs w:val="20"/>
          <w:color w:val="auto"/>
        </w:rPr>
      </w:pPr>
    </w:p>
    <w:p>
      <w:pPr>
        <w:ind w:left="1660" w:hanging="469"/>
        <w:spacing w:after="0" w:line="311" w:lineRule="auto"/>
        <w:tabs>
          <w:tab w:leader="none" w:pos="16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326" w:lineRule="exact"/>
        <w:rPr>
          <w:sz w:val="20"/>
          <w:szCs w:val="20"/>
          <w:color w:val="auto"/>
        </w:rPr>
      </w:pPr>
    </w:p>
    <w:p>
      <w:pPr>
        <w:ind w:left="820" w:right="160" w:firstLine="385"/>
        <w:spacing w:after="0" w:line="300" w:lineRule="auto"/>
        <w:rPr>
          <w:sz w:val="20"/>
          <w:szCs w:val="20"/>
          <w:color w:val="auto"/>
        </w:rPr>
      </w:pPr>
      <w:r>
        <w:rPr>
          <w:rFonts w:ascii="Arial" w:cs="Arial" w:eastAsia="Arial" w:hAnsi="Arial"/>
          <w:sz w:val="15"/>
          <w:szCs w:val="15"/>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Foreign Data Privacy and Security Laws</w:t>
      </w:r>
    </w:p>
    <w:p>
      <w:pPr>
        <w:spacing w:after="0" w:line="99"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Outside of the United States, legal requirements relating to the collection, storage, processing, and transfer of personal data continue to evolve. For example, in the EU, the GDPR requires data controllers to implement more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and regulations in the EU, including those of EU member states, relating to privacy and data protection. We are also subject to the UK GDPR, a version of the GDPR as implemented into UK law. If our efforts to comply with GDPR or other applicable foreign laws, rules and regulations are not successful, or are perceived to be unsuccessful, it could adversely affect our business. For more information, see “Risk Factors—Risks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00" w:lineRule="exact"/>
        <w:rPr>
          <w:sz w:val="20"/>
          <w:szCs w:val="20"/>
          <w:color w:val="auto"/>
        </w:rPr>
      </w:pPr>
    </w:p>
    <w:p>
      <w:pPr>
        <w:spacing w:after="0" w:line="2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99"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0440"/>
          </w:cols>
          <w:pgMar w:left="320" w:top="418" w:right="1139" w:bottom="1440" w:gutter="0" w:footer="0" w:header="0"/>
        </w:sectPr>
      </w:pPr>
    </w:p>
    <w:bookmarkStart w:id="208" w:name="page209"/>
    <w:bookmarkEnd w:id="2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56" w:lineRule="auto"/>
        <w:rPr>
          <w:sz w:val="20"/>
          <w:szCs w:val="20"/>
          <w:color w:val="auto"/>
        </w:rPr>
      </w:pPr>
      <w:r>
        <w:rPr>
          <w:rFonts w:ascii="Arial" w:cs="Arial" w:eastAsia="Arial" w:hAnsi="Arial"/>
          <w:sz w:val="16"/>
          <w:szCs w:val="16"/>
          <w:color w:val="auto"/>
        </w:rPr>
        <w:t>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66"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161"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CMS has proposed to expand Medicaid rebate liability to the territories of the United States as well.</w:t>
      </w:r>
    </w:p>
    <w:p>
      <w:pPr>
        <w:spacing w:after="0" w:line="159" w:lineRule="exact"/>
        <w:rPr>
          <w:sz w:val="20"/>
          <w:szCs w:val="20"/>
          <w:color w:val="auto"/>
        </w:rPr>
      </w:pPr>
    </w:p>
    <w:p>
      <w:pPr>
        <w:ind w:left="820" w:right="60" w:firstLine="385"/>
        <w:spacing w:after="0" w:line="265" w:lineRule="auto"/>
        <w:rPr>
          <w:sz w:val="20"/>
          <w:szCs w:val="20"/>
          <w:color w:val="auto"/>
        </w:rPr>
      </w:pPr>
      <w:r>
        <w:rPr>
          <w:rFonts w:ascii="Arial" w:cs="Arial" w:eastAsia="Arial" w:hAnsi="Arial"/>
          <w:sz w:val="15"/>
          <w:szCs w:val="15"/>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67" w:lineRule="exact"/>
        <w:rPr>
          <w:sz w:val="20"/>
          <w:szCs w:val="20"/>
          <w:color w:val="auto"/>
        </w:rPr>
      </w:pPr>
    </w:p>
    <w:p>
      <w:pPr>
        <w:jc w:val="both"/>
        <w:ind w:left="820" w:right="160" w:firstLine="385"/>
        <w:spacing w:after="0" w:line="281" w:lineRule="auto"/>
        <w:rPr>
          <w:sz w:val="20"/>
          <w:szCs w:val="20"/>
          <w:color w:val="auto"/>
        </w:rPr>
      </w:pPr>
      <w:r>
        <w:rPr>
          <w:rFonts w:ascii="Arial" w:cs="Arial" w:eastAsia="Arial" w:hAnsi="Arial"/>
          <w:sz w:val="15"/>
          <w:szCs w:val="15"/>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49" w:lineRule="exact"/>
        <w:rPr>
          <w:sz w:val="20"/>
          <w:szCs w:val="20"/>
          <w:color w:val="auto"/>
        </w:rPr>
      </w:pPr>
    </w:p>
    <w:p>
      <w:pPr>
        <w:jc w:val="both"/>
        <w:ind w:left="820" w:right="20" w:firstLine="385"/>
        <w:spacing w:after="0" w:line="256" w:lineRule="auto"/>
        <w:rPr>
          <w:sz w:val="20"/>
          <w:szCs w:val="20"/>
          <w:color w:val="auto"/>
        </w:rPr>
      </w:pPr>
      <w:r>
        <w:rPr>
          <w:rFonts w:ascii="Arial" w:cs="Arial" w:eastAsia="Arial" w:hAnsi="Arial"/>
          <w:sz w:val="16"/>
          <w:szCs w:val="16"/>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it will</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0420"/>
          </w:cols>
          <w:pgMar w:left="320" w:top="418" w:right="115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320"/>
        <w:spacing w:after="0" w:line="256" w:lineRule="auto"/>
        <w:rPr>
          <w:sz w:val="20"/>
          <w:szCs w:val="20"/>
          <w:color w:val="auto"/>
        </w:rPr>
      </w:pPr>
      <w:r>
        <w:rPr>
          <w:rFonts w:ascii="Arial" w:cs="Arial" w:eastAsia="Arial" w:hAnsi="Arial"/>
          <w:sz w:val="16"/>
          <w:szCs w:val="16"/>
          <w:color w:val="auto"/>
        </w:rPr>
        <w:t>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6" w:lineRule="exact"/>
        <w:rPr>
          <w:sz w:val="20"/>
          <w:szCs w:val="20"/>
          <w:color w:val="auto"/>
        </w:rPr>
      </w:pPr>
    </w:p>
    <w:p>
      <w:pPr>
        <w:ind w:left="820" w:right="100" w:firstLine="385"/>
        <w:spacing w:after="0" w:line="267" w:lineRule="auto"/>
        <w:rPr>
          <w:sz w:val="20"/>
          <w:szCs w:val="20"/>
          <w:color w:val="auto"/>
        </w:rPr>
      </w:pPr>
      <w:r>
        <w:rPr>
          <w:rFonts w:ascii="Arial" w:cs="Arial" w:eastAsia="Arial" w:hAnsi="Arial"/>
          <w:sz w:val="15"/>
          <w:szCs w:val="15"/>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63"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Employees and Human Capital Resources</w:t>
      </w:r>
    </w:p>
    <w:p>
      <w:pPr>
        <w:spacing w:after="0" w:line="103"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As of June 30, 2021, we had more than 85 full-time employees, with approximately 47 engaged in research and development activities and approximately 25 engaged in manufacturing activities. None of our employees are represented by a labor union or covered under a collective bargaining agreement. We consider our relationship with our employees to be good, in part as measured by relatively high scores from employees surveys and our relatively low turnover.</w:t>
      </w:r>
    </w:p>
    <w:p>
      <w:pPr>
        <w:spacing w:after="0" w:line="167" w:lineRule="exact"/>
        <w:rPr>
          <w:sz w:val="20"/>
          <w:szCs w:val="20"/>
          <w:color w:val="auto"/>
        </w:rPr>
      </w:pPr>
    </w:p>
    <w:p>
      <w:pPr>
        <w:ind w:left="820" w:right="40" w:firstLine="385"/>
        <w:spacing w:after="0" w:line="275" w:lineRule="auto"/>
        <w:rPr>
          <w:sz w:val="20"/>
          <w:szCs w:val="20"/>
          <w:color w:val="auto"/>
        </w:rPr>
      </w:pPr>
      <w:r>
        <w:rPr>
          <w:rFonts w:ascii="Arial" w:cs="Arial" w:eastAsia="Arial" w:hAnsi="Arial"/>
          <w:sz w:val="15"/>
          <w:szCs w:val="15"/>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Facilities</w:t>
      </w:r>
    </w:p>
    <w:p>
      <w:pPr>
        <w:spacing w:after="0" w:line="103" w:lineRule="exact"/>
        <w:rPr>
          <w:sz w:val="20"/>
          <w:szCs w:val="20"/>
          <w:color w:val="auto"/>
        </w:rPr>
      </w:pPr>
    </w:p>
    <w:p>
      <w:pPr>
        <w:jc w:val="both"/>
        <w:ind w:left="820" w:right="480" w:firstLine="385"/>
        <w:spacing w:after="0" w:line="281" w:lineRule="auto"/>
        <w:rPr>
          <w:sz w:val="20"/>
          <w:szCs w:val="20"/>
          <w:color w:val="auto"/>
        </w:rPr>
      </w:pPr>
      <w:r>
        <w:rPr>
          <w:rFonts w:ascii="Arial" w:cs="Arial" w:eastAsia="Arial" w:hAnsi="Arial"/>
          <w:sz w:val="15"/>
          <w:szCs w:val="15"/>
          <w:color w:val="auto"/>
        </w:rPr>
        <w:t>Our corporate headquarters are in South San Francisco, where we lease a facility containing approximately 32,370 square feet of office and laboratory space located at 171 Oyster Point Blvd., 5</w:t>
      </w:r>
      <w:r>
        <w:rPr>
          <w:rFonts w:ascii="Arial" w:cs="Arial" w:eastAsia="Arial" w:hAnsi="Arial"/>
          <w:sz w:val="12"/>
          <w:szCs w:val="12"/>
          <w:color w:val="auto"/>
        </w:rPr>
        <w:t>th</w:t>
      </w:r>
      <w:r>
        <w:rPr>
          <w:rFonts w:ascii="Arial" w:cs="Arial" w:eastAsia="Arial" w:hAnsi="Arial"/>
          <w:sz w:val="15"/>
          <w:szCs w:val="15"/>
          <w:color w:val="auto"/>
        </w:rPr>
        <w:t xml:space="preserve"> Floor, South San Francisco, CA 94080. The lease expires on May 31, 2025, unless earlier terminated in accordance with the lease, and we may renew the lease term for two additional five-year periods.</w:t>
      </w:r>
    </w:p>
    <w:p>
      <w:pPr>
        <w:spacing w:after="0" w:line="149" w:lineRule="exact"/>
        <w:rPr>
          <w:sz w:val="20"/>
          <w:szCs w:val="20"/>
          <w:color w:val="auto"/>
        </w:rPr>
      </w:pPr>
    </w:p>
    <w:p>
      <w:pPr>
        <w:jc w:val="both"/>
        <w:ind w:left="820" w:right="380" w:firstLine="385"/>
        <w:spacing w:after="0" w:line="256" w:lineRule="auto"/>
        <w:rPr>
          <w:sz w:val="20"/>
          <w:szCs w:val="20"/>
          <w:color w:val="auto"/>
        </w:rPr>
      </w:pPr>
      <w:r>
        <w:rPr>
          <w:rFonts w:ascii="Arial" w:cs="Arial" w:eastAsia="Arial" w:hAnsi="Arial"/>
          <w:sz w:val="16"/>
          <w:szCs w:val="16"/>
          <w:color w:val="auto"/>
        </w:rPr>
        <w:t>We also have subleased space at another facility in South San Francisco containing approximately 24,000 square feet of additional office and laboratory space located at 131 Oyster Point Blvd, 4</w:t>
      </w:r>
      <w:r>
        <w:rPr>
          <w:rFonts w:ascii="Arial" w:cs="Arial" w:eastAsia="Arial" w:hAnsi="Arial"/>
          <w:sz w:val="13"/>
          <w:szCs w:val="13"/>
          <w:color w:val="auto"/>
        </w:rPr>
        <w:t>th</w:t>
      </w:r>
      <w:r>
        <w:rPr>
          <w:rFonts w:ascii="Arial" w:cs="Arial" w:eastAsia="Arial" w:hAnsi="Arial"/>
          <w:sz w:val="16"/>
          <w:szCs w:val="16"/>
          <w:color w:val="auto"/>
        </w:rPr>
        <w:t xml:space="preserve"> Floor, South San Francisco, CA 94080. The sublease expires on November 30, 2021, unless earlier terminated in accordance with the sublease.</w:t>
      </w:r>
    </w:p>
    <w:p>
      <w:pPr>
        <w:spacing w:after="0" w:line="166" w:lineRule="exact"/>
        <w:rPr>
          <w:sz w:val="20"/>
          <w:szCs w:val="20"/>
          <w:color w:val="auto"/>
        </w:rPr>
      </w:pPr>
    </w:p>
    <w:p>
      <w:pPr>
        <w:ind w:left="820" w:right="320" w:firstLine="385"/>
        <w:spacing w:after="0" w:line="266" w:lineRule="auto"/>
        <w:rPr>
          <w:sz w:val="20"/>
          <w:szCs w:val="20"/>
          <w:color w:val="auto"/>
        </w:rPr>
      </w:pPr>
      <w:r>
        <w:rPr>
          <w:rFonts w:ascii="Arial" w:cs="Arial" w:eastAsia="Arial" w:hAnsi="Arial"/>
          <w:sz w:val="16"/>
          <w:szCs w:val="16"/>
          <w:color w:val="auto"/>
        </w:rPr>
        <w:t>We also have a leased space at a facility in Union City containing additional manufacturing and office space located at 33498 Central Avenue, Union City, CA 94587. The lease expires ten years and three months following</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0440"/>
          </w:cols>
          <w:pgMar w:left="320" w:top="418" w:right="1139" w:bottom="1440" w:gutter="0" w:footer="0" w:header="0"/>
        </w:sectPr>
      </w:pPr>
    </w:p>
    <w:bookmarkStart w:id="210" w:name="page211"/>
    <w:bookmarkEnd w:id="2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spacing w:after="0" w:line="253" w:lineRule="auto"/>
        <w:rPr>
          <w:sz w:val="20"/>
          <w:szCs w:val="20"/>
          <w:color w:val="auto"/>
        </w:rPr>
      </w:pPr>
      <w:r>
        <w:rPr>
          <w:rFonts w:ascii="Arial" w:cs="Arial" w:eastAsia="Arial" w:hAnsi="Arial"/>
          <w:sz w:val="16"/>
          <w:szCs w:val="16"/>
          <w:color w:val="auto"/>
        </w:rPr>
        <w:t>the date the premises is delivered by the landlord in the required condition, unless earlier terminated in accordance with the lease. We may renew the lease term for one additional five-year period.</w:t>
      </w:r>
    </w:p>
    <w:p>
      <w:pPr>
        <w:spacing w:after="0" w:line="1" w:lineRule="exact"/>
        <w:rPr>
          <w:sz w:val="20"/>
          <w:szCs w:val="20"/>
          <w:color w:val="auto"/>
        </w:rPr>
      </w:pPr>
    </w:p>
    <w:p>
      <w:pPr>
        <w:ind w:left="820" w:firstLine="385"/>
        <w:spacing w:after="0" w:line="252" w:lineRule="auto"/>
        <w:rPr>
          <w:sz w:val="20"/>
          <w:szCs w:val="20"/>
          <w:color w:val="auto"/>
        </w:rPr>
      </w:pPr>
      <w:r>
        <w:rPr>
          <w:rFonts w:ascii="Arial" w:cs="Arial" w:eastAsia="Arial" w:hAnsi="Arial"/>
          <w:sz w:val="16"/>
          <w:szCs w:val="16"/>
          <w:color w:val="auto"/>
        </w:rPr>
        <w:t>We believe that these existing facilities are adequate for our current needs and that suitable additional or alternative space will be available in the future on commercially reasonable terms, if required.</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Legal Proceedings</w:t>
      </w:r>
    </w:p>
    <w:p>
      <w:pPr>
        <w:spacing w:after="0" w:line="103" w:lineRule="exact"/>
        <w:rPr>
          <w:sz w:val="20"/>
          <w:szCs w:val="20"/>
          <w:color w:val="auto"/>
        </w:rPr>
      </w:pPr>
    </w:p>
    <w:p>
      <w:pPr>
        <w:ind w:left="820" w:right="60" w:firstLine="385"/>
        <w:spacing w:after="0" w:line="281" w:lineRule="auto"/>
        <w:rPr>
          <w:sz w:val="20"/>
          <w:szCs w:val="20"/>
          <w:color w:val="auto"/>
        </w:rPr>
      </w:pPr>
      <w:r>
        <w:rPr>
          <w:rFonts w:ascii="Arial" w:cs="Arial" w:eastAsia="Arial" w:hAnsi="Arial"/>
          <w:sz w:val="15"/>
          <w:szCs w:val="15"/>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0300"/>
          </w:cols>
          <w:pgMar w:left="320" w:top="418" w:right="1279" w:bottom="1440" w:gutter="0" w:footer="0" w:header="0"/>
        </w:sectPr>
      </w:pPr>
    </w:p>
    <w:bookmarkStart w:id="211" w:name="page212"/>
    <w:bookmarkEnd w:id="2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MANAGEMENT</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Officers and Directors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sets forth the names and positions of our executive officers and directors and their ages as of June 30, 2021:</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Age</w:t>
            </w:r>
          </w:p>
        </w:tc>
        <w:tc>
          <w:tcPr>
            <w:tcW w:w="5500" w:type="dxa"/>
            <w:vAlign w:val="bottom"/>
            <w:gridSpan w:val="3"/>
          </w:tcPr>
          <w:p>
            <w:pPr>
              <w:ind w:left="24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i w:val="1"/>
                <w:iCs w:val="1"/>
                <w:color w:val="auto"/>
              </w:rPr>
              <w:t>Executive Officers:</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Faraz Ali, M.B.A.</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Chief Executive Officer, Secretary and 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Hoey, Ph.D.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Chief Scientific Officer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Leone D. Patterson, M.B.A.</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Chief Financial and Business Officer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Whittemore (Whit) Tingley, M.D., Ph.D.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Chief Medical Officer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Non-Employee Directors:</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Eli Casdin, M.B.A.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Jin-Long Chen, Ph.D.</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V. Goeddel, Ph.D.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JeenJoo (JJ) Kang, Ph.D.</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Deepak Srivastava, M.D.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Catherine Stehman-Breen, M.D.</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T. Walsh, M.B.A.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R. Sanders (Sandy) Williams, M.D.</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75565</wp:posOffset>
            </wp:positionV>
            <wp:extent cx="66611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4" w:lineRule="exact"/>
        <w:rPr>
          <w:sz w:val="20"/>
          <w:szCs w:val="20"/>
          <w:color w:val="auto"/>
        </w:rPr>
      </w:pPr>
    </w:p>
    <w:p>
      <w:pPr>
        <w:ind w:left="1200" w:hanging="386"/>
        <w:spacing w:after="0"/>
        <w:tabs>
          <w:tab w:leader="none" w:pos="12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6" w:lineRule="exact"/>
        <w:rPr>
          <w:rFonts w:ascii="Arial" w:cs="Arial" w:eastAsia="Arial" w:hAnsi="Arial"/>
          <w:sz w:val="16"/>
          <w:szCs w:val="16"/>
          <w:color w:val="auto"/>
        </w:rPr>
      </w:pPr>
    </w:p>
    <w:p>
      <w:pPr>
        <w:ind w:left="1200" w:hanging="386"/>
        <w:spacing w:after="0"/>
        <w:tabs>
          <w:tab w:leader="none" w:pos="12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4" w:lineRule="exact"/>
        <w:rPr>
          <w:rFonts w:ascii="Arial" w:cs="Arial" w:eastAsia="Arial" w:hAnsi="Arial"/>
          <w:sz w:val="16"/>
          <w:szCs w:val="16"/>
          <w:color w:val="auto"/>
        </w:rPr>
      </w:pPr>
    </w:p>
    <w:p>
      <w:pPr>
        <w:ind w:left="1200" w:hanging="386"/>
        <w:spacing w:after="0"/>
        <w:tabs>
          <w:tab w:leader="none" w:pos="12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Member of the corporate governance and nominating committee.</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Officers</w:t>
      </w:r>
    </w:p>
    <w:p>
      <w:pPr>
        <w:spacing w:after="0" w:line="103" w:lineRule="exact"/>
        <w:rPr>
          <w:sz w:val="20"/>
          <w:szCs w:val="20"/>
          <w:color w:val="auto"/>
        </w:rPr>
      </w:pPr>
    </w:p>
    <w:p>
      <w:pPr>
        <w:ind w:left="820" w:right="180" w:firstLine="385"/>
        <w:spacing w:after="0" w:line="319" w:lineRule="auto"/>
        <w:rPr>
          <w:sz w:val="20"/>
          <w:szCs w:val="20"/>
          <w:color w:val="auto"/>
        </w:rPr>
      </w:pPr>
      <w:r>
        <w:rPr>
          <w:rFonts w:ascii="Arial" w:cs="Arial" w:eastAsia="Arial" w:hAnsi="Arial"/>
          <w:sz w:val="13"/>
          <w:szCs w:val="13"/>
          <w:b w:val="1"/>
          <w:bCs w:val="1"/>
          <w:i w:val="1"/>
          <w:iCs w:val="1"/>
          <w:color w:val="auto"/>
        </w:rPr>
        <w:t xml:space="preserve">Faraz Ali, M.B.A. </w:t>
      </w:r>
      <w:r>
        <w:rPr>
          <w:rFonts w:ascii="Arial" w:cs="Arial" w:eastAsia="Arial" w:hAnsi="Arial"/>
          <w:sz w:val="13"/>
          <w:szCs w:val="13"/>
          <w:color w:val="auto"/>
        </w:rPr>
        <w:t>has served as our Chief Executive Officer and Secretary since June 2018 and as a member of our board of directors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September 2018. Prior to joining us, Mr. Ali was Chief Business Officer at REGENXBIO, a public biotechnology company, from February 2016 to January 2018. From May 2011 to February 2016, Mr. Ali was Vice President, Global Commercial Development and External Affairs at bluebird bio, a public biotechnology company. From August 2001 to November 2010, Mr. Ali held various roles at Genzyme, including Head of U.S. Marketing and Strategic Planning for the rare disease business unit. Prior to Genzyme, Mr. Ali served in leadership roles at GE Corporate and GE Healthcare. Mr. Ali holds a B.S. in Electrical Engineering from Stanford University and an M.B.A. with distinction from Harvard Business School.</w:t>
      </w:r>
    </w:p>
    <w:p>
      <w:pPr>
        <w:spacing w:after="0" w:line="128" w:lineRule="exact"/>
        <w:rPr>
          <w:sz w:val="20"/>
          <w:szCs w:val="20"/>
          <w:color w:val="auto"/>
        </w:rPr>
      </w:pPr>
    </w:p>
    <w:p>
      <w:pPr>
        <w:ind w:left="820" w:right="140" w:firstLine="385"/>
        <w:spacing w:after="0" w:line="256" w:lineRule="auto"/>
        <w:rPr>
          <w:sz w:val="20"/>
          <w:szCs w:val="20"/>
          <w:color w:val="auto"/>
        </w:rPr>
      </w:pPr>
      <w:r>
        <w:rPr>
          <w:rFonts w:ascii="Arial" w:cs="Arial" w:eastAsia="Arial" w:hAnsi="Arial"/>
          <w:sz w:val="16"/>
          <w:szCs w:val="16"/>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w:t>
      </w:r>
    </w:p>
    <w:p>
      <w:pPr>
        <w:spacing w:after="0" w:line="166"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b w:val="1"/>
          <w:bCs w:val="1"/>
          <w:i w:val="1"/>
          <w:iCs w:val="1"/>
          <w:color w:val="auto"/>
        </w:rPr>
        <w:t xml:space="preserve">Timothy Hoey, Ph.D. </w:t>
      </w:r>
      <w:r>
        <w:rPr>
          <w:rFonts w:ascii="Arial" w:cs="Arial" w:eastAsia="Arial" w:hAnsi="Arial"/>
          <w:sz w:val="16"/>
          <w:szCs w:val="16"/>
          <w:color w:val="auto"/>
        </w:rPr>
        <w:t>has served as our Chief Scientific Officer since August 2017. From 2005 to June 2017, he held various roles at OncoMed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Pharmaceuticals, a public biotechnology company, including as the Senior Vice-President, Cancer Biology and co-Chief Scientific Officer from January 2016 to June 2017. From 1993 to 2005, Dr. Hoey served in various roles at Tularik, a public biopharmaceutical company acquired by Amgen in 2004, including as Director, Biology Department at both Tularik and Amgen. Dr. Hoey received a B.S. in Biology from the University of Michigan and a Ph.D. in Biological Sciences from Columbia University.</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0440"/>
          </w:cols>
          <w:pgMar w:left="320" w:top="418" w:right="1139" w:bottom="1440" w:gutter="0" w:footer="0" w:header="0"/>
        </w:sectPr>
      </w:pPr>
    </w:p>
    <w:bookmarkStart w:id="212" w:name="page213"/>
    <w:bookmarkEnd w:id="2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309" w:lineRule="auto"/>
        <w:rPr>
          <w:sz w:val="20"/>
          <w:szCs w:val="20"/>
          <w:color w:val="auto"/>
        </w:rPr>
      </w:pPr>
      <w:r>
        <w:rPr>
          <w:rFonts w:ascii="Arial" w:cs="Arial" w:eastAsia="Arial" w:hAnsi="Arial"/>
          <w:sz w:val="13"/>
          <w:szCs w:val="13"/>
          <w:b w:val="1"/>
          <w:bCs w:val="1"/>
          <w:i w:val="1"/>
          <w:iCs w:val="1"/>
          <w:color w:val="auto"/>
        </w:rPr>
        <w:t xml:space="preserve">Leone D. Patterson, M.B.A. </w:t>
      </w:r>
      <w:r>
        <w:rPr>
          <w:rFonts w:ascii="Arial" w:cs="Arial" w:eastAsia="Arial" w:hAnsi="Arial"/>
          <w:sz w:val="13"/>
          <w:szCs w:val="13"/>
          <w:color w:val="auto"/>
        </w:rPr>
        <w:t>began serving as our Chief Financial and Business Officer in June 2021. Prior to joining us, Ms. Patterson served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President and Chief Financial Officer of Adverum Biotechnologies, a public biotechnology company, from February 2021 to June 2021, and as its President from December 2019 to June 2021. She also served as Adverum’s Chief Financial Officer from June 2016 to April 2019, as its Chief Executive Officer from May 2018 to June 2020, and as a member of its board of directors from October 2018 to June 2020. From March 2015 to June 2016, Ms. Patterson served as the Chief Financial Officer of Diadexus, a public diagnostics company. Diadexus voluntarily filed for Chapter 7 bankruptcy in June 2016 while Ms. Patterson was its Chief Financial Officer. Before that, she was Vice President and Chief Financial Officer of Transcept Pharmaceuticals, a private biopharmaceutical company, from June 2012 until it was acquired by Paratek Pharmaceuticals in October 2014. From November 2010 to June 2012, Ms. Patterson served as Vice President and Global Corporate Controller of NetApp. From July 2007 to November 2010, Ms. Patterson was Vice President of Finance at Exelixis. Before Exelixis, Ms. Patterson served as Vice President of Global Business Planning and Analysis of the Vaccines and Diagnostics Division of Novartis AG, from April 2006 to July 2007. From 1999 to 2006, she held various positions, including Vice President, Corporate Controller, at Chiron (now part of Novartis). From 1989 to 1999, Ms. Patterson worked in the audit practice of accounting firm KPMG, where she held various positions including Senior Manager. Ms. Patterson currently serves on the board of directors and as the Chair of the audit committee of Nkarta, a public biotechnology company, and Eliem Therapeutics, a private biotechnology company. Ms. Patterson holds a B.S. in Business Administration and Accounting from Chapman University and an Executive M.B.A. from St. Mary’s College. Ms. Patterson is also a Certified Public Accountant (inactive status).</w:t>
      </w:r>
    </w:p>
    <w:p>
      <w:pPr>
        <w:spacing w:after="0" w:line="200" w:lineRule="exact"/>
        <w:rPr>
          <w:sz w:val="20"/>
          <w:szCs w:val="20"/>
          <w:color w:val="auto"/>
        </w:rPr>
      </w:pPr>
    </w:p>
    <w:p>
      <w:pPr>
        <w:spacing w:after="0" w:line="316"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b w:val="1"/>
          <w:bCs w:val="1"/>
          <w:i w:val="1"/>
          <w:iCs w:val="1"/>
          <w:color w:val="auto"/>
        </w:rPr>
        <w:t xml:space="preserve">Whittemore (Whit) Tingley, M.D., Ph.D. </w:t>
      </w:r>
      <w:r>
        <w:rPr>
          <w:rFonts w:ascii="Arial" w:cs="Arial" w:eastAsia="Arial" w:hAnsi="Arial"/>
          <w:sz w:val="15"/>
          <w:szCs w:val="15"/>
          <w:color w:val="auto"/>
        </w:rPr>
        <w:t>has served as our Chief Medical Officer since December 2018. Before joining us, he served as the Vice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of Clinical Research, Cardiology, at Cytokinetics, a public biotechnology company, from September 2017 to December 2018. From 2009 to September 2017, Dr. Tingley held various medical director and group medical director roles at Genentech. Before that, Dr. Tingley was adjunct associate professor of medicine in the cardiology division at the University of California, San Francisco,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University of California, San Francisco and post-doctoral research at Gladstone Institutes.</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Non-Employee Directors</w:t>
      </w:r>
    </w:p>
    <w:p>
      <w:pPr>
        <w:spacing w:after="0" w:line="103"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b w:val="1"/>
          <w:bCs w:val="1"/>
          <w:i w:val="1"/>
          <w:iCs w:val="1"/>
          <w:color w:val="auto"/>
        </w:rPr>
        <w:t xml:space="preserve">Eli Casdin, M.B.A. </w:t>
      </w:r>
      <w:r>
        <w:rPr>
          <w:rFonts w:ascii="Arial" w:cs="Arial" w:eastAsia="Arial" w:hAnsi="Arial"/>
          <w:sz w:val="13"/>
          <w:szCs w:val="13"/>
          <w:color w:val="auto"/>
        </w:rPr>
        <w:t>has served as a member of our board of directors since August 2019 and as a member of our audit committee since September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Since founding Casdin Capital LLC in 2011, Mr. Casdin has served as its Chief Investment Officer. Mr. Casdin has served as Chief Executive Officer and a director of CM Life Sciences, Inc., CM Life Sciences II Inc., and CM Life Sciences III Inc., respectively, since July 2020, December 2020, and January 2021, all blank check companies. Mr. Casdin also served as a director of Exact Science, a public biotechnology company, from October 2017 to September 2020. From 2007 to July 2011, Mr. Casdin served as a Vice President and Analyst at Alliance Bernstein, with a focus on the life science and healthcare industries. Mr. Casdin was an Associate at Bear Stearns in 2007, and an Analyst at Cooper Hill Partners, one of the earliest biotechnology-focused investment firms, from 2003 to 2006. Mr. Casdin earned a B.S. from Columbia University and an M.B.A. from Columbia Business School and he currently serves on the Columbia University School of General Studies Board of Directors.</w:t>
      </w:r>
    </w:p>
    <w:p>
      <w:pPr>
        <w:spacing w:after="0" w:line="133" w:lineRule="exact"/>
        <w:rPr>
          <w:sz w:val="20"/>
          <w:szCs w:val="20"/>
          <w:color w:val="auto"/>
        </w:rPr>
      </w:pPr>
    </w:p>
    <w:p>
      <w:pPr>
        <w:ind w:left="820" w:right="520" w:firstLine="385"/>
        <w:spacing w:after="0" w:line="266" w:lineRule="auto"/>
        <w:rPr>
          <w:sz w:val="20"/>
          <w:szCs w:val="20"/>
          <w:color w:val="auto"/>
        </w:rPr>
      </w:pPr>
      <w:r>
        <w:rPr>
          <w:rFonts w:ascii="Arial" w:cs="Arial" w:eastAsia="Arial" w:hAnsi="Arial"/>
          <w:sz w:val="16"/>
          <w:szCs w:val="16"/>
          <w:color w:val="auto"/>
        </w:rPr>
        <w:t>We believe Mr. Casdin is qualified to serve on our board because his extensive expertise and experience analyzing and investing in the life sciences industry.</w:t>
      </w:r>
    </w:p>
    <w:p>
      <w:pPr>
        <w:spacing w:after="0" w:line="158"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b w:val="1"/>
          <w:bCs w:val="1"/>
          <w:i w:val="1"/>
          <w:iCs w:val="1"/>
          <w:color w:val="auto"/>
        </w:rPr>
        <w:t xml:space="preserve">Jin-Long Chen, Ph.D. </w:t>
      </w:r>
      <w:r>
        <w:rPr>
          <w:rFonts w:ascii="Arial" w:cs="Arial" w:eastAsia="Arial" w:hAnsi="Arial"/>
          <w:sz w:val="13"/>
          <w:szCs w:val="13"/>
          <w:color w:val="auto"/>
        </w:rPr>
        <w:t>has served as member of our board of directors since October 2016. Dr. Chen is the founder of NGM Biopharmaceuticals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has served as a member of the NGM board of directors and as Chief Scientific Officer since January 2008. He was also NGM’s President until November 2014. Previously, Dr. Chen held various positions at Amgen, most recently as Vice President, Metabolic Disorders. Prior to joining Amgen</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0420"/>
          </w:cols>
          <w:pgMar w:left="320" w:top="418" w:right="1159"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266" w:lineRule="auto"/>
        <w:rPr>
          <w:sz w:val="20"/>
          <w:szCs w:val="20"/>
          <w:color w:val="auto"/>
        </w:rPr>
      </w:pPr>
      <w:r>
        <w:rPr>
          <w:rFonts w:ascii="Arial" w:cs="Arial" w:eastAsia="Arial" w:hAnsi="Arial"/>
          <w:sz w:val="16"/>
          <w:szCs w:val="16"/>
          <w:color w:val="auto"/>
        </w:rPr>
        <w:t>when Amgen acquired Tularik in 2004, Dr. Chen served as Vice President of Biology at Tularik. Dr. Chen received a B.S. in nutrition and food science from Fu-Jen Catholic University and a Ph.D. in molecular and cell biology from the University of California, Berkeley.</w:t>
      </w:r>
    </w:p>
    <w:p>
      <w:pPr>
        <w:spacing w:after="0" w:line="158"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We believe Dr. Chen is qualified to serve on our board because of his extensive medical research experience, and his experience as a founder, executive, and director of a public biopharmaceutical company.</w:t>
      </w:r>
    </w:p>
    <w:p>
      <w:pPr>
        <w:spacing w:after="0" w:line="158"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b w:val="1"/>
          <w:bCs w:val="1"/>
          <w:i w:val="1"/>
          <w:iCs w:val="1"/>
          <w:color w:val="auto"/>
        </w:rPr>
        <w:t xml:space="preserve">David V. Goeddel, Ph.D. </w:t>
      </w:r>
      <w:r>
        <w:rPr>
          <w:rFonts w:ascii="Arial" w:cs="Arial" w:eastAsia="Arial" w:hAnsi="Arial"/>
          <w:sz w:val="13"/>
          <w:szCs w:val="13"/>
          <w:color w:val="auto"/>
        </w:rPr>
        <w:t>has served as a member of our board of directors since August 2016 and as a member of our compensation committee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since December 2018. Dr. Goeddel has served as a Managing Partner of The Column Group, a venture capital firm, since 2007. Dr. Goeddel is a member of the board of directors at NGM Biopharmaceuticals, a public biopharmaceutical company. Additionally, Dr. Goeddel serves on the board of directors for A2 Biotherapeutics (Chairman), Surrozen and Hexagon Bio (Chairman), all privately held biopharmaceutical companies. Dr. Goeddel co-founded Tularik in November 1991, was Vice President of Research until 1996, and served as Chief Executive Officer from 1996 until 2004. He then served as Amgen’s first Senior Vice President until May 2006. Prior to Tularik, he was the first scientist hired by Genentech, and from 1978 to 1993 served in various positions, including Fellow, Staff Scientist and Director of Molecular Biology. His pioneering work in the fields of gene cloning and expression of human proteins was the basis for five marketed therapeutics developed by Genentech, including human insulin, human growth hormone, interferon-alpha, interferon-gamma and tissue plasminogen activator. Dr. Goeddel has received numerous scientific awards including the Scheele Medal, the Eli Lilly Award in Biological Chemistry, the Inventor of the Year Award, the Jacob Heskel Gabbay Award, the Howley Prize for Arthritis Research and the Warren Alpert Foundation Prize. He is a member of the National Academy of Sciences and the American Academy of Arts and Sciences. He holds a B.A. in chemistry from the University of California, San Diego and a Ph.D. in biochemistry from the University of Colorado.</w:t>
      </w:r>
    </w:p>
    <w:p>
      <w:pPr>
        <w:spacing w:after="0" w:line="328" w:lineRule="exact"/>
        <w:rPr>
          <w:sz w:val="20"/>
          <w:szCs w:val="20"/>
          <w:color w:val="auto"/>
        </w:rPr>
      </w:pPr>
    </w:p>
    <w:p>
      <w:pPr>
        <w:ind w:left="820" w:right="120" w:firstLine="385"/>
        <w:spacing w:after="0" w:line="253" w:lineRule="auto"/>
        <w:rPr>
          <w:sz w:val="20"/>
          <w:szCs w:val="20"/>
          <w:color w:val="auto"/>
        </w:rPr>
      </w:pPr>
      <w:r>
        <w:rPr>
          <w:rFonts w:ascii="Arial" w:cs="Arial" w:eastAsia="Arial" w:hAnsi="Arial"/>
          <w:sz w:val="16"/>
          <w:szCs w:val="16"/>
          <w:color w:val="auto"/>
        </w:rPr>
        <w:t>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w:t>
      </w:r>
    </w:p>
    <w:p>
      <w:pPr>
        <w:spacing w:after="0" w:line="167"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b w:val="1"/>
          <w:bCs w:val="1"/>
          <w:i w:val="1"/>
          <w:iCs w:val="1"/>
          <w:color w:val="auto"/>
        </w:rPr>
        <w:t xml:space="preserve">JeenJoo (JJ) Kang, Ph.D. </w:t>
      </w:r>
      <w:r>
        <w:rPr>
          <w:rFonts w:ascii="Arial" w:cs="Arial" w:eastAsia="Arial" w:hAnsi="Arial"/>
          <w:sz w:val="13"/>
          <w:szCs w:val="13"/>
          <w:color w:val="auto"/>
        </w:rPr>
        <w:t>has served as a member of our board of directors since August 2016. Dr. Kang has also served as a member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compensation committee since December 2018, as a member of our audit committee since September 2019, and as our President, Treasurer and Secretary from August 2016 to June 2018. Dr. Kang has served as a Venture Partner at The Column Group since 2020, and prior to that served as an Associate beginning in 2015, then as a Partner from 2019 to 2020. She has served as the Chief Executive Officer of Appia Bio, a private biotechnology company, since July 2020. Previously, she worked at FibroGen in project management and corporate strategy from 2005 to 2009. Dr. Kang earned a B.A. in Chemistry from Harvard University and a Ph.D. in chemical biology at the California Institute of Technology.</w:t>
      </w:r>
    </w:p>
    <w:p>
      <w:pPr>
        <w:spacing w:after="0" w:line="128"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We believe Dr. Kang is qualified to serve on our board of directors due to her educational background and her experience in investing in the life sciences industry.</w:t>
      </w:r>
    </w:p>
    <w:p>
      <w:pPr>
        <w:spacing w:after="0" w:line="158" w:lineRule="exact"/>
        <w:rPr>
          <w:sz w:val="20"/>
          <w:szCs w:val="20"/>
          <w:color w:val="auto"/>
        </w:rPr>
      </w:pPr>
    </w:p>
    <w:p>
      <w:pPr>
        <w:ind w:left="820" w:right="280" w:firstLine="385"/>
        <w:spacing w:after="0" w:line="316" w:lineRule="auto"/>
        <w:rPr>
          <w:sz w:val="20"/>
          <w:szCs w:val="20"/>
          <w:color w:val="auto"/>
        </w:rPr>
      </w:pPr>
      <w:r>
        <w:rPr>
          <w:rFonts w:ascii="Arial" w:cs="Arial" w:eastAsia="Arial" w:hAnsi="Arial"/>
          <w:sz w:val="13"/>
          <w:szCs w:val="13"/>
          <w:b w:val="1"/>
          <w:bCs w:val="1"/>
          <w:i w:val="1"/>
          <w:iCs w:val="1"/>
          <w:color w:val="auto"/>
        </w:rPr>
        <w:t xml:space="preserve">Deepak Srivastava, M.D. </w:t>
      </w:r>
      <w:r>
        <w:rPr>
          <w:rFonts w:ascii="Arial" w:cs="Arial" w:eastAsia="Arial" w:hAnsi="Arial"/>
          <w:sz w:val="13"/>
          <w:szCs w:val="13"/>
          <w:color w:val="auto"/>
        </w:rPr>
        <w:t>has served as a member of our board of directors since October 2016. Dr. Srivastava has been a consultant for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since September 2016 and Chairman of our Scientific Advisory Board since October 2016. Dr. Srivastava has been President of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UC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211</w:t>
      </w:r>
    </w:p>
    <w:p>
      <w:pPr>
        <w:sectPr>
          <w:pgSz w:w="11900" w:h="16838" w:orient="portrait"/>
          <w:cols w:equalWidth="0" w:num="1">
            <w:col w:w="10420"/>
          </w:cols>
          <w:pgMar w:left="320" w:top="418" w:right="115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66" w:lineRule="auto"/>
        <w:rPr>
          <w:sz w:val="20"/>
          <w:szCs w:val="20"/>
          <w:color w:val="auto"/>
        </w:rPr>
      </w:pPr>
      <w:r>
        <w:rPr>
          <w:rFonts w:ascii="Arial" w:cs="Arial" w:eastAsia="Arial" w:hAnsi="Arial"/>
          <w:sz w:val="16"/>
          <w:szCs w:val="16"/>
          <w:color w:val="auto"/>
        </w:rPr>
        <w:t>and an M.D. from the University of Texas. He trained in pediatrics at the University of California, San Francisco, and in pediatric cardiology at Harvard Medical School.</w:t>
      </w:r>
    </w:p>
    <w:p>
      <w:pPr>
        <w:spacing w:after="0" w:line="158"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 xml:space="preserve">We believe Dr. Srivastava is qualified to serve on our board because of his scientific and educational background and his extensive expertise in the cardiovascular field and as a co-Founder of the company with specific expertise in the science of using direct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reprogramming approach to cellular regeneration.</w:t>
      </w:r>
    </w:p>
    <w:p>
      <w:pPr>
        <w:spacing w:after="0" w:line="166" w:lineRule="exact"/>
        <w:rPr>
          <w:sz w:val="20"/>
          <w:szCs w:val="20"/>
          <w:color w:val="auto"/>
        </w:rPr>
      </w:pPr>
    </w:p>
    <w:p>
      <w:pPr>
        <w:jc w:val="both"/>
        <w:ind w:left="820" w:right="100" w:firstLine="385"/>
        <w:spacing w:after="0" w:line="308" w:lineRule="auto"/>
        <w:rPr>
          <w:sz w:val="20"/>
          <w:szCs w:val="20"/>
          <w:color w:val="auto"/>
        </w:rPr>
      </w:pPr>
      <w:r>
        <w:rPr>
          <w:rFonts w:ascii="Arial" w:cs="Arial" w:eastAsia="Arial" w:hAnsi="Arial"/>
          <w:sz w:val="13"/>
          <w:szCs w:val="13"/>
          <w:b w:val="1"/>
          <w:bCs w:val="1"/>
          <w:i w:val="1"/>
          <w:iCs w:val="1"/>
          <w:color w:val="auto"/>
        </w:rPr>
        <w:t xml:space="preserve">Catherine Stehman-Breen, M.D. </w:t>
      </w:r>
      <w:r>
        <w:rPr>
          <w:rFonts w:ascii="Arial" w:cs="Arial" w:eastAsia="Arial" w:hAnsi="Arial"/>
          <w:sz w:val="13"/>
          <w:szCs w:val="13"/>
          <w:color w:val="auto"/>
        </w:rPr>
        <w:t>has served as a member of our board of directors since June 2020. Beginning in December 2020, Dr. Stehman-Breen has served as the Chief Executive Officer and a member of the board of directors of Chroma Medicine, a private biotechnology company. From July 2019 to December 2020, Dr. Stehman-Breen served as Chief Development Officer of Obsidian Therapeutics, a private biotechnology company.</w:t>
      </w:r>
    </w:p>
    <w:p>
      <w:pPr>
        <w:spacing w:after="0" w:line="2" w:lineRule="exact"/>
        <w:rPr>
          <w:sz w:val="20"/>
          <w:szCs w:val="20"/>
          <w:color w:val="auto"/>
        </w:rPr>
      </w:pPr>
    </w:p>
    <w:p>
      <w:pPr>
        <w:ind w:left="820" w:right="40"/>
        <w:spacing w:after="0" w:line="310" w:lineRule="auto"/>
        <w:rPr>
          <w:sz w:val="20"/>
          <w:szCs w:val="20"/>
          <w:color w:val="auto"/>
        </w:rPr>
      </w:pPr>
      <w:r>
        <w:rPr>
          <w:rFonts w:ascii="Arial" w:cs="Arial" w:eastAsia="Arial" w:hAnsi="Arial"/>
          <w:sz w:val="13"/>
          <w:szCs w:val="13"/>
          <w:color w:val="auto"/>
        </w:rPr>
        <w:t>Since March 2018, she has served as an entrepreneur-in-residence at Atlas Ventures, a venture capital firm. Dr. Stehman-Brown serves as a director of Generation Bio, a public biotechnology company. Dr. Stehman-Breen also serves a member of the board of directors of Dyne Therapeutics, a public biotechnology company. She also previously served as Dyne’s Chief Medical Officer from March 2018 to July 2019. From April 2018 to July 2019, Dr. Stehman-Breen served as Chief Medical Officer Disarm Therapeutics, a private biotechnology company. From March 2017 to December 2017, she served as Chief Medical Officer of Sarepta Therapeutics, a public biopharmaceutical company. Before that, she served as Vice President, Clinical Development and Regulatory Affairs at Regeneron Pharmaceuticals, a public biotechnology company, from January 2015 to March 2017. From 2003 to 2015, she held senior leadership roles at Amgen including Vice President, Global Development, leading the neuroscience, nephrology and bone therapeutic areas. Dr. Stehman-Breen earned a B.A. in biology and psychology from Colby College, an M.S. in epidemiology from the University of Washington, where she also completed her residency and fellowship training, and an M.D. from the University of Chicago in 1990. Dr. Stehman-Breen spent six years as a faculty member in the Division of Nephrology at the University of Washington.</w:t>
      </w:r>
    </w:p>
    <w:p>
      <w:pPr>
        <w:spacing w:after="0" w:line="326"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We believe Dr. Stehman-Breen is qualified to serve on our board based on her medical expertise, her experience with clinical development and regulatory affairs in many therapeutics areas, her expertise as an executive in the biotechnology industry and her experience as a public company board member, including within the biotechnology industry.</w:t>
      </w:r>
    </w:p>
    <w:p>
      <w:pPr>
        <w:spacing w:after="0" w:line="166" w:lineRule="exact"/>
        <w:rPr>
          <w:sz w:val="20"/>
          <w:szCs w:val="20"/>
          <w:color w:val="auto"/>
        </w:rPr>
      </w:pPr>
    </w:p>
    <w:p>
      <w:pPr>
        <w:ind w:left="820" w:right="80" w:firstLine="385"/>
        <w:spacing w:after="0" w:line="314" w:lineRule="auto"/>
        <w:rPr>
          <w:sz w:val="20"/>
          <w:szCs w:val="20"/>
          <w:color w:val="auto"/>
        </w:rPr>
      </w:pPr>
      <w:r>
        <w:rPr>
          <w:rFonts w:ascii="Arial" w:cs="Arial" w:eastAsia="Arial" w:hAnsi="Arial"/>
          <w:sz w:val="13"/>
          <w:szCs w:val="13"/>
          <w:b w:val="1"/>
          <w:bCs w:val="1"/>
          <w:i w:val="1"/>
          <w:iCs w:val="1"/>
          <w:color w:val="auto"/>
        </w:rPr>
        <w:t xml:space="preserve">Jeffrey T. Walsh, M.B.A. </w:t>
      </w:r>
      <w:r>
        <w:rPr>
          <w:rFonts w:ascii="Arial" w:cs="Arial" w:eastAsia="Arial" w:hAnsi="Arial"/>
          <w:sz w:val="13"/>
          <w:szCs w:val="13"/>
          <w:color w:val="auto"/>
        </w:rPr>
        <w:t>has served as a member of our board of directors since March 2020 and as a member of our audit committee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September 2020. Since 2011, Mr. Walsh has served in various roles at bluebird bio, including most recently as Strategic Advisor from January 2020 to April 2021,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He received a B.A. in sociology and economics from Yale University and an M.B.A. from the Kellogg Graduate School of Management at Northwestern University.</w:t>
      </w:r>
    </w:p>
    <w:p>
      <w:pPr>
        <w:spacing w:after="0" w:line="133" w:lineRule="exact"/>
        <w:rPr>
          <w:sz w:val="20"/>
          <w:szCs w:val="20"/>
          <w:color w:val="auto"/>
        </w:rPr>
      </w:pPr>
    </w:p>
    <w:p>
      <w:pPr>
        <w:ind w:left="820" w:right="320" w:firstLine="385"/>
        <w:spacing w:after="0" w:line="256" w:lineRule="auto"/>
        <w:rPr>
          <w:sz w:val="20"/>
          <w:szCs w:val="20"/>
          <w:color w:val="auto"/>
        </w:rPr>
      </w:pPr>
      <w:r>
        <w:rPr>
          <w:rFonts w:ascii="Arial" w:cs="Arial" w:eastAsia="Arial" w:hAnsi="Arial"/>
          <w:sz w:val="16"/>
          <w:szCs w:val="16"/>
          <w:color w:val="auto"/>
        </w:rPr>
        <w:t>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w:t>
      </w:r>
    </w:p>
    <w:p>
      <w:pPr>
        <w:spacing w:after="0" w:line="166" w:lineRule="exact"/>
        <w:rPr>
          <w:sz w:val="20"/>
          <w:szCs w:val="20"/>
          <w:color w:val="auto"/>
        </w:rPr>
      </w:pPr>
    </w:p>
    <w:p>
      <w:pPr>
        <w:ind w:left="820" w:right="80" w:firstLine="385"/>
        <w:spacing w:after="0" w:line="329" w:lineRule="auto"/>
        <w:rPr>
          <w:sz w:val="20"/>
          <w:szCs w:val="20"/>
          <w:color w:val="auto"/>
        </w:rPr>
      </w:pPr>
      <w:r>
        <w:rPr>
          <w:rFonts w:ascii="Arial" w:cs="Arial" w:eastAsia="Arial" w:hAnsi="Arial"/>
          <w:sz w:val="13"/>
          <w:szCs w:val="13"/>
          <w:b w:val="1"/>
          <w:bCs w:val="1"/>
          <w:i w:val="1"/>
          <w:iCs w:val="1"/>
          <w:color w:val="auto"/>
        </w:rPr>
        <w:t xml:space="preserve">R. Sanders (Sandy) Williams, M.D. </w:t>
      </w:r>
      <w:r>
        <w:rPr>
          <w:rFonts w:ascii="Arial" w:cs="Arial" w:eastAsia="Arial" w:hAnsi="Arial"/>
          <w:sz w:val="13"/>
          <w:szCs w:val="13"/>
          <w:color w:val="auto"/>
        </w:rPr>
        <w:t>has served as a member of our board of directors since October 2016 and as a member of our compensation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committee since December 2018.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212</w:t>
      </w:r>
    </w:p>
    <w:p>
      <w:pPr>
        <w:sectPr>
          <w:pgSz w:w="11900" w:h="16838" w:orient="portrait"/>
          <w:cols w:equalWidth="0" w:num="1">
            <w:col w:w="10420"/>
          </w:cols>
          <w:pgMar w:left="320" w:top="418" w:right="115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11" w:lineRule="auto"/>
        <w:rPr>
          <w:sz w:val="20"/>
          <w:szCs w:val="20"/>
          <w:color w:val="auto"/>
        </w:rPr>
      </w:pPr>
      <w:r>
        <w:rPr>
          <w:rFonts w:ascii="Arial" w:cs="Arial" w:eastAsia="Arial" w:hAnsi="Arial"/>
          <w:sz w:val="13"/>
          <w:szCs w:val="13"/>
          <w:color w:val="auto"/>
        </w:rPr>
        <w:t>to December 2018. Since January 2018, Dr. Williams has served as Professor of Medicine and Senior Advisor for International Strategy at Duke University and, beginning in February 2021, is acting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 diagnostic technologies company, serving on the audit committee and chairing the quality and compliance committee. Dr. Williams also serves as a member of the board of directors of Amgen, Inc., a biotechnology company, serving as a member of the governance and nominating and corporate responsibility and compliance committees. Dr. Williams was elected to the National Academy of Medicine in 2002. Dr. Williams received an A.B. from Princeton University and an M.D. from Duke University.</w:t>
      </w:r>
    </w:p>
    <w:p>
      <w:pPr>
        <w:spacing w:after="0" w:line="326" w:lineRule="exact"/>
        <w:rPr>
          <w:sz w:val="20"/>
          <w:szCs w:val="20"/>
          <w:color w:val="auto"/>
        </w:rPr>
      </w:pPr>
    </w:p>
    <w:p>
      <w:pPr>
        <w:ind w:left="820" w:right="320" w:firstLine="385"/>
        <w:spacing w:after="0" w:line="300" w:lineRule="auto"/>
        <w:rPr>
          <w:sz w:val="20"/>
          <w:szCs w:val="20"/>
          <w:color w:val="auto"/>
        </w:rPr>
      </w:pPr>
      <w:r>
        <w:rPr>
          <w:rFonts w:ascii="Arial" w:cs="Arial" w:eastAsia="Arial" w:hAnsi="Arial"/>
          <w:sz w:val="15"/>
          <w:szCs w:val="15"/>
          <w:color w:val="auto"/>
        </w:rPr>
        <w:t>We believe Dr. Williams is qualified to serve on our board because of his scientific and educational background, his extensive expertise in the cardiovascular field, and his experience as a public company board member, including within the biotechnology industry.</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Family Relationships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Legal Proceedings and Bankruptcy</w:t>
      </w:r>
    </w:p>
    <w:p>
      <w:pPr>
        <w:spacing w:after="0" w:line="103"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There are no material legal proceedings to which any of our directors is a party adverse to us or in which any such person has a material interest adverse to us.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 Composition</w:t>
      </w:r>
    </w:p>
    <w:p>
      <w:pPr>
        <w:spacing w:after="0" w:line="10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Our board of directors currently consists of nine members. After the completion of this offering, the number of directors will be fixed from time to time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67" w:lineRule="exact"/>
        <w:rPr>
          <w:sz w:val="20"/>
          <w:szCs w:val="20"/>
          <w:color w:val="auto"/>
        </w:rPr>
      </w:pPr>
    </w:p>
    <w:p>
      <w:pPr>
        <w:ind w:left="820" w:right="100" w:firstLine="385"/>
        <w:spacing w:after="0" w:line="281" w:lineRule="auto"/>
        <w:rPr>
          <w:sz w:val="20"/>
          <w:szCs w:val="20"/>
          <w:color w:val="auto"/>
        </w:rPr>
      </w:pPr>
      <w:r>
        <w:rPr>
          <w:rFonts w:ascii="Arial" w:cs="Arial" w:eastAsia="Arial" w:hAnsi="Arial"/>
          <w:sz w:val="15"/>
          <w:szCs w:val="15"/>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66" w:lineRule="exact"/>
        <w:rPr>
          <w:sz w:val="20"/>
          <w:szCs w:val="20"/>
          <w:color w:val="auto"/>
        </w:rPr>
      </w:pPr>
    </w:p>
    <w:p>
      <w:pPr>
        <w:ind w:left="1660" w:right="20" w:hanging="469"/>
        <w:spacing w:after="0" w:line="266" w:lineRule="auto"/>
        <w:tabs>
          <w:tab w:leader="none" w:pos="1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Class I directors will be David V. Goeddel, Jeffrey T. Walsh, and R. Sanders (Sandy) Williams, and their terms will expire at the annual meeting of stockholders to be held in 2022;</w:t>
      </w:r>
    </w:p>
    <w:p>
      <w:pPr>
        <w:spacing w:after="0" w:line="75"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Class II directors will be Eli Casdin, Jin-Long Chen, and Catherine Stehman-Brown, and their terms will expire at the annual meeting of stockholders to be held in 2023; and</w:t>
      </w:r>
    </w:p>
    <w:p>
      <w:pPr>
        <w:spacing w:after="0" w:line="75"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Class III directors will be Faraz Ali, JeenJoo (JJ) Kang, and Deepak Srivastava, and their terms will expire at the annual meeting of stockholders to be held in 2024.</w:t>
      </w:r>
    </w:p>
    <w:p>
      <w:pPr>
        <w:spacing w:after="0" w:line="158"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0420"/>
          </w:cols>
          <w:pgMar w:left="320" w:top="418" w:right="1159" w:bottom="1440" w:gutter="0" w:footer="0" w:header="0"/>
        </w:sectPr>
      </w:pPr>
    </w:p>
    <w:bookmarkStart w:id="216" w:name="page217"/>
    <w:bookmarkEnd w:id="2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56" w:lineRule="auto"/>
        <w:rPr>
          <w:sz w:val="20"/>
          <w:szCs w:val="20"/>
          <w:color w:val="auto"/>
        </w:rPr>
      </w:pPr>
      <w:r>
        <w:rPr>
          <w:rFonts w:ascii="Arial" w:cs="Arial" w:eastAsia="Arial" w:hAnsi="Arial"/>
          <w:sz w:val="16"/>
          <w:szCs w:val="16"/>
          <w:color w:val="auto"/>
        </w:rPr>
        <w:t>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 third of our directors.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This classification of our board of directors may have the effect of delaying or preventing changes in control of our company.</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Director Independence</w:t>
      </w:r>
    </w:p>
    <w:p>
      <w:pPr>
        <w:spacing w:after="0" w:line="103"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color w:val="auto"/>
        </w:rPr>
        <w:t>Upon the completion of this offering, we anticipate that our common stock will be listed on Nasdaq Global Market. Under the rules of Nasdaq Stock Market LLC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1"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67" w:lineRule="exact"/>
        <w:rPr>
          <w:sz w:val="20"/>
          <w:szCs w:val="20"/>
          <w:color w:val="auto"/>
        </w:rPr>
      </w:pPr>
    </w:p>
    <w:p>
      <w:pPr>
        <w:ind w:left="820" w:right="100" w:firstLine="385"/>
        <w:spacing w:after="0" w:line="250" w:lineRule="auto"/>
        <w:rPr>
          <w:sz w:val="20"/>
          <w:szCs w:val="20"/>
          <w:color w:val="auto"/>
        </w:rPr>
      </w:pPr>
      <w:r>
        <w:rPr>
          <w:rFonts w:ascii="Arial" w:cs="Arial" w:eastAsia="Arial" w:hAnsi="Arial"/>
          <w:sz w:val="16"/>
          <w:szCs w:val="16"/>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1" w:lineRule="exact"/>
        <w:rPr>
          <w:sz w:val="20"/>
          <w:szCs w:val="20"/>
          <w:color w:val="auto"/>
        </w:rPr>
      </w:pPr>
    </w:p>
    <w:p>
      <w:pPr>
        <w:ind w:left="820" w:right="100" w:firstLine="385"/>
        <w:spacing w:after="0" w:line="305" w:lineRule="auto"/>
        <w:rPr>
          <w:sz w:val="20"/>
          <w:szCs w:val="20"/>
          <w:color w:val="auto"/>
        </w:rPr>
      </w:pPr>
      <w:r>
        <w:rPr>
          <w:rFonts w:ascii="Arial" w:cs="Arial" w:eastAsia="Arial" w:hAnsi="Arial"/>
          <w:sz w:val="13"/>
          <w:szCs w:val="13"/>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Eli Casdin, Jin-Long Chen, David V. Goeddel, JeenJoo (JJ) Kang, Deepak Srivastava, Catherine Stehman-Breen, Jeffrey T. Walsh, and R. Sanders (Sandy) Williams representing eight of our nine directors, do not have a relationship that would interfere with the exercise of independent judgment in carrying out the responsibilities of a director and</w:t>
      </w:r>
    </w:p>
    <w:p>
      <w:pPr>
        <w:spacing w:after="0" w:line="3" w:lineRule="exact"/>
        <w:rPr>
          <w:sz w:val="20"/>
          <w:szCs w:val="20"/>
          <w:color w:val="auto"/>
        </w:rPr>
      </w:pPr>
    </w:p>
    <w:p>
      <w:pPr>
        <w:ind w:left="820"/>
        <w:spacing w:after="0"/>
        <w:tabs>
          <w:tab w:leader="none" w:pos="6640" w:val="left"/>
        </w:tabs>
        <w:rPr>
          <w:sz w:val="20"/>
          <w:szCs w:val="20"/>
          <w:color w:val="auto"/>
        </w:rPr>
      </w:pPr>
      <w:r>
        <w:rPr>
          <w:rFonts w:ascii="Arial" w:cs="Arial" w:eastAsia="Arial" w:hAnsi="Arial"/>
          <w:sz w:val="15"/>
          <w:szCs w:val="15"/>
          <w:color w:val="auto"/>
        </w:rPr>
        <w:t>that each of these directors is “independent” as that term is defined under the rules of</w:t>
      </w:r>
      <w:r>
        <w:rPr>
          <w:sz w:val="20"/>
          <w:szCs w:val="20"/>
          <w:color w:val="auto"/>
        </w:rPr>
        <w:tab/>
      </w:r>
      <w:r>
        <w:rPr>
          <w:rFonts w:ascii="Arial" w:cs="Arial" w:eastAsia="Arial" w:hAnsi="Arial"/>
          <w:sz w:val="13"/>
          <w:szCs w:val="13"/>
          <w:color w:val="auto"/>
        </w:rPr>
        <w:t>.</w:t>
      </w:r>
    </w:p>
    <w:p>
      <w:pPr>
        <w:spacing w:after="0" w:line="193"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0420"/>
          </w:cols>
          <w:pgMar w:left="320" w:top="418" w:right="115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 Leadership Structure</w:t>
      </w:r>
    </w:p>
    <w:p>
      <w:pPr>
        <w:spacing w:after="0" w:line="103" w:lineRule="exact"/>
        <w:rPr>
          <w:sz w:val="20"/>
          <w:szCs w:val="20"/>
          <w:color w:val="auto"/>
        </w:rPr>
      </w:pPr>
    </w:p>
    <w:p>
      <w:pPr>
        <w:ind w:left="820" w:firstLine="385"/>
        <w:spacing w:after="0" w:line="323" w:lineRule="auto"/>
        <w:rPr>
          <w:sz w:val="20"/>
          <w:szCs w:val="20"/>
          <w:color w:val="auto"/>
        </w:rPr>
      </w:pPr>
      <w:r>
        <w:rPr>
          <w:rFonts w:ascii="Arial" w:cs="Arial" w:eastAsia="Arial" w:hAnsi="Arial"/>
          <w:sz w:val="13"/>
          <w:szCs w:val="13"/>
          <w:color w:val="auto"/>
        </w:rPr>
        <w:t>Our board of directors is currently chaired by David V. Goeddel.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Goeddel serves as the Chair of our board of directors but is not an officer. We currently expect and intend the positions of Chair of our board of directors and Chief Executive Officer to continue to be held by two individuals in the future.</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Role of the Board in Risk Oversight</w:t>
      </w:r>
    </w:p>
    <w:p>
      <w:pPr>
        <w:spacing w:after="0" w:line="103" w:lineRule="exact"/>
        <w:rPr>
          <w:sz w:val="20"/>
          <w:szCs w:val="20"/>
          <w:color w:val="auto"/>
        </w:rPr>
      </w:pPr>
    </w:p>
    <w:p>
      <w:pPr>
        <w:ind w:left="820" w:right="60" w:firstLine="385"/>
        <w:spacing w:after="0" w:line="316" w:lineRule="auto"/>
        <w:rPr>
          <w:sz w:val="20"/>
          <w:szCs w:val="20"/>
          <w:color w:val="auto"/>
        </w:rPr>
      </w:pPr>
      <w:r>
        <w:rPr>
          <w:rFonts w:ascii="Arial" w:cs="Arial" w:eastAsia="Arial" w:hAnsi="Arial"/>
          <w:sz w:val="13"/>
          <w:szCs w:val="13"/>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 Committees</w:t>
      </w:r>
    </w:p>
    <w:p>
      <w:pPr>
        <w:spacing w:after="0" w:line="103" w:lineRule="exact"/>
        <w:rPr>
          <w:sz w:val="20"/>
          <w:szCs w:val="20"/>
          <w:color w:val="auto"/>
        </w:rPr>
      </w:pPr>
    </w:p>
    <w:p>
      <w:pPr>
        <w:ind w:left="820" w:right="700" w:firstLine="385"/>
        <w:spacing w:after="0" w:line="300" w:lineRule="auto"/>
        <w:rPr>
          <w:sz w:val="20"/>
          <w:szCs w:val="20"/>
          <w:color w:val="auto"/>
        </w:rPr>
      </w:pPr>
      <w:r>
        <w:rPr>
          <w:rFonts w:ascii="Arial" w:cs="Arial" w:eastAsia="Arial" w:hAnsi="Arial"/>
          <w:sz w:val="15"/>
          <w:szCs w:val="15"/>
          <w:color w:val="auto"/>
        </w:rPr>
        <w:t>Prior to the completion of this offering, our board of directors will have an audit committee, a compensation committee and a corporate governance and nominating committee, each of which will have the composition and the responsibilities described below.</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Audit Committee</w:t>
      </w:r>
    </w:p>
    <w:p>
      <w:pPr>
        <w:spacing w:after="0" w:line="99"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Upon the effectiveness of the registration statement of which this prospectus forms a part, the members of our audit committee will be Eli Casdin, JeenJoo (JJ) Kang, and Jeffrey T. Walsh. Mr. Walsh will be the chair of our audit committee and is an audit committee financial expert, as that term is defined under the SEC rules implementing Section 407 of the Sarbanes-Oxley Act of 2002, and possesses financial sophistication, as defined under the rules of Nasdaq. Our audit committee will oversee our corporate accounting and financial reporting process and assist our board of directors in monitoring our financial systems. Our audit committee will also:</w:t>
      </w:r>
    </w:p>
    <w:p>
      <w:pPr>
        <w:spacing w:after="0" w:line="72" w:lineRule="exact"/>
        <w:rPr>
          <w:sz w:val="20"/>
          <w:szCs w:val="20"/>
          <w:color w:val="auto"/>
        </w:rPr>
      </w:pPr>
    </w:p>
    <w:p>
      <w:pPr>
        <w:ind w:left="1660" w:hanging="469"/>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select and hire the independent registered public accounting firm to audit our financial statements;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help to ensure the independence and performance of the independent registered public accounting firm;</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approve audit and non-audit services and fees;</w:t>
      </w:r>
    </w:p>
    <w:p>
      <w:pPr>
        <w:spacing w:after="0" w:line="110" w:lineRule="exact"/>
        <w:rPr>
          <w:rFonts w:ascii="Arial" w:cs="Arial" w:eastAsia="Arial" w:hAnsi="Arial"/>
          <w:sz w:val="16"/>
          <w:szCs w:val="16"/>
          <w:color w:val="auto"/>
        </w:rPr>
      </w:pPr>
    </w:p>
    <w:p>
      <w:pPr>
        <w:jc w:val="both"/>
        <w:ind w:left="1660" w:right="180" w:hanging="469"/>
        <w:spacing w:after="0" w:line="256" w:lineRule="auto"/>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prepare the audit committee report that the SEC requires to be included in our annual proxy statement;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review reports and communications from the independent registered public accounting firm;</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review the adequacy and effectiveness of our internal controls and disclosure controls and procedure;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review our policies on risk assessment and risk management;</w:t>
      </w:r>
    </w:p>
    <w:p>
      <w:pPr>
        <w:spacing w:after="0" w:line="1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215</w:t>
      </w:r>
    </w:p>
    <w:p>
      <w:pPr>
        <w:sectPr>
          <w:pgSz w:w="11900" w:h="16838" w:orient="portrait"/>
          <w:cols w:equalWidth="0" w:num="1">
            <w:col w:w="10400"/>
          </w:cols>
          <w:pgMar w:left="320" w:top="418" w:right="117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380" w:hanging="469"/>
        <w:spacing w:after="0" w:line="266" w:lineRule="auto"/>
        <w:tabs>
          <w:tab w:leader="none" w:pos="1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review and monitor conflicts of interest situations, and approve or prohibit any involvement in matters that may involve a conflict of interest or taking of a corporate opportunity;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review related party transactions; and</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58" w:lineRule="exact"/>
        <w:rPr>
          <w:sz w:val="20"/>
          <w:szCs w:val="20"/>
          <w:color w:val="auto"/>
        </w:rPr>
      </w:pPr>
    </w:p>
    <w:p>
      <w:pPr>
        <w:ind w:left="820" w:right="560" w:firstLine="385"/>
        <w:spacing w:after="0" w:line="383" w:lineRule="auto"/>
        <w:rPr>
          <w:sz w:val="20"/>
          <w:szCs w:val="20"/>
          <w:color w:val="auto"/>
        </w:rPr>
      </w:pPr>
      <w:r>
        <w:rPr>
          <w:rFonts w:ascii="Arial" w:cs="Arial" w:eastAsia="Arial" w:hAnsi="Arial"/>
          <w:sz w:val="13"/>
          <w:szCs w:val="13"/>
          <w:color w:val="auto"/>
        </w:rPr>
        <w:t>Our audit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99" w:lineRule="exact"/>
        <w:rPr>
          <w:sz w:val="20"/>
          <w:szCs w:val="20"/>
          <w:color w:val="auto"/>
        </w:rPr>
      </w:pPr>
    </w:p>
    <w:p>
      <w:pPr>
        <w:ind w:left="820" w:right="180" w:firstLine="385"/>
        <w:spacing w:after="0" w:line="343" w:lineRule="auto"/>
        <w:rPr>
          <w:sz w:val="20"/>
          <w:szCs w:val="20"/>
          <w:color w:val="auto"/>
        </w:rPr>
      </w:pPr>
      <w:r>
        <w:rPr>
          <w:rFonts w:ascii="Arial" w:cs="Arial" w:eastAsia="Arial" w:hAnsi="Arial"/>
          <w:sz w:val="13"/>
          <w:szCs w:val="13"/>
          <w:color w:val="auto"/>
        </w:rPr>
        <w:t>Upon the effectiveness of the registration statement of which this prospectus forms a part, the members of our compensation committee will be Catherine Stehman-Brown, Jeffrey T. Walsh, and R. Sanders (Sandy) Williams. Dr. Williams will be the chair of our compensation committee. Our compensation committee will oversee our compensation policies, plans and benefits programs. The compensation committee will also:</w:t>
      </w:r>
    </w:p>
    <w:p>
      <w:pPr>
        <w:spacing w:after="0" w:line="31" w:lineRule="exact"/>
        <w:rPr>
          <w:sz w:val="20"/>
          <w:szCs w:val="20"/>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oversee our overall compensation philosophy and compensation policies, plans and benefit programs;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review and approve compensation for our executive officers and directors;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prepare the compensation committee report that the SEC will require to be included in our annual proxy statement;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administer our equity compensation plans.</w:t>
      </w:r>
    </w:p>
    <w:p>
      <w:pPr>
        <w:spacing w:after="0" w:line="193" w:lineRule="exact"/>
        <w:rPr>
          <w:sz w:val="20"/>
          <w:szCs w:val="20"/>
          <w:color w:val="auto"/>
        </w:rPr>
      </w:pPr>
    </w:p>
    <w:p>
      <w:pPr>
        <w:ind w:left="820" w:firstLine="385"/>
        <w:spacing w:after="0" w:line="300" w:lineRule="auto"/>
        <w:rPr>
          <w:sz w:val="20"/>
          <w:szCs w:val="20"/>
          <w:color w:val="auto"/>
        </w:rPr>
      </w:pPr>
      <w:r>
        <w:rPr>
          <w:rFonts w:ascii="Arial" w:cs="Arial" w:eastAsia="Arial" w:hAnsi="Arial"/>
          <w:sz w:val="15"/>
          <w:szCs w:val="15"/>
          <w:color w:val="auto"/>
        </w:rPr>
        <w:t>Our compensation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Corporate Governance and Nominating Committee</w:t>
      </w:r>
    </w:p>
    <w:p>
      <w:pPr>
        <w:spacing w:after="0" w:line="99" w:lineRule="exact"/>
        <w:rPr>
          <w:sz w:val="20"/>
          <w:szCs w:val="20"/>
          <w:color w:val="auto"/>
        </w:rPr>
      </w:pPr>
    </w:p>
    <w:p>
      <w:pPr>
        <w:ind w:left="820" w:right="140" w:firstLine="385"/>
        <w:spacing w:after="0" w:line="275" w:lineRule="auto"/>
        <w:rPr>
          <w:sz w:val="20"/>
          <w:szCs w:val="20"/>
          <w:color w:val="auto"/>
        </w:rPr>
      </w:pPr>
      <w:r>
        <w:rPr>
          <w:rFonts w:ascii="Arial" w:cs="Arial" w:eastAsia="Arial" w:hAnsi="Arial"/>
          <w:sz w:val="15"/>
          <w:szCs w:val="15"/>
          <w:color w:val="auto"/>
        </w:rPr>
        <w:t>Upon the effectiveness of the registration statement of which this prospectus forms a part, the members of our corporate governance and nominating committee will be Jin-Long Chen, David V. Goeddel, and Deepak Srivastava. Dr. Srivastava will be the chair of our corporate governance and nominating committee. Our corporate governance and nominating committee will oversee and assist our board of directors in reviewing and recommending nominees for election as directors. Specifically, the corporate governance and nominating committee will:</w:t>
      </w:r>
    </w:p>
    <w:p>
      <w:pPr>
        <w:spacing w:after="0" w:line="70" w:lineRule="exact"/>
        <w:rPr>
          <w:sz w:val="20"/>
          <w:szCs w:val="20"/>
          <w:color w:val="auto"/>
        </w:rPr>
      </w:pPr>
    </w:p>
    <w:p>
      <w:pPr>
        <w:ind w:left="1660" w:right="200" w:hanging="469"/>
        <w:spacing w:after="0" w:line="266" w:lineRule="auto"/>
        <w:tabs>
          <w:tab w:leader="none" w:pos="1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identify, evaluate and make recommendations to our board of directors regarding nominees for election to our board of directors and its committees;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consider and make recommendations to our board of directors regarding the composition of our board of directors and its committees;</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review developments in corporate governance practices;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evaluate the adequacy of our corporate governance practices and reporting;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evaluate the performance of our board of directors and of individual directors.</w:t>
      </w:r>
    </w:p>
    <w:p>
      <w:pPr>
        <w:spacing w:after="0" w:line="193" w:lineRule="exact"/>
        <w:rPr>
          <w:sz w:val="20"/>
          <w:szCs w:val="20"/>
          <w:color w:val="auto"/>
        </w:rPr>
      </w:pPr>
    </w:p>
    <w:p>
      <w:pPr>
        <w:jc w:val="both"/>
        <w:ind w:left="820" w:firstLine="385"/>
        <w:spacing w:after="0" w:line="383" w:lineRule="auto"/>
        <w:rPr>
          <w:sz w:val="20"/>
          <w:szCs w:val="20"/>
          <w:color w:val="auto"/>
        </w:rPr>
      </w:pPr>
      <w:r>
        <w:rPr>
          <w:rFonts w:ascii="Arial" w:cs="Arial" w:eastAsia="Arial" w:hAnsi="Arial"/>
          <w:sz w:val="13"/>
          <w:szCs w:val="13"/>
          <w:color w:val="auto"/>
        </w:rPr>
        <w:t>Our corporate governance and nominating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216</w:t>
      </w:r>
    </w:p>
    <w:p>
      <w:pPr>
        <w:sectPr>
          <w:pgSz w:w="11900" w:h="16838" w:orient="portrait"/>
          <w:cols w:equalWidth="0" w:num="1">
            <w:col w:w="10380"/>
          </w:cols>
          <w:pgMar w:left="320" w:top="418" w:right="119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Director Compensation</w:t>
      </w:r>
    </w:p>
    <w:p>
      <w:pPr>
        <w:spacing w:after="0" w:line="10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Prior to this offering, we had not implemented a formal policy with respect to compensation payable to our non-employee directors. We reimburse our directors for expenses associated with attending meetings of our board of directors and its committees.</w:t>
      </w:r>
    </w:p>
    <w:p>
      <w:pPr>
        <w:spacing w:after="0" w:line="158"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The following table presents the total compensation each of our non-employee directors received during the year ended December 31, 2020. In addition, in June 2021, Mr. Walsh was awarded an option to purchase 60,000 shares of our common stock.</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20" w:type="dxa"/>
            <w:vAlign w:val="bottom"/>
            <w:vMerge w:val="restart"/>
          </w:tcPr>
          <w:p>
            <w:pPr>
              <w:spacing w:after="0"/>
              <w:rPr>
                <w:sz w:val="20"/>
                <w:szCs w:val="20"/>
                <w:color w:val="auto"/>
              </w:rPr>
            </w:pPr>
            <w:r>
              <w:rPr>
                <w:rFonts w:ascii="Arial" w:cs="Arial" w:eastAsia="Arial" w:hAnsi="Arial"/>
                <w:sz w:val="13"/>
                <w:szCs w:val="13"/>
                <w:b w:val="1"/>
                <w:bCs w:val="1"/>
                <w:color w:val="auto"/>
                <w:w w:val="84"/>
              </w:rPr>
              <w:t>Name</w:t>
            </w:r>
          </w:p>
        </w:tc>
        <w:tc>
          <w:tcPr>
            <w:tcW w:w="3900" w:type="dxa"/>
            <w:vAlign w:val="bottom"/>
            <w:vMerge w:val="restart"/>
          </w:tcPr>
          <w:p>
            <w:pPr>
              <w:spacing w:after="0"/>
              <w:rPr>
                <w:sz w:val="13"/>
                <w:szCs w:val="13"/>
                <w:color w:val="auto"/>
              </w:rPr>
            </w:pPr>
          </w:p>
        </w:tc>
        <w:tc>
          <w:tcPr>
            <w:tcW w:w="2000" w:type="dxa"/>
            <w:vAlign w:val="bottom"/>
          </w:tcPr>
          <w:p>
            <w:pPr>
              <w:spacing w:after="0"/>
              <w:rPr>
                <w:sz w:val="13"/>
                <w:szCs w:val="13"/>
                <w:color w:val="auto"/>
              </w:rPr>
            </w:pPr>
          </w:p>
        </w:tc>
        <w:tc>
          <w:tcPr>
            <w:tcW w:w="700" w:type="dxa"/>
            <w:vAlign w:val="bottom"/>
          </w:tcPr>
          <w:p>
            <w:pPr>
              <w:jc w:val="right"/>
              <w:ind w:right="104"/>
              <w:spacing w:after="0"/>
              <w:rPr>
                <w:sz w:val="20"/>
                <w:szCs w:val="20"/>
                <w:color w:val="auto"/>
              </w:rPr>
            </w:pPr>
            <w:r>
              <w:rPr>
                <w:rFonts w:ascii="Arial" w:cs="Arial" w:eastAsia="Arial" w:hAnsi="Arial"/>
                <w:sz w:val="13"/>
                <w:szCs w:val="13"/>
                <w:b w:val="1"/>
                <w:bCs w:val="1"/>
                <w:color w:val="auto"/>
              </w:rPr>
              <w:t>Option</w:t>
            </w:r>
          </w:p>
        </w:tc>
        <w:tc>
          <w:tcPr>
            <w:tcW w:w="480" w:type="dxa"/>
            <w:vAlign w:val="bottom"/>
          </w:tcPr>
          <w:p>
            <w:pPr>
              <w:spacing w:after="0"/>
              <w:rPr>
                <w:sz w:val="13"/>
                <w:szCs w:val="13"/>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All Other</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Borders>
              <w:bottom w:val="single" w:sz="8" w:color="auto"/>
            </w:tcBorders>
            <w:vMerge w:val="continue"/>
          </w:tcPr>
          <w:p>
            <w:pPr>
              <w:spacing w:after="0"/>
              <w:rPr>
                <w:sz w:val="13"/>
                <w:szCs w:val="13"/>
                <w:color w:val="auto"/>
              </w:rPr>
            </w:pPr>
          </w:p>
        </w:tc>
        <w:tc>
          <w:tcPr>
            <w:tcW w:w="3900" w:type="dxa"/>
            <w:vAlign w:val="bottom"/>
            <w:vMerge w:val="continue"/>
          </w:tcPr>
          <w:p>
            <w:pPr>
              <w:spacing w:after="0"/>
              <w:rPr>
                <w:sz w:val="13"/>
                <w:szCs w:val="13"/>
                <w:color w:val="auto"/>
              </w:rPr>
            </w:pPr>
          </w:p>
        </w:tc>
        <w:tc>
          <w:tcPr>
            <w:tcW w:w="27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u w:val="single" w:color="auto"/>
                <w:color w:val="auto"/>
              </w:rPr>
              <w:t>Awards($</w:t>
            </w:r>
            <w:r>
              <w:rPr>
                <w:rFonts w:ascii="Arial" w:cs="Arial" w:eastAsia="Arial" w:hAnsi="Arial"/>
                <w:sz w:val="13"/>
                <w:szCs w:val="13"/>
                <w:b w:val="1"/>
                <w:bCs w:val="1"/>
                <w:color w:val="auto"/>
              </w:rPr>
              <w:t>)(1)</w:t>
            </w:r>
          </w:p>
        </w:tc>
        <w:tc>
          <w:tcPr>
            <w:tcW w:w="2080" w:type="dxa"/>
            <w:vAlign w:val="bottom"/>
            <w:gridSpan w:val="3"/>
          </w:tcPr>
          <w:p>
            <w:pPr>
              <w:jc w:val="right"/>
              <w:ind w:right="640"/>
              <w:spacing w:after="0" w:line="138" w:lineRule="exact"/>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62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2"/>
        </w:trPr>
        <w:tc>
          <w:tcPr>
            <w:tcW w:w="422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Eli Casdin, M.B.A.</w:t>
            </w:r>
          </w:p>
        </w:tc>
        <w:tc>
          <w:tcPr>
            <w:tcW w:w="20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Jin-Long Chen, Ph.D.</w:t>
            </w:r>
          </w:p>
        </w:tc>
        <w:tc>
          <w:tcPr>
            <w:tcW w:w="2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V. Goeddel, Ph.D.</w:t>
            </w:r>
          </w:p>
        </w:tc>
        <w:tc>
          <w:tcPr>
            <w:tcW w:w="20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JeenJoo (JJ) Kang, Ph.D.</w:t>
            </w:r>
          </w:p>
        </w:tc>
        <w:tc>
          <w:tcPr>
            <w:tcW w:w="2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Deepak Srivastava, M.D.</w:t>
            </w:r>
          </w:p>
        </w:tc>
        <w:tc>
          <w:tcPr>
            <w:tcW w:w="20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75,000(2)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Catherine Stehman-Breen, M.D.</w:t>
            </w:r>
          </w:p>
        </w:tc>
        <w:tc>
          <w:tcPr>
            <w:tcW w:w="2700" w:type="dxa"/>
            <w:vAlign w:val="bottom"/>
            <w:gridSpan w:val="2"/>
          </w:tcPr>
          <w:p>
            <w:pPr>
              <w:jc w:val="right"/>
              <w:spacing w:after="0"/>
              <w:rPr>
                <w:sz w:val="20"/>
                <w:szCs w:val="20"/>
                <w:color w:val="auto"/>
              </w:rPr>
            </w:pPr>
            <w:r>
              <w:rPr>
                <w:rFonts w:ascii="Arial" w:cs="Arial" w:eastAsia="Arial" w:hAnsi="Arial"/>
                <w:sz w:val="16"/>
                <w:szCs w:val="16"/>
                <w:color w:val="auto"/>
              </w:rPr>
              <w:t>151,983</w:t>
            </w:r>
          </w:p>
        </w:tc>
        <w:tc>
          <w:tcPr>
            <w:tcW w:w="48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151,983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T. Walsh, M.B.A.</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142,713</w:t>
            </w:r>
          </w:p>
        </w:tc>
        <w:tc>
          <w:tcPr>
            <w:tcW w:w="4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142,713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R. Sanders (Sandy) Williams, M.D.</w:t>
            </w:r>
          </w:p>
        </w:tc>
        <w:tc>
          <w:tcPr>
            <w:tcW w:w="2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67945</wp:posOffset>
            </wp:positionV>
            <wp:extent cx="66611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21" w:lineRule="exact"/>
        <w:rPr>
          <w:sz w:val="20"/>
          <w:szCs w:val="20"/>
          <w:color w:val="auto"/>
        </w:rPr>
      </w:pPr>
    </w:p>
    <w:p>
      <w:pPr>
        <w:ind w:left="1200" w:right="20" w:hanging="386"/>
        <w:spacing w:after="0" w:line="249" w:lineRule="auto"/>
        <w:tabs>
          <w:tab w:leader="none" w:pos="12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 w:lineRule="exact"/>
        <w:rPr>
          <w:rFonts w:ascii="Arial" w:cs="Arial" w:eastAsia="Arial" w:hAnsi="Arial"/>
          <w:sz w:val="16"/>
          <w:szCs w:val="16"/>
          <w:color w:val="auto"/>
        </w:rPr>
      </w:pPr>
    </w:p>
    <w:p>
      <w:pPr>
        <w:ind w:left="1200" w:hanging="386"/>
        <w:spacing w:after="0"/>
        <w:tabs>
          <w:tab w:leader="none" w:pos="12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amount disclosed relates to compensation paid under the Company’s consulting agreement with Dr. Srivastava.</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Non-Employee Director Compensation Policy</w:t>
      </w:r>
    </w:p>
    <w:p>
      <w:pPr>
        <w:spacing w:after="0" w:line="103" w:lineRule="exact"/>
        <w:rPr>
          <w:sz w:val="20"/>
          <w:szCs w:val="20"/>
          <w:color w:val="auto"/>
        </w:rPr>
      </w:pPr>
    </w:p>
    <w:p>
      <w:pPr>
        <w:jc w:val="both"/>
        <w:ind w:left="820" w:right="340" w:firstLine="385"/>
        <w:spacing w:after="0" w:line="329" w:lineRule="auto"/>
        <w:rPr>
          <w:sz w:val="20"/>
          <w:szCs w:val="20"/>
          <w:color w:val="auto"/>
        </w:rPr>
      </w:pPr>
      <w:r>
        <w:rPr>
          <w:rFonts w:ascii="Arial" w:cs="Arial" w:eastAsia="Arial" w:hAnsi="Arial"/>
          <w:sz w:val="13"/>
          <w:szCs w:val="13"/>
          <w:color w:val="auto"/>
        </w:rPr>
        <w:t>In June 2021, our board of directors adopted, and we expect our stockholders will approve, a new compensation policy for our non-employee directors that will be effective as of the date of the effectiveness of the registration statement of which this prospectus forms a part. This policy was developed with input from our compensation committee’s independent compensation consultant, Compensia, regarding practices and compensation levels at comparable companies. It is designed to attract, retain and reward our non-employee directors.</w:t>
      </w:r>
    </w:p>
    <w:p>
      <w:pPr>
        <w:spacing w:after="0" w:line="123" w:lineRule="exact"/>
        <w:rPr>
          <w:sz w:val="20"/>
          <w:szCs w:val="20"/>
          <w:color w:val="auto"/>
        </w:rPr>
      </w:pPr>
    </w:p>
    <w:p>
      <w:pPr>
        <w:ind w:left="820" w:right="220" w:firstLine="385"/>
        <w:spacing w:after="0" w:line="256" w:lineRule="auto"/>
        <w:rPr>
          <w:sz w:val="20"/>
          <w:szCs w:val="20"/>
          <w:color w:val="auto"/>
        </w:rPr>
      </w:pPr>
      <w:r>
        <w:rPr>
          <w:rFonts w:ascii="Arial" w:cs="Arial" w:eastAsia="Arial" w:hAnsi="Arial"/>
          <w:sz w:val="16"/>
          <w:szCs w:val="16"/>
          <w:color w:val="auto"/>
        </w:rPr>
        <w:t>Under this director compensation policy, each non-employee director will receive cash and equity compensation for his or her services as a member of our board of directors, as described below. We also will reimburse our non-employee directors for reasonable, customary and documented travel expenses to meetings of our board of directors or its committees.</w:t>
      </w:r>
    </w:p>
    <w:p>
      <w:pPr>
        <w:spacing w:after="0" w:line="166"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The director compensation policy includes a maximum annual limit of $500,000 of cash compensation and equity awards that may be paid, issued or granted to a non-employee director in any fiscal year. For purposes of these limitations, the value of an equity award is based on its grant date fair value. Any cash compensation paid or equity awards granted to a person for his or her services as an employee, for his or her services as a consultant (other than as a non-employee director), or prior to the date of the effectiveness of the registration statement of which this prospectus forms a part will not count for purposes of the limitation. The maximum limit does not reflect the intended size of any potential compensation or equity awards to our non-employee directors.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0440"/>
          </w:cols>
          <w:pgMar w:left="320" w:top="418" w:right="1139" w:bottom="1440" w:gutter="0" w:footer="0" w:header="0"/>
        </w:sectPr>
      </w:pPr>
    </w:p>
    <w:bookmarkStart w:id="220" w:name="page221"/>
    <w:bookmarkEnd w:id="2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Cash Compensation</w:t>
      </w:r>
    </w:p>
    <w:p>
      <w:pPr>
        <w:spacing w:after="0" w:line="99" w:lineRule="exact"/>
        <w:rPr>
          <w:sz w:val="20"/>
          <w:szCs w:val="20"/>
          <w:color w:val="auto"/>
        </w:rPr>
      </w:pPr>
    </w:p>
    <w:p>
      <w:pPr>
        <w:ind w:left="820" w:right="320" w:firstLine="385"/>
        <w:spacing w:after="0" w:line="256" w:lineRule="auto"/>
        <w:rPr>
          <w:sz w:val="20"/>
          <w:szCs w:val="20"/>
          <w:color w:val="auto"/>
        </w:rPr>
      </w:pPr>
      <w:r>
        <w:rPr>
          <w:rFonts w:ascii="Arial" w:cs="Arial" w:eastAsia="Arial" w:hAnsi="Arial"/>
          <w:sz w:val="16"/>
          <w:szCs w:val="16"/>
          <w:color w:val="auto"/>
        </w:rPr>
        <w:t>Following the completion of this offering, each non-employee director will be paid an annual cash retainer of $35,000. In addition, each non-employee director who serves as chair or chair or member of a committee will be entitled to receive the following cash compensation under the policy for his or her services:</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Board Chair:</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30,000</w:t>
            </w:r>
          </w:p>
        </w:tc>
      </w:tr>
      <w:tr>
        <w:trPr>
          <w:trHeight w:val="189"/>
        </w:trPr>
        <w:tc>
          <w:tcPr>
            <w:tcW w:w="6420" w:type="dxa"/>
            <w:vAlign w:val="bottom"/>
          </w:tcPr>
          <w:p>
            <w:pPr>
              <w:spacing w:after="0"/>
              <w:rPr>
                <w:sz w:val="20"/>
                <w:szCs w:val="20"/>
                <w:color w:val="auto"/>
              </w:rPr>
            </w:pPr>
            <w:r>
              <w:rPr>
                <w:rFonts w:ascii="Arial" w:cs="Arial" w:eastAsia="Arial" w:hAnsi="Arial"/>
                <w:sz w:val="16"/>
                <w:szCs w:val="16"/>
                <w:color w:val="auto"/>
              </w:rPr>
              <w:t>Lead Independent Director:</w:t>
            </w:r>
          </w:p>
        </w:tc>
        <w:tc>
          <w:tcPr>
            <w:tcW w:w="27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5"/>
              </w:rPr>
              <w:t>20,000</w:t>
            </w: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Audit Committee Chair:</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15,000</w:t>
            </w:r>
          </w:p>
        </w:tc>
      </w:tr>
      <w:tr>
        <w:trPr>
          <w:trHeight w:val="189"/>
        </w:trPr>
        <w:tc>
          <w:tcPr>
            <w:tcW w:w="6420" w:type="dxa"/>
            <w:vAlign w:val="bottom"/>
          </w:tcPr>
          <w:p>
            <w:pPr>
              <w:spacing w:after="0"/>
              <w:rPr>
                <w:sz w:val="20"/>
                <w:szCs w:val="20"/>
                <w:color w:val="auto"/>
              </w:rPr>
            </w:pPr>
            <w:r>
              <w:rPr>
                <w:rFonts w:ascii="Arial" w:cs="Arial" w:eastAsia="Arial" w:hAnsi="Arial"/>
                <w:sz w:val="16"/>
                <w:szCs w:val="16"/>
                <w:color w:val="auto"/>
              </w:rPr>
              <w:t>Audit Committee Member:</w:t>
            </w:r>
          </w:p>
        </w:tc>
        <w:tc>
          <w:tcPr>
            <w:tcW w:w="27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Compensation Committee Chair:</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10,000</w:t>
            </w:r>
          </w:p>
        </w:tc>
      </w:tr>
      <w:tr>
        <w:trPr>
          <w:trHeight w:val="189"/>
        </w:trPr>
        <w:tc>
          <w:tcPr>
            <w:tcW w:w="6420" w:type="dxa"/>
            <w:vAlign w:val="bottom"/>
          </w:tcPr>
          <w:p>
            <w:pPr>
              <w:spacing w:after="0"/>
              <w:rPr>
                <w:sz w:val="20"/>
                <w:szCs w:val="20"/>
                <w:color w:val="auto"/>
              </w:rPr>
            </w:pPr>
            <w:r>
              <w:rPr>
                <w:rFonts w:ascii="Arial" w:cs="Arial" w:eastAsia="Arial" w:hAnsi="Arial"/>
                <w:sz w:val="16"/>
                <w:szCs w:val="16"/>
                <w:color w:val="auto"/>
              </w:rPr>
              <w:t>Compensation Committee Member:</w:t>
            </w:r>
          </w:p>
        </w:tc>
        <w:tc>
          <w:tcPr>
            <w:tcW w:w="27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Nominating and Corporate Governance Committee Chair:</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r>
      <w:tr>
        <w:trPr>
          <w:trHeight w:val="200"/>
        </w:trPr>
        <w:tc>
          <w:tcPr>
            <w:tcW w:w="6420" w:type="dxa"/>
            <w:vAlign w:val="bottom"/>
          </w:tcPr>
          <w:p>
            <w:pPr>
              <w:spacing w:after="0"/>
              <w:rPr>
                <w:sz w:val="20"/>
                <w:szCs w:val="20"/>
                <w:color w:val="auto"/>
              </w:rPr>
            </w:pPr>
            <w:r>
              <w:rPr>
                <w:rFonts w:ascii="Arial" w:cs="Arial" w:eastAsia="Arial" w:hAnsi="Arial"/>
                <w:sz w:val="16"/>
                <w:szCs w:val="16"/>
                <w:color w:val="auto"/>
              </w:rPr>
              <w:t>Nominating and Corporate Governance Committee Member:</w:t>
            </w:r>
          </w:p>
        </w:tc>
        <w:tc>
          <w:tcPr>
            <w:tcW w:w="27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4,000</w:t>
            </w:r>
          </w:p>
        </w:tc>
      </w:tr>
    </w:tbl>
    <w:p>
      <w:pPr>
        <w:spacing w:after="0" w:line="165" w:lineRule="exact"/>
        <w:rPr>
          <w:sz w:val="20"/>
          <w:szCs w:val="20"/>
          <w:color w:val="auto"/>
        </w:rPr>
      </w:pPr>
    </w:p>
    <w:p>
      <w:pPr>
        <w:ind w:left="820" w:right="400" w:firstLine="385"/>
        <w:spacing w:after="0" w:line="343" w:lineRule="auto"/>
        <w:rPr>
          <w:sz w:val="20"/>
          <w:szCs w:val="20"/>
          <w:color w:val="auto"/>
        </w:rPr>
      </w:pPr>
      <w:r>
        <w:rPr>
          <w:rFonts w:ascii="Arial" w:cs="Arial" w:eastAsia="Arial" w:hAnsi="Arial"/>
          <w:sz w:val="13"/>
          <w:szCs w:val="13"/>
          <w:color w:val="auto"/>
        </w:rPr>
        <w:t>The above-listed fees for service as chair or members of committees are payable in addition to the non-employee director retainer. Each non-employee director who serves as a committee chair will receive only the additional annual cash fee as the chair of the committee, and not the additional annual fee as a member of the committee. All cash payments to non-employee directors are paid quarterly in arrears on a prorated basis.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99"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i w:val="1"/>
          <w:iCs w:val="1"/>
          <w:color w:val="auto"/>
        </w:rPr>
        <w:t xml:space="preserve">Initial Award. </w:t>
      </w:r>
      <w:r>
        <w:rPr>
          <w:rFonts w:ascii="Arial" w:cs="Arial" w:eastAsia="Arial" w:hAnsi="Arial"/>
          <w:sz w:val="16"/>
          <w:szCs w:val="16"/>
          <w:color w:val="auto"/>
        </w:rPr>
        <w:t>Each person who first becomes a non-employee director after the effective date of the director compensation policy will receive,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trading day on or after the date that the person first becomes a non-employee director, an initial award (the Initial Award) of stock options to purchase shares of our common stock with grant date fair value equal to $320,000. The Initial Award will be scheduled to vest in equal installments as to one thirty-sixth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73"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i w:val="1"/>
          <w:iCs w:val="1"/>
          <w:color w:val="auto"/>
        </w:rPr>
        <w:t xml:space="preserve">Annual Award. </w:t>
      </w:r>
      <w:r>
        <w:rPr>
          <w:rFonts w:ascii="Arial" w:cs="Arial" w:eastAsia="Arial" w:hAnsi="Arial"/>
          <w:sz w:val="15"/>
          <w:szCs w:val="15"/>
          <w:color w:val="auto"/>
        </w:rPr>
        <w:t>Each non-employee director who has served continuously as a non-employee director for no less than 6 months as of the date of an</w:t>
      </w:r>
      <w:r>
        <w:rPr>
          <w:rFonts w:ascii="Arial" w:cs="Arial" w:eastAsia="Arial" w:hAnsi="Arial"/>
          <w:sz w:val="15"/>
          <w:szCs w:val="15"/>
          <w:i w:val="1"/>
          <w:iCs w:val="1"/>
          <w:color w:val="auto"/>
        </w:rPr>
        <w:t xml:space="preserve"> </w:t>
      </w:r>
      <w:r>
        <w:rPr>
          <w:rFonts w:ascii="Arial" w:cs="Arial" w:eastAsia="Arial" w:hAnsi="Arial"/>
          <w:sz w:val="15"/>
          <w:szCs w:val="15"/>
          <w:color w:val="auto"/>
        </w:rPr>
        <w:t>annual meeting of our stockholders occurring following the effective date of our non-employee director compensation policy will receive, on the first trading day immediately after the date of each annual meeting, an annual award (the Annual Award) of stock options to purchase shares of our common stock with grant date fair value equal to $160,000. Each Annual Award will be scheduled to vest in full upon the first anniversary of the date of grant or, if earlier, the day immediately before the date of the next annual meeting of the Company that occurs after the Annual Award’s grant date, subject to continued services to us through the applicable vesting date.</w:t>
      </w:r>
    </w:p>
    <w:p>
      <w:pPr>
        <w:spacing w:after="0" w:line="156" w:lineRule="exact"/>
        <w:rPr>
          <w:sz w:val="20"/>
          <w:szCs w:val="20"/>
          <w:color w:val="auto"/>
        </w:rPr>
      </w:pPr>
    </w:p>
    <w:p>
      <w:pPr>
        <w:ind w:left="820" w:right="280" w:firstLine="385"/>
        <w:spacing w:after="0" w:line="256"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our change in control, as defined in our 2021 Plan (or its successor plan, as applicable), each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outstanding equity awards covering shares of our common stock will accelerate vesting in full, provided that he or she remains a non-employee director through the date of our change in control.</w:t>
      </w:r>
    </w:p>
    <w:p>
      <w:pPr>
        <w:spacing w:after="0" w:line="166" w:lineRule="exact"/>
        <w:rPr>
          <w:sz w:val="20"/>
          <w:szCs w:val="20"/>
          <w:color w:val="auto"/>
        </w:rPr>
      </w:pPr>
    </w:p>
    <w:p>
      <w:pPr>
        <w:ind w:left="820" w:right="100" w:firstLine="385"/>
        <w:spacing w:after="0" w:line="281" w:lineRule="auto"/>
        <w:rPr>
          <w:sz w:val="20"/>
          <w:szCs w:val="20"/>
          <w:color w:val="auto"/>
        </w:rPr>
      </w:pPr>
      <w:r>
        <w:rPr>
          <w:rFonts w:ascii="Arial" w:cs="Arial" w:eastAsia="Arial" w:hAnsi="Arial"/>
          <w:sz w:val="15"/>
          <w:szCs w:val="15"/>
          <w:i w:val="1"/>
          <w:iCs w:val="1"/>
          <w:color w:val="auto"/>
        </w:rPr>
        <w:t xml:space="preserve">Other Award Terms. </w:t>
      </w:r>
      <w:r>
        <w:rPr>
          <w:rFonts w:ascii="Arial" w:cs="Arial" w:eastAsia="Arial" w:hAnsi="Arial"/>
          <w:sz w:val="15"/>
          <w:szCs w:val="15"/>
          <w:color w:val="auto"/>
        </w:rPr>
        <w:t>Each Initial Award and Annual Award will be granted under our 2021 Equity Incentive Plan (or its successor plan, as</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218</w:t>
      </w:r>
    </w:p>
    <w:p>
      <w:pPr>
        <w:sectPr>
          <w:pgSz w:w="11900" w:h="16838" w:orient="portrait"/>
          <w:cols w:equalWidth="0" w:num="1">
            <w:col w:w="10440"/>
          </w:cols>
          <w:pgMar w:left="320" w:top="418" w:right="113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2021 Non-Employee Director Equity Awards</w:t>
      </w:r>
    </w:p>
    <w:p>
      <w:pPr>
        <w:spacing w:after="0" w:line="103" w:lineRule="exact"/>
        <w:rPr>
          <w:sz w:val="20"/>
          <w:szCs w:val="20"/>
          <w:color w:val="auto"/>
        </w:rPr>
      </w:pPr>
    </w:p>
    <w:p>
      <w:pPr>
        <w:ind w:left="820" w:right="80" w:firstLine="385"/>
        <w:spacing w:after="0" w:line="323" w:lineRule="auto"/>
        <w:rPr>
          <w:sz w:val="20"/>
          <w:szCs w:val="20"/>
          <w:color w:val="auto"/>
        </w:rPr>
      </w:pPr>
      <w:r>
        <w:rPr>
          <w:rFonts w:ascii="Arial" w:cs="Arial" w:eastAsia="Arial" w:hAnsi="Arial"/>
          <w:sz w:val="13"/>
          <w:szCs w:val="13"/>
          <w:color w:val="auto"/>
        </w:rPr>
        <w:t>In June 2021, our board of directors approved an option grant to Jeffrey T. Walsh to provide him additional incentives to remain with us and to promote further alignment between his interests and those of our stockholders. The number of shares subject to the option grant is 60,000 and the exercise price per share is $1.56. The grant is subject to the terms and conditions of the 2016 Plan and form of option agreement thereunder, and will vest as to 1/12th of the total shares subject to the grant each month following the vesting commencement date, subject to Mr. Walsh’s continued service with us, and further subject to vesting acceleration under certain circumstances as described under “—Non-Employee Director Compensation Policy.”</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Compensation Committee Interlocks and Inside Participation</w:t>
      </w:r>
    </w:p>
    <w:p>
      <w:pPr>
        <w:spacing w:after="0" w:line="103"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None of the members of our board of directors who will serve on our compensation committee upon the effectiveness of the registration statement of which this prospectus forms a part is or has been an officer or employee of our company.</w:t>
      </w:r>
    </w:p>
    <w:p>
      <w:pPr>
        <w:spacing w:after="0" w:line="64" w:lineRule="exact"/>
        <w:rPr>
          <w:sz w:val="20"/>
          <w:szCs w:val="20"/>
          <w:color w:val="auto"/>
        </w:rPr>
      </w:pPr>
    </w:p>
    <w:p>
      <w:pPr>
        <w:ind w:left="820" w:right="260" w:firstLine="385"/>
        <w:spacing w:after="0" w:line="281" w:lineRule="auto"/>
        <w:rPr>
          <w:sz w:val="20"/>
          <w:szCs w:val="20"/>
          <w:color w:val="auto"/>
        </w:rPr>
      </w:pPr>
      <w:r>
        <w:rPr>
          <w:rFonts w:ascii="Arial" w:cs="Arial" w:eastAsia="Arial" w:hAnsi="Arial"/>
          <w:sz w:val="15"/>
          <w:szCs w:val="15"/>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Code of Business Conduct and Ethics</w:t>
      </w:r>
    </w:p>
    <w:p>
      <w:pPr>
        <w:spacing w:after="0" w:line="103"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In June 2021, our board of directors adopted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www.tenayatherapeutics.com.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prospectus and should not be considered to be part of this prospectus. The inclusion of our website address in this prospectus is an inactive textual reference only.</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219</w:t>
      </w:r>
    </w:p>
    <w:p>
      <w:pPr>
        <w:sectPr>
          <w:pgSz w:w="11900" w:h="16838" w:orient="portrait"/>
          <w:cols w:equalWidth="0" w:num="1">
            <w:col w:w="10400"/>
          </w:cols>
          <w:pgMar w:left="320" w:top="418" w:right="1179" w:bottom="1440" w:gutter="0" w:footer="0" w:header="0"/>
        </w:sectPr>
      </w:pPr>
    </w:p>
    <w:bookmarkStart w:id="222" w:name="page223"/>
    <w:bookmarkEnd w:id="2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EXECUTIVE COMPENSATION</w:t>
      </w:r>
    </w:p>
    <w:p>
      <w:pPr>
        <w:spacing w:after="0" w:line="197" w:lineRule="exact"/>
        <w:rPr>
          <w:sz w:val="20"/>
          <w:szCs w:val="20"/>
          <w:color w:val="auto"/>
        </w:rPr>
      </w:pPr>
    </w:p>
    <w:p>
      <w:pPr>
        <w:ind w:left="820" w:right="380" w:firstLine="385"/>
        <w:spacing w:after="0" w:line="266" w:lineRule="auto"/>
        <w:rPr>
          <w:sz w:val="20"/>
          <w:szCs w:val="20"/>
          <w:color w:val="auto"/>
        </w:rPr>
      </w:pPr>
      <w:r>
        <w:rPr>
          <w:rFonts w:ascii="Arial" w:cs="Arial" w:eastAsia="Arial" w:hAnsi="Arial"/>
          <w:sz w:val="16"/>
          <w:szCs w:val="16"/>
          <w:color w:val="auto"/>
        </w:rPr>
        <w:t>Our named executive officers for 2020, which consist of our principal executive officer and the next two most highly compensated executive officers during 2020, are:</w:t>
      </w:r>
    </w:p>
    <w:p>
      <w:pPr>
        <w:spacing w:after="0" w:line="76" w:lineRule="exact"/>
        <w:rPr>
          <w:sz w:val="20"/>
          <w:szCs w:val="20"/>
          <w:color w:val="auto"/>
        </w:rPr>
      </w:pPr>
    </w:p>
    <w:p>
      <w:pPr>
        <w:ind w:left="1660" w:hanging="469"/>
        <w:spacing w:after="0"/>
        <w:tabs>
          <w:tab w:leader="none" w:pos="1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Faraz Ali, M.B.A., Chief Executive Officer;</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Timothy Hoey, Ph.D., Chief Scientific Officer;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Whittemore (Whit) Tingley, M.D., Ph.D., Chief Medical Officer.</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Summary Compensation Table</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sets forth information regarding the compensation of our named executive officers for the year ended December 31, 2020.</w:t>
      </w:r>
    </w:p>
    <w:p>
      <w:pPr>
        <w:spacing w:after="0" w:line="224"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24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All Other</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3"/>
                <w:szCs w:val="13"/>
                <w:b w:val="1"/>
                <w:bCs w:val="1"/>
                <w:color w:val="auto"/>
              </w:rPr>
              <w:t>Salary</w:t>
            </w:r>
          </w:p>
        </w:tc>
        <w:tc>
          <w:tcPr>
            <w:tcW w:w="820" w:type="dxa"/>
            <w:vAlign w:val="bottom"/>
            <w:gridSpan w:val="2"/>
          </w:tcPr>
          <w:p>
            <w:pPr>
              <w:ind w:left="120"/>
              <w:spacing w:after="0" w:line="130" w:lineRule="exact"/>
              <w:rPr>
                <w:sz w:val="20"/>
                <w:szCs w:val="20"/>
                <w:color w:val="auto"/>
              </w:rPr>
            </w:pPr>
            <w:r>
              <w:rPr>
                <w:rFonts w:ascii="Arial" w:cs="Arial" w:eastAsia="Arial" w:hAnsi="Arial"/>
                <w:sz w:val="13"/>
                <w:szCs w:val="13"/>
                <w:b w:val="1"/>
                <w:bCs w:val="1"/>
                <w:color w:val="auto"/>
              </w:rPr>
              <w:t>Bonus</w:t>
            </w:r>
          </w:p>
        </w:tc>
        <w:tc>
          <w:tcPr>
            <w:tcW w:w="5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Awards</w:t>
            </w:r>
          </w:p>
        </w:tc>
        <w:tc>
          <w:tcPr>
            <w:tcW w:w="1240" w:type="dxa"/>
            <w:vAlign w:val="bottom"/>
            <w:gridSpan w:val="3"/>
          </w:tcPr>
          <w:p>
            <w:pPr>
              <w:jc w:val="right"/>
              <w:ind w:right="240"/>
              <w:spacing w:after="0" w:line="130" w:lineRule="exact"/>
              <w:rPr>
                <w:sz w:val="20"/>
                <w:szCs w:val="20"/>
                <w:color w:val="auto"/>
              </w:rPr>
            </w:pPr>
            <w:r>
              <w:rPr>
                <w:rFonts w:ascii="Arial" w:cs="Arial" w:eastAsia="Arial" w:hAnsi="Arial"/>
                <w:sz w:val="13"/>
                <w:szCs w:val="13"/>
                <w:b w:val="1"/>
                <w:bCs w:val="1"/>
                <w:color w:val="auto"/>
              </w:rPr>
              <w:t>Compensation</w:t>
            </w:r>
          </w:p>
        </w:tc>
        <w:tc>
          <w:tcPr>
            <w:tcW w:w="620" w:type="dxa"/>
            <w:vAlign w:val="bottom"/>
            <w:gridSpan w:val="2"/>
          </w:tcPr>
          <w:p>
            <w:pPr>
              <w:ind w:left="140"/>
              <w:spacing w:after="0" w:line="13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rPr>
              <w:t>Year</w:t>
            </w:r>
          </w:p>
        </w:tc>
        <w:tc>
          <w:tcPr>
            <w:tcW w:w="580" w:type="dxa"/>
            <w:vAlign w:val="bottom"/>
          </w:tcPr>
          <w:p>
            <w:pPr>
              <w:jc w:val="right"/>
              <w:ind w:right="148"/>
              <w:spacing w:after="0" w:line="138"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580" w:type="dxa"/>
            <w:vAlign w:val="bottom"/>
          </w:tcPr>
          <w:p>
            <w:pPr>
              <w:jc w:val="right"/>
              <w:ind w:right="148"/>
              <w:spacing w:after="0" w:line="13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($)(1)</w:t>
            </w:r>
          </w:p>
        </w:tc>
        <w:tc>
          <w:tcPr>
            <w:tcW w:w="1020" w:type="dxa"/>
            <w:vAlign w:val="bottom"/>
            <w:gridSpan w:val="2"/>
          </w:tcPr>
          <w:p>
            <w:pPr>
              <w:jc w:val="right"/>
              <w:ind w:right="269"/>
              <w:spacing w:after="0" w:line="138"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580" w:type="dxa"/>
            <w:vAlign w:val="bottom"/>
          </w:tcPr>
          <w:p>
            <w:pPr>
              <w:jc w:val="right"/>
              <w:ind w:right="148"/>
              <w:spacing w:after="0" w:line="13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2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Faraz Ali, M.B.A.</w:t>
            </w:r>
          </w:p>
        </w:tc>
        <w:tc>
          <w:tcPr>
            <w:tcW w:w="3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60"/>
              <w:spacing w:after="0" w:line="172" w:lineRule="exact"/>
              <w:rPr>
                <w:sz w:val="20"/>
                <w:szCs w:val="20"/>
                <w:color w:val="auto"/>
              </w:rPr>
            </w:pPr>
            <w:r>
              <w:rPr>
                <w:rFonts w:ascii="Arial" w:cs="Arial" w:eastAsia="Arial" w:hAnsi="Arial"/>
                <w:sz w:val="16"/>
                <w:szCs w:val="16"/>
                <w:color w:val="auto"/>
                <w:w w:val="84"/>
              </w:rPr>
              <w:t>2020</w:t>
            </w: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425,000</w:t>
            </w: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126,500</w:t>
            </w:r>
          </w:p>
        </w:tc>
        <w:tc>
          <w:tcPr>
            <w:tcW w:w="2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197,500</w:t>
            </w: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1,300</w:t>
            </w: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750,300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Chief Executive Officer</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00" w:type="dxa"/>
            <w:vAlign w:val="bottom"/>
            <w:gridSpan w:val="3"/>
          </w:tcPr>
          <w:p>
            <w:pPr>
              <w:spacing w:after="0"/>
              <w:rPr>
                <w:sz w:val="20"/>
                <w:szCs w:val="20"/>
                <w:color w:val="auto"/>
              </w:rPr>
            </w:pPr>
            <w:r>
              <w:rPr>
                <w:rFonts w:ascii="Arial" w:cs="Arial" w:eastAsia="Arial" w:hAnsi="Arial"/>
                <w:sz w:val="16"/>
                <w:szCs w:val="16"/>
                <w:color w:val="auto"/>
              </w:rPr>
              <w:t>Timothy Hoey, Ph.D.</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w w:val="84"/>
              </w:rPr>
              <w:t>2020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375,000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95,000</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46,800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3,557</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520,357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Chief Scientific Officer</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Whittemore (Whit) Tingley, M.D., Ph.D.</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4"/>
              </w:rPr>
              <w:t>2020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371,000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467,520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Chief Medical Officer</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right="20" w:hanging="386"/>
        <w:spacing w:after="0" w:line="253" w:lineRule="auto"/>
        <w:tabs>
          <w:tab w:leader="none" w:pos="12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Outstanding Equity Awards at Fiscal Year End</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sets forth information concerning outstanding equity awards held by each of our named executive officers as of December 31,</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2020:</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ind w:left="32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top w:val="single" w:sz="8" w:color="auto"/>
            </w:tcBorders>
            <w:gridSpan w:val="2"/>
          </w:tcPr>
          <w:p>
            <w:pPr>
              <w:jc w:val="center"/>
              <w:ind w:right="320"/>
              <w:spacing w:after="0" w:line="102" w:lineRule="exact"/>
              <w:rPr>
                <w:sz w:val="20"/>
                <w:szCs w:val="20"/>
                <w:color w:val="auto"/>
              </w:rPr>
            </w:pPr>
            <w:r>
              <w:rPr>
                <w:rFonts w:ascii="Arial" w:cs="Arial" w:eastAsia="Arial" w:hAnsi="Arial"/>
                <w:sz w:val="10"/>
                <w:szCs w:val="10"/>
                <w:b w:val="1"/>
                <w:bCs w:val="1"/>
                <w:color w:val="auto"/>
              </w:rPr>
              <w:t>Number of</w:t>
            </w:r>
          </w:p>
        </w:tc>
        <w:tc>
          <w:tcPr>
            <w:tcW w:w="10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tcPr>
          <w:p>
            <w:pPr>
              <w:jc w:val="center"/>
              <w:ind w:right="400"/>
              <w:spacing w:after="0" w:line="102" w:lineRule="exact"/>
              <w:rPr>
                <w:sz w:val="20"/>
                <w:szCs w:val="20"/>
                <w:color w:val="auto"/>
              </w:rPr>
            </w:pPr>
            <w:r>
              <w:rPr>
                <w:rFonts w:ascii="Arial" w:cs="Arial" w:eastAsia="Arial" w:hAnsi="Arial"/>
                <w:sz w:val="10"/>
                <w:szCs w:val="10"/>
                <w:b w:val="1"/>
                <w:bCs w:val="1"/>
                <w:color w:val="auto"/>
              </w:rPr>
              <w:t>Number of</w:t>
            </w:r>
          </w:p>
        </w:tc>
        <w:tc>
          <w:tcPr>
            <w:tcW w:w="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Market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jc w:val="center"/>
              <w:ind w:left="132"/>
              <w:spacing w:after="0" w:line="130"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2"/>
              </w:rPr>
              <w:t>Value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8"/>
              </w:rPr>
              <w:t>Underlying</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4"/>
              </w:rPr>
              <w:t>Shares of</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4"/>
              </w:rPr>
              <w:t>Shares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2"/>
              </w:rPr>
              <w:t>Unexercised</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2"/>
              </w:rPr>
              <w:t>Unexercised</w:t>
            </w:r>
          </w:p>
        </w:tc>
        <w:tc>
          <w:tcPr>
            <w:tcW w:w="20" w:type="dxa"/>
            <w:vAlign w:val="bottom"/>
          </w:tcPr>
          <w:p>
            <w:pPr>
              <w:spacing w:after="0"/>
              <w:rPr>
                <w:sz w:val="11"/>
                <w:szCs w:val="11"/>
                <w:color w:val="auto"/>
              </w:rPr>
            </w:pPr>
          </w:p>
        </w:tc>
        <w:tc>
          <w:tcPr>
            <w:tcW w:w="68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Stock that</w:t>
            </w:r>
          </w:p>
        </w:tc>
        <w:tc>
          <w:tcPr>
            <w:tcW w:w="820" w:type="dxa"/>
            <w:vAlign w:val="bottom"/>
            <w:gridSpan w:val="3"/>
          </w:tcPr>
          <w:p>
            <w:pPr>
              <w:jc w:val="center"/>
              <w:ind w:left="92"/>
              <w:spacing w:after="0" w:line="130" w:lineRule="exact"/>
              <w:rPr>
                <w:sz w:val="20"/>
                <w:szCs w:val="20"/>
                <w:color w:val="auto"/>
              </w:rPr>
            </w:pPr>
            <w:r>
              <w:rPr>
                <w:rFonts w:ascii="Arial" w:cs="Arial" w:eastAsia="Arial" w:hAnsi="Arial"/>
                <w:sz w:val="13"/>
                <w:szCs w:val="13"/>
                <w:b w:val="1"/>
                <w:bCs w:val="1"/>
                <w:color w:val="auto"/>
                <w:w w:val="85"/>
              </w:rPr>
              <w:t>Stock that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9"/>
              </w:rPr>
              <w:t>Options</w:t>
            </w:r>
          </w:p>
        </w:tc>
        <w:tc>
          <w:tcPr>
            <w:tcW w:w="700" w:type="dxa"/>
            <w:vAlign w:val="bottom"/>
            <w:gridSpan w:val="3"/>
          </w:tcPr>
          <w:p>
            <w:pPr>
              <w:jc w:val="center"/>
              <w:ind w:right="200"/>
              <w:spacing w:after="0" w:line="130" w:lineRule="exact"/>
              <w:rPr>
                <w:sz w:val="20"/>
                <w:szCs w:val="20"/>
                <w:color w:val="auto"/>
              </w:rPr>
            </w:pPr>
            <w:r>
              <w:rPr>
                <w:rFonts w:ascii="Arial" w:cs="Arial" w:eastAsia="Arial" w:hAnsi="Arial"/>
                <w:sz w:val="13"/>
                <w:szCs w:val="13"/>
                <w:b w:val="1"/>
                <w:bCs w:val="1"/>
                <w:color w:val="auto"/>
                <w:w w:val="85"/>
              </w:rPr>
              <w:t>Exercise</w:t>
            </w:r>
          </w:p>
        </w:tc>
        <w:tc>
          <w:tcPr>
            <w:tcW w:w="7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0"/>
              </w:rPr>
              <w:t>Option</w:t>
            </w: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8"/>
              </w:rPr>
              <w:t>Have Not</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30"/>
        </w:trPr>
        <w:tc>
          <w:tcPr>
            <w:tcW w:w="3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3"/>
                <w:szCs w:val="13"/>
                <w:b w:val="1"/>
                <w:bCs w:val="1"/>
                <w:color w:val="auto"/>
                <w:w w:val="97"/>
              </w:rPr>
              <w:t>Grant</w:t>
            </w:r>
          </w:p>
        </w:tc>
        <w:tc>
          <w:tcPr>
            <w:tcW w:w="98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85"/>
              </w:rPr>
              <w:t>Exercisable</w:t>
            </w:r>
          </w:p>
        </w:tc>
        <w:tc>
          <w:tcPr>
            <w:tcW w:w="1240" w:type="dxa"/>
            <w:vAlign w:val="bottom"/>
            <w:gridSpan w:val="3"/>
          </w:tcPr>
          <w:p>
            <w:pPr>
              <w:jc w:val="center"/>
              <w:ind w:right="280"/>
              <w:spacing w:after="0" w:line="130" w:lineRule="exact"/>
              <w:rPr>
                <w:sz w:val="20"/>
                <w:szCs w:val="20"/>
                <w:color w:val="auto"/>
              </w:rPr>
            </w:pPr>
            <w:r>
              <w:rPr>
                <w:rFonts w:ascii="Arial" w:cs="Arial" w:eastAsia="Arial" w:hAnsi="Arial"/>
                <w:sz w:val="13"/>
                <w:szCs w:val="13"/>
                <w:b w:val="1"/>
                <w:bCs w:val="1"/>
                <w:color w:val="auto"/>
                <w:w w:val="86"/>
              </w:rPr>
              <w:t>Unexercisable</w:t>
            </w:r>
          </w:p>
        </w:tc>
        <w:tc>
          <w:tcPr>
            <w:tcW w:w="20" w:type="dxa"/>
            <w:vAlign w:val="bottom"/>
          </w:tcPr>
          <w:p>
            <w:pPr>
              <w:spacing w:after="0"/>
              <w:rPr>
                <w:sz w:val="11"/>
                <w:szCs w:val="11"/>
                <w:color w:val="auto"/>
              </w:rPr>
            </w:pPr>
          </w:p>
        </w:tc>
        <w:tc>
          <w:tcPr>
            <w:tcW w:w="680" w:type="dxa"/>
            <w:vAlign w:val="bottom"/>
            <w:gridSpan w:val="2"/>
          </w:tcPr>
          <w:p>
            <w:pPr>
              <w:jc w:val="center"/>
              <w:ind w:right="240"/>
              <w:spacing w:after="0" w:line="130" w:lineRule="exact"/>
              <w:rPr>
                <w:sz w:val="20"/>
                <w:szCs w:val="20"/>
                <w:color w:val="auto"/>
              </w:rPr>
            </w:pPr>
            <w:r>
              <w:rPr>
                <w:rFonts w:ascii="Arial" w:cs="Arial" w:eastAsia="Arial" w:hAnsi="Arial"/>
                <w:sz w:val="13"/>
                <w:szCs w:val="13"/>
                <w:b w:val="1"/>
                <w:bCs w:val="1"/>
                <w:color w:val="auto"/>
                <w:w w:val="87"/>
              </w:rPr>
              <w:t>Price</w:t>
            </w:r>
          </w:p>
        </w:tc>
        <w:tc>
          <w:tcPr>
            <w:tcW w:w="7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1"/>
              </w:rPr>
              <w:t>Expiration</w:t>
            </w: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79"/>
              </w:rPr>
              <w:t>Vested</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138"/>
        </w:trPr>
        <w:tc>
          <w:tcPr>
            <w:tcW w:w="32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6"/>
              </w:rPr>
              <w:t>Date(1)</w:t>
            </w: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1"/>
                <w:szCs w:val="11"/>
                <w:color w:val="auto"/>
              </w:rPr>
            </w:pPr>
          </w:p>
        </w:tc>
        <w:tc>
          <w:tcPr>
            <w:tcW w:w="860" w:type="dxa"/>
            <w:vAlign w:val="bottom"/>
            <w:gridSpan w:val="2"/>
          </w:tcPr>
          <w:p>
            <w:pPr>
              <w:jc w:val="center"/>
              <w:ind w:left="29"/>
              <w:spacing w:after="0" w:line="138"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1"/>
                <w:szCs w:val="11"/>
                <w:color w:val="auto"/>
              </w:rPr>
            </w:pPr>
          </w:p>
        </w:tc>
        <w:tc>
          <w:tcPr>
            <w:tcW w:w="4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($)(2)</w:t>
            </w:r>
          </w:p>
        </w:tc>
        <w:tc>
          <w:tcPr>
            <w:tcW w:w="22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Date</w:t>
            </w:r>
          </w:p>
        </w:tc>
        <w:tc>
          <w:tcPr>
            <w:tcW w:w="820" w:type="dxa"/>
            <w:vAlign w:val="bottom"/>
            <w:gridSpan w:val="2"/>
          </w:tcPr>
          <w:p>
            <w:pPr>
              <w:jc w:val="center"/>
              <w:ind w:left="132"/>
              <w:spacing w:after="0" w:line="138" w:lineRule="exact"/>
              <w:rPr>
                <w:sz w:val="20"/>
                <w:szCs w:val="20"/>
                <w:color w:val="auto"/>
              </w:rPr>
            </w:pPr>
            <w:r>
              <w:rPr>
                <w:rFonts w:ascii="Arial" w:cs="Arial" w:eastAsia="Arial" w:hAnsi="Arial"/>
                <w:sz w:val="13"/>
                <w:szCs w:val="13"/>
                <w:b w:val="1"/>
                <w:bCs w:val="1"/>
                <w:color w:val="auto"/>
                <w:w w:val="87"/>
              </w:rPr>
              <w:t>(#)</w:t>
            </w:r>
          </w:p>
        </w:tc>
        <w:tc>
          <w:tcPr>
            <w:tcW w:w="780" w:type="dxa"/>
            <w:vAlign w:val="bottom"/>
            <w:gridSpan w:val="2"/>
          </w:tcPr>
          <w:p>
            <w:pPr>
              <w:jc w:val="center"/>
              <w:ind w:left="132"/>
              <w:spacing w:after="0" w:line="138" w:lineRule="exact"/>
              <w:rPr>
                <w:sz w:val="20"/>
                <w:szCs w:val="20"/>
                <w:color w:val="auto"/>
              </w:rPr>
            </w:pPr>
            <w:r>
              <w:rPr>
                <w:rFonts w:ascii="Arial" w:cs="Arial" w:eastAsia="Arial" w:hAnsi="Arial"/>
                <w:sz w:val="13"/>
                <w:szCs w:val="13"/>
                <w:b w:val="1"/>
                <w:bCs w:val="1"/>
                <w:color w:val="auto"/>
                <w:w w:val="94"/>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Faraz Ali, M.B.A.</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9/6/2018</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72"/>
              </w:rPr>
              <w:t>2,550,000(4)</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0.11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9/5/2028</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3/10/2020</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46,875</w:t>
            </w:r>
          </w:p>
        </w:tc>
        <w:tc>
          <w:tcPr>
            <w:tcW w:w="3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203,125(5)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3/9/2030</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200" w:type="dxa"/>
            <w:vAlign w:val="bottom"/>
            <w:gridSpan w:val="3"/>
          </w:tcPr>
          <w:p>
            <w:pPr>
              <w:spacing w:after="0"/>
              <w:rPr>
                <w:sz w:val="20"/>
                <w:szCs w:val="20"/>
                <w:color w:val="auto"/>
              </w:rPr>
            </w:pPr>
            <w:r>
              <w:rPr>
                <w:rFonts w:ascii="Arial" w:cs="Arial" w:eastAsia="Arial" w:hAnsi="Arial"/>
                <w:sz w:val="16"/>
                <w:szCs w:val="16"/>
                <w:color w:val="auto"/>
              </w:rPr>
              <w:t>Timothy Hoey, Ph.D.</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9/13/2017</w:t>
            </w:r>
          </w:p>
        </w:tc>
        <w:tc>
          <w:tcPr>
            <w:tcW w:w="220" w:type="dxa"/>
            <w:vAlign w:val="bottom"/>
          </w:tcPr>
          <w:p>
            <w:pPr>
              <w:spacing w:after="0"/>
              <w:rPr>
                <w:sz w:val="23"/>
                <w:szCs w:val="2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166,667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13,333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2/6/2019</w:t>
            </w:r>
          </w:p>
        </w:tc>
        <w:tc>
          <w:tcPr>
            <w:tcW w:w="2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200,000(6)</w:t>
            </w:r>
          </w:p>
        </w:tc>
        <w:tc>
          <w:tcPr>
            <w:tcW w:w="1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2/5/2029</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2/7/2020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13,750</w:t>
            </w:r>
          </w:p>
        </w:tc>
        <w:tc>
          <w:tcPr>
            <w:tcW w:w="3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46,250(5)</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0.45</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2/6/2030</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Whittemore (Whit) Tingley, M.D., Ph.D.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12/10/2018</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450,000(7)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12/9/2028</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jc w:val="center"/>
        <w:ind w:left="5500" w:right="760" w:hanging="4686"/>
        <w:spacing w:after="0" w:line="436" w:lineRule="auto"/>
        <w:tabs>
          <w:tab w:leader="none" w:pos="11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Each of the outstanding equity awards was granted pursuant to our Amended and Restated 2016 Equity Incentive Plan (the 2016 Plan). 220</w:t>
      </w:r>
    </w:p>
    <w:p>
      <w:pPr>
        <w:sectPr>
          <w:pgSz w:w="11900" w:h="16838" w:orient="portrait"/>
          <w:cols w:equalWidth="0" w:num="1">
            <w:col w:w="10440"/>
          </w:cols>
          <w:pgMar w:left="320" w:top="418" w:right="1139" w:bottom="1440" w:gutter="0" w:footer="0" w:header="0"/>
        </w:sectPr>
      </w:pPr>
    </w:p>
    <w:bookmarkStart w:id="223" w:name="page224"/>
    <w:bookmarkEnd w:id="2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hanging="386"/>
        <w:spacing w:after="0"/>
        <w:tabs>
          <w:tab w:leader="none" w:pos="12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This column represents the fair market value of a share of our common stock on the date of grant, as determined by our board of directors.</w:t>
      </w:r>
    </w:p>
    <w:p>
      <w:pPr>
        <w:spacing w:after="0" w:line="27" w:lineRule="exact"/>
        <w:rPr>
          <w:rFonts w:ascii="Arial" w:cs="Arial" w:eastAsia="Arial" w:hAnsi="Arial"/>
          <w:sz w:val="15"/>
          <w:szCs w:val="15"/>
          <w:color w:val="auto"/>
        </w:rPr>
      </w:pPr>
    </w:p>
    <w:p>
      <w:pPr>
        <w:ind w:left="1200" w:hanging="386"/>
        <w:spacing w:after="0" w:line="246" w:lineRule="auto"/>
        <w:tabs>
          <w:tab w:leader="none" w:pos="12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This column represents the fair market value of a share of our common stock as of December 31, 2020, the market value has been calculated based on an estimated per-share common stock value of $0.08 per share as of December 31, 2020.</w:t>
      </w:r>
    </w:p>
    <w:p>
      <w:pPr>
        <w:ind w:left="1200" w:right="160" w:hanging="386"/>
        <w:spacing w:after="0" w:line="246" w:lineRule="auto"/>
        <w:tabs>
          <w:tab w:leader="none" w:pos="12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1/5th of the shares subject to this option vested on the first anniversary of the vesting commencement date and 1/60th of the shares vest monthly thereafter, subject to the optionee’s continued status as a service provider through each vest date. All of the shares underlying this option are subject to an early exercise provision.</w:t>
      </w:r>
    </w:p>
    <w:p>
      <w:pPr>
        <w:ind w:left="1200" w:right="40" w:hanging="386"/>
        <w:spacing w:after="0" w:line="246" w:lineRule="auto"/>
        <w:tabs>
          <w:tab w:leader="none" w:pos="12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1/48th of the shares subject to this option vest monthly after the grant date, subject to the optionee’s continued status as a service provider through each vest date.</w:t>
      </w:r>
    </w:p>
    <w:p>
      <w:pPr>
        <w:ind w:left="1200" w:right="40" w:hanging="386"/>
        <w:spacing w:after="0" w:line="246" w:lineRule="auto"/>
        <w:tabs>
          <w:tab w:leader="none" w:pos="12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1/48th of the shares subject to this option vest monthly after the grant date, subject to the optionee’s continued status as a service provider through each vest date. All of the shares underlying this option are subject to an early exercise provision.</w:t>
      </w:r>
    </w:p>
    <w:p>
      <w:pPr>
        <w:ind w:left="1200" w:right="160" w:hanging="386"/>
        <w:spacing w:after="0" w:line="249" w:lineRule="auto"/>
        <w:tabs>
          <w:tab w:leader="none" w:pos="12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1/4th of the shares subject to this option vested on the first anniversary of the vesting commencement date and 1/48th of the shares vest monthly thereafter, subject to the optionee’s continued status as a service provider through each vest date. All of the shares underlying this option are subject to an early exercise provision.</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2021 Executive Officer Equity Awards</w:t>
      </w:r>
    </w:p>
    <w:p>
      <w:pPr>
        <w:spacing w:after="0" w:line="103" w:lineRule="exact"/>
        <w:rPr>
          <w:sz w:val="20"/>
          <w:szCs w:val="20"/>
          <w:color w:val="auto"/>
        </w:rPr>
      </w:pPr>
    </w:p>
    <w:p>
      <w:pPr>
        <w:ind w:left="820" w:right="140" w:firstLine="385"/>
        <w:spacing w:after="0" w:line="319" w:lineRule="auto"/>
        <w:rPr>
          <w:sz w:val="20"/>
          <w:szCs w:val="20"/>
          <w:color w:val="auto"/>
        </w:rPr>
      </w:pPr>
      <w:r>
        <w:rPr>
          <w:rFonts w:ascii="Arial" w:cs="Arial" w:eastAsia="Arial" w:hAnsi="Arial"/>
          <w:sz w:val="13"/>
          <w:szCs w:val="13"/>
          <w:color w:val="auto"/>
        </w:rPr>
        <w:t>In January 2021, our compensation committee approved option grants to Dr. Hoey covering 100,000 shares and to Dr. Tingley covering 150,000 shares, in each case, at an exercise price per share of $0.94. In February 2021, our board of directors approved an option grant to Mr. Ali covering 2,500,000 shares at an exercise price per share of $0.94. In June 2021, our board of directors approved option grants to Mr. Ali covering 1,000,000 shares and to Dr. Tingley covering 650,000 shares, in each case, at an exercise price per share of $1.56. These grants were made to provide them additional incentives to remain with us and to promote further alignment between their interests and those of our stockholders. In July 2021, our board of directors approved a new hire option grant to Ms. Patterson covering 2,125,000 shares at an exercise price per share of $1.76.</w:t>
      </w:r>
    </w:p>
    <w:p>
      <w:pPr>
        <w:spacing w:after="0" w:line="12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These grants are subject to the terms and conditions of the 2016 Plan and form of option agreement thereunder, and the grants to Mr. Ali,</w:t>
      </w:r>
    </w:p>
    <w:p>
      <w:pPr>
        <w:spacing w:after="0" w:line="28" w:lineRule="exact"/>
        <w:rPr>
          <w:sz w:val="20"/>
          <w:szCs w:val="20"/>
          <w:color w:val="auto"/>
        </w:rPr>
      </w:pPr>
    </w:p>
    <w:p>
      <w:pPr>
        <w:ind w:left="820" w:right="140"/>
        <w:spacing w:after="0" w:line="323" w:lineRule="auto"/>
        <w:rPr>
          <w:sz w:val="20"/>
          <w:szCs w:val="20"/>
          <w:color w:val="auto"/>
        </w:rPr>
      </w:pPr>
      <w:r>
        <w:rPr>
          <w:rFonts w:ascii="Arial" w:cs="Arial" w:eastAsia="Arial" w:hAnsi="Arial"/>
          <w:sz w:val="13"/>
          <w:szCs w:val="13"/>
          <w:color w:val="auto"/>
        </w:rPr>
        <w:t>Dr. Hoey, and Dr. Tingley vest as to 1/48th of the total shares subject to the grant each month following the vesting commencement date, and the grant to Ms. Patterson vests as to 25% on the one-year anniversary of Ms. Patterson’s start date and as to 1/48th of the total shares subject to the grant each month following such anniversary date, in each case subject to the executive officer’s continued service with us, and further subject to vesting acceleration under certain circumstances as described under “—Potential payments upon termination or change in control.”</w:t>
      </w:r>
    </w:p>
    <w:p>
      <w:pPr>
        <w:spacing w:after="0" w:line="21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Employment Arrangements</w:t>
      </w:r>
    </w:p>
    <w:p>
      <w:pPr>
        <w:spacing w:after="0" w:line="103" w:lineRule="exact"/>
        <w:rPr>
          <w:sz w:val="20"/>
          <w:szCs w:val="20"/>
          <w:color w:val="auto"/>
        </w:rPr>
      </w:pPr>
    </w:p>
    <w:p>
      <w:pPr>
        <w:ind w:left="820" w:right="720" w:firstLine="385"/>
        <w:spacing w:after="0" w:line="266" w:lineRule="auto"/>
        <w:rPr>
          <w:sz w:val="20"/>
          <w:szCs w:val="20"/>
          <w:color w:val="auto"/>
        </w:rPr>
      </w:pPr>
      <w:r>
        <w:rPr>
          <w:rFonts w:ascii="Arial" w:cs="Arial" w:eastAsia="Arial" w:hAnsi="Arial"/>
          <w:sz w:val="16"/>
          <w:szCs w:val="16"/>
          <w:color w:val="auto"/>
        </w:rPr>
        <w:t>Each of our current executive officers has executed our standard form of confidential information, invention assignment and arbitration agreement.</w:t>
      </w:r>
    </w:p>
    <w:p>
      <w:pPr>
        <w:spacing w:after="0" w:line="158"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We have entered into an employment offer letter agreement with each of our named executive officers in connection with his or her employment with us. These offer letters provide for “at will” employment.</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Faraz Ali, M.B.A.</w:t>
      </w:r>
    </w:p>
    <w:p>
      <w:pPr>
        <w:spacing w:after="0" w:line="99" w:lineRule="exact"/>
        <w:rPr>
          <w:sz w:val="20"/>
          <w:szCs w:val="20"/>
          <w:color w:val="auto"/>
        </w:rPr>
      </w:pPr>
    </w:p>
    <w:p>
      <w:pPr>
        <w:jc w:val="both"/>
        <w:ind w:left="820" w:right="280" w:firstLine="385"/>
        <w:spacing w:after="0" w:line="256" w:lineRule="auto"/>
        <w:rPr>
          <w:sz w:val="20"/>
          <w:szCs w:val="20"/>
          <w:color w:val="auto"/>
        </w:rPr>
      </w:pPr>
      <w:r>
        <w:rPr>
          <w:rFonts w:ascii="Arial" w:cs="Arial" w:eastAsia="Arial" w:hAnsi="Arial"/>
          <w:sz w:val="16"/>
          <w:szCs w:val="16"/>
          <w:color w:val="auto"/>
        </w:rPr>
        <w:t>We have entered into a confirmatory employment letter with Mr. Ali, our Chief Executive Officer. The confirmatory employment letter has no specific term and provides for at-will employment. Mr. Ali’s current annual base salary is $475,000 and his annual target bonus is 35% of his annual base salary.</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221</w:t>
      </w:r>
    </w:p>
    <w:p>
      <w:pPr>
        <w:sectPr>
          <w:pgSz w:w="11900" w:h="16838" w:orient="portrait"/>
          <w:cols w:equalWidth="0" w:num="1">
            <w:col w:w="10420"/>
          </w:cols>
          <w:pgMar w:left="320" w:top="418" w:right="115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Timothy Hoey, Ph.D.</w:t>
      </w:r>
    </w:p>
    <w:p>
      <w:pPr>
        <w:spacing w:after="0" w:line="99" w:lineRule="exact"/>
        <w:rPr>
          <w:sz w:val="20"/>
          <w:szCs w:val="20"/>
          <w:color w:val="auto"/>
        </w:rPr>
      </w:pPr>
    </w:p>
    <w:p>
      <w:pPr>
        <w:jc w:val="both"/>
        <w:ind w:left="820" w:right="140" w:firstLine="385"/>
        <w:spacing w:after="0" w:line="256" w:lineRule="auto"/>
        <w:rPr>
          <w:sz w:val="20"/>
          <w:szCs w:val="20"/>
          <w:color w:val="auto"/>
        </w:rPr>
      </w:pPr>
      <w:r>
        <w:rPr>
          <w:rFonts w:ascii="Arial" w:cs="Arial" w:eastAsia="Arial" w:hAnsi="Arial"/>
          <w:sz w:val="16"/>
          <w:szCs w:val="16"/>
          <w:color w:val="auto"/>
        </w:rPr>
        <w:t>We have entered into a confirmatory employment letter with Dr. Hoey, our Chief Scientific Officer. The confirmatory employment letter has no specific term and provides for at-will employment. Dr. Hoey’s current annual base salary is $385,000 and his annual target bonus is 30% of his annual base salary.</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Leone D. Patterson, M.B.A.</w:t>
      </w:r>
    </w:p>
    <w:p>
      <w:pPr>
        <w:spacing w:after="0" w:line="99"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We have entered into an employment letter with Ms. Patterson, our Chief Financial and Business Officer. Ms. Patterson began employment in June 2021. The employment letter has no specific term and provides for at-will employment. Ms. Patterson’s current annual base salary is $400,000 and her annual target bonus is 30% of her annual base salary.</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Whittemore (Whit) Tingley, M.D., Ph.D.</w:t>
      </w:r>
    </w:p>
    <w:p>
      <w:pPr>
        <w:spacing w:after="0" w:line="9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We have entered into a confirmatory employment letter with Dr. Tingley, our Chief Medical Officer. The confirmatory employment letter has no specific term and provides for at-will employment. Dr. Tingley’s current annual base salary is $402,000 and his annual target bonus is 30% of his annual base salary.</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Executive Change in Control and Severance Plan</w:t>
      </w:r>
    </w:p>
    <w:p>
      <w:pPr>
        <w:spacing w:after="0" w:line="99" w:lineRule="exact"/>
        <w:rPr>
          <w:sz w:val="20"/>
          <w:szCs w:val="20"/>
          <w:color w:val="auto"/>
        </w:rPr>
      </w:pPr>
    </w:p>
    <w:p>
      <w:pPr>
        <w:ind w:left="820" w:right="120" w:firstLine="385"/>
        <w:spacing w:after="0" w:line="250" w:lineRule="auto"/>
        <w:rPr>
          <w:sz w:val="20"/>
          <w:szCs w:val="20"/>
          <w:color w:val="auto"/>
        </w:rPr>
      </w:pPr>
      <w:r>
        <w:rPr>
          <w:rFonts w:ascii="Arial" w:cs="Arial" w:eastAsia="Arial" w:hAnsi="Arial"/>
          <w:sz w:val="16"/>
          <w:szCs w:val="16"/>
          <w:color w:val="auto"/>
        </w:rPr>
        <w:t>In June 2021, our board of directors adopted an Executive Change in Control and Severance Plan, or the Executive Severance Plan, pursuant to which our named executive officers and certain other key employees are eligible to receive severance benefits, as specified in and subject to the employee signing a participation agreement under our Executive Severance Plan. This Executive Severance Plan was developed with input from Compensia regarding severance practices at comparable companies. It is designed to attract, retain and reward senior level employees. The Executive Severance Plan will be in lieu of any other severance payments and benefits to which such key employee was entitled prior to signing the participation agreement.</w:t>
      </w:r>
    </w:p>
    <w:p>
      <w:pPr>
        <w:spacing w:after="0" w:line="171" w:lineRule="exact"/>
        <w:rPr>
          <w:sz w:val="20"/>
          <w:szCs w:val="20"/>
          <w:color w:val="auto"/>
        </w:rPr>
      </w:pPr>
    </w:p>
    <w:p>
      <w:pPr>
        <w:ind w:left="820" w:right="300" w:firstLine="385"/>
        <w:spacing w:after="0" w:line="266" w:lineRule="auto"/>
        <w:rPr>
          <w:sz w:val="20"/>
          <w:szCs w:val="20"/>
          <w:color w:val="auto"/>
        </w:rPr>
      </w:pPr>
      <w:r>
        <w:rPr>
          <w:rFonts w:ascii="Arial" w:cs="Arial" w:eastAsia="Arial" w:hAnsi="Arial"/>
          <w:sz w:val="16"/>
          <w:szCs w:val="16"/>
          <w:color w:val="auto"/>
        </w:rPr>
        <w:t>Each of our named executive officers has signed a participation agreement under our Executive Severance Plan providing for the rights to the applicable payments and benefits described below.</w:t>
      </w:r>
    </w:p>
    <w:p>
      <w:pPr>
        <w:spacing w:after="0" w:line="158"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w:t>
      </w:r>
    </w:p>
    <w:p>
      <w:pPr>
        <w:spacing w:after="0" w:line="87" w:lineRule="exact"/>
        <w:rPr>
          <w:sz w:val="20"/>
          <w:szCs w:val="20"/>
          <w:color w:val="auto"/>
        </w:rPr>
      </w:pPr>
    </w:p>
    <w:p>
      <w:pPr>
        <w:ind w:left="1660" w:right="120" w:hanging="469"/>
        <w:spacing w:after="0" w:line="266" w:lineRule="auto"/>
        <w:tabs>
          <w:tab w:leader="none" w:pos="1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lump sum payment equal to nine months of the named executive officer’s annual base salary as in effect immediately prior to his or her qualifying termination of employment, or twelve months in the case of Mr. Ali; and</w:t>
      </w:r>
    </w:p>
    <w:p>
      <w:pPr>
        <w:spacing w:after="0" w:line="75" w:lineRule="exact"/>
        <w:rPr>
          <w:rFonts w:ascii="Arial" w:cs="Arial" w:eastAsia="Arial" w:hAnsi="Arial"/>
          <w:sz w:val="16"/>
          <w:szCs w:val="16"/>
          <w:color w:val="auto"/>
        </w:rPr>
      </w:pPr>
    </w:p>
    <w:p>
      <w:pPr>
        <w:ind w:left="1660" w:right="420" w:hanging="469"/>
        <w:spacing w:after="0" w:line="300"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continued health coverage under COBRA or a lump sum payment equal to the premium cost of continued health coverage under the Consolidated Omnibus Reconciliation Act of 1985 as amended, or COBRA, for a period of twelve months.</w:t>
      </w:r>
    </w:p>
    <w:p>
      <w:pPr>
        <w:spacing w:after="0" w:line="135" w:lineRule="exact"/>
        <w:rPr>
          <w:sz w:val="20"/>
          <w:szCs w:val="20"/>
          <w:color w:val="auto"/>
        </w:rPr>
      </w:pPr>
    </w:p>
    <w:p>
      <w:pPr>
        <w:ind w:left="820" w:right="180" w:firstLine="385"/>
        <w:spacing w:after="0" w:line="343" w:lineRule="auto"/>
        <w:rPr>
          <w:sz w:val="20"/>
          <w:szCs w:val="20"/>
          <w:color w:val="auto"/>
        </w:rPr>
      </w:pPr>
      <w:r>
        <w:rPr>
          <w:rFonts w:ascii="Arial" w:cs="Arial" w:eastAsia="Arial" w:hAnsi="Arial"/>
          <w:sz w:val="13"/>
          <w:szCs w:val="13"/>
          <w:color w:val="auto"/>
        </w:rPr>
        <w:t>In the event of a termination of employment by the named executive officer for “good reason” or by us for a reason other than “cause” or the named executive officer’s death or disability, in each case, within a period beginning upon and ending twelve months following a “change in control” (as defined in our Executive Severance Plan), or in the case of Mr. Ali beginning three months prior to and ending 18 months following a</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222</w:t>
      </w:r>
    </w:p>
    <w:p>
      <w:pPr>
        <w:sectPr>
          <w:pgSz w:w="11900" w:h="16838" w:orient="portrait"/>
          <w:cols w:equalWidth="0" w:num="1">
            <w:col w:w="10400"/>
          </w:cols>
          <w:pgMar w:left="320" w:top="418" w:right="1179" w:bottom="1440" w:gutter="0" w:footer="0" w:header="0"/>
        </w:sectPr>
      </w:pPr>
    </w:p>
    <w:bookmarkStart w:id="225" w:name="page226"/>
    <w:bookmarkEnd w:id="2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60"/>
        <w:spacing w:after="0" w:line="266" w:lineRule="auto"/>
        <w:rPr>
          <w:sz w:val="20"/>
          <w:szCs w:val="20"/>
          <w:color w:val="auto"/>
        </w:rPr>
      </w:pPr>
      <w:r>
        <w:rPr>
          <w:rFonts w:ascii="Arial" w:cs="Arial" w:eastAsia="Arial" w:hAnsi="Arial"/>
          <w:sz w:val="16"/>
          <w:szCs w:val="16"/>
          <w:color w:val="auto"/>
        </w:rPr>
        <w:t>“change in control” (such period, in either case, the “change in control period”), then the named executive officer will be entitled to the following payments and benefits:</w:t>
      </w:r>
    </w:p>
    <w:p>
      <w:pPr>
        <w:spacing w:after="0" w:line="76" w:lineRule="exact"/>
        <w:rPr>
          <w:sz w:val="20"/>
          <w:szCs w:val="20"/>
          <w:color w:val="auto"/>
        </w:rPr>
      </w:pPr>
    </w:p>
    <w:p>
      <w:pPr>
        <w:ind w:left="1660" w:right="260" w:hanging="469"/>
        <w:spacing w:after="0" w:line="266" w:lineRule="auto"/>
        <w:tabs>
          <w:tab w:leader="none" w:pos="1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lump sum payment equal to 12 months of the named executive officer’s annual base salary as in effect immediately prior to his or her qualifying termination of employment;</w:t>
      </w:r>
    </w:p>
    <w:p>
      <w:pPr>
        <w:spacing w:after="0" w:line="75" w:lineRule="exact"/>
        <w:rPr>
          <w:rFonts w:ascii="Arial" w:cs="Arial" w:eastAsia="Arial" w:hAnsi="Arial"/>
          <w:sz w:val="16"/>
          <w:szCs w:val="16"/>
          <w:color w:val="auto"/>
        </w:rPr>
      </w:pPr>
    </w:p>
    <w:p>
      <w:pPr>
        <w:ind w:left="1660" w:right="380" w:hanging="469"/>
        <w:spacing w:after="0" w:line="266" w:lineRule="auto"/>
        <w:tabs>
          <w:tab w:leader="none" w:pos="1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continued health coverage under COBRA or a lump sum payment equal to the cost of continued health coverage under COBRA for a period of 12 months;</w:t>
      </w:r>
    </w:p>
    <w:p>
      <w:pPr>
        <w:spacing w:after="0" w:line="75" w:lineRule="exact"/>
        <w:rPr>
          <w:rFonts w:ascii="Arial" w:cs="Arial" w:eastAsia="Arial" w:hAnsi="Arial"/>
          <w:sz w:val="16"/>
          <w:szCs w:val="16"/>
          <w:color w:val="auto"/>
        </w:rPr>
      </w:pPr>
    </w:p>
    <w:p>
      <w:pPr>
        <w:ind w:left="1660" w:right="200" w:hanging="469"/>
        <w:spacing w:after="0" w:line="383" w:lineRule="auto"/>
        <w:tabs>
          <w:tab w:leader="none" w:pos="166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100% accelerated vesting of all outstanding equity awards, and, with respect to equity awards with performance-based vesting, all performance goals or other vesting criteria will be deemed achieved at 100% of target levels for the relevant performance period(s); and</w:t>
      </w:r>
    </w:p>
    <w:p>
      <w:pPr>
        <w:spacing w:after="0" w:line="6" w:lineRule="exact"/>
        <w:rPr>
          <w:rFonts w:ascii="Arial" w:cs="Arial" w:eastAsia="Arial" w:hAnsi="Arial"/>
          <w:sz w:val="13"/>
          <w:szCs w:val="13"/>
          <w:color w:val="auto"/>
        </w:rPr>
      </w:pPr>
    </w:p>
    <w:p>
      <w:pPr>
        <w:ind w:left="1660" w:right="400" w:hanging="469"/>
        <w:spacing w:after="0" w:line="266" w:lineRule="auto"/>
        <w:tabs>
          <w:tab w:leader="none" w:pos="1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the case of Mr. Ali, a lump sum payment equal to 100% of his target annual bonus for the year in which the qualifying termination occurs.</w:t>
      </w:r>
    </w:p>
    <w:p>
      <w:pPr>
        <w:spacing w:after="0" w:line="158"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60th day following the named executive officer’s involuntary termination of employment, as well as continued compliance with the invention assignment and confidentiality agreement applicable to the named executive officer.</w:t>
      </w:r>
    </w:p>
    <w:p>
      <w:pPr>
        <w:spacing w:after="0" w:line="167"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Employee Benefit and Stock Plans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99"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In June 2021, our board of directors adopted, and prior to the effectiveness of this offering, we expect that our stockholders will approve, our 2021 Equity Incentive Plan (2021 Plan). The 2021 Plan will be effective on the business day immediately prior to the effective date of the registration statement of which this prospectus forms a part. Our 2021 Plan will provide for the grant of incentive stock options, within the meaning of Section 422 of the Internal Revenue Code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56" w:lineRule="exact"/>
        <w:rPr>
          <w:sz w:val="20"/>
          <w:szCs w:val="20"/>
          <w:color w:val="auto"/>
        </w:rPr>
      </w:pPr>
    </w:p>
    <w:p>
      <w:pPr>
        <w:ind w:left="820" w:right="60" w:firstLine="385"/>
        <w:spacing w:after="0" w:line="307" w:lineRule="auto"/>
        <w:rPr>
          <w:sz w:val="20"/>
          <w:szCs w:val="20"/>
          <w:color w:val="auto"/>
        </w:rPr>
      </w:pPr>
      <w:r>
        <w:rPr>
          <w:rFonts w:ascii="Arial" w:cs="Arial" w:eastAsia="Arial" w:hAnsi="Arial"/>
          <w:sz w:val="13"/>
          <w:szCs w:val="13"/>
          <w:i w:val="1"/>
          <w:iCs w:val="1"/>
          <w:color w:val="auto"/>
        </w:rPr>
        <w:t>Authorized shares</w:t>
      </w:r>
      <w:r>
        <w:rPr>
          <w:rFonts w:ascii="Arial" w:cs="Arial" w:eastAsia="Arial" w:hAnsi="Arial"/>
          <w:sz w:val="13"/>
          <w:szCs w:val="13"/>
          <w:color w:val="auto"/>
        </w:rPr>
        <w:t>. A total of shares of our common stock are reserved for issuance pursuant to our 2021 Plan. In addition, the shares</w:t>
      </w:r>
      <w:r>
        <w:rPr>
          <w:rFonts w:ascii="Arial" w:cs="Arial" w:eastAsia="Arial" w:hAnsi="Arial"/>
          <w:sz w:val="13"/>
          <w:szCs w:val="13"/>
          <w:i w:val="1"/>
          <w:iCs w:val="1"/>
          <w:color w:val="auto"/>
        </w:rPr>
        <w:t xml:space="preserve"> </w:t>
      </w:r>
      <w:r>
        <w:rPr>
          <w:rFonts w:ascii="Arial" w:cs="Arial" w:eastAsia="Arial" w:hAnsi="Arial"/>
          <w:sz w:val="13"/>
          <w:szCs w:val="13"/>
          <w:color w:val="auto"/>
        </w:rPr>
        <w:t>reserved for issuance under our 2021 Plan will also include shares of our common stock subject to or issued pursuant to awards granted under our 2016 Plan that, after the effective date of the registration statement of which this prospectus forms a part, expire or otherwise terminate without having been exercised in full, are tendered to or withheld by us for payment of an exercise price or for tax withholding obligations, or are forfeited to or repurchased</w:t>
      </w:r>
    </w:p>
    <w:p>
      <w:pPr>
        <w:spacing w:after="0" w:line="1" w:lineRule="exact"/>
        <w:rPr>
          <w:sz w:val="20"/>
          <w:szCs w:val="20"/>
          <w:color w:val="auto"/>
        </w:rPr>
      </w:pPr>
    </w:p>
    <w:p>
      <w:pPr>
        <w:jc w:val="both"/>
        <w:ind w:left="820" w:right="140"/>
        <w:spacing w:after="0" w:line="302" w:lineRule="auto"/>
        <w:rPr>
          <w:sz w:val="20"/>
          <w:szCs w:val="20"/>
          <w:color w:val="auto"/>
        </w:rPr>
      </w:pPr>
      <w:r>
        <w:rPr>
          <w:rFonts w:ascii="Arial" w:cs="Arial" w:eastAsia="Arial" w:hAnsi="Arial"/>
          <w:sz w:val="13"/>
          <w:szCs w:val="13"/>
          <w:color w:val="auto"/>
        </w:rPr>
        <w:t>by us due to failure to vest (provided that the maximum number of shares that may be added to the 2021 Plan is shares). The number of shares available for issuance under our 2021 Plan will also include an annual increase on the first day of each fiscal year beginning with our 2022 fiscal year,</w:t>
      </w:r>
    </w:p>
    <w:p>
      <w:pPr>
        <w:spacing w:after="0" w:line="1" w:lineRule="exact"/>
        <w:rPr>
          <w:sz w:val="20"/>
          <w:szCs w:val="20"/>
          <w:color w:val="auto"/>
        </w:rPr>
      </w:pPr>
    </w:p>
    <w:p>
      <w:pPr>
        <w:jc w:val="both"/>
        <w:ind w:left="820" w:right="220"/>
        <w:spacing w:after="0" w:line="249" w:lineRule="auto"/>
        <w:rPr>
          <w:sz w:val="20"/>
          <w:szCs w:val="20"/>
          <w:color w:val="auto"/>
        </w:rPr>
      </w:pPr>
      <w:r>
        <w:rPr>
          <w:rFonts w:ascii="Arial" w:cs="Arial" w:eastAsia="Arial" w:hAnsi="Arial"/>
          <w:sz w:val="16"/>
          <w:szCs w:val="16"/>
          <w:color w:val="auto"/>
        </w:rPr>
        <w:t>equal to the least of: shares; four percent (4%) of the outstanding shares of our common stock as of the last day of the immediately preceding fiscal year; or such other amount as our board of directors may determine. This annual increase will operate only until the ten year anniversary of our board’s approval of the 2021 Plan.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223</w:t>
      </w:r>
    </w:p>
    <w:p>
      <w:pPr>
        <w:sectPr>
          <w:pgSz w:w="11900" w:h="16838" w:orient="portrait"/>
          <w:cols w:equalWidth="0" w:num="1">
            <w:col w:w="10420"/>
          </w:cols>
          <w:pgMar w:left="320" w:top="418" w:right="1159" w:bottom="1440" w:gutter="0" w:footer="0" w:header="0"/>
        </w:sectPr>
      </w:pPr>
    </w:p>
    <w:bookmarkStart w:id="226" w:name="page227"/>
    <w:bookmarkEnd w:id="2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5"/>
          <w:szCs w:val="15"/>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2021 Plan (unless the 2021 Plan has terminated). With respect to stock appreciation rights, only the net shares actually issued will cease to be available under the 2021 Plan and all remaining shares under stock appreciation rights will remain available for future grant or sale under the 2021 Plan (unless the 2021 Plan has terminated). Shares that have actually been issued under the 2021 Plan will not be returned to the 2021 Plan except if shares issued pursuant to awards of restricted stock, restricted stock units, performance shares, or performance units are repurchased by or forfeited to us due to failure to vest, such shares will become available for future grant under the 2021 Plan. Shares used to pay the exercise price of an award or satisfy the tax withholding obligations related to an award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61"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i w:val="1"/>
          <w:iCs w:val="1"/>
          <w:color w:val="auto"/>
        </w:rPr>
        <w:t>Plan administration</w:t>
      </w:r>
      <w:r>
        <w:rPr>
          <w:rFonts w:ascii="Arial" w:cs="Arial" w:eastAsia="Arial" w:hAnsi="Arial"/>
          <w:sz w:val="13"/>
          <w:szCs w:val="13"/>
          <w:color w:val="auto"/>
        </w:rPr>
        <w:t>. Our board of directors or one or more committees appointed by our board of directors will administer our 2021 Plan.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committee of our board of directors will initially administer our 2021 Plan. In addition, if we determine it is desirable to qualify transactions under our 2021 Plan as exempt under Rule 16b-3 of the Exchange Act, such transactions will be structured to satisfy the requirements for exemption under Rule 16b-3. Subject to the provisions of our 2021 Plan, the administrator has the power to administer our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2021 Plan and awards granted under it, prescribe, amend and rescind rules relating to our 2021 Plan, including creating sub-plans, modify or amend each award, including but not limited to the discretionary authority to extend the post-termination exercisability period of awards,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329"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options may be granted under our 2021 Plan. The exercise price of options granted under our 2021 Plan must at least be equal</w:t>
      </w:r>
      <w:r>
        <w:rPr>
          <w:rFonts w:ascii="Arial" w:cs="Arial" w:eastAsia="Arial" w:hAnsi="Arial"/>
          <w:sz w:val="15"/>
          <w:szCs w:val="15"/>
          <w:i w:val="1"/>
          <w:iCs w:val="1"/>
          <w:color w:val="auto"/>
        </w:rPr>
        <w:t xml:space="preserve"> </w:t>
      </w:r>
      <w:r>
        <w:rPr>
          <w:rFonts w:ascii="Arial" w:cs="Arial" w:eastAsia="Arial" w:hAnsi="Arial"/>
          <w:sz w:val="15"/>
          <w:szCs w:val="15"/>
          <w:color w:val="auto"/>
        </w:rPr>
        <w:t>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2021 Plan, the administrator determines the other terms of options.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224</w:t>
      </w:r>
    </w:p>
    <w:p>
      <w:pPr>
        <w:sectPr>
          <w:pgSz w:w="11900" w:h="16838" w:orient="portrait"/>
          <w:cols w:equalWidth="0" w:num="1">
            <w:col w:w="10440"/>
          </w:cols>
          <w:pgMar w:left="320" w:top="418" w:right="113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Stock appreciation rights may be granted under our 2021 Plan. Stock appreciation rights allow the recipient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2021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61"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i w:val="1"/>
          <w:iCs w:val="1"/>
          <w:color w:val="auto"/>
        </w:rPr>
        <w:t>Restricted stock</w:t>
      </w:r>
      <w:r>
        <w:rPr>
          <w:rFonts w:ascii="Arial" w:cs="Arial" w:eastAsia="Arial" w:hAnsi="Arial"/>
          <w:sz w:val="15"/>
          <w:szCs w:val="15"/>
          <w:color w:val="auto"/>
        </w:rPr>
        <w:t>. Restricted stock may be granted under our 2021 Plan. Restricted stock awards are grants of shares of our common stock that vest</w:t>
      </w:r>
      <w:r>
        <w:rPr>
          <w:rFonts w:ascii="Arial" w:cs="Arial" w:eastAsia="Arial" w:hAnsi="Arial"/>
          <w:sz w:val="15"/>
          <w:szCs w:val="15"/>
          <w:i w:val="1"/>
          <w:iCs w:val="1"/>
          <w:color w:val="auto"/>
        </w:rPr>
        <w:t xml:space="preserve"> </w:t>
      </w:r>
      <w:r>
        <w:rPr>
          <w:rFonts w:ascii="Arial" w:cs="Arial" w:eastAsia="Arial" w:hAnsi="Arial"/>
          <w:sz w:val="15"/>
          <w:szCs w:val="15"/>
          <w:color w:val="auto"/>
        </w:rPr>
        <w:t>in accordance with terms and conditions established by the administrator. The administrator will determine the number of shares of restricted stock granted to any employee, director, or consultant and, subject to the provisions of our 2021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63" w:lineRule="exact"/>
        <w:rPr>
          <w:sz w:val="20"/>
          <w:szCs w:val="20"/>
          <w:color w:val="auto"/>
        </w:rPr>
      </w:pPr>
    </w:p>
    <w:p>
      <w:pPr>
        <w:ind w:left="820" w:right="100" w:firstLine="385"/>
        <w:spacing w:after="0" w:line="268" w:lineRule="auto"/>
        <w:rPr>
          <w:sz w:val="20"/>
          <w:szCs w:val="20"/>
          <w:color w:val="auto"/>
        </w:rPr>
      </w:pPr>
      <w:r>
        <w:rPr>
          <w:rFonts w:ascii="Arial" w:cs="Arial" w:eastAsia="Arial" w:hAnsi="Arial"/>
          <w:sz w:val="15"/>
          <w:szCs w:val="15"/>
          <w:i w:val="1"/>
          <w:iCs w:val="1"/>
          <w:color w:val="auto"/>
        </w:rPr>
        <w:t>Restricted stock units</w:t>
      </w:r>
      <w:r>
        <w:rPr>
          <w:rFonts w:ascii="Arial" w:cs="Arial" w:eastAsia="Arial" w:hAnsi="Arial"/>
          <w:sz w:val="15"/>
          <w:szCs w:val="15"/>
          <w:color w:val="auto"/>
        </w:rPr>
        <w:t>. Restricted stock units may be granted under our 2021 Plan. Restricted stock units are bookkeeping entries representing an</w:t>
      </w:r>
      <w:r>
        <w:rPr>
          <w:rFonts w:ascii="Arial" w:cs="Arial" w:eastAsia="Arial" w:hAnsi="Arial"/>
          <w:sz w:val="15"/>
          <w:szCs w:val="15"/>
          <w:i w:val="1"/>
          <w:iCs w:val="1"/>
          <w:color w:val="auto"/>
        </w:rPr>
        <w:t xml:space="preserve"> </w:t>
      </w:r>
      <w:r>
        <w:rPr>
          <w:rFonts w:ascii="Arial" w:cs="Arial" w:eastAsia="Arial" w:hAnsi="Arial"/>
          <w:sz w:val="15"/>
          <w:szCs w:val="15"/>
          <w:color w:val="auto"/>
        </w:rPr>
        <w:t>amount equal to the fair market value of one share of our common stock. Subject to the provisions of our 2021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61"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i w:val="1"/>
          <w:iCs w:val="1"/>
          <w:color w:val="auto"/>
        </w:rPr>
        <w:t>Performance units and performance shares</w:t>
      </w:r>
      <w:r>
        <w:rPr>
          <w:rFonts w:ascii="Arial" w:cs="Arial" w:eastAsia="Arial" w:hAnsi="Arial"/>
          <w:sz w:val="15"/>
          <w:szCs w:val="15"/>
          <w:color w:val="auto"/>
        </w:rPr>
        <w:t>. Performance units and performance shares may be granted under our 2021 Plan. Performance units</w:t>
      </w:r>
      <w:r>
        <w:rPr>
          <w:rFonts w:ascii="Arial" w:cs="Arial" w:eastAsia="Arial" w:hAnsi="Arial"/>
          <w:sz w:val="15"/>
          <w:szCs w:val="15"/>
          <w:i w:val="1"/>
          <w:iCs w:val="1"/>
          <w:color w:val="auto"/>
        </w:rPr>
        <w:t xml:space="preserve"> </w:t>
      </w:r>
      <w:r>
        <w:rPr>
          <w:rFonts w:ascii="Arial" w:cs="Arial" w:eastAsia="Arial" w:hAnsi="Arial"/>
          <w:sz w:val="15"/>
          <w:szCs w:val="15"/>
          <w:color w:val="auto"/>
        </w:rPr>
        <w:t>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61"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the administrator provides otherwise, our 2021 Plan generally does not allow for the transfer of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only the recipient of an award may exercise an award during his or her</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225</w:t>
      </w:r>
    </w:p>
    <w:p>
      <w:pPr>
        <w:sectPr>
          <w:pgSz w:w="11900" w:h="16838" w:orient="portrait"/>
          <w:cols w:equalWidth="0" w:num="1">
            <w:col w:w="10440"/>
          </w:cols>
          <w:pgMar w:left="320" w:top="418" w:right="1139"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00"/>
        <w:spacing w:after="0" w:line="266" w:lineRule="auto"/>
        <w:rPr>
          <w:sz w:val="20"/>
          <w:szCs w:val="20"/>
          <w:color w:val="auto"/>
        </w:rPr>
      </w:pPr>
      <w:r>
        <w:rPr>
          <w:rFonts w:ascii="Arial" w:cs="Arial" w:eastAsia="Arial" w:hAnsi="Arial"/>
          <w:sz w:val="16"/>
          <w:szCs w:val="16"/>
          <w:color w:val="auto"/>
        </w:rPr>
        <w:t>lifetime. If the administrator makes an award transferrable, such award will contain such additional terms and conditions as the administrator deems appropriate.</w:t>
      </w:r>
    </w:p>
    <w:p>
      <w:pPr>
        <w:spacing w:after="0" w:line="158"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i w:val="1"/>
          <w:iCs w:val="1"/>
          <w:color w:val="auto"/>
        </w:rPr>
        <w:t>Certain adjustments</w:t>
      </w:r>
      <w:r>
        <w:rPr>
          <w:rFonts w:ascii="Arial" w:cs="Arial" w:eastAsia="Arial" w:hAnsi="Arial"/>
          <w:sz w:val="15"/>
          <w:szCs w:val="15"/>
          <w:color w:val="auto"/>
        </w:rPr>
        <w:t>. In the event of certain changes in our capitalization, to prevent diminution or enlargement of the benefits or potential benefits</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under our 2021 Plan, the administrator will adjust the number and class of shares that may be delivered under our 2021 Plan and/or the number, class, and price of shares covered by each outstanding award and the numerical share limits set forth in our 2021 Plan.</w:t>
      </w:r>
    </w:p>
    <w:p>
      <w:pPr>
        <w:spacing w:after="0" w:line="149" w:lineRule="exact"/>
        <w:rPr>
          <w:sz w:val="20"/>
          <w:szCs w:val="20"/>
          <w:color w:val="auto"/>
        </w:rPr>
      </w:pPr>
    </w:p>
    <w:p>
      <w:pPr>
        <w:ind w:left="820" w:right="100" w:firstLine="385"/>
        <w:spacing w:after="0" w:line="300" w:lineRule="auto"/>
        <w:rPr>
          <w:sz w:val="20"/>
          <w:szCs w:val="20"/>
          <w:color w:val="auto"/>
        </w:rPr>
      </w:pPr>
      <w:r>
        <w:rPr>
          <w:rFonts w:ascii="Arial" w:cs="Arial" w:eastAsia="Arial" w:hAnsi="Arial"/>
          <w:sz w:val="15"/>
          <w:szCs w:val="15"/>
          <w:i w:val="1"/>
          <w:iCs w:val="1"/>
          <w:color w:val="auto"/>
        </w:rPr>
        <w:t>Dissolution or liquidation</w:t>
      </w:r>
      <w:r>
        <w:rPr>
          <w:rFonts w:ascii="Arial" w:cs="Arial" w:eastAsia="Arial" w:hAnsi="Arial"/>
          <w:sz w:val="15"/>
          <w:szCs w:val="15"/>
          <w:color w:val="auto"/>
        </w:rPr>
        <w:t>. In the event of our proposed liquidation or dissolution, the administrator will notify participants as soon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and, to the extent not exercised, all awards will terminate immediately prior to the consummation of such proposed transaction.</w:t>
      </w:r>
    </w:p>
    <w:p>
      <w:pPr>
        <w:spacing w:after="0" w:line="135" w:lineRule="exact"/>
        <w:rPr>
          <w:sz w:val="20"/>
          <w:szCs w:val="20"/>
          <w:color w:val="auto"/>
        </w:rPr>
      </w:pPr>
    </w:p>
    <w:p>
      <w:pPr>
        <w:ind w:left="820" w:right="160" w:firstLine="385"/>
        <w:spacing w:after="0" w:line="256"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Our 2021 Plan provides that in the event of a merger or change in control, as defined under our 2021 Plan,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 will be treated as the administrator determines, without a participant’s consent. The administrator is not required to treat all awards, all awards held by a participant or all awards of the same type similarly.</w:t>
      </w:r>
    </w:p>
    <w:p>
      <w:pPr>
        <w:spacing w:after="0" w:line="166"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31"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70"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i w:val="1"/>
          <w:iCs w:val="1"/>
          <w:color w:val="auto"/>
        </w:rPr>
        <w:t>Clawback</w:t>
      </w:r>
      <w:r>
        <w:rPr>
          <w:rFonts w:ascii="Arial" w:cs="Arial" w:eastAsia="Arial" w:hAnsi="Arial"/>
          <w:sz w:val="15"/>
          <w:szCs w:val="15"/>
          <w:color w:val="auto"/>
        </w:rPr>
        <w:t>. Awards will be subject to any clawback policy of ours, and the administrator also may specify in an award agreement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54"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administrator has the authority to amend, alter, suspend or terminate our 2021 Plan, provided such action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impair the rights of any participant.</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2021 Employee Stock Purchase Plan</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In June 2021, our board of directors adopted, and, prior to the effectiveness of this offering, we expect that our stockholders will approve, our</w:t>
      </w:r>
    </w:p>
    <w:p>
      <w:pPr>
        <w:spacing w:after="0" w:line="51" w:lineRule="exact"/>
        <w:rPr>
          <w:sz w:val="20"/>
          <w:szCs w:val="20"/>
          <w:color w:val="auto"/>
        </w:rPr>
      </w:pPr>
    </w:p>
    <w:p>
      <w:pPr>
        <w:jc w:val="both"/>
        <w:ind w:left="820" w:right="180"/>
        <w:spacing w:after="0" w:line="249" w:lineRule="auto"/>
        <w:rPr>
          <w:sz w:val="20"/>
          <w:szCs w:val="20"/>
          <w:color w:val="auto"/>
        </w:rPr>
      </w:pPr>
      <w:r>
        <w:rPr>
          <w:rFonts w:ascii="Arial" w:cs="Arial" w:eastAsia="Arial" w:hAnsi="Arial"/>
          <w:sz w:val="16"/>
          <w:szCs w:val="16"/>
          <w:color w:val="auto"/>
        </w:rPr>
        <w:t>2021 Employee Stock Purchase Plan (ESPP). We expect that our ESPP will be effective on the business day immediately prior to the effective date of the registration statement of which this prospectus forms a part. However, no offering period or purchase period under the ESPP will begin unless and until otherwise determined by our board of directors.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226</w:t>
      </w:r>
    </w:p>
    <w:p>
      <w:pPr>
        <w:sectPr>
          <w:pgSz w:w="11900" w:h="16838" w:orient="portrait"/>
          <w:cols w:equalWidth="0" w:num="1">
            <w:col w:w="10420"/>
          </w:cols>
          <w:pgMar w:left="320" w:top="418" w:right="1159"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i w:val="1"/>
          <w:iCs w:val="1"/>
          <w:color w:val="auto"/>
        </w:rPr>
        <w:t>Authorized shares</w:t>
      </w:r>
      <w:r>
        <w:rPr>
          <w:rFonts w:ascii="Arial" w:cs="Arial" w:eastAsia="Arial" w:hAnsi="Arial"/>
          <w:sz w:val="13"/>
          <w:szCs w:val="13"/>
          <w:color w:val="auto"/>
        </w:rPr>
        <w:t>. A total of shares of our common stock will be available for sale under our ESPP. The number of shares of our common</w:t>
      </w:r>
      <w:r>
        <w:rPr>
          <w:rFonts w:ascii="Arial" w:cs="Arial" w:eastAsia="Arial" w:hAnsi="Arial"/>
          <w:sz w:val="13"/>
          <w:szCs w:val="13"/>
          <w:i w:val="1"/>
          <w:iCs w:val="1"/>
          <w:color w:val="auto"/>
        </w:rPr>
        <w:t xml:space="preserve"> </w:t>
      </w:r>
      <w:r>
        <w:rPr>
          <w:rFonts w:ascii="Arial" w:cs="Arial" w:eastAsia="Arial" w:hAnsi="Arial"/>
          <w:sz w:val="13"/>
          <w:szCs w:val="13"/>
          <w:color w:val="auto"/>
        </w:rPr>
        <w:t>stock that will be available for sale under our ESPP also includes an annual increase on the first day of each fiscal year following the fiscal year in which</w:t>
      </w:r>
    </w:p>
    <w:p>
      <w:pPr>
        <w:spacing w:after="0" w:line="1" w:lineRule="exact"/>
        <w:rPr>
          <w:sz w:val="20"/>
          <w:szCs w:val="20"/>
          <w:color w:val="auto"/>
        </w:rPr>
      </w:pPr>
    </w:p>
    <w:p>
      <w:pPr>
        <w:jc w:val="both"/>
        <w:ind w:left="820" w:right="280"/>
        <w:spacing w:after="0" w:line="249" w:lineRule="auto"/>
        <w:rPr>
          <w:sz w:val="20"/>
          <w:szCs w:val="20"/>
          <w:color w:val="auto"/>
        </w:rPr>
      </w:pPr>
      <w:r>
        <w:rPr>
          <w:rFonts w:ascii="Arial" w:cs="Arial" w:eastAsia="Arial" w:hAnsi="Arial"/>
          <w:sz w:val="16"/>
          <w:szCs w:val="16"/>
          <w:color w:val="auto"/>
        </w:rPr>
        <w:t>the first offering period under the ESPP commences, equal to the least of: shares; one percent (1%) of the outstanding shares of our common stock as of the last day of the immediately preceding fiscal year; or such other amount as the administrator may determine. This annual increase will operate only until the ten year anniversary of our board’s approval of our ESPP.</w:t>
      </w:r>
    </w:p>
    <w:p>
      <w:pPr>
        <w:spacing w:after="0" w:line="171" w:lineRule="exact"/>
        <w:rPr>
          <w:sz w:val="20"/>
          <w:szCs w:val="20"/>
          <w:color w:val="auto"/>
        </w:rPr>
      </w:pPr>
    </w:p>
    <w:p>
      <w:pPr>
        <w:ind w:left="820" w:right="60" w:firstLine="385"/>
        <w:spacing w:after="0" w:line="249" w:lineRule="auto"/>
        <w:rPr>
          <w:sz w:val="20"/>
          <w:szCs w:val="20"/>
          <w:color w:val="auto"/>
        </w:rPr>
      </w:pPr>
      <w:r>
        <w:rPr>
          <w:rFonts w:ascii="Arial" w:cs="Arial" w:eastAsia="Arial" w:hAnsi="Arial"/>
          <w:sz w:val="16"/>
          <w:szCs w:val="16"/>
          <w:i w:val="1"/>
          <w:iCs w:val="1"/>
          <w:color w:val="auto"/>
        </w:rPr>
        <w:t>ESPP administration</w:t>
      </w:r>
      <w:r>
        <w:rPr>
          <w:rFonts w:ascii="Arial" w:cs="Arial" w:eastAsia="Arial" w:hAnsi="Arial"/>
          <w:sz w:val="16"/>
          <w:szCs w:val="16"/>
          <w:color w:val="auto"/>
        </w:rPr>
        <w:t>. We expect that the compensation committee of our board of directors will administer our ESPP and will have full and</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73"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Subject to the administrator implementing an offering period, generally, all of our employees will be eligible to participate if they are</w:t>
      </w:r>
      <w:r>
        <w:rPr>
          <w:rFonts w:ascii="Arial" w:cs="Arial" w:eastAsia="Arial" w:hAnsi="Arial"/>
          <w:sz w:val="15"/>
          <w:szCs w:val="15"/>
          <w:i w:val="1"/>
          <w:iCs w:val="1"/>
          <w:color w:val="auto"/>
        </w:rPr>
        <w:t xml:space="preserve"> </w:t>
      </w:r>
      <w:r>
        <w:rPr>
          <w:rFonts w:ascii="Arial" w:cs="Arial" w:eastAsia="Arial" w:hAnsi="Arial"/>
          <w:sz w:val="15"/>
          <w:szCs w:val="15"/>
          <w:color w:val="auto"/>
        </w:rPr>
        <w:t>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59" w:lineRule="exact"/>
        <w:rPr>
          <w:sz w:val="20"/>
          <w:szCs w:val="20"/>
          <w:color w:val="auto"/>
        </w:rPr>
      </w:pPr>
    </w:p>
    <w:p>
      <w:pPr>
        <w:ind w:left="820" w:right="220" w:firstLine="385"/>
        <w:spacing w:after="0" w:line="272" w:lineRule="auto"/>
        <w:rPr>
          <w:sz w:val="20"/>
          <w:szCs w:val="20"/>
          <w:color w:val="auto"/>
        </w:rPr>
      </w:pPr>
      <w:r>
        <w:rPr>
          <w:rFonts w:ascii="Arial" w:cs="Arial" w:eastAsia="Arial" w:hAnsi="Arial"/>
          <w:sz w:val="15"/>
          <w:szCs w:val="15"/>
          <w:color w:val="auto"/>
        </w:rPr>
        <w:t>However, an employee may not be granted rights to purchase shares of our common stock under our ESPP if such employee: immediately after the grant would own capital stock and/or hold outstanding options to purchase such stock possessing five percent (5%) or more of the total combined voting power or value of all classes of capital stock of ours or of any parent or subsidiary of ours; or 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Offering and Purchase Periods</w:t>
      </w:r>
    </w:p>
    <w:p>
      <w:pPr>
        <w:spacing w:after="0" w:line="99"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The ESPP will include a component that allows us to make offerings intended to qualify under Section 423 of the Code and a component that allows us to make offerings not intended to qualify under Section 423 of the Code to designated companies, as described in the ESPP. Offering periods will begin and end on such dates as may be determined by the administrator in its discretion, in each case on a uniform and nondiscriminatory basis, and may contain one or more purchase periods. The administrator may change the duration of offering periods (including commencement dates) with respect to future offerings so long as such change is announced prior to the scheduled beginning of the first offering period affected. No offering period may last more than 27 months.</w:t>
      </w:r>
    </w:p>
    <w:p>
      <w:pPr>
        <w:spacing w:after="0" w:line="171"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Subject to the administrator implementing an offering period, ESPP will permit participants to purchase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through contributions (in the form of payroll deductions or otherwise to the extent permitted by the administrator) in an amount determined by the administrator, but not exceeding 15% of their eligible compensation.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227</w:t>
      </w:r>
    </w:p>
    <w:p>
      <w:pPr>
        <w:sectPr>
          <w:pgSz w:w="11900" w:h="16838" w:orient="portrait"/>
          <w:cols w:equalWidth="0" w:num="1">
            <w:col w:w="10440"/>
          </w:cols>
          <w:pgMar w:left="320" w:top="418" w:right="113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i w:val="1"/>
          <w:iCs w:val="1"/>
          <w:color w:val="auto"/>
        </w:rPr>
        <w:t>Exercise of purchase right</w:t>
      </w:r>
      <w:r>
        <w:rPr>
          <w:rFonts w:ascii="Arial" w:cs="Arial" w:eastAsia="Arial" w:hAnsi="Arial"/>
          <w:sz w:val="16"/>
          <w:szCs w:val="16"/>
          <w:color w:val="auto"/>
        </w:rPr>
        <w:t>. Subject to the administrator implementing an offering period, amounts contributed and accumulated by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any offering period will be used to purchase shares of our common stock at the end of each purchase period. The purchase price of the shares will be determined by the administrator, but will be no less than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71"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i w:val="1"/>
          <w:iCs w:val="1"/>
          <w:color w:val="auto"/>
        </w:rPr>
        <w:t xml:space="preserve">Non-transferability. </w:t>
      </w:r>
      <w:r>
        <w:rPr>
          <w:rFonts w:ascii="Arial" w:cs="Arial" w:eastAsia="Arial" w:hAnsi="Arial"/>
          <w:sz w:val="16"/>
          <w:szCs w:val="16"/>
          <w:color w:val="auto"/>
        </w:rPr>
        <w:t>A participant may not transfer rights granted under our ESPP (other than by will, the laws of descent and distribution or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under our ESPP).</w:t>
      </w:r>
    </w:p>
    <w:p>
      <w:pPr>
        <w:spacing w:after="0" w:line="158" w:lineRule="exact"/>
        <w:rPr>
          <w:sz w:val="20"/>
          <w:szCs w:val="20"/>
          <w:color w:val="auto"/>
        </w:rPr>
      </w:pPr>
    </w:p>
    <w:p>
      <w:pPr>
        <w:ind w:left="820" w:right="100" w:firstLine="385"/>
        <w:spacing w:after="0" w:line="323" w:lineRule="auto"/>
        <w:rPr>
          <w:sz w:val="20"/>
          <w:szCs w:val="20"/>
          <w:color w:val="auto"/>
        </w:rPr>
      </w:pPr>
      <w:r>
        <w:rPr>
          <w:rFonts w:ascii="Arial" w:cs="Arial" w:eastAsia="Arial" w:hAnsi="Arial"/>
          <w:sz w:val="13"/>
          <w:szCs w:val="13"/>
          <w:i w:val="1"/>
          <w:iCs w:val="1"/>
          <w:color w:val="auto"/>
        </w:rPr>
        <w:t xml:space="preserve">Merger or change in control. </w:t>
      </w:r>
      <w:r>
        <w:rPr>
          <w:rFonts w:ascii="Arial" w:cs="Arial" w:eastAsia="Arial" w:hAnsi="Arial"/>
          <w:sz w:val="13"/>
          <w:szCs w:val="13"/>
          <w:color w:val="auto"/>
        </w:rPr>
        <w:t>Our ESPP will provide that in the event of a merger or change in control, as defined under our ESPP, a successor</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26" w:lineRule="exact"/>
        <w:rPr>
          <w:sz w:val="20"/>
          <w:szCs w:val="20"/>
          <w:color w:val="auto"/>
        </w:rPr>
      </w:pPr>
    </w:p>
    <w:p>
      <w:pPr>
        <w:jc w:val="both"/>
        <w:ind w:left="820" w:right="20" w:firstLine="385"/>
        <w:spacing w:after="0" w:line="281" w:lineRule="auto"/>
        <w:rPr>
          <w:sz w:val="20"/>
          <w:szCs w:val="20"/>
          <w:color w:val="auto"/>
        </w:rPr>
      </w:pPr>
      <w:r>
        <w:rPr>
          <w:rFonts w:ascii="Arial" w:cs="Arial" w:eastAsia="Arial" w:hAnsi="Arial"/>
          <w:sz w:val="15"/>
          <w:szCs w:val="15"/>
          <w:i w:val="1"/>
          <w:iCs w:val="1"/>
          <w:color w:val="auto"/>
        </w:rPr>
        <w:t xml:space="preserve">Amendment; termination. </w:t>
      </w:r>
      <w:r>
        <w:rPr>
          <w:rFonts w:ascii="Arial" w:cs="Arial" w:eastAsia="Arial" w:hAnsi="Arial"/>
          <w:sz w:val="15"/>
          <w:szCs w:val="15"/>
          <w:color w:val="auto"/>
        </w:rPr>
        <w:t>The board will have the authority suspend or terminate our ESPP and the administrator will have the authority to amend</w:t>
      </w:r>
      <w:r>
        <w:rPr>
          <w:rFonts w:ascii="Arial" w:cs="Arial" w:eastAsia="Arial" w:hAnsi="Arial"/>
          <w:sz w:val="15"/>
          <w:szCs w:val="15"/>
          <w:i w:val="1"/>
          <w:iCs w:val="1"/>
          <w:color w:val="auto"/>
        </w:rPr>
        <w:t xml:space="preserve"> </w:t>
      </w:r>
      <w:r>
        <w:rPr>
          <w:rFonts w:ascii="Arial" w:cs="Arial" w:eastAsia="Arial" w:hAnsi="Arial"/>
          <w:sz w:val="15"/>
          <w:szCs w:val="15"/>
          <w:color w:val="auto"/>
        </w:rPr>
        <w:t>the ESPP, except that, subject to certain exceptions described in our ESPP, no such action may adversely affect any outstanding rights to purchase shares of our common stock under our ESPP. Our ESPP automatically will terminate in 2041, unless we terminate it sooner.</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Amended and Restated 2016 Equity Incentive Plan</w:t>
      </w:r>
    </w:p>
    <w:p>
      <w:pPr>
        <w:spacing w:after="0" w:line="99" w:lineRule="exact"/>
        <w:rPr>
          <w:sz w:val="20"/>
          <w:szCs w:val="20"/>
          <w:color w:val="auto"/>
        </w:rPr>
      </w:pPr>
    </w:p>
    <w:p>
      <w:pPr>
        <w:ind w:left="820" w:right="100" w:firstLine="385"/>
        <w:spacing w:after="0" w:line="270" w:lineRule="auto"/>
        <w:rPr>
          <w:sz w:val="20"/>
          <w:szCs w:val="20"/>
          <w:color w:val="auto"/>
        </w:rPr>
      </w:pPr>
      <w:r>
        <w:rPr>
          <w:rFonts w:ascii="Arial" w:cs="Arial" w:eastAsia="Arial" w:hAnsi="Arial"/>
          <w:sz w:val="15"/>
          <w:szCs w:val="15"/>
          <w:color w:val="auto"/>
        </w:rPr>
        <w:t>Our Amended and Restated 2016 Equity Incentive Plan (2016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including employees and consultants of any of our parent or subsidiary companies. It is expected that as of one business day prior to the effectiveness of the registration statement of which this prospectus forms a part, our 2016 Plan will terminate and we will not grant any additional awards under our 2016 Plan thereafter. However, our 2016 Plan will continue to govern the terms and conditions of the outstanding awards previously granted under our 2016 Plan.</w:t>
      </w:r>
    </w:p>
    <w:p>
      <w:pPr>
        <w:spacing w:after="0" w:line="156"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As of March 31, 2021, stock options covering 10,368,032 shares of our common stock were outstanding under our 2016 Plan and there were no stock appreciation rights, restricted stock awards or restricted stock units outstanding under our 2016 Plan.</w:t>
      </w:r>
    </w:p>
    <w:p>
      <w:pPr>
        <w:spacing w:after="0" w:line="158" w:lineRule="exact"/>
        <w:rPr>
          <w:sz w:val="20"/>
          <w:szCs w:val="20"/>
          <w:color w:val="auto"/>
        </w:rPr>
      </w:pPr>
    </w:p>
    <w:p>
      <w:pPr>
        <w:ind w:left="820" w:right="40" w:firstLine="385"/>
        <w:spacing w:after="0" w:line="329" w:lineRule="auto"/>
        <w:rPr>
          <w:sz w:val="20"/>
          <w:szCs w:val="20"/>
          <w:color w:val="auto"/>
        </w:rPr>
      </w:pPr>
      <w:r>
        <w:rPr>
          <w:rFonts w:ascii="Arial" w:cs="Arial" w:eastAsia="Arial" w:hAnsi="Arial"/>
          <w:sz w:val="13"/>
          <w:szCs w:val="13"/>
          <w:i w:val="1"/>
          <w:iCs w:val="1"/>
          <w:color w:val="auto"/>
        </w:rPr>
        <w:t>Plan administration</w:t>
      </w:r>
      <w:r>
        <w:rPr>
          <w:rFonts w:ascii="Arial" w:cs="Arial" w:eastAsia="Arial" w:hAnsi="Arial"/>
          <w:sz w:val="13"/>
          <w:szCs w:val="13"/>
          <w:color w:val="auto"/>
        </w:rPr>
        <w:t>. Our compensation committee has the authority, concurrent with our board of directors to administer our 2016 Plan. Different</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committees may administer our 2016 Plan with respect to different service providers. The administrator has all authority and discretion necessary or appropriate to administer our 2016 Plan and to control its operation, including the authority to construe and interpret the terms of our 2016 Plan and the awards granted under our 2016 Plan. The administrator’s decisions are final and binding on all participants and any other persons holding awards.</w:t>
      </w:r>
    </w:p>
    <w:p>
      <w:pPr>
        <w:spacing w:after="0" w:line="123"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The administrator’s powers include the power to institute an exchange program (without stockholder approval) under which (1) outstanding awards are surrendered or cancelled in exchange for awards of the same type (which may have higher or lower exercise prices and different terms), awards of a different type and/or cash, (2) participants would have the opportunity to transfer any outstanding awards to a financial institution or other person or entity selected by the administrator and/or (3) the exercise price of an outstanding award is increased or reduced. The administrator’s powers also include the power to prescribe, amend and rescind rules and regulations</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228</w:t>
      </w:r>
    </w:p>
    <w:p>
      <w:pPr>
        <w:sectPr>
          <w:pgSz w:w="11900" w:h="16838" w:orient="portrait"/>
          <w:cols w:equalWidth="0" w:num="1">
            <w:col w:w="10420"/>
          </w:cols>
          <w:pgMar w:left="320" w:top="418" w:right="1159" w:bottom="1440" w:gutter="0" w:footer="0" w:header="0"/>
        </w:sectPr>
      </w:pPr>
    </w:p>
    <w:bookmarkStart w:id="231" w:name="page232"/>
    <w:bookmarkEnd w:id="2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60"/>
        <w:spacing w:after="0" w:line="266" w:lineRule="auto"/>
        <w:rPr>
          <w:sz w:val="20"/>
          <w:szCs w:val="20"/>
          <w:color w:val="auto"/>
        </w:rPr>
      </w:pPr>
      <w:r>
        <w:rPr>
          <w:rFonts w:ascii="Arial" w:cs="Arial" w:eastAsia="Arial" w:hAnsi="Arial"/>
          <w:sz w:val="16"/>
          <w:szCs w:val="16"/>
          <w:color w:val="auto"/>
        </w:rPr>
        <w:t>relating to our 2016 Plan, to modify or amend each award and to make all other determinations deemed necessary or advisable for administering our 2016 Plan.</w:t>
      </w:r>
    </w:p>
    <w:p>
      <w:pPr>
        <w:spacing w:after="0" w:line="158"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directors and consultants, including employees and consultants of any of our parent or subsidiary companies, are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awards, provided such consultants render bona fide services not in connection with the offer or sale of securities in a capital-raising transaction and do not directly promote or maintain a market for our securities. Only our employees or employees of our parent or subsidiary companies are eligible to receive incentive stock options.</w:t>
      </w:r>
    </w:p>
    <w:p>
      <w:pPr>
        <w:spacing w:after="0" w:line="167" w:lineRule="exact"/>
        <w:rPr>
          <w:sz w:val="20"/>
          <w:szCs w:val="20"/>
          <w:color w:val="auto"/>
        </w:rPr>
      </w:pPr>
    </w:p>
    <w:p>
      <w:pPr>
        <w:ind w:left="820" w:right="80" w:firstLine="385"/>
        <w:spacing w:after="0" w:line="300" w:lineRule="auto"/>
        <w:rPr>
          <w:sz w:val="20"/>
          <w:szCs w:val="20"/>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options have been granted under our 2016 Plan. Subject to the provisions of our 2016 Plan, the administrator determines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 of an option, the number of shares subject to an option, and the time period in which an option may be exercised.</w:t>
      </w:r>
    </w:p>
    <w:p>
      <w:pPr>
        <w:spacing w:after="0" w:line="135"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except as provided for in the 2016 Plan. However, an incentive stock option granted to an individual who directly or by attribution owns more than 10% of the total combined voting power of all of our classes of stock or of any our parent or subsidiary companies will have a term of no longer than five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plans of ours and any of our parent or subsidiary companies) exceeds $100,000, such options will be treated as nonstatutory stock options.</w:t>
      </w:r>
    </w:p>
    <w:p>
      <w:pPr>
        <w:spacing w:after="0" w:line="163"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The administrator determines how a participant may pay the exercise price of an option, and the permissible methods are generally set forth in the applicable award agreement. If a participant’s status as a “service provider” (as defined in our 2016 Plan) terminates, that participant may exercise the vested portion of his or her option for the period of time stated in the applicable award agreement. Vested options generally will remain exercisable for 30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59" w:lineRule="exact"/>
        <w:rPr>
          <w:sz w:val="20"/>
          <w:szCs w:val="20"/>
          <w:color w:val="auto"/>
        </w:rPr>
      </w:pPr>
    </w:p>
    <w:p>
      <w:pPr>
        <w:ind w:left="820" w:right="440" w:firstLine="385"/>
        <w:spacing w:after="0" w:line="251"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determined otherwise by the administrator, awards may not be sold, transferred, pledged, assigned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alienated or hypothecated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 of 1933, as amended (the Securities Act).</w:t>
      </w:r>
    </w:p>
    <w:p>
      <w:pPr>
        <w:spacing w:after="0" w:line="170"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i w:val="1"/>
          <w:iCs w:val="1"/>
          <w:color w:val="auto"/>
        </w:rPr>
        <w:t>Certain adjustments</w:t>
      </w:r>
      <w:r>
        <w:rPr>
          <w:rFonts w:ascii="Arial" w:cs="Arial" w:eastAsia="Arial" w:hAnsi="Arial"/>
          <w:sz w:val="15"/>
          <w:szCs w:val="15"/>
          <w:color w:val="auto"/>
        </w:rPr>
        <w:t>. If there is a dividend or other distribution (whether in the form of cash, shares, other securities or other property),</w:t>
      </w:r>
      <w:r>
        <w:rPr>
          <w:rFonts w:ascii="Arial" w:cs="Arial" w:eastAsia="Arial" w:hAnsi="Arial"/>
          <w:sz w:val="15"/>
          <w:szCs w:val="15"/>
          <w:i w:val="1"/>
          <w:iCs w:val="1"/>
          <w:color w:val="auto"/>
        </w:rPr>
        <w:t xml:space="preserve"> </w:t>
      </w:r>
      <w:r>
        <w:rPr>
          <w:rFonts w:ascii="Arial" w:cs="Arial" w:eastAsia="Arial" w:hAnsi="Arial"/>
          <w:sz w:val="15"/>
          <w:szCs w:val="15"/>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class of shares that may be delivered under our 2016 Plan or the number, class and price of shares covered by each outstanding award. The administrator’s determination regarding such adjustments will be final, binding and conclusive.</w:t>
      </w:r>
    </w:p>
    <w:p>
      <w:pPr>
        <w:spacing w:after="0" w:line="154" w:lineRule="exact"/>
        <w:rPr>
          <w:sz w:val="20"/>
          <w:szCs w:val="20"/>
          <w:color w:val="auto"/>
        </w:rPr>
      </w:pPr>
    </w:p>
    <w:p>
      <w:pPr>
        <w:ind w:left="820" w:right="540" w:firstLine="385"/>
        <w:spacing w:after="0" w:line="266" w:lineRule="auto"/>
        <w:rPr>
          <w:sz w:val="20"/>
          <w:szCs w:val="20"/>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our proposed dissolution or liquidation, the administrator will notify each participant as soon as</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practicable prior to the effective date of such proposed transaction. To the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229</w:t>
      </w:r>
    </w:p>
    <w:p>
      <w:pPr>
        <w:sectPr>
          <w:pgSz w:w="11900" w:h="16838" w:orient="portrait"/>
          <w:cols w:equalWidth="0" w:num="1">
            <w:col w:w="10400"/>
          </w:cols>
          <w:pgMar w:left="320" w:top="418" w:right="117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extent it has not been previously exercised, an award will terminate immediately prior to the consummation of such proposed action.</w:t>
      </w:r>
    </w:p>
    <w:p>
      <w:pPr>
        <w:spacing w:after="0" w:line="193"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i w:val="1"/>
          <w:iCs w:val="1"/>
          <w:color w:val="auto"/>
        </w:rPr>
        <w:t>Merger and change in control</w:t>
      </w:r>
      <w:r>
        <w:rPr>
          <w:rFonts w:ascii="Arial" w:cs="Arial" w:eastAsia="Arial" w:hAnsi="Arial"/>
          <w:sz w:val="13"/>
          <w:szCs w:val="13"/>
          <w:color w:val="auto"/>
        </w:rPr>
        <w:t>. In the event of our merger with or into another corporation or entity or a “change in control” (as defined in our</w:t>
      </w:r>
      <w:r>
        <w:rPr>
          <w:rFonts w:ascii="Arial" w:cs="Arial" w:eastAsia="Arial" w:hAnsi="Arial"/>
          <w:sz w:val="13"/>
          <w:szCs w:val="13"/>
          <w:i w:val="1"/>
          <w:iCs w:val="1"/>
          <w:color w:val="auto"/>
        </w:rPr>
        <w:t xml:space="preserve"> </w:t>
      </w:r>
      <w:r>
        <w:rPr>
          <w:rFonts w:ascii="Arial" w:cs="Arial" w:eastAsia="Arial" w:hAnsi="Arial"/>
          <w:sz w:val="13"/>
          <w:szCs w:val="13"/>
          <w:color w:val="auto"/>
        </w:rPr>
        <w:t>2016 Plan), each outstanding award will be treated as the administrator determines, including, without limitation, that (1) awards will be assumed, or substantially equivalent awards will be substituted, by the acquiring or succeeding corporation (or an affiliate thereof) with appropriate adjustments as to the number and kind of shares and prices; (2) upon written notice to a participant, the participant’s awards will terminate upon or immediately prior to the consummation of such merger or change in control; (3)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(4)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(5) any combination of the foregoing. The administrator will not be obligated to treat all awards, all awards a participant holds or all awards of the same type, similarly.</w:t>
      </w:r>
    </w:p>
    <w:p>
      <w:pPr>
        <w:spacing w:after="0" w:line="324"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31"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i w:val="1"/>
          <w:iCs w:val="1"/>
          <w:color w:val="auto"/>
        </w:rPr>
        <w:t>Amendment and termination</w:t>
      </w:r>
      <w:r>
        <w:rPr>
          <w:rFonts w:ascii="Arial" w:cs="Arial" w:eastAsia="Arial" w:hAnsi="Arial"/>
          <w:sz w:val="13"/>
          <w:szCs w:val="13"/>
          <w:color w:val="auto"/>
        </w:rPr>
        <w:t>. Our board of directors may, at any time, amend, alter, suspend or terminate our 2016 Plan in any respect,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limitation, amendment of any form of award agreement or instrument to be executed pursuant to our 2016 Plan. To the extent necessary and desirable to comply with applicable laws, we will obtain stockholder approval of any amendment to our 2016 Plan. No amendment, alteration, suspension or termination of our 2016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2016 Plan will be terminated, and we will not grant any additional awards under our 2016 Plan thereafter.</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Incentive Compensation Plan</w:t>
      </w:r>
    </w:p>
    <w:p>
      <w:pPr>
        <w:spacing w:after="0" w:line="103" w:lineRule="exact"/>
        <w:rPr>
          <w:sz w:val="20"/>
          <w:szCs w:val="20"/>
          <w:color w:val="auto"/>
        </w:rPr>
      </w:pPr>
    </w:p>
    <w:p>
      <w:pPr>
        <w:ind w:left="820" w:right="160" w:firstLine="385"/>
        <w:spacing w:after="0" w:line="251" w:lineRule="auto"/>
        <w:rPr>
          <w:sz w:val="20"/>
          <w:szCs w:val="20"/>
          <w:color w:val="auto"/>
        </w:rPr>
      </w:pPr>
      <w:r>
        <w:rPr>
          <w:rFonts w:ascii="Arial" w:cs="Arial" w:eastAsia="Arial" w:hAnsi="Arial"/>
          <w:sz w:val="16"/>
          <w:szCs w:val="16"/>
          <w:color w:val="auto"/>
        </w:rPr>
        <w:t>In June 2021, our board of directors adopted the Executive Incentive Compensation Plan (Incentive Compensation Plan). Our Incentive Compensation Plan will be effective on the business day immediately prior to the effective date of the registration statement of which this prospectus forms a part. Our Incentive Compensation Plan will allow our compensation committee to grant incentive awards, generally payable in cash, to employees selected by our compensation committee, including our executive officers, based upon performance goals established by our compensation committee.</w:t>
      </w:r>
    </w:p>
    <w:p>
      <w:pPr>
        <w:spacing w:after="0" w:line="170"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Under our Incentive Compensation Plan, our compensation committee will determine the performance goals applicable to any award, which goals may include, without limitation, goals related to research and development,</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230</w:t>
      </w:r>
    </w:p>
    <w:p>
      <w:pPr>
        <w:sectPr>
          <w:pgSz w:w="11900" w:h="16838" w:orient="portrait"/>
          <w:cols w:equalWidth="0" w:num="1">
            <w:col w:w="10420"/>
          </w:cols>
          <w:pgMar w:left="320" w:top="418" w:right="1159"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6"/>
          <w:szCs w:val="16"/>
          <w:color w:val="auto"/>
        </w:rPr>
        <w:t>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70"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The compensation committee of our board of directors will administer our Incentive Compensation Plan and will,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will not be required to establish any allocation or weighting with respect to the factors it considers.</w:t>
      </w:r>
    </w:p>
    <w:p>
      <w:pPr>
        <w:spacing w:after="0" w:line="154"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54"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Our board of directors and our compensation committee have the authority to amend, suspend or terminate our Incentive Compensation Plan, provided such action does not impair the existing rights of any participant with respect to any earned awards.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Limitation of Liability and Indemnification</w:t>
      </w:r>
    </w:p>
    <w:p>
      <w:pPr>
        <w:spacing w:after="0" w:line="103" w:lineRule="exact"/>
        <w:rPr>
          <w:sz w:val="20"/>
          <w:szCs w:val="20"/>
          <w:color w:val="auto"/>
        </w:rPr>
      </w:pPr>
    </w:p>
    <w:p>
      <w:pPr>
        <w:ind w:left="820" w:right="40" w:firstLine="385"/>
        <w:spacing w:after="0" w:line="343" w:lineRule="auto"/>
        <w:rPr>
          <w:sz w:val="20"/>
          <w:szCs w:val="20"/>
          <w:color w:val="auto"/>
        </w:rPr>
      </w:pPr>
      <w:r>
        <w:rPr>
          <w:rFonts w:ascii="Arial" w:cs="Arial" w:eastAsia="Arial" w:hAnsi="Arial"/>
          <w:sz w:val="13"/>
          <w:szCs w:val="13"/>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31" w:lineRule="exact"/>
        <w:rPr>
          <w:sz w:val="20"/>
          <w:szCs w:val="20"/>
          <w:color w:val="auto"/>
        </w:rPr>
      </w:pPr>
    </w:p>
    <w:p>
      <w:pPr>
        <w:ind w:left="1660" w:hanging="469"/>
        <w:spacing w:after="0"/>
        <w:tabs>
          <w:tab w:leader="none" w:pos="1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to our stockholders;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unlawful payment of dividends or unlawful stock repurchases or redemptions;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93"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56"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intend to enter into an indemnification agreement with each member of our</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231</w:t>
      </w:r>
    </w:p>
    <w:p>
      <w:pPr>
        <w:sectPr>
          <w:pgSz w:w="11900" w:h="16838" w:orient="portrait"/>
          <w:cols w:equalWidth="0" w:num="1">
            <w:col w:w="10420"/>
          </w:cols>
          <w:pgMar w:left="320" w:top="418" w:right="115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48" w:lineRule="auto"/>
        <w:rPr>
          <w:sz w:val="20"/>
          <w:szCs w:val="20"/>
          <w:color w:val="auto"/>
        </w:rPr>
      </w:pPr>
      <w:r>
        <w:rPr>
          <w:rFonts w:ascii="Arial" w:cs="Arial" w:eastAsia="Arial" w:hAnsi="Arial"/>
          <w:sz w:val="16"/>
          <w:szCs w:val="16"/>
          <w:color w:val="auto"/>
        </w:rPr>
        <w:t>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75"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232</w:t>
      </w:r>
    </w:p>
    <w:p>
      <w:pPr>
        <w:sectPr>
          <w:pgSz w:w="11900" w:h="16838" w:orient="portrait"/>
          <w:cols w:equalWidth="0" w:num="1">
            <w:col w:w="10380"/>
          </w:cols>
          <w:pgMar w:left="320" w:top="418" w:right="1199" w:bottom="1440" w:gutter="0" w:footer="0" w:header="0"/>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97" w:lineRule="exact"/>
        <w:rPr>
          <w:sz w:val="20"/>
          <w:szCs w:val="20"/>
          <w:color w:val="auto"/>
        </w:rPr>
      </w:pPr>
    </w:p>
    <w:p>
      <w:pPr>
        <w:ind w:left="820" w:right="400" w:firstLine="385"/>
        <w:spacing w:after="0" w:line="253" w:lineRule="auto"/>
        <w:rPr>
          <w:sz w:val="20"/>
          <w:szCs w:val="20"/>
          <w:color w:val="auto"/>
        </w:rPr>
      </w:pPr>
      <w:r>
        <w:rPr>
          <w:rFonts w:ascii="Arial" w:cs="Arial" w:eastAsia="Arial" w:hAnsi="Arial"/>
          <w:sz w:val="16"/>
          <w:szCs w:val="16"/>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85" w:lineRule="exact"/>
        <w:rPr>
          <w:sz w:val="20"/>
          <w:szCs w:val="20"/>
          <w:color w:val="auto"/>
        </w:rPr>
      </w:pPr>
    </w:p>
    <w:p>
      <w:pPr>
        <w:ind w:left="1660" w:hanging="469"/>
        <w:spacing w:after="0"/>
        <w:tabs>
          <w:tab w:leader="none" w:pos="1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 involved exceeded or exceeds $120,000; and</w:t>
      </w:r>
    </w:p>
    <w:p>
      <w:pPr>
        <w:spacing w:after="0" w:line="110" w:lineRule="exact"/>
        <w:rPr>
          <w:rFonts w:ascii="Arial" w:cs="Arial" w:eastAsia="Arial" w:hAnsi="Arial"/>
          <w:sz w:val="16"/>
          <w:szCs w:val="16"/>
          <w:color w:val="auto"/>
        </w:rPr>
      </w:pPr>
    </w:p>
    <w:p>
      <w:pPr>
        <w:ind w:left="1660" w:right="180" w:hanging="469"/>
        <w:spacing w:after="0" w:line="383" w:lineRule="auto"/>
        <w:tabs>
          <w:tab w:leader="none" w:pos="16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Convertible Preferred Stock Issuances</w:t>
      </w:r>
    </w:p>
    <w:p>
      <w:pPr>
        <w:spacing w:after="0" w:line="103"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In August 2019, March 2020 and August 2020, we issued and sold an aggregate of 55,555,527 shares of our Series B convertible preferred stock at a purchase price of $1.656 per share for an aggregate purchase price of approximately $92.0 million.</w:t>
      </w:r>
    </w:p>
    <w:p>
      <w:pPr>
        <w:spacing w:after="0" w:line="158" w:lineRule="exact"/>
        <w:rPr>
          <w:sz w:val="20"/>
          <w:szCs w:val="20"/>
          <w:color w:val="auto"/>
        </w:rPr>
      </w:pPr>
    </w:p>
    <w:p>
      <w:pPr>
        <w:jc w:val="both"/>
        <w:ind w:left="820" w:right="40" w:firstLine="385"/>
        <w:spacing w:after="0" w:line="383" w:lineRule="auto"/>
        <w:rPr>
          <w:sz w:val="20"/>
          <w:szCs w:val="20"/>
          <w:color w:val="auto"/>
        </w:rPr>
      </w:pPr>
      <w:r>
        <w:rPr>
          <w:rFonts w:ascii="Arial" w:cs="Arial" w:eastAsia="Arial" w:hAnsi="Arial"/>
          <w:sz w:val="13"/>
          <w:szCs w:val="13"/>
          <w:color w:val="auto"/>
        </w:rPr>
        <w:t>Purchasers of our Series B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8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3"/>
              </w:rPr>
              <w:t>Shares of Series B</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Investor</w:t>
            </w:r>
          </w:p>
        </w:tc>
        <w:tc>
          <w:tcPr>
            <w:tcW w:w="10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Convertible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5"/>
              </w:rPr>
              <w:t>Total Purchase</w:t>
            </w:r>
          </w:p>
        </w:tc>
        <w:tc>
          <w:tcPr>
            <w:tcW w:w="0" w:type="dxa"/>
            <w:vAlign w:val="bottom"/>
          </w:tcPr>
          <w:p>
            <w:pPr>
              <w:spacing w:after="0"/>
              <w:rPr>
                <w:sz w:val="1"/>
                <w:szCs w:val="1"/>
                <w:color w:val="auto"/>
              </w:rPr>
            </w:pPr>
          </w:p>
        </w:tc>
      </w:tr>
      <w:tr>
        <w:trPr>
          <w:trHeight w:val="138"/>
        </w:trPr>
        <w:tc>
          <w:tcPr>
            <w:tcW w:w="7100" w:type="dxa"/>
            <w:vAlign w:val="bottom"/>
            <w:gridSpan w:val="2"/>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Preferred Stock</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0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Casdin Partners Master Fund, L.P.(1)</w:t>
            </w:r>
          </w:p>
        </w:tc>
        <w:tc>
          <w:tcPr>
            <w:tcW w:w="104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12,077,292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19,999,995.55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gridSpan w:val="2"/>
          </w:tcPr>
          <w:p>
            <w:pPr>
              <w:spacing w:after="0"/>
              <w:rPr>
                <w:sz w:val="20"/>
                <w:szCs w:val="20"/>
                <w:color w:val="auto"/>
              </w:rPr>
            </w:pPr>
            <w:r>
              <w:rPr>
                <w:rFonts w:ascii="Arial" w:cs="Arial" w:eastAsia="Arial" w:hAnsi="Arial"/>
                <w:sz w:val="16"/>
                <w:szCs w:val="16"/>
                <w:color w:val="auto"/>
              </w:rPr>
              <w:t>SymBiosis II, LLC</w:t>
            </w:r>
          </w:p>
        </w:tc>
        <w:tc>
          <w:tcPr>
            <w:tcW w:w="1040" w:type="dxa"/>
            <w:vAlign w:val="bottom"/>
          </w:tcPr>
          <w:p>
            <w:pPr>
              <w:jc w:val="right"/>
              <w:spacing w:after="0"/>
              <w:rPr>
                <w:sz w:val="20"/>
                <w:szCs w:val="20"/>
                <w:color w:val="auto"/>
              </w:rPr>
            </w:pPr>
            <w:r>
              <w:rPr>
                <w:rFonts w:ascii="Arial" w:cs="Arial" w:eastAsia="Arial" w:hAnsi="Arial"/>
                <w:sz w:val="16"/>
                <w:szCs w:val="16"/>
                <w:color w:val="auto"/>
              </w:rPr>
              <w:t>9,057,969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w w:val="93"/>
              </w:rPr>
              <w:t>14,999,996.66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Funds affiliated with The Column Group(2)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6,038,646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9,999,997.78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right="480" w:hanging="386"/>
        <w:spacing w:after="0" w:line="253" w:lineRule="auto"/>
        <w:tabs>
          <w:tab w:leader="none" w:pos="12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Eli Casdin, a member of our board of directors is the Chief Investment Officer of Casdin Capital LLC and the managing member of Casdin Partners GP, LLC.</w:t>
      </w:r>
    </w:p>
    <w:p>
      <w:pPr>
        <w:jc w:val="both"/>
        <w:ind w:left="1200" w:right="140" w:hanging="386"/>
        <w:spacing w:after="0" w:line="273" w:lineRule="auto"/>
        <w:tabs>
          <w:tab w:leader="none" w:pos="12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Entities affiliated with The Column Group holding our securities are aggregated for reporting ownership information include The Column Group III, LP and The Column Group III-A, LP. David V. Goeddel, a member of our board of directors, is the Managing Partner of The Column Group, and JeenJoo (JJ) Kang, a member of our board of directors, is a Venture Partner of The Column Group.</w:t>
      </w:r>
    </w:p>
    <w:p>
      <w:pPr>
        <w:spacing w:after="0" w:line="155" w:lineRule="exact"/>
        <w:rPr>
          <w:sz w:val="20"/>
          <w:szCs w:val="20"/>
          <w:color w:val="auto"/>
        </w:rPr>
      </w:pPr>
    </w:p>
    <w:p>
      <w:pPr>
        <w:ind w:left="820" w:right="500" w:firstLine="385"/>
        <w:spacing w:after="0" w:line="266" w:lineRule="auto"/>
        <w:rPr>
          <w:sz w:val="20"/>
          <w:szCs w:val="20"/>
          <w:color w:val="auto"/>
        </w:rPr>
      </w:pPr>
      <w:r>
        <w:rPr>
          <w:rFonts w:ascii="Arial" w:cs="Arial" w:eastAsia="Arial" w:hAnsi="Arial"/>
          <w:sz w:val="16"/>
          <w:szCs w:val="16"/>
          <w:color w:val="auto"/>
        </w:rPr>
        <w:t>In December 2020 and January 2021, we issued and sold an aggregate of 51,158,291 shares of our Series C convertible preferred stock at a purchase price of $2.072 per share for an aggregate purchase price of approximately $106.0 million.</w:t>
      </w:r>
    </w:p>
    <w:p>
      <w:pPr>
        <w:spacing w:after="0" w:line="158" w:lineRule="exact"/>
        <w:rPr>
          <w:sz w:val="20"/>
          <w:szCs w:val="20"/>
          <w:color w:val="auto"/>
        </w:rPr>
      </w:pPr>
    </w:p>
    <w:p>
      <w:pPr>
        <w:jc w:val="both"/>
        <w:ind w:left="820" w:right="40" w:firstLine="385"/>
        <w:spacing w:after="0" w:line="383" w:lineRule="auto"/>
        <w:rPr>
          <w:sz w:val="20"/>
          <w:szCs w:val="20"/>
          <w:color w:val="auto"/>
        </w:rPr>
      </w:pPr>
      <w:r>
        <w:rPr>
          <w:rFonts w:ascii="Arial" w:cs="Arial" w:eastAsia="Arial" w:hAnsi="Arial"/>
          <w:sz w:val="13"/>
          <w:szCs w:val="13"/>
          <w:color w:val="auto"/>
        </w:rPr>
        <w:t>Purchasers of our Series C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8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3"/>
              </w:rPr>
              <w:t>Shares of Series C</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Investor</w:t>
            </w:r>
          </w:p>
        </w:tc>
        <w:tc>
          <w:tcPr>
            <w:tcW w:w="3300" w:type="dxa"/>
            <w:vAlign w:val="bottom"/>
          </w:tcPr>
          <w:p>
            <w:pPr>
              <w:spacing w:after="0"/>
              <w:rPr>
                <w:sz w:val="11"/>
                <w:szCs w:val="11"/>
                <w:color w:val="auto"/>
              </w:rPr>
            </w:pPr>
          </w:p>
        </w:tc>
        <w:tc>
          <w:tcPr>
            <w:tcW w:w="10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Convertible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5"/>
              </w:rPr>
              <w:t>Total Purchase</w:t>
            </w:r>
          </w:p>
        </w:tc>
        <w:tc>
          <w:tcPr>
            <w:tcW w:w="0" w:type="dxa"/>
            <w:vAlign w:val="bottom"/>
          </w:tcPr>
          <w:p>
            <w:pPr>
              <w:spacing w:after="0"/>
              <w:rPr>
                <w:sz w:val="1"/>
                <w:szCs w:val="1"/>
                <w:color w:val="auto"/>
              </w:rPr>
            </w:pPr>
          </w:p>
        </w:tc>
      </w:tr>
      <w:tr>
        <w:trPr>
          <w:trHeight w:val="138"/>
        </w:trPr>
        <w:tc>
          <w:tcPr>
            <w:tcW w:w="3800" w:type="dxa"/>
            <w:vAlign w:val="bottom"/>
            <w:gridSpan w:val="2"/>
            <w:vMerge w:val="continue"/>
          </w:tcPr>
          <w:p>
            <w:pPr>
              <w:spacing w:after="0"/>
              <w:rPr>
                <w:sz w:val="11"/>
                <w:szCs w:val="11"/>
                <w:color w:val="auto"/>
              </w:rPr>
            </w:pPr>
          </w:p>
        </w:tc>
        <w:tc>
          <w:tcPr>
            <w:tcW w:w="3300" w:type="dxa"/>
            <w:vAlign w:val="bottom"/>
          </w:tcPr>
          <w:p>
            <w:pPr>
              <w:spacing w:after="0"/>
              <w:rPr>
                <w:sz w:val="11"/>
                <w:szCs w:val="11"/>
                <w:color w:val="auto"/>
              </w:rPr>
            </w:pPr>
          </w:p>
        </w:tc>
        <w:tc>
          <w:tcPr>
            <w:tcW w:w="10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Preferred Stock</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0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Funds affiliated with Casdin Capital LLC(1)</w:t>
            </w:r>
          </w:p>
        </w:tc>
        <w:tc>
          <w:tcPr>
            <w:tcW w:w="3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4,343,629</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98"/>
              </w:rPr>
              <w:t>8,999,999.29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Arial" w:cs="Arial" w:eastAsia="Arial" w:hAnsi="Arial"/>
                <w:sz w:val="16"/>
                <w:szCs w:val="16"/>
                <w:color w:val="auto"/>
              </w:rPr>
              <w:t>Funds affiliated with FMR LLC(2)</w:t>
            </w:r>
          </w:p>
        </w:tc>
        <w:tc>
          <w:tcPr>
            <w:tcW w:w="4320" w:type="dxa"/>
            <w:vAlign w:val="bottom"/>
            <w:gridSpan w:val="2"/>
          </w:tcPr>
          <w:p>
            <w:pPr>
              <w:jc w:val="right"/>
              <w:spacing w:after="0"/>
              <w:rPr>
                <w:sz w:val="20"/>
                <w:szCs w:val="20"/>
                <w:color w:val="auto"/>
              </w:rPr>
            </w:pPr>
            <w:r>
              <w:rPr>
                <w:rFonts w:ascii="Arial" w:cs="Arial" w:eastAsia="Arial" w:hAnsi="Arial"/>
                <w:sz w:val="16"/>
                <w:szCs w:val="16"/>
                <w:color w:val="auto"/>
              </w:rPr>
              <w:t>9,652,509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89"/>
              </w:rPr>
              <w:t>19,999,998.65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Funds affiliated with RTW Investments, LP(3)</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9,652,509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19,999,998.65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00" w:type="dxa"/>
            <w:vAlign w:val="bottom"/>
            <w:gridSpan w:val="2"/>
          </w:tcPr>
          <w:p>
            <w:pPr>
              <w:spacing w:after="0"/>
              <w:rPr>
                <w:sz w:val="20"/>
                <w:szCs w:val="20"/>
                <w:color w:val="auto"/>
              </w:rPr>
            </w:pPr>
            <w:r>
              <w:rPr>
                <w:rFonts w:ascii="Arial" w:cs="Arial" w:eastAsia="Arial" w:hAnsi="Arial"/>
                <w:sz w:val="16"/>
                <w:szCs w:val="16"/>
                <w:color w:val="auto"/>
              </w:rPr>
              <w:t>SymBiosis II, LLC</w:t>
            </w:r>
          </w:p>
        </w:tc>
        <w:tc>
          <w:tcPr>
            <w:tcW w:w="4320" w:type="dxa"/>
            <w:vAlign w:val="bottom"/>
            <w:gridSpan w:val="2"/>
          </w:tcPr>
          <w:p>
            <w:pPr>
              <w:jc w:val="right"/>
              <w:spacing w:after="0"/>
              <w:rPr>
                <w:sz w:val="20"/>
                <w:szCs w:val="20"/>
                <w:color w:val="auto"/>
              </w:rPr>
            </w:pPr>
            <w:r>
              <w:rPr>
                <w:rFonts w:ascii="Arial" w:cs="Arial" w:eastAsia="Arial" w:hAnsi="Arial"/>
                <w:sz w:val="16"/>
                <w:szCs w:val="16"/>
                <w:color w:val="auto"/>
              </w:rPr>
              <w:t>2,895,752</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98"/>
              </w:rPr>
              <w:t>5,999,998.14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00" w:type="dxa"/>
            <w:vAlign w:val="bottom"/>
          </w:tcPr>
          <w:p>
            <w:pPr>
              <w:jc w:val="right"/>
              <w:ind w:right="2101"/>
              <w:spacing w:after="0"/>
              <w:rPr>
                <w:sz w:val="20"/>
                <w:szCs w:val="20"/>
                <w:color w:val="auto"/>
              </w:rPr>
            </w:pPr>
            <w:r>
              <w:rPr>
                <w:rFonts w:ascii="Arial" w:cs="Arial" w:eastAsia="Arial" w:hAnsi="Arial"/>
                <w:sz w:val="16"/>
                <w:szCs w:val="16"/>
                <w:color w:val="auto"/>
              </w:rPr>
              <w:t>233</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252730</wp:posOffset>
            </wp:positionV>
            <wp:extent cx="66611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200" w:right="60" w:hanging="386"/>
        <w:spacing w:after="0" w:line="251" w:lineRule="auto"/>
        <w:tabs>
          <w:tab w:leader="none" w:pos="1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Entities affiliated with Casdin Capital LLC holding our securities are aggregated for reporting ownership information include Casdin Partners Master Fund, L.P. and Casdin Private Growth Equity Fund, L.P. Eli Casdin, a member of our board of directors is the Chief Investment Officer of Casdin Capital LLC and the managing member of Casdin Partners GP, LLC.</w:t>
      </w:r>
    </w:p>
    <w:p>
      <w:pPr>
        <w:ind w:left="1200" w:right="380" w:hanging="386"/>
        <w:spacing w:after="0" w:line="246" w:lineRule="auto"/>
        <w:tabs>
          <w:tab w:leader="none" w:pos="1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Entities affiliated with Fidelity holding our securities are aggregate for reporting ownership information include Fidelity Advisor Series VII: Fidelity Advisor Biotechnology Fund and Fidelity Select Portfolios: Biotechnology Portfolio.</w:t>
      </w:r>
    </w:p>
    <w:p>
      <w:pPr>
        <w:ind w:left="1200" w:right="180" w:hanging="386"/>
        <w:spacing w:after="0" w:line="252" w:lineRule="auto"/>
        <w:tabs>
          <w:tab w:leader="none" w:pos="1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Entities affiliated with RTW Investments, LP holding our securities are aggregate for reporting ownership information include RTW Innovation Master Fund, Ltd., RTW Master Fund, Ltd., and RTW Venture Fund Limited.</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Promissory Note</w:t>
      </w:r>
    </w:p>
    <w:p>
      <w:pPr>
        <w:spacing w:after="0" w:line="103"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On September 13, 2017, we entered into a full recourse note (the Note) with Timothy Hoey, Ph.D., our Chief Scientific Officer, pursuant to which we loaned $70,000 to cover the aggregate exercise price of Dr. Hoey’s early exercise stock option for 1,000,000 shares of our common stock. On June 30, 2021, the full amount of the Note was repaid.</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Investors’ Rights Agreement</w:t>
      </w:r>
    </w:p>
    <w:p>
      <w:pPr>
        <w:spacing w:after="0" w:line="103"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We are party to an investors’ rights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and SymBiosis II, LLC,. Under our investors’ rights agreement, among other things,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Voting Agreement</w:t>
      </w:r>
    </w:p>
    <w:p>
      <w:pPr>
        <w:spacing w:after="0" w:line="103" w:lineRule="exact"/>
        <w:rPr>
          <w:sz w:val="20"/>
          <w:szCs w:val="20"/>
          <w:color w:val="auto"/>
        </w:rPr>
      </w:pPr>
    </w:p>
    <w:p>
      <w:pPr>
        <w:ind w:left="820" w:firstLine="385"/>
        <w:spacing w:after="0" w:line="305" w:lineRule="auto"/>
        <w:rPr>
          <w:sz w:val="20"/>
          <w:szCs w:val="20"/>
          <w:color w:val="auto"/>
        </w:rPr>
      </w:pPr>
      <w:r>
        <w:rPr>
          <w:rFonts w:ascii="Arial" w:cs="Arial" w:eastAsia="Arial" w:hAnsi="Arial"/>
          <w:sz w:val="13"/>
          <w:szCs w:val="13"/>
          <w:color w:val="auto"/>
        </w:rPr>
        <w:t>We are party to a voting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SymBiosis II, LLC, JeenJoo (JJ) Kang, a member of our board directors, and Deepak Srivastava, a member of our board of directors. The parties to the voting agreement have agreed, among other things and subject to certain conditions, to vote the shares of our capital stock held by them so as to elect the following individuals as directors: (1) two individuals designated by The Column Group III, LP and/or The Column Group III-A, LP, currently JeenJoo (JJ) Kang and David V. Goeddel, (2) one individual designated by Casdin Master Fund L.P., currently Eli Casdin,</w:t>
      </w:r>
    </w:p>
    <w:p>
      <w:pPr>
        <w:spacing w:after="0" w:line="2" w:lineRule="exact"/>
        <w:rPr>
          <w:sz w:val="20"/>
          <w:szCs w:val="20"/>
          <w:color w:val="auto"/>
        </w:rPr>
      </w:pPr>
    </w:p>
    <w:p>
      <w:pPr>
        <w:ind w:left="820" w:hanging="6"/>
        <w:spacing w:after="0" w:line="313" w:lineRule="auto"/>
        <w:tabs>
          <w:tab w:leader="none" w:pos="1042"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our chief executive officer, currently Faraz Ali, and (4) five individuals designated by the holders of a majority the outstanding shares of common stock and preferred stock (voting together as a single class on an as-converted basis), currently Deepak Srivastava, R. Sanders (Sandy) Williams, Jin-Long Chen, Jeffrey T. Walsh, and Catherine Stehman-Breen. Upon the consummation of this offering, the obligations of the parties to the voting agreement to vote their shares so as to elect these nominees, as well as the other rights and obligations under the voting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at the closing of this offering.</w:t>
      </w:r>
    </w:p>
    <w:p>
      <w:pPr>
        <w:spacing w:after="0" w:line="7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234</w:t>
      </w:r>
    </w:p>
    <w:p>
      <w:pPr>
        <w:sectPr>
          <w:pgSz w:w="11900" w:h="16838" w:orient="portrait"/>
          <w:cols w:equalWidth="0" w:num="1">
            <w:col w:w="10400"/>
          </w:cols>
          <w:pgMar w:left="320" w:top="418" w:right="117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Indemnification Agreements</w:t>
      </w:r>
    </w:p>
    <w:p>
      <w:pPr>
        <w:spacing w:after="0" w:line="103"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bylaws that will be in effect upon the closing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Related Party Transaction Policy</w:t>
      </w:r>
    </w:p>
    <w:p>
      <w:pPr>
        <w:spacing w:after="0" w:line="103" w:lineRule="exact"/>
        <w:rPr>
          <w:sz w:val="20"/>
          <w:szCs w:val="20"/>
          <w:color w:val="auto"/>
        </w:rPr>
      </w:pPr>
    </w:p>
    <w:p>
      <w:pPr>
        <w:ind w:left="820" w:right="180" w:firstLine="385"/>
        <w:spacing w:after="0" w:line="253" w:lineRule="auto"/>
        <w:rPr>
          <w:sz w:val="20"/>
          <w:szCs w:val="20"/>
          <w:color w:val="auto"/>
        </w:rPr>
      </w:pPr>
      <w:r>
        <w:rPr>
          <w:rFonts w:ascii="Arial" w:cs="Arial" w:eastAsia="Arial" w:hAnsi="Arial"/>
          <w:sz w:val="16"/>
          <w:szCs w:val="16"/>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w:t>
      </w:r>
    </w:p>
    <w:p>
      <w:pPr>
        <w:spacing w:after="0" w:line="167"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In June 2021, our board of directors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235</w:t>
      </w:r>
    </w:p>
    <w:p>
      <w:pPr>
        <w:sectPr>
          <w:pgSz w:w="11900" w:h="16838" w:orient="portrait"/>
          <w:cols w:equalWidth="0" w:num="1">
            <w:col w:w="10340"/>
          </w:cols>
          <w:pgMar w:left="320" w:top="418" w:right="1239" w:bottom="1440" w:gutter="0" w:footer="0" w:header="0"/>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PRINCIPAL STOCKHOLDERS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sets forth the beneficial ownership of our common stock as of June 30, 2021 by:</w:t>
      </w:r>
    </w:p>
    <w:p>
      <w:pPr>
        <w:spacing w:after="0" w:line="111" w:lineRule="exact"/>
        <w:rPr>
          <w:sz w:val="20"/>
          <w:szCs w:val="20"/>
          <w:color w:val="auto"/>
        </w:rPr>
      </w:pPr>
    </w:p>
    <w:p>
      <w:pPr>
        <w:ind w:left="1660" w:hanging="469"/>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5% of our common stock;</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of the named executive officers;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193" w:lineRule="exact"/>
        <w:rPr>
          <w:sz w:val="20"/>
          <w:szCs w:val="20"/>
          <w:color w:val="auto"/>
        </w:rPr>
      </w:pPr>
    </w:p>
    <w:p>
      <w:pPr>
        <w:ind w:left="820" w:right="200" w:firstLine="385"/>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70" w:lineRule="exact"/>
        <w:rPr>
          <w:sz w:val="20"/>
          <w:szCs w:val="20"/>
          <w:color w:val="auto"/>
        </w:rPr>
      </w:pPr>
    </w:p>
    <w:p>
      <w:pPr>
        <w:ind w:left="820" w:right="440" w:firstLine="385"/>
        <w:spacing w:after="0" w:line="308" w:lineRule="auto"/>
        <w:rPr>
          <w:sz w:val="20"/>
          <w:szCs w:val="20"/>
          <w:color w:val="auto"/>
        </w:rPr>
      </w:pPr>
      <w:r>
        <w:rPr>
          <w:rFonts w:ascii="Arial" w:cs="Arial" w:eastAsia="Arial" w:hAnsi="Arial"/>
          <w:sz w:val="13"/>
          <w:szCs w:val="13"/>
          <w:color w:val="auto"/>
        </w:rPr>
        <w:t>We have based our calculation of the percentage of beneficial ownership prior to this offering on 163,949,903 shares of our common stock outstanding as of June 30, 2021, after giving effect to the automatic conversion of all outstanding shares of our convertible preferred stock into 156,613,818 shares of our common stock immediately prior to the completion of this offering. We have based our calculation of the percentage of</w:t>
      </w:r>
    </w:p>
    <w:p>
      <w:pPr>
        <w:spacing w:after="0" w:line="2" w:lineRule="exact"/>
        <w:rPr>
          <w:sz w:val="20"/>
          <w:szCs w:val="20"/>
          <w:color w:val="auto"/>
        </w:rPr>
      </w:pPr>
    </w:p>
    <w:p>
      <w:pPr>
        <w:ind w:left="820" w:right="80"/>
        <w:spacing w:after="0" w:line="247" w:lineRule="auto"/>
        <w:rPr>
          <w:sz w:val="20"/>
          <w:szCs w:val="20"/>
          <w:color w:val="auto"/>
        </w:rPr>
      </w:pPr>
      <w:r>
        <w:rPr>
          <w:rFonts w:ascii="Arial" w:cs="Arial" w:eastAsia="Arial" w:hAnsi="Arial"/>
          <w:sz w:val="16"/>
          <w:szCs w:val="16"/>
          <w:color w:val="auto"/>
        </w:rPr>
        <w:t>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June 30,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4" w:lineRule="exact"/>
        <w:rPr>
          <w:sz w:val="20"/>
          <w:szCs w:val="20"/>
          <w:color w:val="auto"/>
        </w:rPr>
      </w:pPr>
    </w:p>
    <w:p>
      <w:pPr>
        <w:jc w:val="both"/>
        <w:ind w:left="820" w:firstLine="385"/>
        <w:spacing w:after="0" w:line="281" w:lineRule="auto"/>
        <w:rPr>
          <w:sz w:val="20"/>
          <w:szCs w:val="20"/>
          <w:color w:val="auto"/>
        </w:rPr>
      </w:pPr>
      <w:r>
        <w:rPr>
          <w:rFonts w:ascii="Arial" w:cs="Arial" w:eastAsia="Arial" w:hAnsi="Arial"/>
          <w:sz w:val="15"/>
          <w:szCs w:val="15"/>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236</w:t>
      </w:r>
    </w:p>
    <w:p>
      <w:pPr>
        <w:sectPr>
          <w:pgSz w:w="11900" w:h="16838" w:orient="portrait"/>
          <w:cols w:equalWidth="0" w:num="1">
            <w:col w:w="10420"/>
          </w:cols>
          <w:pgMar w:left="320" w:top="418" w:right="115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60" w:firstLine="385"/>
        <w:spacing w:after="0" w:line="266" w:lineRule="auto"/>
        <w:rPr>
          <w:sz w:val="20"/>
          <w:szCs w:val="20"/>
          <w:color w:val="auto"/>
        </w:rPr>
      </w:pPr>
      <w:r>
        <w:rPr>
          <w:rFonts w:ascii="Arial" w:cs="Arial" w:eastAsia="Arial" w:hAnsi="Arial"/>
          <w:sz w:val="16"/>
          <w:szCs w:val="16"/>
          <w:color w:val="auto"/>
        </w:rPr>
        <w:t>Unless otherwise indicated, the address of each beneficial owner listed in the table below is c/o Tenaya Therapeutics, Inc., 171 Oyster Point Boulevard, 5th Floor, South San Francisco, CA 94080.</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80" w:type="dxa"/>
            <w:vAlign w:val="bottom"/>
            <w:gridSpan w:val="4"/>
          </w:tcPr>
          <w:p>
            <w:pPr>
              <w:jc w:val="center"/>
              <w:ind w:left="185"/>
              <w:spacing w:after="0"/>
              <w:rPr>
                <w:sz w:val="20"/>
                <w:szCs w:val="20"/>
                <w:color w:val="auto"/>
              </w:rPr>
            </w:pPr>
            <w:r>
              <w:rPr>
                <w:rFonts w:ascii="Arial" w:cs="Arial" w:eastAsia="Arial" w:hAnsi="Arial"/>
                <w:sz w:val="13"/>
                <w:szCs w:val="13"/>
                <w:b w:val="1"/>
                <w:bCs w:val="1"/>
                <w:color w:val="auto"/>
                <w:w w:val="85"/>
              </w:rPr>
              <w:t>Shares Beneficially</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5"/>
              </w:rPr>
              <w:t>Shares Beneficially</w:t>
            </w: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960" w:type="dxa"/>
            <w:vAlign w:val="bottom"/>
            <w:gridSpan w:val="2"/>
          </w:tcPr>
          <w:p>
            <w:pPr>
              <w:jc w:val="center"/>
              <w:ind w:left="505"/>
              <w:spacing w:after="0" w:line="130" w:lineRule="exact"/>
              <w:rPr>
                <w:sz w:val="20"/>
                <w:szCs w:val="20"/>
                <w:color w:val="auto"/>
              </w:rPr>
            </w:pPr>
            <w:r>
              <w:rPr>
                <w:rFonts w:ascii="Arial" w:cs="Arial" w:eastAsia="Arial" w:hAnsi="Arial"/>
                <w:sz w:val="13"/>
                <w:szCs w:val="13"/>
                <w:b w:val="1"/>
                <w:bCs w:val="1"/>
                <w:color w:val="auto"/>
                <w:w w:val="87"/>
              </w:rPr>
              <w:t>Owned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4"/>
          </w:tcPr>
          <w:p>
            <w:pPr>
              <w:jc w:val="center"/>
              <w:ind w:right="520"/>
              <w:spacing w:after="0" w:line="130" w:lineRule="exact"/>
              <w:rPr>
                <w:sz w:val="20"/>
                <w:szCs w:val="20"/>
                <w:color w:val="auto"/>
              </w:rPr>
            </w:pPr>
            <w:r>
              <w:rPr>
                <w:rFonts w:ascii="Arial" w:cs="Arial" w:eastAsia="Arial" w:hAnsi="Arial"/>
                <w:sz w:val="13"/>
                <w:szCs w:val="13"/>
                <w:b w:val="1"/>
                <w:bCs w:val="1"/>
                <w:color w:val="auto"/>
                <w:w w:val="87"/>
              </w:rPr>
              <w:t>Owned</w:t>
            </w:r>
          </w:p>
        </w:tc>
        <w:tc>
          <w:tcPr>
            <w:tcW w:w="0" w:type="dxa"/>
            <w:vAlign w:val="bottom"/>
          </w:tcPr>
          <w:p>
            <w:pPr>
              <w:spacing w:after="0"/>
              <w:rPr>
                <w:sz w:val="1"/>
                <w:szCs w:val="1"/>
                <w:color w:val="auto"/>
              </w:rPr>
            </w:pPr>
          </w:p>
        </w:tc>
      </w:tr>
      <w:tr>
        <w:trPr>
          <w:trHeight w:val="150"/>
        </w:trPr>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w w:val="87"/>
              </w:rPr>
              <w:t>Name of Beneficial Owner</w:t>
            </w:r>
          </w:p>
        </w:tc>
        <w:tc>
          <w:tcPr>
            <w:tcW w:w="4860" w:type="dxa"/>
            <w:vAlign w:val="bottom"/>
            <w:vMerge w:val="restart"/>
          </w:tcPr>
          <w:p>
            <w:pPr>
              <w:spacing w:after="0"/>
              <w:rPr>
                <w:sz w:val="13"/>
                <w:szCs w:val="13"/>
                <w:color w:val="auto"/>
              </w:rPr>
            </w:pPr>
          </w:p>
        </w:tc>
        <w:tc>
          <w:tcPr>
            <w:tcW w:w="194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9"/>
              </w:rPr>
              <w:t>Prior to this Offering</w:t>
            </w:r>
          </w:p>
        </w:tc>
        <w:tc>
          <w:tcPr>
            <w:tcW w:w="140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1"/>
              </w:rPr>
              <w:t>After this Offering</w:t>
            </w:r>
          </w:p>
        </w:tc>
        <w:tc>
          <w:tcPr>
            <w:tcW w:w="0" w:type="dxa"/>
            <w:vAlign w:val="bottom"/>
          </w:tcPr>
          <w:p>
            <w:pPr>
              <w:spacing w:after="0"/>
              <w:rPr>
                <w:sz w:val="1"/>
                <w:szCs w:val="1"/>
                <w:color w:val="auto"/>
              </w:rPr>
            </w:pPr>
          </w:p>
        </w:tc>
      </w:tr>
      <w:tr>
        <w:trPr>
          <w:trHeight w:val="130"/>
        </w:trPr>
        <w:tc>
          <w:tcPr>
            <w:tcW w:w="1420" w:type="dxa"/>
            <w:vAlign w:val="bottom"/>
            <w:tcBorders>
              <w:bottom w:val="single" w:sz="8" w:color="auto"/>
            </w:tcBorders>
            <w:vMerge w:val="continue"/>
          </w:tcPr>
          <w:p>
            <w:pPr>
              <w:spacing w:after="0"/>
              <w:rPr>
                <w:sz w:val="11"/>
                <w:szCs w:val="11"/>
                <w:color w:val="auto"/>
              </w:rPr>
            </w:pPr>
          </w:p>
        </w:tc>
        <w:tc>
          <w:tcPr>
            <w:tcW w:w="4860" w:type="dxa"/>
            <w:vAlign w:val="bottom"/>
            <w:vMerge w:val="continue"/>
          </w:tcPr>
          <w:p>
            <w:pPr>
              <w:spacing w:after="0"/>
              <w:rPr>
                <w:sz w:val="11"/>
                <w:szCs w:val="11"/>
                <w:color w:val="auto"/>
              </w:rPr>
            </w:pPr>
          </w:p>
        </w:tc>
        <w:tc>
          <w:tcPr>
            <w:tcW w:w="960" w:type="dxa"/>
            <w:vAlign w:val="bottom"/>
            <w:tcBorders>
              <w:top w:val="single" w:sz="8" w:color="auto"/>
            </w:tcBorders>
            <w:gridSpan w:val="2"/>
          </w:tcPr>
          <w:p>
            <w:pPr>
              <w:ind w:left="180"/>
              <w:spacing w:after="0" w:line="110" w:lineRule="exact"/>
              <w:rPr>
                <w:sz w:val="20"/>
                <w:szCs w:val="20"/>
                <w:color w:val="auto"/>
              </w:rPr>
            </w:pPr>
            <w:r>
              <w:rPr>
                <w:rFonts w:ascii="Arial" w:cs="Arial" w:eastAsia="Arial" w:hAnsi="Arial"/>
                <w:sz w:val="12"/>
                <w:szCs w:val="12"/>
                <w:b w:val="1"/>
                <w:bCs w:val="1"/>
                <w:color w:val="auto"/>
              </w:rPr>
              <w:t>Shares</w:t>
            </w:r>
          </w:p>
        </w:tc>
        <w:tc>
          <w:tcPr>
            <w:tcW w:w="620" w:type="dxa"/>
            <w:vAlign w:val="bottom"/>
            <w:tcBorders>
              <w:top w:val="single" w:sz="8" w:color="auto"/>
            </w:tcBorders>
            <w:gridSpan w:val="3"/>
          </w:tcPr>
          <w:p>
            <w:pPr>
              <w:jc w:val="right"/>
              <w:spacing w:after="0" w:line="110" w:lineRule="exact"/>
              <w:rPr>
                <w:sz w:val="20"/>
                <w:szCs w:val="20"/>
                <w:color w:val="auto"/>
              </w:rPr>
            </w:pPr>
            <w:r>
              <w:rPr>
                <w:rFonts w:ascii="Arial" w:cs="Arial" w:eastAsia="Arial" w:hAnsi="Arial"/>
                <w:sz w:val="12"/>
                <w:szCs w:val="12"/>
                <w:b w:val="1"/>
                <w:bCs w:val="1"/>
                <w:color w:val="auto"/>
                <w:w w:val="89"/>
              </w:rPr>
              <w:t>Percentage</w:t>
            </w:r>
          </w:p>
        </w:tc>
        <w:tc>
          <w:tcPr>
            <w:tcW w:w="360" w:type="dxa"/>
            <w:vAlign w:val="bottom"/>
          </w:tcPr>
          <w:p>
            <w:pPr>
              <w:spacing w:after="0"/>
              <w:rPr>
                <w:sz w:val="11"/>
                <w:szCs w:val="11"/>
                <w:color w:val="auto"/>
              </w:rPr>
            </w:pPr>
          </w:p>
        </w:tc>
        <w:tc>
          <w:tcPr>
            <w:tcW w:w="460" w:type="dxa"/>
            <w:vAlign w:val="bottom"/>
            <w:tcBorders>
              <w:top w:val="single" w:sz="8" w:color="auto"/>
            </w:tcBorders>
          </w:tcPr>
          <w:p>
            <w:pPr>
              <w:ind w:left="80"/>
              <w:spacing w:after="0" w:line="110" w:lineRule="exact"/>
              <w:rPr>
                <w:sz w:val="20"/>
                <w:szCs w:val="20"/>
                <w:color w:val="auto"/>
              </w:rPr>
            </w:pPr>
            <w:r>
              <w:rPr>
                <w:rFonts w:ascii="Arial" w:cs="Arial" w:eastAsia="Arial" w:hAnsi="Arial"/>
                <w:sz w:val="12"/>
                <w:szCs w:val="12"/>
                <w:b w:val="1"/>
                <w:bCs w:val="1"/>
                <w:color w:val="auto"/>
                <w:w w:val="89"/>
              </w:rPr>
              <w:t>Shares</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40"/>
              <w:spacing w:after="0" w:line="110" w:lineRule="exact"/>
              <w:rPr>
                <w:sz w:val="20"/>
                <w:szCs w:val="20"/>
                <w:color w:val="auto"/>
              </w:rPr>
            </w:pPr>
            <w:r>
              <w:rPr>
                <w:rFonts w:ascii="Arial" w:cs="Arial" w:eastAsia="Arial" w:hAnsi="Arial"/>
                <w:sz w:val="12"/>
                <w:szCs w:val="12"/>
                <w:b w:val="1"/>
                <w:bCs w:val="1"/>
                <w:color w:val="auto"/>
                <w:w w:val="89"/>
              </w:rPr>
              <w:t>Percentage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28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b w:val="1"/>
                <w:bCs w:val="1"/>
                <w:i w:val="1"/>
                <w:iCs w:val="1"/>
                <w:color w:val="auto"/>
              </w:rPr>
              <w:t>5% or Greater Stockholders:</w:t>
            </w: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Entities affiliated with The Column Group(1)</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56,401,773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w w:val="88"/>
              </w:rPr>
              <w:t>34.4%</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Casdin Group(2)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16,420,921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10.0</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SymBiosis II, LLC(3)</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11,953,721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7.3</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FMR LLC(4)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9,652,509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Entities affiliated with RTW(5)</w:t>
            </w:r>
          </w:p>
        </w:tc>
        <w:tc>
          <w:tcPr>
            <w:tcW w:w="740" w:type="dxa"/>
            <w:vAlign w:val="bottom"/>
          </w:tcPr>
          <w:p>
            <w:pPr>
              <w:jc w:val="right"/>
              <w:spacing w:after="0"/>
              <w:rPr>
                <w:sz w:val="20"/>
                <w:szCs w:val="20"/>
                <w:color w:val="auto"/>
              </w:rPr>
            </w:pPr>
            <w:r>
              <w:rPr>
                <w:rFonts w:ascii="Arial" w:cs="Arial" w:eastAsia="Arial" w:hAnsi="Arial"/>
                <w:sz w:val="16"/>
                <w:szCs w:val="16"/>
                <w:color w:val="auto"/>
              </w:rPr>
              <w:t>9,652,509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Faraz Ali, M.B.A.(6)</w:t>
            </w:r>
          </w:p>
        </w:tc>
        <w:tc>
          <w:tcPr>
            <w:tcW w:w="740" w:type="dxa"/>
            <w:vAlign w:val="bottom"/>
          </w:tcPr>
          <w:p>
            <w:pPr>
              <w:jc w:val="right"/>
              <w:spacing w:after="0"/>
              <w:rPr>
                <w:sz w:val="20"/>
                <w:szCs w:val="20"/>
                <w:color w:val="auto"/>
              </w:rPr>
            </w:pPr>
            <w:r>
              <w:rPr>
                <w:rFonts w:ascii="Arial" w:cs="Arial" w:eastAsia="Arial" w:hAnsi="Arial"/>
                <w:sz w:val="16"/>
                <w:szCs w:val="16"/>
                <w:color w:val="auto"/>
              </w:rPr>
              <w:t>3,044,790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Hoey, Ph.D.(7)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1,237,083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Whittemore (Whit) Tingley, M.D., Ph.D.(8)</w:t>
            </w:r>
          </w:p>
        </w:tc>
        <w:tc>
          <w:tcPr>
            <w:tcW w:w="740" w:type="dxa"/>
            <w:vAlign w:val="bottom"/>
          </w:tcPr>
          <w:p>
            <w:pPr>
              <w:jc w:val="right"/>
              <w:spacing w:after="0"/>
              <w:rPr>
                <w:sz w:val="20"/>
                <w:szCs w:val="20"/>
                <w:color w:val="auto"/>
              </w:rPr>
            </w:pPr>
            <w:r>
              <w:rPr>
                <w:rFonts w:ascii="Arial" w:cs="Arial" w:eastAsia="Arial" w:hAnsi="Arial"/>
                <w:sz w:val="16"/>
                <w:szCs w:val="16"/>
                <w:color w:val="auto"/>
              </w:rPr>
              <w:t>499,583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Eli Casdin, M.B.A.(2)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16,420,921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10.0</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Jin-Long Chen, Ph.D.(9)</w:t>
            </w:r>
          </w:p>
        </w:tc>
        <w:tc>
          <w:tcPr>
            <w:tcW w:w="740" w:type="dxa"/>
            <w:vAlign w:val="bottom"/>
          </w:tcPr>
          <w:p>
            <w:pPr>
              <w:jc w:val="right"/>
              <w:spacing w:after="0"/>
              <w:rPr>
                <w:sz w:val="20"/>
                <w:szCs w:val="20"/>
                <w:color w:val="auto"/>
              </w:rPr>
            </w:pPr>
            <w:r>
              <w:rPr>
                <w:rFonts w:ascii="Arial" w:cs="Arial" w:eastAsia="Arial" w:hAnsi="Arial"/>
                <w:sz w:val="16"/>
                <w:szCs w:val="16"/>
                <w:color w:val="auto"/>
              </w:rPr>
              <w:t>180,000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V. Goeddel, Ph.D.(1)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56,401,773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34.4</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JeenJoo (JJ) Kang, Ph.D.(10)</w:t>
            </w:r>
          </w:p>
        </w:tc>
        <w:tc>
          <w:tcPr>
            <w:tcW w:w="740" w:type="dxa"/>
            <w:vAlign w:val="bottom"/>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Catherine Stehman-Breen, M.D.(11)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Deepak Srivastava, M.D.(12)</w:t>
            </w:r>
          </w:p>
        </w:tc>
        <w:tc>
          <w:tcPr>
            <w:tcW w:w="740" w:type="dxa"/>
            <w:vAlign w:val="bottom"/>
          </w:tcPr>
          <w:p>
            <w:pPr>
              <w:jc w:val="right"/>
              <w:spacing w:after="0"/>
              <w:rPr>
                <w:sz w:val="20"/>
                <w:szCs w:val="20"/>
                <w:color w:val="auto"/>
              </w:rPr>
            </w:pPr>
            <w:r>
              <w:rPr>
                <w:rFonts w:ascii="Arial" w:cs="Arial" w:eastAsia="Arial" w:hAnsi="Arial"/>
                <w:sz w:val="16"/>
                <w:szCs w:val="16"/>
                <w:color w:val="auto"/>
              </w:rPr>
              <w:t>2,008,333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T. Walsh, M.B.A.(13)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73,750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R. Sanders (Sandy) Williams, M.D.(14)</w:t>
            </w:r>
          </w:p>
        </w:tc>
        <w:tc>
          <w:tcPr>
            <w:tcW w:w="740" w:type="dxa"/>
            <w:vAlign w:val="bottom"/>
          </w:tcPr>
          <w:p>
            <w:pPr>
              <w:jc w:val="right"/>
              <w:spacing w:after="0"/>
              <w:rPr>
                <w:sz w:val="20"/>
                <w:szCs w:val="20"/>
                <w:color w:val="auto"/>
              </w:rPr>
            </w:pPr>
            <w:r>
              <w:rPr>
                <w:rFonts w:ascii="Arial" w:cs="Arial" w:eastAsia="Arial" w:hAnsi="Arial"/>
                <w:sz w:val="16"/>
                <w:szCs w:val="16"/>
                <w:color w:val="auto"/>
              </w:rPr>
              <w:t>180,000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All executive officers and directors as a group (12 persons)(15)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80,248,733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8"/>
              </w:rPr>
              <w:t>47.7%</w:t>
            </w: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hanging="386"/>
        <w:spacing w:after="0"/>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Represents beneficial ownership of less than 1% of the outstanding shares of our common stock.</w:t>
      </w:r>
    </w:p>
    <w:p>
      <w:pPr>
        <w:spacing w:after="0" w:line="16" w:lineRule="exact"/>
        <w:rPr>
          <w:sz w:val="20"/>
          <w:szCs w:val="20"/>
          <w:color w:val="auto"/>
        </w:rPr>
      </w:pPr>
    </w:p>
    <w:p>
      <w:pPr>
        <w:ind w:left="1200" w:right="60" w:hanging="386"/>
        <w:spacing w:after="0" w:line="262" w:lineRule="auto"/>
        <w:tabs>
          <w:tab w:leader="none" w:pos="120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Consists of 26,488,338 shares held directly by The Column Group III, LP and 29,913,435 shares held directly by The Column Group III-A, LP (Column Group Funds). The Column Group III GP, LP (TCG III GP) is the general partner of each of the Column Group Funds. The managing partners of TCG III GP are David V. Goeddel, Peter Svennilson and Tim Kutzkey who may be deemed to share voting and investment power with respect to the shares, and each of whom disclaim beneficial ownership of the shares held by the Column Group Funds except to the extent of their pecuniary interests therein, if any. Dr. Goeddel is a member of our board of directors. The address of the Column Group Funds is 1 Letterman Drive, Building D, Suite DM-900, San Francisco, CA 94129.</w:t>
      </w:r>
    </w:p>
    <w:p>
      <w:pPr>
        <w:spacing w:after="0" w:line="2" w:lineRule="exact"/>
        <w:rPr>
          <w:rFonts w:ascii="Arial" w:cs="Arial" w:eastAsia="Arial" w:hAnsi="Arial"/>
          <w:sz w:val="15"/>
          <w:szCs w:val="15"/>
          <w:color w:val="auto"/>
        </w:rPr>
      </w:pPr>
    </w:p>
    <w:p>
      <w:pPr>
        <w:ind w:left="1200" w:right="60" w:hanging="386"/>
        <w:spacing w:after="0" w:line="246" w:lineRule="auto"/>
        <w:tabs>
          <w:tab w:leader="none" w:pos="12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Consists of 14,249,106 shares held directly by Casdin Partners Master Fund, L.P. (CPMF) and 2,171,815 shares held directly by Casdin Private Growth Equity Fund, L.P. (CPGEF). Casdin Capital, LLC is the investment advisor to CPMF and CPGEF. Casdin Partners GP, LLC is the general partner of CPMF. Casdin Private Growth Equity Fund GP, LLC is the general partner of CPGEF. Eli Casdin, a member of our board of directors, is the managing member of Casdin Capital, LLC, Casdin Partners GP, LLC and Casdin Private Growth Equity Fund GP, LLC and may be deemed to have voting and investment power with respect to the shares and who disclaims beneficial ownership of the shares except to the extent of his pecuniary interests therein, if any. The address of these entities and individuals is 1350 Avenue of the Americas, Suite 2600, New York, NY 10019.</w:t>
      </w:r>
    </w:p>
    <w:p>
      <w:pPr>
        <w:ind w:left="1200" w:right="520" w:hanging="386"/>
        <w:spacing w:after="0" w:line="246" w:lineRule="auto"/>
        <w:tabs>
          <w:tab w:leader="none" w:pos="12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These shares are beneficially owned by Thomas Layton Walton. The shares are directly held by SymBiosis II, LLC over which Mr. Walton exercises sole investment power. The address of Mr. Walton is PO Box 1860, Bentonville, AR 72712.</w:t>
      </w:r>
    </w:p>
    <w:p>
      <w:pPr>
        <w:ind w:left="1200" w:hanging="386"/>
        <w:spacing w:after="0"/>
        <w:tabs>
          <w:tab w:leader="none" w:pos="12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Consists of 2,413,127 shares held by Fidelity Advisor Series VII: Advisor Biotechnology Fund (Advisor Series VII) and 7,239,382 shares held</w:t>
      </w:r>
    </w:p>
    <w:p>
      <w:pPr>
        <w:spacing w:after="0" w:line="39" w:lineRule="exact"/>
        <w:rPr>
          <w:rFonts w:ascii="Arial" w:cs="Arial" w:eastAsia="Arial" w:hAnsi="Arial"/>
          <w:sz w:val="13"/>
          <w:szCs w:val="13"/>
          <w:color w:val="auto"/>
        </w:rPr>
      </w:pPr>
    </w:p>
    <w:p>
      <w:pPr>
        <w:ind w:left="1200"/>
        <w:spacing w:after="0" w:line="248" w:lineRule="auto"/>
        <w:rPr>
          <w:rFonts w:ascii="Arial" w:cs="Arial" w:eastAsia="Arial" w:hAnsi="Arial"/>
          <w:sz w:val="13"/>
          <w:szCs w:val="13"/>
          <w:color w:val="auto"/>
        </w:rPr>
      </w:pPr>
      <w:r>
        <w:rPr>
          <w:rFonts w:ascii="Arial" w:cs="Arial" w:eastAsia="Arial" w:hAnsi="Arial"/>
          <w:sz w:val="16"/>
          <w:szCs w:val="16"/>
          <w:color w:val="auto"/>
        </w:rPr>
        <w:t>directly by Fidelity Select Portfolios: Biotechnology Portfolio (Select Portfolios). These accounts are managed by direct or indirect subsidiaries of FMR LLC. Abigail P. Johnson is a director, the chairman, the chief executive officer and president of FMR LLC. Members of the Johnson family, including Abigail P. Johnson, are the predominant owners, directly or through trusts, of Series B voting common shares of FMR LLC, representing 49% of the voting power of FMR LLC. The Johnson</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237</w:t>
      </w:r>
    </w:p>
    <w:p>
      <w:pPr>
        <w:sectPr>
          <w:pgSz w:w="11900" w:h="16838" w:orient="portrait"/>
          <w:cols w:equalWidth="0" w:num="1">
            <w:col w:w="10440"/>
          </w:cols>
          <w:pgMar w:left="320" w:top="418" w:right="1139"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20"/>
        <w:spacing w:after="0" w:line="315" w:lineRule="auto"/>
        <w:rPr>
          <w:sz w:val="20"/>
          <w:szCs w:val="20"/>
          <w:color w:val="auto"/>
        </w:rPr>
      </w:pPr>
      <w:r>
        <w:rPr>
          <w:rFonts w:ascii="Arial" w:cs="Arial" w:eastAsia="Arial" w:hAnsi="Arial"/>
          <w:sz w:val="13"/>
          <w:szCs w:val="13"/>
          <w:color w:val="auto"/>
        </w:rPr>
        <w:t>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 of Trustees. FMR Co. carries out the voting of the shares under written guidelines established by the Fidelity Funds’ Board of Trustees. The address of FMR LLC is 245 Summer Street, Boston, MA 02210.</w:t>
      </w:r>
    </w:p>
    <w:p>
      <w:pPr>
        <w:spacing w:after="0" w:line="147" w:lineRule="exact"/>
        <w:rPr>
          <w:sz w:val="20"/>
          <w:szCs w:val="20"/>
          <w:color w:val="auto"/>
        </w:rPr>
      </w:pPr>
    </w:p>
    <w:p>
      <w:pPr>
        <w:ind w:left="1200" w:hanging="386"/>
        <w:spacing w:after="0" w:line="246" w:lineRule="auto"/>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Consists of 9,652,509 shares in the aggregate held by RTW Innovation Master Fund, Ltd., RTW Master Fund, Ltd. and RTW Venture Fund Limited. Roderick Wong is the managing partner and chief investment officer of RTW Investments, LP and as such has sole voting and investment control over the shares. Dr. Wong disclaims beneficial ownership of the shares except to the extent of his pecuniary interest therein, if any. The address of the RTW funds is 40 10th Avenue, Floor 7, New York, NY 10014.</w:t>
      </w:r>
    </w:p>
    <w:p>
      <w:pPr>
        <w:ind w:left="1200" w:right="100" w:hanging="386"/>
        <w:spacing w:after="0" w:line="246" w:lineRule="auto"/>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Consists of 3,044,790 shares subject to outstanding options that are exercisable within 60 days of June 30, 2021, of which 935,000 shares may be repurchased by us, if exercised, at the original exercise price per share.</w:t>
      </w:r>
    </w:p>
    <w:p>
      <w:pPr>
        <w:ind w:left="1200" w:right="240" w:hanging="386"/>
        <w:spacing w:after="0" w:line="262" w:lineRule="auto"/>
        <w:tabs>
          <w:tab w:leader="none" w:pos="12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Consists of 1,000,000 shares held directly by Dr. Hoey and 237,083 shares subject to outstanding options that are exercisable within 60 days of June 30, 2021, of which 70,834 shares may be repurchased by us, if exercised, at the original exercise price per share.</w:t>
      </w:r>
    </w:p>
    <w:p>
      <w:pPr>
        <w:ind w:left="1200" w:right="200" w:hanging="386"/>
        <w:spacing w:after="0" w:line="246" w:lineRule="auto"/>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Consists of 499,583 shares subject to outstanding options that are exercisable within 60 days of June 30, 2021, of which 150,000 shares may be repurchased by us, if exercised, at the original exercise price per share.</w:t>
      </w:r>
    </w:p>
    <w:p>
      <w:pPr>
        <w:ind w:left="1200" w:hanging="386"/>
        <w:spacing w:after="0"/>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Includes 30,000 shares subject to outstanding options that are exercisable within 60 days of June 30, 2021.</w:t>
      </w:r>
    </w:p>
    <w:p>
      <w:pPr>
        <w:spacing w:after="0" w:line="4" w:lineRule="exact"/>
        <w:rPr>
          <w:rFonts w:ascii="Arial" w:cs="Arial" w:eastAsia="Arial" w:hAnsi="Arial"/>
          <w:sz w:val="16"/>
          <w:szCs w:val="16"/>
          <w:color w:val="auto"/>
        </w:rPr>
      </w:pPr>
    </w:p>
    <w:p>
      <w:pPr>
        <w:ind w:left="1200" w:hanging="386"/>
        <w:spacing w:after="0"/>
        <w:tabs>
          <w:tab w:leader="none" w:pos="120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Consists of 150,000 shares held directly by Dr. Kang. Excludes 56,401,773 shares held by The Column Group funds as set forth in footnote</w:t>
      </w:r>
    </w:p>
    <w:p>
      <w:pPr>
        <w:spacing w:after="0" w:line="39" w:lineRule="exact"/>
        <w:rPr>
          <w:rFonts w:ascii="Arial" w:cs="Arial" w:eastAsia="Arial" w:hAnsi="Arial"/>
          <w:sz w:val="13"/>
          <w:szCs w:val="13"/>
          <w:color w:val="auto"/>
        </w:rPr>
      </w:pPr>
    </w:p>
    <w:p>
      <w:pPr>
        <w:ind w:left="1200"/>
        <w:spacing w:after="0"/>
        <w:rPr>
          <w:rFonts w:ascii="Arial" w:cs="Arial" w:eastAsia="Arial" w:hAnsi="Arial"/>
          <w:sz w:val="13"/>
          <w:szCs w:val="13"/>
          <w:color w:val="auto"/>
        </w:rPr>
      </w:pPr>
      <w:r>
        <w:rPr>
          <w:rFonts w:ascii="Arial" w:cs="Arial" w:eastAsia="Arial" w:hAnsi="Arial"/>
          <w:sz w:val="16"/>
          <w:szCs w:val="16"/>
          <w:color w:val="auto"/>
        </w:rPr>
        <w:t>(1) above for which Dr. Kang has no voting or investment control.</w:t>
      </w:r>
    </w:p>
    <w:p>
      <w:pPr>
        <w:spacing w:after="0" w:line="4" w:lineRule="exact"/>
        <w:rPr>
          <w:rFonts w:ascii="Arial" w:cs="Arial" w:eastAsia="Arial" w:hAnsi="Arial"/>
          <w:sz w:val="13"/>
          <w:szCs w:val="13"/>
          <w:color w:val="auto"/>
        </w:rPr>
      </w:pPr>
    </w:p>
    <w:p>
      <w:pPr>
        <w:ind w:left="1200" w:hanging="386"/>
        <w:spacing w:after="0"/>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Consists of 52,500 shares subject to outstanding options that are exercisable within 60 days of June 30, 2021.</w:t>
      </w:r>
    </w:p>
    <w:p>
      <w:pPr>
        <w:spacing w:after="0" w:line="4" w:lineRule="exact"/>
        <w:rPr>
          <w:rFonts w:ascii="Arial" w:cs="Arial" w:eastAsia="Arial" w:hAnsi="Arial"/>
          <w:sz w:val="16"/>
          <w:szCs w:val="16"/>
          <w:color w:val="auto"/>
        </w:rPr>
      </w:pPr>
    </w:p>
    <w:p>
      <w:pPr>
        <w:jc w:val="both"/>
        <w:ind w:left="1200" w:hanging="386"/>
        <w:spacing w:after="0" w:line="302" w:lineRule="auto"/>
        <w:tabs>
          <w:tab w:leader="none" w:pos="120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Consists of 975,000 shares held directly by Dr. Srivastava and 850,000 shares held directly by Gladstone Institutes for which Dr. Srivastava serves as President and may be deemed to have voting and investment control over the shares. Dr. Srivastava disclaims beneficial ownership of the shares held by Gladstone Institutes. Also includes 183,333 shares subject to outstanding options that are exercisable within 60 days of June 30, 2021.</w:t>
      </w:r>
    </w:p>
    <w:p>
      <w:pPr>
        <w:spacing w:after="0" w:line="1" w:lineRule="exact"/>
        <w:rPr>
          <w:rFonts w:ascii="Arial" w:cs="Arial" w:eastAsia="Arial" w:hAnsi="Arial"/>
          <w:sz w:val="13"/>
          <w:szCs w:val="13"/>
          <w:color w:val="auto"/>
        </w:rPr>
      </w:pPr>
    </w:p>
    <w:p>
      <w:pPr>
        <w:ind w:left="1200" w:hanging="386"/>
        <w:spacing w:after="0"/>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Includes 73,750 shares subject to outstanding options that are exercisable within 60 days of June 30, 2021.</w:t>
      </w:r>
    </w:p>
    <w:p>
      <w:pPr>
        <w:spacing w:after="0" w:line="4" w:lineRule="exact"/>
        <w:rPr>
          <w:rFonts w:ascii="Arial" w:cs="Arial" w:eastAsia="Arial" w:hAnsi="Arial"/>
          <w:sz w:val="16"/>
          <w:szCs w:val="16"/>
          <w:color w:val="auto"/>
        </w:rPr>
      </w:pPr>
    </w:p>
    <w:p>
      <w:pPr>
        <w:ind w:left="1200" w:hanging="386"/>
        <w:spacing w:after="0"/>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Consists of 180,000 shares held directly by Dr. Williams.</w:t>
      </w:r>
    </w:p>
    <w:p>
      <w:pPr>
        <w:spacing w:after="0" w:line="4" w:lineRule="exact"/>
        <w:rPr>
          <w:rFonts w:ascii="Arial" w:cs="Arial" w:eastAsia="Arial" w:hAnsi="Arial"/>
          <w:sz w:val="16"/>
          <w:szCs w:val="16"/>
          <w:color w:val="auto"/>
        </w:rPr>
      </w:pPr>
    </w:p>
    <w:p>
      <w:pPr>
        <w:ind w:left="1200" w:right="140" w:hanging="386"/>
        <w:spacing w:after="0" w:line="252" w:lineRule="auto"/>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Includes 4,121,039 shares subject to outstanding options that are exercisable within 60 days of June 30, 2021, of which 1,155,834 shares may be repurchased by us, if exercised, at the original exercise price per share.</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238</w:t>
      </w:r>
    </w:p>
    <w:p>
      <w:pPr>
        <w:sectPr>
          <w:pgSz w:w="11900" w:h="16838" w:orient="portrait"/>
          <w:cols w:equalWidth="0" w:num="1">
            <w:col w:w="10420"/>
          </w:cols>
          <w:pgMar w:left="320" w:top="418" w:right="1159" w:bottom="1440" w:gutter="0" w:footer="0" w:header="0"/>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DESCRIPTION OF CAPITAL STOCK</w:t>
      </w:r>
    </w:p>
    <w:p>
      <w:pPr>
        <w:spacing w:after="0" w:line="197" w:lineRule="exact"/>
        <w:rPr>
          <w:sz w:val="20"/>
          <w:szCs w:val="20"/>
          <w:color w:val="auto"/>
        </w:rPr>
      </w:pPr>
    </w:p>
    <w:p>
      <w:pPr>
        <w:ind w:left="820" w:right="180" w:firstLine="385"/>
        <w:spacing w:after="0" w:line="251" w:lineRule="auto"/>
        <w:rPr>
          <w:sz w:val="20"/>
          <w:szCs w:val="20"/>
          <w:color w:val="auto"/>
        </w:rPr>
      </w:pPr>
      <w:r>
        <w:rPr>
          <w:rFonts w:ascii="Arial" w:cs="Arial" w:eastAsia="Arial" w:hAnsi="Arial"/>
          <w:sz w:val="16"/>
          <w:szCs w:val="16"/>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70" w:lineRule="exact"/>
        <w:rPr>
          <w:sz w:val="20"/>
          <w:szCs w:val="20"/>
          <w:color w:val="auto"/>
        </w:rPr>
      </w:pPr>
    </w:p>
    <w:p>
      <w:pPr>
        <w:ind w:left="820" w:right="120" w:firstLine="385"/>
        <w:spacing w:after="0" w:line="256" w:lineRule="auto"/>
        <w:rPr>
          <w:sz w:val="20"/>
          <w:szCs w:val="20"/>
          <w:color w:val="auto"/>
        </w:rPr>
      </w:pPr>
      <w:r>
        <w:rPr>
          <w:rFonts w:ascii="Arial" w:cs="Arial" w:eastAsia="Arial" w:hAnsi="Arial"/>
          <w:sz w:val="16"/>
          <w:szCs w:val="16"/>
          <w:color w:val="auto"/>
        </w:rPr>
        <w:t>Immediately prior to the completion of this offering, upon the filing of our amended and restated certificate of incorporation to be effective upon completion of this offering, our authorized capital stock will consist of 1,000,000,000 shares of common stock, par value $0.0001 per share, and 200,000,000 shares of preferred stock, par value $0.0001 per share.</w:t>
      </w:r>
    </w:p>
    <w:p>
      <w:pPr>
        <w:spacing w:after="0" w:line="166"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Immediately prior to the completion of this offering, all the outstanding shares of our convertible preferred stock will automatically convert into an aggregate of 156,613,818 shares of our common stock.</w:t>
      </w:r>
    </w:p>
    <w:p>
      <w:pPr>
        <w:spacing w:after="0" w:line="158"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Based on 163,948,679 shares of common stock outstanding as of March 31, 2021, and after giving effect to the automatic conversion of all of our outstanding convertible preferred stock into an aggregate of 156,613,818 shares of common stock immediately prior to the completion of this offering</w:t>
      </w:r>
    </w:p>
    <w:p>
      <w:pPr>
        <w:spacing w:after="0" w:line="1"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and the issuance of shares of common stock in this offering, there will be shares of common stock outstanding upon the completion of this offering. As of March 31, 2021, we had 82 stockholders of record.</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Common Stock</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Voting Rights</w:t>
      </w:r>
    </w:p>
    <w:p>
      <w:pPr>
        <w:spacing w:after="0" w:line="99" w:lineRule="exact"/>
        <w:rPr>
          <w:sz w:val="20"/>
          <w:szCs w:val="20"/>
          <w:color w:val="auto"/>
        </w:rPr>
      </w:pPr>
    </w:p>
    <w:p>
      <w:pPr>
        <w:ind w:left="820" w:right="40" w:firstLine="385"/>
        <w:spacing w:after="0" w:line="314" w:lineRule="auto"/>
        <w:rPr>
          <w:sz w:val="20"/>
          <w:szCs w:val="20"/>
          <w:color w:val="auto"/>
        </w:rPr>
      </w:pPr>
      <w:r>
        <w:rPr>
          <w:rFonts w:ascii="Arial" w:cs="Arial" w:eastAsia="Arial" w:hAnsi="Arial"/>
          <w:sz w:val="13"/>
          <w:szCs w:val="13"/>
          <w:color w:val="auto"/>
        </w:rPr>
        <w:t>Each holder of common stock is entitled to one vote for each share on all matters submitted to a vote of the stockholders, including the election of directors. Our amended and restated certificate of incorporation and amended and restated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Dividends</w:t>
      </w:r>
    </w:p>
    <w:p>
      <w:pPr>
        <w:spacing w:after="0" w:line="99" w:lineRule="exact"/>
        <w:rPr>
          <w:sz w:val="20"/>
          <w:szCs w:val="20"/>
          <w:color w:val="auto"/>
        </w:rPr>
      </w:pPr>
    </w:p>
    <w:p>
      <w:pPr>
        <w:ind w:left="820" w:right="540" w:firstLine="385"/>
        <w:spacing w:after="0" w:line="266" w:lineRule="auto"/>
        <w:rPr>
          <w:sz w:val="20"/>
          <w:szCs w:val="20"/>
          <w:color w:val="auto"/>
        </w:rPr>
      </w:pPr>
      <w:r>
        <w:rPr>
          <w:rFonts w:ascii="Arial" w:cs="Arial" w:eastAsia="Arial" w:hAnsi="Arial"/>
          <w:sz w:val="16"/>
          <w:szCs w:val="16"/>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Liquidation</w:t>
      </w:r>
    </w:p>
    <w:p>
      <w:pPr>
        <w:spacing w:after="0" w:line="99" w:lineRule="exact"/>
        <w:rPr>
          <w:sz w:val="20"/>
          <w:szCs w:val="20"/>
          <w:color w:val="auto"/>
        </w:rPr>
      </w:pPr>
    </w:p>
    <w:p>
      <w:pPr>
        <w:ind w:left="820" w:right="240" w:firstLine="385"/>
        <w:spacing w:after="0" w:line="256"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239</w:t>
      </w:r>
    </w:p>
    <w:p>
      <w:pPr>
        <w:sectPr>
          <w:pgSz w:w="11900" w:h="16838" w:orient="portrait"/>
          <w:cols w:equalWidth="0" w:num="1">
            <w:col w:w="10420"/>
          </w:cols>
          <w:pgMar w:left="320" w:top="418" w:right="1159" w:bottom="1440" w:gutter="0" w:footer="0" w:header="0"/>
        </w:sectPr>
      </w:pPr>
    </w:p>
    <w:bookmarkStart w:id="242" w:name="page243"/>
    <w:bookmarkEnd w:id="2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Rights, Preferences and Privileges</w:t>
      </w:r>
    </w:p>
    <w:p>
      <w:pPr>
        <w:spacing w:after="0" w:line="99" w:lineRule="exact"/>
        <w:rPr>
          <w:sz w:val="20"/>
          <w:szCs w:val="20"/>
          <w:color w:val="auto"/>
        </w:rPr>
      </w:pPr>
    </w:p>
    <w:p>
      <w:pPr>
        <w:jc w:val="both"/>
        <w:ind w:left="820" w:firstLine="385"/>
        <w:spacing w:after="0" w:line="281" w:lineRule="auto"/>
        <w:rPr>
          <w:sz w:val="20"/>
          <w:szCs w:val="20"/>
          <w:color w:val="auto"/>
        </w:rPr>
      </w:pPr>
      <w:r>
        <w:rPr>
          <w:rFonts w:ascii="Arial" w:cs="Arial" w:eastAsia="Arial" w:hAnsi="Arial"/>
          <w:sz w:val="15"/>
          <w:szCs w:val="15"/>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99"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Preferred Stock</w:t>
      </w:r>
    </w:p>
    <w:p>
      <w:pPr>
        <w:spacing w:after="0" w:line="103" w:lineRule="exact"/>
        <w:rPr>
          <w:sz w:val="20"/>
          <w:szCs w:val="20"/>
          <w:color w:val="auto"/>
        </w:rPr>
      </w:pPr>
    </w:p>
    <w:p>
      <w:pPr>
        <w:ind w:left="820" w:right="60" w:firstLine="385"/>
        <w:spacing w:after="0" w:line="267" w:lineRule="auto"/>
        <w:rPr>
          <w:sz w:val="20"/>
          <w:szCs w:val="20"/>
          <w:color w:val="auto"/>
        </w:rPr>
      </w:pPr>
      <w:r>
        <w:rPr>
          <w:rFonts w:ascii="Arial" w:cs="Arial" w:eastAsia="Arial" w:hAnsi="Arial"/>
          <w:sz w:val="15"/>
          <w:szCs w:val="15"/>
          <w:color w:val="auto"/>
        </w:rPr>
        <w:t>Upon the completion of this offering, our board of directors will have the authority, without further action by the stockholders, to issue up to 200,000,000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the completion of this offering, no shares of preferred stock will be outstanding, and we have no present plan to issue any shares of preferred stock.</w:t>
      </w:r>
    </w:p>
    <w:p>
      <w:pPr>
        <w:spacing w:after="0" w:line="25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Options</w:t>
      </w:r>
    </w:p>
    <w:p>
      <w:pPr>
        <w:spacing w:after="0" w:line="103"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As of March 31, 2021, we had outstanding options to purchase an aggregate of 10,368,032 shares of our common stock, with a weighted-average exercise price of $0.51 per share, under our 2016 Plan.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Registration Rights</w:t>
      </w:r>
    </w:p>
    <w:p>
      <w:pPr>
        <w:spacing w:after="0" w:line="103"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After the completion of this offering, under our investors’ rights agreement, as amended, the holders of shares of common stock or their transferees, will have the right to require us to register the offer and sale of their shares or to include their shares in any registration statement we file, in each case as described below.</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99" w:lineRule="exact"/>
        <w:rPr>
          <w:sz w:val="20"/>
          <w:szCs w:val="20"/>
          <w:color w:val="auto"/>
        </w:rPr>
      </w:pPr>
    </w:p>
    <w:p>
      <w:pPr>
        <w:ind w:left="820" w:right="100" w:firstLine="385"/>
        <w:spacing w:after="0" w:line="314" w:lineRule="auto"/>
        <w:rPr>
          <w:sz w:val="20"/>
          <w:szCs w:val="20"/>
          <w:color w:val="auto"/>
        </w:rPr>
      </w:pPr>
      <w:r>
        <w:rPr>
          <w:rFonts w:ascii="Arial" w:cs="Arial" w:eastAsia="Arial" w:hAnsi="Arial"/>
          <w:sz w:val="13"/>
          <w:szCs w:val="13"/>
          <w:color w:val="auto"/>
        </w:rPr>
        <w:t>After the completion of this offering, the holders of up to 156,613,818 shares of our common stock will be entitled to certain demand registration rights. At any time beginning after 180 days following the date of effectiveness of the registration statement of which this prospectus forms a part, the holders of at least 50% of the shares having registration rights then outstanding can request that we file a registration statement to register the offer and sale of their shares. We are only obligated to effect up to two such registrations. Each such request for registration must cover securities of which the anticipated aggregate gross proceeds, before deducting underwriting discounts and expenses, is at least $10.0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Form S-3 Registration Rights</w:t>
      </w:r>
    </w:p>
    <w:p>
      <w:pPr>
        <w:spacing w:after="0" w:line="99"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After the completion of this offering, the holders of up to 156,613,818 shares of our common stock will be entitled to certain Form S-3 registration rights. At any time after the completion of this offering when we are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240</w:t>
      </w:r>
    </w:p>
    <w:p>
      <w:pPr>
        <w:sectPr>
          <w:pgSz w:w="11900" w:h="16838" w:orient="portrait"/>
          <w:cols w:equalWidth="0" w:num="1">
            <w:col w:w="10440"/>
          </w:cols>
          <w:pgMar w:left="320" w:top="418" w:right="1139" w:bottom="1440" w:gutter="0" w:footer="0" w:header="0"/>
        </w:sectPr>
      </w:pPr>
    </w:p>
    <w:bookmarkStart w:id="243" w:name="page244"/>
    <w:bookmarkEnd w:id="2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67" w:lineRule="auto"/>
        <w:rPr>
          <w:sz w:val="20"/>
          <w:szCs w:val="20"/>
          <w:color w:val="auto"/>
        </w:rPr>
      </w:pPr>
      <w:r>
        <w:rPr>
          <w:rFonts w:ascii="Arial" w:cs="Arial" w:eastAsia="Arial" w:hAnsi="Arial"/>
          <w:sz w:val="15"/>
          <w:szCs w:val="15"/>
          <w:color w:val="auto"/>
        </w:rPr>
        <w:t>eligible to file a registration statement on Form S-3, any holders having these rights then outstanding can request that we register the offer and sale of their shares of our common stock on a registration statement on Form S-3 so long as the request covers securities the anticipated aggregate public offering price of which is at least $1.0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 month period, for a period of up to 90 days.</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99"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After the completion of this offering, the holders of up to 156,613,818 shares of our common stock will be entitled to certain “piggyback” registration rights. If we propose to register the offer and sale of shares of our common stock under the Securities Act, the holders of these shares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solely to employee benefit plans;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Expenses of Registration</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We will pay all expenses relating to any demand registrations, Form S-3 registrations and piggyback registrations, subject to specified exceptions.</w:t>
      </w:r>
    </w:p>
    <w:p>
      <w:pPr>
        <w:spacing w:after="0" w:line="3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Termination</w:t>
      </w:r>
    </w:p>
    <w:p>
      <w:pPr>
        <w:spacing w:after="0" w:line="99" w:lineRule="exact"/>
        <w:rPr>
          <w:sz w:val="20"/>
          <w:szCs w:val="20"/>
          <w:color w:val="auto"/>
        </w:rPr>
      </w:pPr>
    </w:p>
    <w:p>
      <w:pPr>
        <w:ind w:left="820" w:firstLine="385"/>
        <w:spacing w:after="0" w:line="343" w:lineRule="auto"/>
        <w:rPr>
          <w:sz w:val="20"/>
          <w:szCs w:val="20"/>
          <w:color w:val="auto"/>
        </w:rPr>
      </w:pPr>
      <w:r>
        <w:rPr>
          <w:rFonts w:ascii="Arial" w:cs="Arial" w:eastAsia="Arial" w:hAnsi="Arial"/>
          <w:sz w:val="13"/>
          <w:szCs w:val="13"/>
          <w:color w:val="auto"/>
        </w:rPr>
        <w:t>The registration rights terminate upon the earliest of (i) the date that is four years after the closing of this offering; (ii) immediately prior to the closing of certain liquidation events; and (iii) as to a given holder of registration rights, the date after the closing of this offering when such holder of registration rights can sell all of such holder’s registrable securities during any 90-day period pursuant to Rule 144 promulgated under the Securities Act.</w:t>
      </w:r>
    </w:p>
    <w:p>
      <w:pPr>
        <w:spacing w:after="0" w:line="204" w:lineRule="exact"/>
        <w:rPr>
          <w:sz w:val="20"/>
          <w:szCs w:val="20"/>
          <w:color w:val="auto"/>
        </w:rPr>
      </w:pPr>
    </w:p>
    <w:p>
      <w:pPr>
        <w:ind w:left="820" w:right="60"/>
        <w:spacing w:after="0" w:line="272" w:lineRule="auto"/>
        <w:rPr>
          <w:sz w:val="20"/>
          <w:szCs w:val="20"/>
          <w:color w:val="auto"/>
        </w:rPr>
      </w:pPr>
      <w:r>
        <w:rPr>
          <w:rFonts w:ascii="Arial" w:cs="Arial" w:eastAsia="Arial" w:hAnsi="Arial"/>
          <w:sz w:val="16"/>
          <w:szCs w:val="16"/>
          <w:b w:val="1"/>
          <w:bCs w:val="1"/>
          <w:color w:val="auto"/>
        </w:rPr>
        <w:t>Anti-Takeover Effects of Certain Provisions of Delaware Law, Our Amended and Restated Certificate of Incorporation and Our Amended and Restated Bylaws</w:t>
      </w:r>
    </w:p>
    <w:p>
      <w:pPr>
        <w:spacing w:after="0" w:line="59" w:lineRule="exact"/>
        <w:rPr>
          <w:sz w:val="20"/>
          <w:szCs w:val="20"/>
          <w:color w:val="auto"/>
        </w:rPr>
      </w:pPr>
    </w:p>
    <w:p>
      <w:pPr>
        <w:jc w:val="both"/>
        <w:ind w:left="820" w:right="440" w:firstLine="385"/>
        <w:spacing w:after="0" w:line="253" w:lineRule="auto"/>
        <w:rPr>
          <w:sz w:val="20"/>
          <w:szCs w:val="20"/>
          <w:color w:val="auto"/>
        </w:rPr>
      </w:pPr>
      <w:r>
        <w:rPr>
          <w:rFonts w:ascii="Arial" w:cs="Arial" w:eastAsia="Arial" w:hAnsi="Arial"/>
          <w:sz w:val="16"/>
          <w:szCs w:val="16"/>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99"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Our amended and restated certificate of incorporation will contain provisions that permit our board of directors to issue, without any further vote or action by the stockholders, shares of preferred stock in one or more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241</w:t>
      </w:r>
    </w:p>
    <w:p>
      <w:pPr>
        <w:sectPr>
          <w:pgSz w:w="11900" w:h="16838" w:orient="portrait"/>
          <w:cols w:equalWidth="0" w:num="1">
            <w:col w:w="10440"/>
          </w:cols>
          <w:pgMar w:left="320" w:top="418" w:right="1139" w:bottom="1440" w:gutter="0" w:footer="0" w:header="0"/>
        </w:sectPr>
      </w:pPr>
    </w:p>
    <w:bookmarkStart w:id="244" w:name="page245"/>
    <w:bookmarkEnd w:id="2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spacing w:after="0" w:line="256" w:lineRule="auto"/>
        <w:rPr>
          <w:sz w:val="20"/>
          <w:szCs w:val="20"/>
          <w:color w:val="auto"/>
        </w:rPr>
      </w:pPr>
      <w:r>
        <w:rPr>
          <w:rFonts w:ascii="Arial" w:cs="Arial" w:eastAsia="Arial" w:hAnsi="Arial"/>
          <w:sz w:val="16"/>
          <w:szCs w:val="16"/>
          <w:color w:val="auto"/>
        </w:rPr>
        <w:t>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Classified Board</w:t>
      </w:r>
    </w:p>
    <w:p>
      <w:pPr>
        <w:spacing w:after="0" w:line="99" w:lineRule="exact"/>
        <w:rPr>
          <w:sz w:val="20"/>
          <w:szCs w:val="20"/>
          <w:color w:val="auto"/>
        </w:rPr>
      </w:pPr>
    </w:p>
    <w:p>
      <w:pPr>
        <w:ind w:left="820" w:right="80" w:firstLine="385"/>
        <w:spacing w:after="0" w:line="250" w:lineRule="auto"/>
        <w:rPr>
          <w:sz w:val="20"/>
          <w:szCs w:val="20"/>
          <w:color w:val="auto"/>
        </w:rPr>
      </w:pPr>
      <w:r>
        <w:rPr>
          <w:rFonts w:ascii="Arial" w:cs="Arial" w:eastAsia="Arial" w:hAnsi="Arial"/>
          <w:sz w:val="16"/>
          <w:szCs w:val="16"/>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the class of directors whose term expires at that annual meeting will be subject to reelection for a three-year term.</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Director Vacancies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amended and restated certificate of incorporation will authorize only our board of directors to fill vacant directorships.</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99" w:lineRule="exact"/>
        <w:rPr>
          <w:sz w:val="20"/>
          <w:szCs w:val="20"/>
          <w:color w:val="auto"/>
        </w:rPr>
      </w:pPr>
    </w:p>
    <w:p>
      <w:pPr>
        <w:ind w:left="820" w:right="380" w:firstLine="385"/>
        <w:spacing w:after="0" w:line="266" w:lineRule="auto"/>
        <w:rPr>
          <w:sz w:val="20"/>
          <w:szCs w:val="20"/>
          <w:color w:val="auto"/>
        </w:rPr>
      </w:pPr>
      <w:r>
        <w:rPr>
          <w:rFonts w:ascii="Arial" w:cs="Arial" w:eastAsia="Arial" w:hAnsi="Arial"/>
          <w:sz w:val="16"/>
          <w:szCs w:val="16"/>
          <w:color w:val="auto"/>
        </w:rPr>
        <w:t>Our amended and restated certificate of incorporation will provide that stockholders do not have the right to cumulate votes in the election of directors.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Special Meetings of Stockholders</w:t>
      </w:r>
    </w:p>
    <w:p>
      <w:pPr>
        <w:spacing w:after="0" w:line="99" w:lineRule="exact"/>
        <w:rPr>
          <w:sz w:val="20"/>
          <w:szCs w:val="20"/>
          <w:color w:val="auto"/>
        </w:rPr>
      </w:pPr>
    </w:p>
    <w:p>
      <w:pPr>
        <w:ind w:left="820" w:right="140" w:firstLine="385"/>
        <w:spacing w:after="0" w:line="256"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Advance Notice Procedures for Director Nominations</w:t>
      </w:r>
    </w:p>
    <w:p>
      <w:pPr>
        <w:spacing w:after="0" w:line="99" w:lineRule="exact"/>
        <w:rPr>
          <w:sz w:val="20"/>
          <w:szCs w:val="20"/>
          <w:color w:val="auto"/>
        </w:rPr>
      </w:pPr>
    </w:p>
    <w:p>
      <w:pPr>
        <w:ind w:left="820" w:right="40" w:firstLine="385"/>
        <w:spacing w:after="0" w:line="316" w:lineRule="auto"/>
        <w:rPr>
          <w:sz w:val="20"/>
          <w:szCs w:val="20"/>
          <w:color w:val="auto"/>
        </w:rPr>
      </w:pPr>
      <w:r>
        <w:rPr>
          <w:rFonts w:ascii="Arial" w:cs="Arial" w:eastAsia="Arial" w:hAnsi="Arial"/>
          <w:sz w:val="13"/>
          <w:szCs w:val="13"/>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242</w:t>
      </w:r>
    </w:p>
    <w:p>
      <w:pPr>
        <w:sectPr>
          <w:pgSz w:w="11900" w:h="16838" w:orient="portrait"/>
          <w:cols w:equalWidth="0" w:num="1">
            <w:col w:w="10440"/>
          </w:cols>
          <w:pgMar w:left="320" w:top="418" w:right="1139" w:bottom="1440" w:gutter="0" w:footer="0" w:header="0"/>
        </w:sectPr>
      </w:pPr>
    </w:p>
    <w:bookmarkStart w:id="245" w:name="page246"/>
    <w:bookmarkEnd w:id="2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Action by Written Consent</w:t>
      </w:r>
    </w:p>
    <w:p>
      <w:pPr>
        <w:spacing w:after="0" w:line="99" w:lineRule="exact"/>
        <w:rPr>
          <w:sz w:val="20"/>
          <w:szCs w:val="20"/>
          <w:color w:val="auto"/>
        </w:rPr>
      </w:pPr>
    </w:p>
    <w:p>
      <w:pPr>
        <w:ind w:left="820" w:right="760" w:firstLine="385"/>
        <w:spacing w:after="0" w:line="383" w:lineRule="auto"/>
        <w:rPr>
          <w:sz w:val="20"/>
          <w:szCs w:val="20"/>
          <w:color w:val="auto"/>
        </w:rPr>
      </w:pPr>
      <w:r>
        <w:rPr>
          <w:rFonts w:ascii="Arial" w:cs="Arial" w:eastAsia="Arial" w:hAnsi="Arial"/>
          <w:sz w:val="13"/>
          <w:szCs w:val="13"/>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Amending Our Certificate of Incorporation and Bylaws</w:t>
      </w:r>
    </w:p>
    <w:p>
      <w:pPr>
        <w:spacing w:after="0" w:line="99"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Authorized but Unissued Shares</w:t>
      </w:r>
    </w:p>
    <w:p>
      <w:pPr>
        <w:spacing w:after="0" w:line="99" w:lineRule="exact"/>
        <w:rPr>
          <w:sz w:val="20"/>
          <w:szCs w:val="20"/>
          <w:color w:val="auto"/>
        </w:rPr>
      </w:pPr>
    </w:p>
    <w:p>
      <w:pPr>
        <w:ind w:left="820" w:right="200" w:firstLine="385"/>
        <w:spacing w:after="0" w:line="251" w:lineRule="auto"/>
        <w:rPr>
          <w:sz w:val="20"/>
          <w:szCs w:val="20"/>
          <w:color w:val="auto"/>
        </w:rPr>
      </w:pPr>
      <w:r>
        <w:rPr>
          <w:rFonts w:ascii="Arial" w:cs="Arial" w:eastAsia="Arial" w:hAnsi="Arial"/>
          <w:sz w:val="16"/>
          <w:szCs w:val="16"/>
          <w:color w:val="auto"/>
        </w:rPr>
        <w:t>Our authorized but unissued shares of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Exclusive Jurisdiction</w:t>
      </w:r>
    </w:p>
    <w:p>
      <w:pPr>
        <w:spacing w:after="0" w:line="99"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Our amended and restated bylaws will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Business Combinations with Interested Stockholders</w:t>
      </w:r>
    </w:p>
    <w:p>
      <w:pPr>
        <w:spacing w:after="0" w:line="99"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243</w:t>
      </w:r>
    </w:p>
    <w:p>
      <w:pPr>
        <w:sectPr>
          <w:pgSz w:w="11900" w:h="16838" w:orient="portrait"/>
          <w:cols w:equalWidth="0" w:num="1">
            <w:col w:w="10400"/>
          </w:cols>
          <w:pgMar w:left="320" w:top="418" w:right="1179" w:bottom="1440" w:gutter="0" w:footer="0" w:header="0"/>
        </w:sectPr>
      </w:pPr>
    </w:p>
    <w:bookmarkStart w:id="246" w:name="page247"/>
    <w:bookmarkEnd w:id="2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spacing w:after="0" w:line="266" w:lineRule="auto"/>
        <w:rPr>
          <w:sz w:val="20"/>
          <w:szCs w:val="20"/>
          <w:color w:val="auto"/>
        </w:rPr>
      </w:pPr>
      <w:r>
        <w:rPr>
          <w:rFonts w:ascii="Arial" w:cs="Arial" w:eastAsia="Arial" w:hAnsi="Arial"/>
          <w:sz w:val="15"/>
          <w:szCs w:val="15"/>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1" w:lineRule="exact"/>
        <w:rPr>
          <w:sz w:val="20"/>
          <w:szCs w:val="20"/>
          <w:color w:val="auto"/>
        </w:rPr>
      </w:pPr>
    </w:p>
    <w:p>
      <w:pPr>
        <w:jc w:val="both"/>
        <w:ind w:left="820" w:firstLine="385"/>
        <w:spacing w:after="0" w:line="253" w:lineRule="auto"/>
        <w:rPr>
          <w:sz w:val="20"/>
          <w:szCs w:val="20"/>
          <w:color w:val="auto"/>
        </w:rPr>
      </w:pPr>
      <w:r>
        <w:rPr>
          <w:rFonts w:ascii="Arial" w:cs="Arial" w:eastAsia="Arial" w:hAnsi="Arial"/>
          <w:sz w:val="16"/>
          <w:szCs w:val="16"/>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67"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each investor’s investment may be adversely affected to the extent we pay the costs of settlement and damage awards against directors and officers pursuant to these indemnification provisions.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Listing</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have applied to list our common stock on the Nasdaq Stock Market under the symbol “TNYA.”</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Transfer Agent and Registrar</w:t>
      </w:r>
    </w:p>
    <w:p>
      <w:pPr>
        <w:spacing w:after="0" w:line="99"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Upon completion of this offering, the transfer agent and registrar for our common stock will be Computershare Trust Company, N.A. The transfer agent and registrar’s address is 150 Royall Street, Canton, Massachusetts 02021.</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244</w:t>
      </w:r>
    </w:p>
    <w:p>
      <w:pPr>
        <w:sectPr>
          <w:pgSz w:w="11900" w:h="16838" w:orient="portrait"/>
          <w:cols w:equalWidth="0" w:num="1">
            <w:col w:w="10420"/>
          </w:cols>
          <w:pgMar w:left="320" w:top="418" w:right="1159" w:bottom="1440" w:gutter="0" w:footer="0" w:header="0"/>
        </w:sectPr>
      </w:pPr>
    </w:p>
    <w:bookmarkStart w:id="247" w:name="page248"/>
    <w:bookmarkEnd w:id="2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SHARES ELIGIBLE FOR FUTURE SALE</w:t>
      </w:r>
    </w:p>
    <w:p>
      <w:pPr>
        <w:spacing w:after="0" w:line="197"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Prior to this offering, there has been no public market for our common stock, and although we expect that our common stock will be approved for listing on the Nasdaq Stock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2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Upon completion of this offering, based on our shares outstanding as of March 31, 2021, and after giving effect to the conversion of all</w:t>
      </w:r>
    </w:p>
    <w:p>
      <w:pPr>
        <w:spacing w:after="0" w:line="28" w:lineRule="exact"/>
        <w:rPr>
          <w:sz w:val="20"/>
          <w:szCs w:val="20"/>
          <w:color w:val="auto"/>
        </w:rPr>
      </w:pPr>
    </w:p>
    <w:p>
      <w:pPr>
        <w:ind w:left="820" w:right="80"/>
        <w:spacing w:after="0" w:line="247" w:lineRule="auto"/>
        <w:rPr>
          <w:sz w:val="20"/>
          <w:szCs w:val="20"/>
          <w:color w:val="auto"/>
        </w:rPr>
      </w:pPr>
      <w:r>
        <w:rPr>
          <w:rFonts w:ascii="Arial" w:cs="Arial" w:eastAsia="Arial" w:hAnsi="Arial"/>
          <w:sz w:val="16"/>
          <w:szCs w:val="16"/>
          <w:color w:val="auto"/>
        </w:rPr>
        <w:t>outstanding shares of our convertible preferred stock, shares of our common stock will be outstanding, or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2" w:lineRule="exact"/>
        <w:rPr>
          <w:sz w:val="20"/>
          <w:szCs w:val="20"/>
          <w:color w:val="auto"/>
        </w:rPr>
      </w:pPr>
    </w:p>
    <w:p>
      <w:pPr>
        <w:ind w:left="820" w:right="160" w:firstLine="385"/>
        <w:spacing w:after="0" w:line="256" w:lineRule="auto"/>
        <w:rPr>
          <w:sz w:val="20"/>
          <w:szCs w:val="20"/>
          <w:color w:val="auto"/>
        </w:rPr>
      </w:pPr>
      <w:r>
        <w:rPr>
          <w:rFonts w:ascii="Arial" w:cs="Arial" w:eastAsia="Arial" w:hAnsi="Arial"/>
          <w:sz w:val="16"/>
          <w:szCs w:val="16"/>
          <w:color w:val="auto"/>
        </w:rPr>
        <w:t>As a result of the lock-up agreements and market stand-off provisions described below and the provisions of Rules 144 or 701, the shares of our common stock that will be deemed “restricted securities” will be available for sale in the public market following the completion of this offering as follows:</w:t>
      </w:r>
    </w:p>
    <w:p>
      <w:pPr>
        <w:spacing w:after="0" w:line="83" w:lineRule="exact"/>
        <w:rPr>
          <w:sz w:val="20"/>
          <w:szCs w:val="20"/>
          <w:color w:val="auto"/>
        </w:rPr>
      </w:pPr>
    </w:p>
    <w:p>
      <w:pPr>
        <w:ind w:left="1660" w:hanging="469"/>
        <w:spacing w:after="0"/>
        <w:tabs>
          <w:tab w:leader="none" w:pos="1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 shares will be eligible for sale on the date of this prospectus; and</w:t>
      </w:r>
    </w:p>
    <w:p>
      <w:pPr>
        <w:spacing w:after="0" w:line="110" w:lineRule="exact"/>
        <w:rPr>
          <w:rFonts w:ascii="Arial" w:cs="Arial" w:eastAsia="Arial" w:hAnsi="Arial"/>
          <w:sz w:val="16"/>
          <w:szCs w:val="16"/>
          <w:color w:val="auto"/>
        </w:rPr>
      </w:pPr>
    </w:p>
    <w:p>
      <w:pPr>
        <w:ind w:left="1660" w:right="220" w:hanging="469"/>
        <w:spacing w:after="0" w:line="266" w:lineRule="auto"/>
        <w:tabs>
          <w:tab w:leader="none" w:pos="1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163,948,679 shares will be eligible for sale upon expiration of the lock-up agreements and market stand-off provisions described below, following the date that is 180 days after the date of this prospectus.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Lock-up Agreements and Market Stand-Off Agreements</w:t>
      </w:r>
    </w:p>
    <w:p>
      <w:pPr>
        <w:spacing w:after="0" w:line="103"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Our officers, directors and substantially all of our securityholders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Morgan Stanley &amp; Co. LLC, Cowen and Company LLC, and Piper Sandler &amp; Co. See the section titled “Underwriters” for additional information.</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Rule 144</w:t>
      </w:r>
    </w:p>
    <w:p>
      <w:pPr>
        <w:spacing w:after="0" w:line="103"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other conditions of Rule 144. Rule 144 also provides that a stockholder who is</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245</w:t>
      </w:r>
    </w:p>
    <w:p>
      <w:pPr>
        <w:sectPr>
          <w:pgSz w:w="11900" w:h="16838" w:orient="portrait"/>
          <w:cols w:equalWidth="0" w:num="1">
            <w:col w:w="10420"/>
          </w:cols>
          <w:pgMar w:left="320" w:top="418" w:right="1159" w:bottom="1440" w:gutter="0" w:footer="0" w:header="0"/>
        </w:sectPr>
      </w:pPr>
    </w:p>
    <w:bookmarkStart w:id="248" w:name="page249"/>
    <w:bookmarkEnd w:id="2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81" w:lineRule="auto"/>
        <w:rPr>
          <w:sz w:val="20"/>
          <w:szCs w:val="20"/>
          <w:color w:val="auto"/>
        </w:rPr>
      </w:pPr>
      <w:r>
        <w:rPr>
          <w:rFonts w:ascii="Arial" w:cs="Arial" w:eastAsia="Arial" w:hAnsi="Arial"/>
          <w:sz w:val="15"/>
          <w:szCs w:val="15"/>
          <w:color w:val="auto"/>
        </w:rPr>
        <w:t>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such shares that does not exceed the greater of the following:</w:t>
      </w:r>
    </w:p>
    <w:p>
      <w:pPr>
        <w:sectPr>
          <w:pgSz w:w="11900" w:h="16838" w:orient="portrait"/>
          <w:cols w:equalWidth="0" w:num="1">
            <w:col w:w="10420"/>
          </w:cols>
          <w:pgMar w:left="320" w:top="418" w:right="1159" w:bottom="1440" w:gutter="0" w:footer="0" w:header="0"/>
        </w:sectPr>
      </w:pPr>
    </w:p>
    <w:p>
      <w:pPr>
        <w:spacing w:after="0" w:line="66"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1% of the number of shares of our capital stock then outstanding, which will equal shares immediately after the completion of this offering, assuming no exercise by the underwriters of their option to purchase additional shares; or</w:t>
      </w:r>
    </w:p>
    <w:p>
      <w:pPr>
        <w:spacing w:after="0" w:line="76" w:lineRule="exact"/>
        <w:rPr>
          <w:sz w:val="20"/>
          <w:szCs w:val="20"/>
          <w:color w:val="auto"/>
        </w:rPr>
      </w:pPr>
    </w:p>
    <w:p>
      <w:pPr>
        <w:sectPr>
          <w:pgSz w:w="11900" w:h="16838" w:orient="portrait"/>
          <w:cols w:equalWidth="0" w:num="2">
            <w:col w:w="1240" w:space="420"/>
            <w:col w:w="8760"/>
          </w:cols>
          <w:pgMar w:left="320" w:top="418" w:right="1159" w:bottom="1440" w:gutter="0" w:footer="0" w:header="0"/>
          <w:type w:val="continuous"/>
        </w:sectPr>
      </w:pPr>
    </w:p>
    <w:p>
      <w:pPr>
        <w:ind w:left="1660" w:right="40" w:hanging="469"/>
        <w:spacing w:after="0" w:line="266" w:lineRule="auto"/>
        <w:tabs>
          <w:tab w:leader="none" w:pos="1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during the four calendar weeks preceding the filing of a notice on Form 144 with respect to such sale.</w:t>
      </w:r>
    </w:p>
    <w:p>
      <w:pPr>
        <w:spacing w:after="0" w:line="158" w:lineRule="exact"/>
        <w:rPr>
          <w:sz w:val="20"/>
          <w:szCs w:val="20"/>
          <w:color w:val="auto"/>
        </w:rPr>
      </w:pPr>
    </w:p>
    <w:p>
      <w:pPr>
        <w:ind w:left="820" w:right="20" w:firstLine="385"/>
        <w:spacing w:after="0" w:line="300" w:lineRule="auto"/>
        <w:rPr>
          <w:sz w:val="20"/>
          <w:szCs w:val="20"/>
          <w:color w:val="auto"/>
        </w:rPr>
      </w:pPr>
      <w:r>
        <w:rPr>
          <w:rFonts w:ascii="Arial" w:cs="Arial" w:eastAsia="Arial" w:hAnsi="Arial"/>
          <w:sz w:val="15"/>
          <w:szCs w:val="15"/>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Rule 701</w:t>
      </w:r>
    </w:p>
    <w:p>
      <w:pPr>
        <w:spacing w:after="0" w:line="103"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25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Registration Rights</w:t>
      </w:r>
    </w:p>
    <w:p>
      <w:pPr>
        <w:spacing w:after="0" w:line="103"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color w:val="auto"/>
        </w:rPr>
        <w:t>After the completion of this offering, the holders of up to 156,613,818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See the section titled “Description of Capital Stock-Registration Rights” for a description of these registration rights.</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Registration Statement</w:t>
      </w:r>
    </w:p>
    <w:p>
      <w:pPr>
        <w:spacing w:after="0" w:line="103" w:lineRule="exact"/>
        <w:rPr>
          <w:sz w:val="20"/>
          <w:szCs w:val="20"/>
          <w:color w:val="auto"/>
        </w:rPr>
      </w:pPr>
    </w:p>
    <w:p>
      <w:pPr>
        <w:ind w:left="820" w:right="60" w:firstLine="385"/>
        <w:spacing w:after="0" w:line="250" w:lineRule="auto"/>
        <w:rPr>
          <w:sz w:val="20"/>
          <w:szCs w:val="20"/>
          <w:color w:val="auto"/>
        </w:rPr>
      </w:pPr>
      <w:r>
        <w:rPr>
          <w:rFonts w:ascii="Arial" w:cs="Arial" w:eastAsia="Arial" w:hAnsi="Arial"/>
          <w:sz w:val="16"/>
          <w:szCs w:val="16"/>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246</w:t>
      </w:r>
    </w:p>
    <w:p>
      <w:pPr>
        <w:sectPr>
          <w:pgSz w:w="11900" w:h="16838" w:orient="portrait"/>
          <w:cols w:equalWidth="0" w:num="1">
            <w:col w:w="10420"/>
          </w:cols>
          <w:pgMar w:left="320" w:top="418" w:right="1159" w:bottom="1440" w:gutter="0" w:footer="0" w:header="0"/>
          <w:type w:val="continuous"/>
        </w:sectPr>
      </w:pPr>
    </w:p>
    <w:bookmarkStart w:id="249" w:name="page250"/>
    <w:bookmarkEnd w:id="2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MATERIAL U.S. FEDERAL INCOME TAX CONSIDERATIONS FOR NON-U.S. HOLDERS</w:t>
      </w:r>
    </w:p>
    <w:p>
      <w:pPr>
        <w:spacing w:after="0" w:line="197"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61" w:lineRule="exact"/>
        <w:rPr>
          <w:sz w:val="20"/>
          <w:szCs w:val="20"/>
          <w:color w:val="auto"/>
        </w:rPr>
      </w:pPr>
    </w:p>
    <w:p>
      <w:pPr>
        <w:jc w:val="both"/>
        <w:ind w:left="820" w:right="60" w:firstLine="385"/>
        <w:spacing w:after="0" w:line="256"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and does not address tax considerations applicable to an investor’s particular circumstances or to investors that may be subject to special tax rules, including, without limitation:</w:t>
      </w:r>
    </w:p>
    <w:p>
      <w:pPr>
        <w:spacing w:after="0" w:line="83" w:lineRule="exact"/>
        <w:rPr>
          <w:sz w:val="20"/>
          <w:szCs w:val="20"/>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banks, insurance companies, regulated investment companies, real estate investment trusts or other financial institutions;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tax-exempt organizations;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pension plans and tax-qualified retirement plans;</w:t>
      </w:r>
    </w:p>
    <w:p>
      <w:pPr>
        <w:spacing w:after="0" w:line="110" w:lineRule="exact"/>
        <w:rPr>
          <w:rFonts w:ascii="Arial" w:cs="Arial" w:eastAsia="Arial" w:hAnsi="Arial"/>
          <w:sz w:val="16"/>
          <w:szCs w:val="16"/>
          <w:color w:val="auto"/>
        </w:rPr>
      </w:pPr>
    </w:p>
    <w:p>
      <w:pPr>
        <w:ind w:left="1660" w:right="280" w:hanging="469"/>
        <w:spacing w:after="0" w:line="266" w:lineRule="auto"/>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brokers or dealers in securities or currencies;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traders in securities that elect to use a mark-to-market method of accounting for their securities holdings;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persons that own, or are deemed to own, more than 5% of our capital stock (except to the extent specifically set forth below);</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United States;</w:t>
      </w:r>
    </w:p>
    <w:p>
      <w:pPr>
        <w:spacing w:after="0" w:line="110"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partnerships (or entities or arrangements classified as such for U.S. federal income tax purposes), other pass-through entities, and investors therein;</w:t>
      </w:r>
    </w:p>
    <w:p>
      <w:pPr>
        <w:spacing w:after="0" w:line="75"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option or otherwise as compensation;</w:t>
      </w:r>
    </w:p>
    <w:p>
      <w:pPr>
        <w:spacing w:after="0" w:line="110"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75"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(generally, property held for investment); or</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deemed to sell our common stock under the constructive sale provisions of the Code.</w:t>
      </w:r>
    </w:p>
    <w:p>
      <w:pPr>
        <w:spacing w:after="0" w:line="193" w:lineRule="exact"/>
        <w:rPr>
          <w:sz w:val="20"/>
          <w:szCs w:val="20"/>
          <w:color w:val="auto"/>
        </w:rPr>
      </w:pPr>
    </w:p>
    <w:p>
      <w:pPr>
        <w:ind w:left="820" w:firstLine="385"/>
        <w:spacing w:after="0" w:line="329" w:lineRule="auto"/>
        <w:rPr>
          <w:sz w:val="20"/>
          <w:szCs w:val="20"/>
          <w:color w:val="auto"/>
        </w:rPr>
      </w:pPr>
      <w:r>
        <w:rPr>
          <w:rFonts w:ascii="Arial" w:cs="Arial" w:eastAsia="Arial" w:hAnsi="Arial"/>
          <w:sz w:val="13"/>
          <w:szCs w:val="13"/>
          <w:color w:val="auto"/>
        </w:rPr>
        <w:t>In addition, if a partnership (or an entity or arrangement classified as a partnership for U.S. federal income tax purposes) holds our common stock, the tax treatment of a partner in such partnership or other entity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247</w:t>
      </w:r>
    </w:p>
    <w:p>
      <w:pPr>
        <w:sectPr>
          <w:pgSz w:w="11900" w:h="16838" w:orient="portrait"/>
          <w:cols w:equalWidth="0" w:num="1">
            <w:col w:w="10400"/>
          </w:cols>
          <w:pgMar w:left="320" w:top="418" w:right="1179" w:bottom="1440" w:gutter="0" w:footer="0" w:header="0"/>
        </w:sectPr>
      </w:pPr>
    </w:p>
    <w:bookmarkStart w:id="250" w:name="page251"/>
    <w:bookmarkEnd w:id="2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right="20" w:firstLine="385"/>
        <w:spacing w:after="0" w:line="346" w:lineRule="auto"/>
        <w:rPr>
          <w:sz w:val="20"/>
          <w:szCs w:val="20"/>
          <w:color w:val="auto"/>
        </w:rPr>
      </w:pPr>
      <w:r>
        <w:rPr>
          <w:rFonts w:ascii="Arial" w:cs="Arial" w:eastAsia="Arial" w:hAnsi="Arial"/>
          <w:sz w:val="13"/>
          <w:szCs w:val="13"/>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or local, non-U.S. or other taxing jurisdiction or under any applicable tax treaty.</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Non-U.S. Holder Defined</w:t>
      </w:r>
    </w:p>
    <w:p>
      <w:pPr>
        <w:spacing w:after="0" w:line="103" w:lineRule="exact"/>
        <w:rPr>
          <w:sz w:val="20"/>
          <w:szCs w:val="20"/>
          <w:color w:val="auto"/>
        </w:rPr>
      </w:pPr>
    </w:p>
    <w:p>
      <w:pPr>
        <w:ind w:left="820" w:right="140" w:firstLine="385"/>
        <w:spacing w:after="0" w:line="300" w:lineRule="auto"/>
        <w:rPr>
          <w:sz w:val="20"/>
          <w:szCs w:val="20"/>
          <w:color w:val="auto"/>
        </w:rPr>
      </w:pPr>
      <w:r>
        <w:rPr>
          <w:rFonts w:ascii="Arial" w:cs="Arial" w:eastAsia="Arial" w:hAnsi="Arial"/>
          <w:sz w:val="15"/>
          <w:szCs w:val="15"/>
          <w:color w:val="auto"/>
        </w:rPr>
        <w:t>For purposes of this discussion, you are a “non-U.S. holder” if you are a beneficial owner of our common stock that, for U.S. federal income tax purposes, is not a partnership (including any entity or arrangement treated as a partnership and the equity holders therein) or:</w:t>
      </w:r>
    </w:p>
    <w:p>
      <w:pPr>
        <w:spacing w:after="0" w:line="52" w:lineRule="exact"/>
        <w:rPr>
          <w:sz w:val="20"/>
          <w:szCs w:val="20"/>
          <w:color w:val="auto"/>
        </w:rPr>
      </w:pPr>
    </w:p>
    <w:p>
      <w:pPr>
        <w:ind w:left="1660" w:hanging="469"/>
        <w:spacing w:after="0"/>
        <w:tabs>
          <w:tab w:leader="none" w:pos="1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110" w:lineRule="exact"/>
        <w:rPr>
          <w:rFonts w:ascii="Arial" w:cs="Arial" w:eastAsia="Arial" w:hAnsi="Arial"/>
          <w:sz w:val="16"/>
          <w:szCs w:val="16"/>
          <w:color w:val="auto"/>
        </w:rPr>
      </w:pPr>
    </w:p>
    <w:p>
      <w:pPr>
        <w:jc w:val="both"/>
        <w:ind w:left="1660" w:right="180" w:hanging="469"/>
        <w:spacing w:after="0" w:line="256" w:lineRule="auto"/>
        <w:tabs>
          <w:tab w:leader="none" w:pos="1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trust (i) whose administration is subject to the primary supervision of a U.S. court and that has one or more U.S. persons who have the authority to control all substantial decisions of the trust or (ii) that has made a valid election under applicable Treasury Regulations to be treated as a U.S. person.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Distributions</w:t>
      </w:r>
    </w:p>
    <w:p>
      <w:pPr>
        <w:spacing w:after="0" w:line="103" w:lineRule="exact"/>
        <w:rPr>
          <w:sz w:val="20"/>
          <w:szCs w:val="20"/>
          <w:color w:val="auto"/>
        </w:rPr>
      </w:pPr>
    </w:p>
    <w:p>
      <w:pPr>
        <w:ind w:left="820" w:firstLine="385"/>
        <w:spacing w:after="0" w:line="323" w:lineRule="auto"/>
        <w:rPr>
          <w:sz w:val="20"/>
          <w:szCs w:val="20"/>
          <w:color w:val="auto"/>
        </w:rPr>
      </w:pPr>
      <w:r>
        <w:rPr>
          <w:rFonts w:ascii="Arial" w:cs="Arial" w:eastAsia="Arial" w:hAnsi="Arial"/>
          <w:sz w:val="13"/>
          <w:szCs w:val="13"/>
          <w:color w:val="auto"/>
        </w:rPr>
        <w:t>As described in the section titled “Dividend Policy,” we have never declared or paid cash dividends on our capital stock,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26"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Subject to the discussions below on effectively connected income and in the subsections titled “-Backup Withholding and Information Reporting” and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 properly executed IRS Form W-8BEN or W-8BEN-E or other appropriate version of IRS Form W-8 certifying qualification for the reduced rate. If you are eligible for a reduced rate of U.S. federal withholding tax pursuant to an income tax treaty, you may obtain a refund of any excess amounts withheld by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33"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w:t>
      </w:r>
    </w:p>
    <w:p>
      <w:pPr>
        <w:spacing w:after="0" w:line="1" w:lineRule="exact"/>
        <w:rPr>
          <w:sz w:val="20"/>
          <w:szCs w:val="20"/>
          <w:color w:val="auto"/>
        </w:rPr>
      </w:pPr>
    </w:p>
    <w:p>
      <w:pPr>
        <w:ind w:left="820" w:right="20"/>
        <w:spacing w:after="0" w:line="268" w:lineRule="auto"/>
        <w:rPr>
          <w:sz w:val="20"/>
          <w:szCs w:val="20"/>
          <w:color w:val="auto"/>
        </w:rPr>
      </w:pPr>
      <w:r>
        <w:rPr>
          <w:rFonts w:ascii="Arial" w:cs="Arial" w:eastAsia="Arial" w:hAnsi="Arial"/>
          <w:sz w:val="15"/>
          <w:szCs w:val="15"/>
          <w:color w:val="auto"/>
        </w:rPr>
        <w:t>30% U.S. federal withholding tax, subject to the discussion below in the subsections titled “-Backup Withholding and Information Reporting” and “-Foreign Account Tax Compliance Act (FATCA).” In order to obtain this exemption, you must provide us with a properly executed IRS Form W-8ECI or applicable successor form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248</w:t>
      </w:r>
    </w:p>
    <w:p>
      <w:pPr>
        <w:sectPr>
          <w:pgSz w:w="11900" w:h="16838" w:orient="portrait"/>
          <w:cols w:equalWidth="0" w:num="1">
            <w:col w:w="10420"/>
          </w:cols>
          <w:pgMar w:left="320" w:top="418" w:right="1159" w:bottom="1440" w:gutter="0" w:footer="0" w:header="0"/>
        </w:sectPr>
      </w:pPr>
    </w:p>
    <w:bookmarkStart w:id="251" w:name="page252"/>
    <w:bookmarkEnd w:id="2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20"/>
        <w:spacing w:after="0" w:line="343" w:lineRule="auto"/>
        <w:rPr>
          <w:sz w:val="20"/>
          <w:szCs w:val="20"/>
          <w:color w:val="auto"/>
        </w:rPr>
      </w:pPr>
      <w:r>
        <w:rPr>
          <w:rFonts w:ascii="Arial" w:cs="Arial" w:eastAsia="Arial" w:hAnsi="Arial"/>
          <w:sz w:val="13"/>
          <w:szCs w:val="13"/>
          <w:color w:val="auto"/>
        </w:rPr>
        <w:t>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Gain on Disposition of Common Stock</w:t>
      </w:r>
    </w:p>
    <w:p>
      <w:pPr>
        <w:spacing w:after="0" w:line="10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Subject to the discussion in the subsections titled “-Backup Withholding and Information Reporting,” and “-Foreign Account Tax Compliance Act (FATCA),” you generally will not be required to pay U.S. federal income tax on any gain realized upon the sale or other disposition of our common stock unless:</w:t>
      </w:r>
    </w:p>
    <w:p>
      <w:pPr>
        <w:spacing w:after="0" w:line="83" w:lineRule="exact"/>
        <w:rPr>
          <w:sz w:val="20"/>
          <w:szCs w:val="20"/>
          <w:color w:val="auto"/>
        </w:rPr>
      </w:pPr>
    </w:p>
    <w:p>
      <w:pPr>
        <w:ind w:left="1660" w:right="40" w:hanging="469"/>
        <w:spacing w:after="0" w:line="266" w:lineRule="auto"/>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5"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6"/>
          <w:szCs w:val="16"/>
          <w:color w:val="auto"/>
        </w:rPr>
      </w:pPr>
    </w:p>
    <w:p>
      <w:pPr>
        <w:ind w:left="1660" w:right="120" w:hanging="469"/>
        <w:spacing w:after="0" w:line="272"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by reason of our status as a “U.S.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154"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If we are a USRPHC and either our common stock is not regularly traded on an established securities market or you hold, or are treated as holding, more than 5% of our outstanding common stock, directly or indirectly, during the applicable testing period, you will generally be taxed on any gain in the same manner as gain that is effectively connected with the conduct of a U.S. trade or business, except that the branch profits tax generally will not apply. If we are a USRPHC and our common stock is not regularly traded on an established securities market, your proceeds received on the disposition of shares will also generally be subject to withholding at a rate of 15%. You are encouraged to consult your own tax advisors regarding the possible consequences to you if we are, or were to become, a USRPHC.</w:t>
      </w:r>
    </w:p>
    <w:p>
      <w:pPr>
        <w:spacing w:after="0" w:line="137" w:lineRule="exact"/>
        <w:rPr>
          <w:sz w:val="20"/>
          <w:szCs w:val="20"/>
          <w:color w:val="auto"/>
        </w:rPr>
      </w:pPr>
    </w:p>
    <w:p>
      <w:pPr>
        <w:ind w:left="820" w:right="20" w:firstLine="385"/>
        <w:spacing w:after="0" w:line="268" w:lineRule="auto"/>
        <w:rPr>
          <w:sz w:val="20"/>
          <w:szCs w:val="20"/>
          <w:color w:val="auto"/>
        </w:rPr>
      </w:pPr>
      <w:r>
        <w:rPr>
          <w:rFonts w:ascii="Arial" w:cs="Arial" w:eastAsia="Arial" w:hAnsi="Arial"/>
          <w:sz w:val="15"/>
          <w:szCs w:val="15"/>
          <w:color w:val="auto"/>
        </w:rPr>
        <w:t>If you are a non-U.S. holder described in the first bullet above, you will be required to pay tax on the gain derived from the sale (net of certain deductions and credits) under the same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on such gain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249</w:t>
      </w:r>
    </w:p>
    <w:p>
      <w:pPr>
        <w:sectPr>
          <w:pgSz w:w="11900" w:h="16838" w:orient="portrait"/>
          <w:cols w:equalWidth="0" w:num="1">
            <w:col w:w="10440"/>
          </w:cols>
          <w:pgMar w:left="320" w:top="418" w:right="1139" w:bottom="1440" w:gutter="0" w:footer="0" w:header="0"/>
        </w:sectPr>
      </w:pPr>
    </w:p>
    <w:bookmarkStart w:id="252" w:name="page253"/>
    <w:bookmarkEnd w:id="2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10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6"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Payments of dividends on or of proceeds from the disposition of our common stock made to you may also be subject to backup withholding at a current rate of 24% unless you establish an exemption, for example, by properly certifying your non-U.S. status on a properly completed IRS Form W-8BEN or W-8BEN-E or another appropriate version of IRS Form W-8. Notwithstanding the foregoing, backup withholding may apply if either we or our paying agent has actual knowledge, or reason to know, that you are a U.S. person.</w:t>
      </w:r>
    </w:p>
    <w:p>
      <w:pPr>
        <w:spacing w:after="0" w:line="167"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Foreign Account Tax Compliance Act (FATCA)</w:t>
      </w:r>
    </w:p>
    <w:p>
      <w:pPr>
        <w:spacing w:after="0" w:line="103"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The Foreign Account Tax Compliance Act, Treasury Regulations issued thereunder and official IRS guidance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327" w:lineRule="exact"/>
        <w:rPr>
          <w:sz w:val="20"/>
          <w:szCs w:val="20"/>
          <w:color w:val="auto"/>
        </w:rPr>
      </w:pPr>
    </w:p>
    <w:p>
      <w:pPr>
        <w:ind w:left="820" w:right="240" w:firstLine="385"/>
        <w:spacing w:after="0" w:line="343" w:lineRule="auto"/>
        <w:rPr>
          <w:sz w:val="20"/>
          <w:szCs w:val="20"/>
          <w:color w:val="auto"/>
        </w:rPr>
      </w:pPr>
      <w:r>
        <w:rPr>
          <w:rFonts w:ascii="Arial" w:cs="Arial" w:eastAsia="Arial" w:hAnsi="Arial"/>
          <w:sz w:val="13"/>
          <w:szCs w:val="13"/>
          <w:color w:val="auto"/>
        </w:rPr>
        <w:t>The Treasury Secretary has issued proposed Treasury Regulations, which, if finalized in their present form, would eliminate withholding under FATCA with respect to payment of gross proceeds from a sale or other disposition of our common stock. In its preamble to such proposed Treasury Regulations, the U.S. Treasury stated that taxpayers may generally rely on the proposed Treasury Regulations until final regulations are issued.</w:t>
      </w:r>
    </w:p>
    <w:p>
      <w:pPr>
        <w:spacing w:after="0" w:line="110" w:lineRule="exact"/>
        <w:rPr>
          <w:sz w:val="20"/>
          <w:szCs w:val="20"/>
          <w:color w:val="auto"/>
        </w:rPr>
      </w:pPr>
    </w:p>
    <w:p>
      <w:pPr>
        <w:ind w:left="820" w:firstLine="385"/>
        <w:spacing w:after="0" w:line="254" w:lineRule="auto"/>
        <w:rPr>
          <w:sz w:val="20"/>
          <w:szCs w:val="20"/>
          <w:color w:val="auto"/>
        </w:rPr>
      </w:pPr>
      <w:r>
        <w:rPr>
          <w:rFonts w:ascii="Arial" w:cs="Arial" w:eastAsia="Arial" w:hAnsi="Arial"/>
          <w:sz w:val="16"/>
          <w:szCs w:val="16"/>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250</w:t>
      </w:r>
    </w:p>
    <w:p>
      <w:pPr>
        <w:sectPr>
          <w:pgSz w:w="11900" w:h="16838" w:orient="portrait"/>
          <w:cols w:equalWidth="0" w:num="1">
            <w:col w:w="10420"/>
          </w:cols>
          <w:pgMar w:left="320" w:top="418" w:right="1159" w:bottom="1440" w:gutter="0" w:footer="0" w:header="0"/>
        </w:sectPr>
      </w:pPr>
    </w:p>
    <w:bookmarkStart w:id="253" w:name="page254"/>
    <w:bookmarkEnd w:id="2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UNDERWRITERS</w:t>
      </w:r>
    </w:p>
    <w:p>
      <w:pPr>
        <w:spacing w:after="0" w:line="197" w:lineRule="exact"/>
        <w:rPr>
          <w:sz w:val="20"/>
          <w:szCs w:val="20"/>
          <w:color w:val="auto"/>
        </w:rPr>
      </w:pPr>
    </w:p>
    <w:p>
      <w:pPr>
        <w:ind w:left="820" w:right="200" w:firstLine="385"/>
        <w:spacing w:after="0" w:line="281"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the underwriters named below, for whom Morgan Stanley &amp; Co. LLC, Cowen and Company, LLC and Piper Sandler &amp; Co. are acting as representatives, have severally agreed to purchase, and we have agreed to sell to them, severally, the number of shares indicated below:</w:t>
      </w:r>
    </w:p>
    <w:p>
      <w:pPr>
        <w:sectPr>
          <w:pgSz w:w="11900" w:h="16838" w:orient="portrait"/>
          <w:cols w:equalWidth="0" w:num="1">
            <w:col w:w="10440"/>
          </w:cols>
          <w:pgMar w:left="320" w:top="418" w:right="1139" w:bottom="1440" w:gutter="0" w:footer="0" w:header="0"/>
        </w:sectPr>
      </w:pPr>
    </w:p>
    <w:p>
      <w:pPr>
        <w:spacing w:after="0" w:line="295" w:lineRule="exact"/>
        <w:rPr>
          <w:sz w:val="20"/>
          <w:szCs w:val="20"/>
          <w:color w:val="auto"/>
        </w:rPr>
      </w:pPr>
    </w:p>
    <w:p>
      <w:pPr>
        <w:ind w:left="4880"/>
        <w:spacing w:after="0"/>
        <w:rPr>
          <w:sz w:val="20"/>
          <w:szCs w:val="20"/>
          <w:color w:val="auto"/>
        </w:rPr>
      </w:pPr>
      <w:r>
        <w:rPr>
          <w:rFonts w:ascii="Arial" w:cs="Arial" w:eastAsia="Arial" w:hAnsi="Arial"/>
          <w:sz w:val="10"/>
          <w:szCs w:val="10"/>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29210</wp:posOffset>
            </wp:positionV>
            <wp:extent cx="4581525" cy="1200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58152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460"/>
        <w:spacing w:after="0"/>
        <w:rPr>
          <w:sz w:val="20"/>
          <w:szCs w:val="20"/>
          <w:color w:val="auto"/>
        </w:rPr>
      </w:pPr>
      <w:r>
        <w:rPr>
          <w:rFonts w:ascii="Arial" w:cs="Arial" w:eastAsia="Arial" w:hAnsi="Arial"/>
          <w:sz w:val="10"/>
          <w:szCs w:val="10"/>
          <w:b w:val="1"/>
          <w:bCs w:val="1"/>
          <w:color w:val="auto"/>
        </w:rPr>
        <w:t>Number of</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3"/>
          <w:szCs w:val="1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37401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74015" cy="7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680" w:space="720"/>
            <w:col w:w="2040"/>
          </w:cols>
          <w:pgMar w:left="320" w:top="418" w:right="1139" w:bottom="1440" w:gutter="0" w:footer="0" w:header="0"/>
          <w:type w:val="continuous"/>
        </w:sectPr>
      </w:pPr>
    </w:p>
    <w:p>
      <w:pPr>
        <w:ind w:left="2020"/>
        <w:spacing w:after="0"/>
        <w:rPr>
          <w:sz w:val="20"/>
          <w:szCs w:val="20"/>
          <w:color w:val="auto"/>
        </w:rPr>
      </w:pPr>
      <w:r>
        <w:rPr>
          <w:rFonts w:ascii="Arial" w:cs="Arial" w:eastAsia="Arial" w:hAnsi="Arial"/>
          <w:sz w:val="16"/>
          <w:szCs w:val="16"/>
          <w:color w:val="auto"/>
        </w:rPr>
        <w:t>Morgan Stanley &amp; Co. LLC</w:t>
      </w:r>
    </w:p>
    <w:p>
      <w:pPr>
        <w:spacing w:after="0" w:line="3"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Cowen and Company, LLC</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-115570</wp:posOffset>
            </wp:positionV>
            <wp:extent cx="4581525" cy="1200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581525" cy="120015"/>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6"/>
          <w:szCs w:val="16"/>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3810</wp:posOffset>
            </wp:positionV>
            <wp:extent cx="60642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6425" cy="7620"/>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-107950</wp:posOffset>
            </wp:positionV>
            <wp:extent cx="4581525" cy="1270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581525" cy="127000"/>
                    </a:xfrm>
                    <a:prstGeom prst="rect">
                      <a:avLst/>
                    </a:prstGeom>
                    <a:noFill/>
                  </pic:spPr>
                </pic:pic>
              </a:graphicData>
            </a:graphic>
          </wp:anchor>
        </w:drawing>
      </w:r>
    </w:p>
    <w:p>
      <w:pPr>
        <w:spacing w:after="0" w:line="197"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w:t>
      </w:r>
    </w:p>
    <w:p>
      <w:pPr>
        <w:spacing w:after="0" w:line="51" w:lineRule="exact"/>
        <w:rPr>
          <w:sz w:val="20"/>
          <w:szCs w:val="20"/>
          <w:color w:val="auto"/>
        </w:rPr>
      </w:pPr>
    </w:p>
    <w:p>
      <w:pPr>
        <w:jc w:val="both"/>
        <w:ind w:left="820" w:right="80"/>
        <w:spacing w:after="0" w:line="248"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171" w:lineRule="exact"/>
        <w:rPr>
          <w:sz w:val="20"/>
          <w:szCs w:val="20"/>
          <w:color w:val="auto"/>
        </w:rPr>
      </w:pPr>
    </w:p>
    <w:p>
      <w:pPr>
        <w:ind w:left="820" w:right="80" w:firstLine="385"/>
        <w:spacing w:after="0" w:line="319" w:lineRule="auto"/>
        <w:rPr>
          <w:sz w:val="20"/>
          <w:szCs w:val="20"/>
          <w:color w:val="auto"/>
        </w:rPr>
      </w:pPr>
      <w:r>
        <w:rPr>
          <w:rFonts w:ascii="Arial" w:cs="Arial" w:eastAsia="Arial" w:hAnsi="Arial"/>
          <w:sz w:val="13"/>
          <w:szCs w:val="13"/>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2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w:t>
      </w:r>
    </w:p>
    <w:p>
      <w:pPr>
        <w:spacing w:after="0" w:line="51" w:lineRule="exact"/>
        <w:rPr>
          <w:sz w:val="20"/>
          <w:szCs w:val="20"/>
          <w:color w:val="auto"/>
        </w:rPr>
      </w:pPr>
    </w:p>
    <w:p>
      <w:pPr>
        <w:ind w:left="820" w:right="100"/>
        <w:spacing w:after="0" w:line="252" w:lineRule="auto"/>
        <w:rPr>
          <w:sz w:val="20"/>
          <w:szCs w:val="20"/>
          <w:color w:val="auto"/>
        </w:rPr>
      </w:pPr>
      <w:r>
        <w:rPr>
          <w:rFonts w:ascii="Arial" w:cs="Arial" w:eastAsia="Arial" w:hAnsi="Arial"/>
          <w:sz w:val="16"/>
          <w:szCs w:val="16"/>
          <w:color w:val="auto"/>
        </w:rPr>
        <w:t>us. These amounts are shown assuming both no exercise and full exercise of the underwriters’ option to purchase up to an additional shares of common stock.</w:t>
      </w:r>
    </w:p>
    <w:p>
      <w:pPr>
        <w:spacing w:after="0" w:line="18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0" w:type="dxa"/>
            <w:vAlign w:val="bottom"/>
            <w:vMerge w:val="restart"/>
          </w:tcPr>
          <w:p>
            <w:pPr>
              <w:jc w:val="right"/>
              <w:ind w:right="161"/>
              <w:spacing w:after="0"/>
              <w:rPr>
                <w:sz w:val="20"/>
                <w:szCs w:val="20"/>
                <w:color w:val="auto"/>
              </w:rPr>
            </w:pPr>
            <w:r>
              <w:rPr>
                <w:rFonts w:ascii="Arial" w:cs="Arial" w:eastAsia="Arial" w:hAnsi="Arial"/>
                <w:sz w:val="13"/>
                <w:szCs w:val="13"/>
                <w:b w:val="1"/>
                <w:bCs w:val="1"/>
                <w:color w:val="auto"/>
              </w:rPr>
              <w:t>Per</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Full</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8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0" w:type="dxa"/>
            <w:vAlign w:val="bottom"/>
          </w:tcPr>
          <w:p>
            <w:pPr>
              <w:jc w:val="right"/>
              <w:ind w:right="101"/>
              <w:spacing w:after="0"/>
              <w:rPr>
                <w:sz w:val="20"/>
                <w:szCs w:val="20"/>
                <w:color w:val="auto"/>
              </w:rPr>
            </w:pPr>
            <w:r>
              <w:rPr>
                <w:rFonts w:ascii="Arial" w:cs="Arial" w:eastAsia="Arial" w:hAnsi="Arial"/>
                <w:sz w:val="13"/>
                <w:szCs w:val="13"/>
                <w:b w:val="1"/>
                <w:bCs w:val="1"/>
                <w:color w:val="auto"/>
              </w:rPr>
              <w:t>Share</w:t>
            </w:r>
          </w:p>
        </w:tc>
        <w:tc>
          <w:tcPr>
            <w:tcW w:w="960" w:type="dxa"/>
            <w:vAlign w:val="bottom"/>
            <w:gridSpan w:val="2"/>
          </w:tcPr>
          <w:p>
            <w:pPr>
              <w:ind w:left="320"/>
              <w:spacing w:after="0"/>
              <w:rPr>
                <w:sz w:val="20"/>
                <w:szCs w:val="20"/>
                <w:color w:val="auto"/>
              </w:rPr>
            </w:pPr>
            <w:r>
              <w:rPr>
                <w:rFonts w:ascii="Arial" w:cs="Arial" w:eastAsia="Arial" w:hAnsi="Arial"/>
                <w:sz w:val="13"/>
                <w:szCs w:val="13"/>
                <w:b w:val="1"/>
                <w:bCs w:val="1"/>
                <w:color w:val="auto"/>
                <w:w w:val="83"/>
              </w:rPr>
              <w:t>No Exercise</w:t>
            </w:r>
          </w:p>
        </w:tc>
        <w:tc>
          <w:tcPr>
            <w:tcW w:w="34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Exercise</w:t>
            </w:r>
          </w:p>
        </w:tc>
        <w:tc>
          <w:tcPr>
            <w:tcW w:w="0" w:type="dxa"/>
            <w:vAlign w:val="bottom"/>
          </w:tcPr>
          <w:p>
            <w:pPr>
              <w:spacing w:after="0"/>
              <w:rPr>
                <w:sz w:val="1"/>
                <w:szCs w:val="1"/>
                <w:color w:val="auto"/>
              </w:rPr>
            </w:pPr>
          </w:p>
        </w:tc>
      </w:tr>
      <w:tr>
        <w:trPr>
          <w:trHeight w:val="180"/>
        </w:trPr>
        <w:tc>
          <w:tcPr>
            <w:tcW w:w="48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Public offering price</w:t>
            </w:r>
          </w:p>
        </w:tc>
        <w:tc>
          <w:tcPr>
            <w:tcW w:w="2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color w:val="auto"/>
              </w:rPr>
              <w:t>Underwriting discounts and commissions</w:t>
            </w:r>
          </w:p>
        </w:tc>
        <w:tc>
          <w:tcPr>
            <w:tcW w:w="2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2840" w:type="dxa"/>
            <w:vAlign w:val="bottom"/>
            <w:gridSpan w:val="2"/>
            <w:shd w:val="clear" w:color="auto" w:fill="CCEEFF"/>
          </w:tcPr>
          <w:p>
            <w:pPr>
              <w:jc w:val="right"/>
              <w:ind w:right="481"/>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85"/>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8640" w:type="dxa"/>
            <w:vAlign w:val="bottom"/>
            <w:gridSpan w:val="5"/>
          </w:tcPr>
          <w:p>
            <w:pPr>
              <w:ind w:left="380"/>
              <w:spacing w:after="0"/>
              <w:rPr>
                <w:sz w:val="20"/>
                <w:szCs w:val="20"/>
                <w:color w:val="auto"/>
              </w:rPr>
            </w:pPr>
            <w:r>
              <w:rPr>
                <w:rFonts w:ascii="Arial" w:cs="Arial" w:eastAsia="Arial" w:hAnsi="Arial"/>
                <w:sz w:val="16"/>
                <w:szCs w:val="16"/>
                <w:color w:val="auto"/>
                <w:w w:val="92"/>
              </w:rPr>
              <w:t>The estimated offering expenses payable by us, exclusive of the underwriting discounts and commissions, are approximately $</w:t>
            </w:r>
          </w:p>
        </w:tc>
        <w:tc>
          <w:tcPr>
            <w:tcW w:w="980" w:type="dxa"/>
            <w:vAlign w:val="bottom"/>
            <w:gridSpan w:val="3"/>
          </w:tcPr>
          <w:p>
            <w:pPr>
              <w:jc w:val="center"/>
              <w:ind w:left="207"/>
              <w:spacing w:after="0"/>
              <w:rPr>
                <w:sz w:val="20"/>
                <w:szCs w:val="20"/>
                <w:color w:val="auto"/>
              </w:rPr>
            </w:pPr>
            <w:r>
              <w:rPr>
                <w:rFonts w:ascii="Arial" w:cs="Arial" w:eastAsia="Arial" w:hAnsi="Arial"/>
                <w:sz w:val="16"/>
                <w:szCs w:val="16"/>
                <w:color w:val="auto"/>
                <w:w w:val="86"/>
              </w:rPr>
              <w:t>. We have</w:t>
            </w:r>
          </w:p>
        </w:tc>
        <w:tc>
          <w:tcPr>
            <w:tcW w:w="0" w:type="dxa"/>
            <w:vAlign w:val="bottom"/>
          </w:tcPr>
          <w:p>
            <w:pPr>
              <w:spacing w:after="0"/>
              <w:rPr>
                <w:sz w:val="1"/>
                <w:szCs w:val="1"/>
                <w:color w:val="auto"/>
              </w:rPr>
            </w:pPr>
          </w:p>
        </w:tc>
      </w:tr>
    </w:tbl>
    <w:p>
      <w:pPr>
        <w:ind w:left="820"/>
        <w:spacing w:after="0"/>
        <w:rPr>
          <w:sz w:val="20"/>
          <w:szCs w:val="20"/>
          <w:color w:val="auto"/>
        </w:rPr>
      </w:pPr>
      <w:r>
        <w:rPr>
          <w:rFonts w:ascii="Arial" w:cs="Arial" w:eastAsia="Arial" w:hAnsi="Arial"/>
          <w:sz w:val="13"/>
          <w:szCs w:val="13"/>
          <w:color w:val="auto"/>
        </w:rPr>
        <w:t>agreed to reimburse the underwriters for expense relating to clearance of this offering with the Financial Industry Regulatory Authority, Inc. (FINRA) up</w:t>
      </w:r>
    </w:p>
    <w:p>
      <w:pPr>
        <w:spacing w:after="0" w:line="327"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to $</w:t>
      </w:r>
      <w:r>
        <w:rPr>
          <w:sz w:val="20"/>
          <w:szCs w:val="20"/>
          <w:color w:val="auto"/>
        </w:rPr>
        <w:tab/>
      </w:r>
      <w:r>
        <w:rPr>
          <w:rFonts w:ascii="Arial" w:cs="Arial" w:eastAsia="Arial" w:hAnsi="Arial"/>
          <w:sz w:val="13"/>
          <w:szCs w:val="13"/>
          <w:color w:val="auto"/>
        </w:rPr>
        <w:t>.</w:t>
      </w:r>
    </w:p>
    <w:p>
      <w:pPr>
        <w:spacing w:after="0" w:line="1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251</w:t>
      </w:r>
    </w:p>
    <w:p>
      <w:pPr>
        <w:sectPr>
          <w:pgSz w:w="11900" w:h="16838" w:orient="portrait"/>
          <w:cols w:equalWidth="0" w:num="1">
            <w:col w:w="10440"/>
          </w:cols>
          <w:pgMar w:left="320" w:top="418" w:right="1139" w:bottom="1440" w:gutter="0" w:footer="0" w:header="0"/>
          <w:type w:val="continuous"/>
        </w:sectPr>
      </w:pPr>
    </w:p>
    <w:bookmarkStart w:id="254" w:name="page255"/>
    <w:bookmarkEnd w:id="2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shares of common stock offered by them.</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have applied to list our common stock on the Nasdaq Stock Market under the trading symbol “TNYA”.</w:t>
      </w:r>
    </w:p>
    <w:p>
      <w:pPr>
        <w:spacing w:after="0" w:line="193"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In connection with this offering, we and all of our directors and officers and substantially all of our securityholders have agreed that, without the prior written consent of Morgan Stanley &amp; Co. LLC, Cowen and Company, LLC and Piper Sandler &amp; Co. on behalf of the underwriters, we and they will not, and will not publicly disclose an intention to, during the period from the date of this prospectus continuing through the date 180 days after the date of this prospectus (the Restricted Period):</w:t>
      </w:r>
    </w:p>
    <w:p>
      <w:pPr>
        <w:spacing w:after="0" w:line="85" w:lineRule="exact"/>
        <w:rPr>
          <w:sz w:val="20"/>
          <w:szCs w:val="20"/>
          <w:color w:val="auto"/>
        </w:rPr>
      </w:pPr>
    </w:p>
    <w:p>
      <w:pPr>
        <w:ind w:left="1660" w:right="40" w:hanging="469"/>
        <w:spacing w:after="0" w:line="256" w:lineRule="auto"/>
        <w:tabs>
          <w:tab w:leader="none" w:pos="1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3"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w:t>
      </w:r>
    </w:p>
    <w:p>
      <w:pPr>
        <w:spacing w:after="0" w:line="158" w:lineRule="exact"/>
        <w:rPr>
          <w:sz w:val="20"/>
          <w:szCs w:val="20"/>
          <w:color w:val="auto"/>
        </w:rPr>
      </w:pPr>
    </w:p>
    <w:p>
      <w:pPr>
        <w:ind w:left="820" w:right="160" w:firstLine="385"/>
        <w:spacing w:after="0" w:line="281" w:lineRule="auto"/>
        <w:rPr>
          <w:sz w:val="20"/>
          <w:szCs w:val="20"/>
          <w:color w:val="auto"/>
        </w:rPr>
      </w:pPr>
      <w:r>
        <w:rPr>
          <w:rFonts w:ascii="Arial" w:cs="Arial" w:eastAsia="Arial" w:hAnsi="Arial"/>
          <w:sz w:val="15"/>
          <w:szCs w:val="15"/>
          <w:color w:val="auto"/>
        </w:rPr>
        <w:t>whether any such transaction described above is to be settled by delivery of common stock or such other securities, in cash or otherwise. In addition, we and each such person agrees that, without the prior written consent of Morgan Stanley &amp; Co. LLC, Cowen and Company, LLC and Piper Sandler &amp; Co. on behalf of the underwriters, we or such other person will not, during the Restricted Period:</w:t>
      </w:r>
    </w:p>
    <w:p>
      <w:pPr>
        <w:spacing w:after="0" w:line="66" w:lineRule="exact"/>
        <w:rPr>
          <w:sz w:val="20"/>
          <w:szCs w:val="20"/>
          <w:color w:val="auto"/>
        </w:rPr>
      </w:pPr>
    </w:p>
    <w:p>
      <w:pPr>
        <w:ind w:left="1660" w:right="20" w:hanging="469"/>
        <w:spacing w:after="0" w:line="266" w:lineRule="auto"/>
        <w:tabs>
          <w:tab w:leader="none" w:pos="1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make any demand for, or exercise any right with respect to, the registration of any shares of common stock or any security convertible into or exercisable or exchangeable for common stock; or</w:t>
      </w:r>
    </w:p>
    <w:p>
      <w:pPr>
        <w:spacing w:after="0" w:line="75" w:lineRule="exact"/>
        <w:rPr>
          <w:rFonts w:ascii="Arial" w:cs="Arial" w:eastAsia="Arial" w:hAnsi="Arial"/>
          <w:sz w:val="16"/>
          <w:szCs w:val="16"/>
          <w:color w:val="auto"/>
        </w:rPr>
      </w:pPr>
    </w:p>
    <w:p>
      <w:pPr>
        <w:ind w:left="1660" w:right="240" w:hanging="469"/>
        <w:spacing w:after="0" w:line="383" w:lineRule="auto"/>
        <w:tabs>
          <w:tab w:leader="none" w:pos="166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engage in any hedging or other transaction designed or intended, or which could reasonably be expected to lead to or result in, a sale or disposition of any shares of common stock, or any securities convertible into or exercisable or exchangeable for common stock.</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restrictions described in the immediately preceding paragraph are subject to specified exceptions, including, without limitation:</w:t>
      </w:r>
    </w:p>
    <w:p>
      <w:pPr>
        <w:spacing w:after="0" w:line="122" w:lineRule="exact"/>
        <w:rPr>
          <w:sz w:val="20"/>
          <w:szCs w:val="20"/>
          <w:color w:val="auto"/>
        </w:rPr>
      </w:pPr>
    </w:p>
    <w:p>
      <w:pPr>
        <w:ind w:left="1660" w:right="160" w:hanging="469"/>
        <w:spacing w:after="0" w:line="275"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transactions related to shares of our common stock or other securities acquired in this offering or in open market transactions after the completion of this offering, provided that any required filing under Section 16 of the Exchange Act includes footnote disclosure and no other public announcement or filing, with limited exceptions, be required or voluntarily made in connection with subsequent sales of the common stock or other securities acquired in such open market transactions;</w:t>
      </w:r>
    </w:p>
    <w:p>
      <w:pPr>
        <w:spacing w:after="0" w:line="70" w:lineRule="exact"/>
        <w:rPr>
          <w:rFonts w:ascii="Arial" w:cs="Arial" w:eastAsia="Arial" w:hAnsi="Arial"/>
          <w:sz w:val="15"/>
          <w:szCs w:val="15"/>
          <w:color w:val="auto"/>
        </w:rPr>
      </w:pPr>
    </w:p>
    <w:p>
      <w:pPr>
        <w:jc w:val="both"/>
        <w:ind w:left="1660" w:right="100" w:hanging="469"/>
        <w:spacing w:after="0" w:line="256" w:lineRule="auto"/>
        <w:tabs>
          <w:tab w:leader="none" w:pos="1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transfers of shares of our common stock or any security convertible into or exercisable or exchangeable for common stock as a bona fide gift or charitable contribution, by will, to an immediate family member or to certain trusts, provided that no filing under Section 16 of the Exchange Act shall be required or voluntarily made;</w:t>
      </w:r>
    </w:p>
    <w:p>
      <w:pPr>
        <w:spacing w:after="0" w:line="83" w:lineRule="exact"/>
        <w:rPr>
          <w:rFonts w:ascii="Arial" w:cs="Arial" w:eastAsia="Arial" w:hAnsi="Arial"/>
          <w:sz w:val="16"/>
          <w:szCs w:val="16"/>
          <w:color w:val="auto"/>
        </w:rPr>
      </w:pPr>
    </w:p>
    <w:p>
      <w:pPr>
        <w:ind w:left="1660" w:right="80" w:hanging="469"/>
        <w:spacing w:after="0" w:line="256" w:lineRule="auto"/>
        <w:tabs>
          <w:tab w:leader="none" w:pos="1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transfers or distributions of shares of common stock or any other securities by a stockholder that is a trust to a trustor or beneficiary of the trust or to the estate of a beneficiary of such trust provided that no filing under Section 16 of the Exchange Act shall be required or voluntarily made;</w:t>
      </w:r>
    </w:p>
    <w:p>
      <w:pPr>
        <w:spacing w:after="0" w:line="83" w:lineRule="exact"/>
        <w:rPr>
          <w:rFonts w:ascii="Arial" w:cs="Arial" w:eastAsia="Arial" w:hAnsi="Arial"/>
          <w:sz w:val="16"/>
          <w:szCs w:val="16"/>
          <w:color w:val="auto"/>
        </w:rPr>
      </w:pPr>
    </w:p>
    <w:p>
      <w:pPr>
        <w:ind w:left="1660" w:right="180" w:hanging="469"/>
        <w:spacing w:after="0" w:line="256" w:lineRule="auto"/>
        <w:tabs>
          <w:tab w:leader="none" w:pos="1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distributions of our common stock or any security convertible into or exercisable or exchangeable for common stock to limited partners, members, stockholders or holders of similar equity interests, or transfers of shares of common stock or any security convertible into or exercisable or exchangeable for</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252</w:t>
      </w:r>
    </w:p>
    <w:p>
      <w:pPr>
        <w:sectPr>
          <w:pgSz w:w="11900" w:h="16838" w:orient="portrait"/>
          <w:cols w:equalWidth="0" w:num="1">
            <w:col w:w="10400"/>
          </w:cols>
          <w:pgMar w:left="320" w:top="418" w:right="1179" w:bottom="1440" w:gutter="0" w:footer="0" w:header="0"/>
        </w:sectPr>
      </w:pPr>
    </w:p>
    <w:bookmarkStart w:id="255" w:name="page256"/>
    <w:bookmarkEnd w:id="2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56" w:lineRule="auto"/>
        <w:rPr>
          <w:sz w:val="20"/>
          <w:szCs w:val="20"/>
          <w:color w:val="auto"/>
        </w:rPr>
      </w:pPr>
      <w:r>
        <w:rPr>
          <w:rFonts w:ascii="Arial" w:cs="Arial" w:eastAsia="Arial" w:hAnsi="Arial"/>
          <w:sz w:val="16"/>
          <w:szCs w:val="16"/>
          <w:color w:val="auto"/>
        </w:rPr>
        <w:t>common stock to another corporation, partnership, limited liability company, trust or other business entity that is an affiliate, or to any investment fund or other entity controlled or managed by an affiliate, provided that no filing under Section 16 of the Exchange Act shall be required or voluntarily made;</w:t>
      </w:r>
    </w:p>
    <w:p>
      <w:pPr>
        <w:spacing w:after="0" w:line="83" w:lineRule="exact"/>
        <w:rPr>
          <w:sz w:val="20"/>
          <w:szCs w:val="20"/>
          <w:color w:val="auto"/>
        </w:rPr>
      </w:pPr>
    </w:p>
    <w:p>
      <w:pPr>
        <w:ind w:left="1660" w:right="180" w:hanging="469"/>
        <w:spacing w:after="0" w:line="253" w:lineRule="auto"/>
        <w:tabs>
          <w:tab w:leader="none" w:pos="1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transfers of our common stock or any security convertible into or exercisable or exchangeable for common stock pursuant to a domestic order or divorce, provided that any filing required by Section 16 of the Exchange Act shall clearly indicate in the footnotes thereto that such transfer is being made pursuant to these circumstances and that no other public announcement or filing shall be required or shall be voluntarily made;</w:t>
      </w:r>
    </w:p>
    <w:p>
      <w:pPr>
        <w:spacing w:after="0" w:line="84" w:lineRule="exact"/>
        <w:rPr>
          <w:rFonts w:ascii="Arial" w:cs="Arial" w:eastAsia="Arial" w:hAnsi="Arial"/>
          <w:sz w:val="16"/>
          <w:szCs w:val="16"/>
          <w:color w:val="auto"/>
        </w:rPr>
      </w:pPr>
    </w:p>
    <w:p>
      <w:pPr>
        <w:ind w:left="1660" w:hanging="469"/>
        <w:spacing w:after="0" w:line="312" w:lineRule="auto"/>
        <w:tabs>
          <w:tab w:leader="none" w:pos="16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exercise, vesting or settlement of options, restricted stock units or other equity awards granted under a stock incentive plan or other equity award plan as described in the prospectus, or transfers or disposition of shares of our common stock or any security convertible into or exercisable or exchangeable for common stock to us upon a vesting or settlement event of our restricted stock units or other securities or the exercise of warrants or options to purchase our securities on a “cashless” or “net exercise” basis to cover estimated taxes, withholding tax and remittance obligations in connection with such vesting, settlement or exercise, insofar as such vesting, settlement or exercise is effected solely by the surrender of outstanding options (or the common stock issuable upon the exercise thereof) or shares of common stock to the Company and our cancellation of all or a portion thereof, provided that no filing under Section 16 of the Exchange Act shall be required or voluntarily made within 90 days after the date of the prospectus and after such 90 days and during the Restricted Period any filing under Section 16 of the Exchange Act will include a statement that such transaction reflects these circumstances;</w:t>
      </w:r>
    </w:p>
    <w:p>
      <w:pPr>
        <w:spacing w:after="0" w:line="54" w:lineRule="exact"/>
        <w:rPr>
          <w:rFonts w:ascii="Arial" w:cs="Arial" w:eastAsia="Arial" w:hAnsi="Arial"/>
          <w:sz w:val="13"/>
          <w:szCs w:val="13"/>
          <w:color w:val="auto"/>
        </w:rPr>
      </w:pPr>
    </w:p>
    <w:p>
      <w:pPr>
        <w:ind w:left="1660" w:right="20" w:hanging="469"/>
        <w:spacing w:after="0" w:line="268"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transfers or dispositions of shares of common stock or any security convertible into or exercisable or exchangeable for common stock pursuant to any contractual arrangement in effect on the date of the underwriting agreement and disclosed to the underwriters in writing that provides for the repurchase by us of common stock or any security convertible into or exercisable or exchangeable for common stock pursuant to a repurchase right arising in connection with the termination of employment with or service to the Company; provided that any filing under Section 16 of the Exchange Act reporting a reduction in beneficial ownership of common stock indicates by footnote disclosure or otherwise the nature of the transfer or disposition pursuant to these circumstances and that no other public announcement or filing shall be required or shall be voluntarily made;</w:t>
      </w:r>
    </w:p>
    <w:p>
      <w:pPr>
        <w:spacing w:after="0" w:line="78" w:lineRule="exact"/>
        <w:rPr>
          <w:rFonts w:ascii="Arial" w:cs="Arial" w:eastAsia="Arial" w:hAnsi="Arial"/>
          <w:sz w:val="15"/>
          <w:szCs w:val="15"/>
          <w:color w:val="auto"/>
        </w:rPr>
      </w:pPr>
    </w:p>
    <w:p>
      <w:pPr>
        <w:ind w:left="1660" w:hanging="469"/>
        <w:spacing w:after="0" w:line="250" w:lineRule="auto"/>
        <w:tabs>
          <w:tab w:leader="none" w:pos="1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transfers of our common stock or any security convertible into or exercisable or exchangeable for common stock in connection with a bona fide third-party tender offer, merger, consolidation or other similar transaction made to all holders of our common stock involving a change of control of our Company that has been approved by our board of directors and is open to all holders of our common stock, provided that in the event that such tender offer, merger, consolidation or other such transaction is not completed, the securities shall continue to be subject to the restrictions on transfer set forth in the lock-up agreement, and provided that no filing under Section 16 of the Exchange Act shall be required or voluntarily made;</w:t>
      </w:r>
    </w:p>
    <w:p>
      <w:pPr>
        <w:spacing w:after="0" w:line="88" w:lineRule="exact"/>
        <w:rPr>
          <w:rFonts w:ascii="Arial" w:cs="Arial" w:eastAsia="Arial" w:hAnsi="Arial"/>
          <w:sz w:val="16"/>
          <w:szCs w:val="16"/>
          <w:color w:val="auto"/>
        </w:rPr>
      </w:pPr>
    </w:p>
    <w:p>
      <w:pPr>
        <w:ind w:left="1660" w:hanging="469"/>
        <w:spacing w:after="0" w:line="272"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facilitating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during the Restricted Period, such announcement or filing shall include a statement to the effect that no transfer of common stock may be made under such plan during the Restricted Period; and</w:t>
      </w:r>
    </w:p>
    <w:p>
      <w:pPr>
        <w:spacing w:after="0" w:line="71" w:lineRule="exact"/>
        <w:rPr>
          <w:rFonts w:ascii="Arial" w:cs="Arial" w:eastAsia="Arial" w:hAnsi="Arial"/>
          <w:sz w:val="15"/>
          <w:szCs w:val="15"/>
          <w:color w:val="auto"/>
        </w:rPr>
      </w:pPr>
    </w:p>
    <w:p>
      <w:pPr>
        <w:ind w:left="1660" w:right="140" w:hanging="469"/>
        <w:spacing w:after="0" w:line="343" w:lineRule="auto"/>
        <w:tabs>
          <w:tab w:leader="none" w:pos="16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conversion of outstanding preferred stock into shares of common stock in connection with the consummation of the offering or any conversion or reclassification of common stock as described in the prospectus, provided that such shares of common stock received upon conversion remain subject to the terms of the lock-up agreement and provided that any filing required by Section 16 of the Exchange</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253</w:t>
      </w:r>
    </w:p>
    <w:p>
      <w:pPr>
        <w:sectPr>
          <w:pgSz w:w="11900" w:h="16838" w:orient="portrait"/>
          <w:cols w:equalWidth="0" w:num="1">
            <w:col w:w="10420"/>
          </w:cols>
          <w:pgMar w:left="320" w:top="418" w:right="1159" w:bottom="1440" w:gutter="0" w:footer="0" w:header="0"/>
        </w:sectPr>
      </w:pPr>
    </w:p>
    <w:bookmarkStart w:id="256" w:name="page257"/>
    <w:bookmarkEnd w:id="2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66" w:lineRule="auto"/>
        <w:rPr>
          <w:sz w:val="20"/>
          <w:szCs w:val="20"/>
          <w:color w:val="auto"/>
        </w:rPr>
      </w:pPr>
      <w:r>
        <w:rPr>
          <w:rFonts w:ascii="Arial" w:cs="Arial" w:eastAsia="Arial" w:hAnsi="Arial"/>
          <w:sz w:val="16"/>
          <w:szCs w:val="16"/>
          <w:color w:val="auto"/>
        </w:rPr>
        <w:t>Act related to any conversion or reclassification of common stock clearly indicate in the footnotes thereto the nature and conditions of such conversion or reclassification.</w:t>
      </w:r>
    </w:p>
    <w:p>
      <w:pPr>
        <w:spacing w:after="0" w:line="158" w:lineRule="exact"/>
        <w:rPr>
          <w:sz w:val="20"/>
          <w:szCs w:val="20"/>
          <w:color w:val="auto"/>
        </w:rPr>
      </w:pPr>
    </w:p>
    <w:p>
      <w:pPr>
        <w:ind w:left="820" w:right="160" w:firstLine="385"/>
        <w:spacing w:after="0" w:line="256" w:lineRule="auto"/>
        <w:rPr>
          <w:sz w:val="20"/>
          <w:szCs w:val="20"/>
          <w:color w:val="auto"/>
        </w:rPr>
      </w:pPr>
      <w:r>
        <w:rPr>
          <w:rFonts w:ascii="Arial" w:cs="Arial" w:eastAsia="Arial" w:hAnsi="Arial"/>
          <w:sz w:val="16"/>
          <w:szCs w:val="16"/>
          <w:color w:val="auto"/>
        </w:rPr>
        <w:t>Certain of the exceptions described above are subject to a requirement that the donee, trustee, transferee or distributee enter into a lock-up agreement with the underwriters containing similar restrictions. Certain of the exceptions described above are subject to a requirement that the transfer or distribution does not involve a disposition for value.</w:t>
      </w:r>
    </w:p>
    <w:p>
      <w:pPr>
        <w:spacing w:after="0" w:line="166"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Morgan Stanley &amp; Co. LLC, Cowen and Company, LLC and Piper Sandler &amp; Co. in their sole discretion, may release the common stock and other securities subject to the lock-up agreements described above in whole or in part at any time. The lock-up agreements of certain significant holders are subject to a pro rata release.</w:t>
      </w:r>
    </w:p>
    <w:p>
      <w:pPr>
        <w:spacing w:after="0" w:line="166" w:lineRule="exact"/>
        <w:rPr>
          <w:sz w:val="20"/>
          <w:szCs w:val="20"/>
          <w:color w:val="auto"/>
        </w:rPr>
      </w:pPr>
    </w:p>
    <w:p>
      <w:pPr>
        <w:ind w:left="820" w:right="100" w:firstLine="385"/>
        <w:spacing w:after="0" w:line="310" w:lineRule="auto"/>
        <w:rPr>
          <w:sz w:val="20"/>
          <w:szCs w:val="20"/>
          <w:color w:val="auto"/>
        </w:rPr>
      </w:pPr>
      <w:r>
        <w:rPr>
          <w:rFonts w:ascii="Arial" w:cs="Arial" w:eastAsia="Arial" w:hAnsi="Arial"/>
          <w:sz w:val="13"/>
          <w:szCs w:val="13"/>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2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We and the underwriters have agreed to indemnify each other against certain liabilities, including liabilities under the Securities Act.</w:t>
      </w:r>
    </w:p>
    <w:p>
      <w:pPr>
        <w:spacing w:after="0" w:line="205" w:lineRule="exact"/>
        <w:rPr>
          <w:sz w:val="20"/>
          <w:szCs w:val="20"/>
          <w:color w:val="auto"/>
        </w:rPr>
      </w:pPr>
    </w:p>
    <w:p>
      <w:pPr>
        <w:ind w:left="820" w:right="160" w:firstLine="385"/>
        <w:spacing w:after="0" w:line="253"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67" w:lineRule="exact"/>
        <w:rPr>
          <w:sz w:val="20"/>
          <w:szCs w:val="20"/>
          <w:color w:val="auto"/>
        </w:rPr>
      </w:pPr>
    </w:p>
    <w:p>
      <w:pPr>
        <w:ind w:left="820" w:right="60" w:firstLine="385"/>
        <w:spacing w:after="0" w:line="329"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3" w:lineRule="exact"/>
        <w:rPr>
          <w:sz w:val="20"/>
          <w:szCs w:val="20"/>
          <w:color w:val="auto"/>
        </w:rPr>
      </w:pPr>
    </w:p>
    <w:p>
      <w:pPr>
        <w:ind w:left="820" w:right="200" w:firstLine="385"/>
        <w:spacing w:after="0" w:line="272"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254</w:t>
      </w:r>
    </w:p>
    <w:p>
      <w:pPr>
        <w:sectPr>
          <w:pgSz w:w="11900" w:h="16838" w:orient="portrait"/>
          <w:cols w:equalWidth="0" w:num="1">
            <w:col w:w="10440"/>
          </w:cols>
          <w:pgMar w:left="320" w:top="418" w:right="1139" w:bottom="1440" w:gutter="0" w:footer="0" w:header="0"/>
        </w:sectPr>
      </w:pPr>
    </w:p>
    <w:bookmarkStart w:id="257" w:name="page258"/>
    <w:bookmarkEnd w:id="2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40"/>
        <w:spacing w:after="0" w:line="266" w:lineRule="auto"/>
        <w:rPr>
          <w:sz w:val="20"/>
          <w:szCs w:val="20"/>
          <w:color w:val="auto"/>
        </w:rPr>
      </w:pPr>
      <w:r>
        <w:rPr>
          <w:rFonts w:ascii="Arial" w:cs="Arial" w:eastAsia="Arial" w:hAnsi="Arial"/>
          <w:sz w:val="16"/>
          <w:szCs w:val="16"/>
          <w:color w:val="auto"/>
        </w:rPr>
        <w:t>views in respect of such securities or instruments and may at any time hold, or recommend to clients that they acquire, long or short positions in such securities and instruments.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Pricing of the Offering</w:t>
      </w:r>
    </w:p>
    <w:p>
      <w:pPr>
        <w:spacing w:after="0" w:line="103" w:lineRule="exact"/>
        <w:rPr>
          <w:sz w:val="20"/>
          <w:szCs w:val="20"/>
          <w:color w:val="auto"/>
        </w:rPr>
      </w:pPr>
    </w:p>
    <w:p>
      <w:pPr>
        <w:ind w:left="820" w:right="60" w:firstLine="385"/>
        <w:spacing w:after="0" w:line="329"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14" w:lineRule="exact"/>
        <w:rPr>
          <w:sz w:val="20"/>
          <w:szCs w:val="20"/>
          <w:color w:val="auto"/>
        </w:rPr>
      </w:pPr>
    </w:p>
    <w:p>
      <w:pPr>
        <w:jc w:val="center"/>
        <w:ind w:right="7520"/>
        <w:spacing w:after="0"/>
        <w:rPr>
          <w:sz w:val="20"/>
          <w:szCs w:val="20"/>
          <w:color w:val="auto"/>
        </w:rPr>
      </w:pPr>
      <w:r>
        <w:rPr>
          <w:rFonts w:ascii="Arial" w:cs="Arial" w:eastAsia="Arial" w:hAnsi="Arial"/>
          <w:sz w:val="16"/>
          <w:szCs w:val="16"/>
          <w:b w:val="1"/>
          <w:bCs w:val="1"/>
          <w:color w:val="auto"/>
        </w:rPr>
        <w:t>Selling Restrictions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Canada</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70" w:lineRule="exact"/>
        <w:rPr>
          <w:sz w:val="20"/>
          <w:szCs w:val="20"/>
          <w:color w:val="auto"/>
        </w:rPr>
      </w:pPr>
    </w:p>
    <w:p>
      <w:pPr>
        <w:ind w:left="820" w:right="200" w:firstLine="385"/>
        <w:spacing w:after="0" w:line="329" w:lineRule="auto"/>
        <w:rPr>
          <w:sz w:val="20"/>
          <w:szCs w:val="20"/>
          <w:color w:val="auto"/>
        </w:rPr>
      </w:pPr>
      <w:r>
        <w:rPr>
          <w:rFonts w:ascii="Arial" w:cs="Arial" w:eastAsia="Arial" w:hAnsi="Arial"/>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restrictions of the securities legislation of the purchaser’s province or territory for particulars of these rights or consult with a legal advisor.</w:t>
      </w:r>
    </w:p>
    <w:p>
      <w:pPr>
        <w:spacing w:after="0" w:line="123" w:lineRule="exact"/>
        <w:rPr>
          <w:sz w:val="20"/>
          <w:szCs w:val="20"/>
          <w:color w:val="auto"/>
        </w:rPr>
      </w:pPr>
    </w:p>
    <w:p>
      <w:pPr>
        <w:jc w:val="both"/>
        <w:ind w:left="820" w:right="320" w:firstLine="385"/>
        <w:spacing w:after="0" w:line="256" w:lineRule="auto"/>
        <w:rPr>
          <w:sz w:val="20"/>
          <w:szCs w:val="20"/>
          <w:color w:val="auto"/>
        </w:rPr>
      </w:pPr>
      <w:r>
        <w:rPr>
          <w:rFonts w:ascii="Arial" w:cs="Arial" w:eastAsia="Arial" w:hAnsi="Arial"/>
          <w:sz w:val="16"/>
          <w:szCs w:val="16"/>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99"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70" w:lineRule="exact"/>
        <w:rPr>
          <w:sz w:val="20"/>
          <w:szCs w:val="20"/>
          <w:color w:val="auto"/>
        </w:rPr>
      </w:pPr>
    </w:p>
    <w:p>
      <w:pPr>
        <w:ind w:left="1420" w:hanging="222"/>
        <w:spacing w:after="0"/>
        <w:tabs>
          <w:tab w:leader="none" w:pos="14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the Prospectus Regulation;</w:t>
      </w:r>
    </w:p>
    <w:p>
      <w:pPr>
        <w:spacing w:after="0" w:line="193" w:lineRule="exact"/>
        <w:rPr>
          <w:rFonts w:ascii="Arial" w:cs="Arial" w:eastAsia="Arial" w:hAnsi="Arial"/>
          <w:sz w:val="16"/>
          <w:szCs w:val="16"/>
          <w:color w:val="auto"/>
        </w:rPr>
      </w:pPr>
    </w:p>
    <w:p>
      <w:pPr>
        <w:ind w:left="820" w:firstLine="378"/>
        <w:spacing w:after="0" w:line="266" w:lineRule="auto"/>
        <w:tabs>
          <w:tab w:leader="none" w:pos="142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Regulation), subject to obtaining the prior consent of the underwriters; or</w:t>
      </w:r>
    </w:p>
    <w:p>
      <w:pPr>
        <w:spacing w:after="0" w:line="158" w:lineRule="exact"/>
        <w:rPr>
          <w:rFonts w:ascii="Arial" w:cs="Arial" w:eastAsia="Arial" w:hAnsi="Arial"/>
          <w:sz w:val="16"/>
          <w:szCs w:val="16"/>
          <w:color w:val="auto"/>
        </w:rPr>
      </w:pPr>
    </w:p>
    <w:p>
      <w:pPr>
        <w:ind w:left="1420" w:hanging="222"/>
        <w:spacing w:after="0"/>
        <w:tabs>
          <w:tab w:leader="none" w:pos="14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255</w:t>
      </w:r>
    </w:p>
    <w:p>
      <w:pPr>
        <w:sectPr>
          <w:pgSz w:w="11900" w:h="16838" w:orient="portrait"/>
          <w:cols w:equalWidth="0" w:num="1">
            <w:col w:w="10440"/>
          </w:cols>
          <w:pgMar w:left="320" w:top="418" w:right="1139" w:bottom="1440" w:gutter="0" w:footer="0" w:header="0"/>
        </w:sectPr>
      </w:pPr>
    </w:p>
    <w:bookmarkStart w:id="258" w:name="page259"/>
    <w:bookmarkEnd w:id="2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67"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54"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shares or subscribe for any shares, and the expression “Prospectus Regulation” means Regulation (EU) 2017/1129.</w:t>
      </w:r>
    </w:p>
    <w:p>
      <w:pPr>
        <w:spacing w:after="0" w:line="114"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United Kingdom</w:t>
      </w:r>
    </w:p>
    <w:p>
      <w:pPr>
        <w:spacing w:after="0" w:line="99"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In relation to the United Kingdom, no shares of common stock will be offered pursuant to this offering to the public in the United Kingdom prior to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87" w:lineRule="exact"/>
        <w:rPr>
          <w:sz w:val="20"/>
          <w:szCs w:val="20"/>
          <w:color w:val="auto"/>
        </w:rPr>
      </w:pPr>
    </w:p>
    <w:p>
      <w:pPr>
        <w:ind w:left="1660" w:hanging="360"/>
        <w:spacing w:after="0"/>
        <w:tabs>
          <w:tab w:leader="none" w:pos="1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Article 2 of the UK Prospectus Regulation;</w:t>
      </w:r>
    </w:p>
    <w:p>
      <w:pPr>
        <w:spacing w:after="0" w:line="110" w:lineRule="exact"/>
        <w:rPr>
          <w:rFonts w:ascii="Arial" w:cs="Arial" w:eastAsia="Arial" w:hAnsi="Arial"/>
          <w:sz w:val="16"/>
          <w:szCs w:val="16"/>
          <w:color w:val="auto"/>
        </w:rPr>
      </w:pPr>
    </w:p>
    <w:p>
      <w:pPr>
        <w:ind w:left="1660" w:hanging="369"/>
        <w:spacing w:after="0"/>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in Article 2 of the UK Prospectus Regulation); or</w:t>
      </w:r>
    </w:p>
    <w:p>
      <w:pPr>
        <w:spacing w:after="0" w:line="122" w:lineRule="exact"/>
        <w:rPr>
          <w:rFonts w:ascii="Arial" w:cs="Arial" w:eastAsia="Arial" w:hAnsi="Arial"/>
          <w:sz w:val="15"/>
          <w:szCs w:val="15"/>
          <w:color w:val="auto"/>
        </w:rPr>
      </w:pPr>
    </w:p>
    <w:p>
      <w:pPr>
        <w:ind w:left="1660" w:hanging="360"/>
        <w:spacing w:after="0"/>
        <w:tabs>
          <w:tab w:leader="none" w:pos="1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Financial Services and Markets Act 2000 (FSMA).</w:t>
      </w:r>
    </w:p>
    <w:p>
      <w:pPr>
        <w:spacing w:after="0" w:line="193"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67"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We have not authorized and do not authorize the making of any offer of shares through any financial intermediary on their behalf, other than offers made by the underwriters with a view to the final placement of the shares as contemplated in this document. Accordingly, no purchaser of the shares, other than the underwriters, is authorized to make any further offer of the shares on behalf of us or the underwriters.</w:t>
      </w:r>
    </w:p>
    <w:p>
      <w:pPr>
        <w:spacing w:after="0" w:line="149"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256</w:t>
      </w:r>
    </w:p>
    <w:p>
      <w:pPr>
        <w:sectPr>
          <w:pgSz w:w="11900" w:h="16838" w:orient="portrait"/>
          <w:cols w:equalWidth="0" w:num="1">
            <w:col w:w="10420"/>
          </w:cols>
          <w:pgMar w:left="320" w:top="418" w:right="1159" w:bottom="1440" w:gutter="0" w:footer="0" w:header="0"/>
        </w:sectPr>
      </w:pPr>
    </w:p>
    <w:bookmarkStart w:id="259" w:name="page260"/>
    <w:bookmarkEnd w:id="2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50" w:lineRule="auto"/>
        <w:rPr>
          <w:sz w:val="20"/>
          <w:szCs w:val="20"/>
          <w:color w:val="auto"/>
        </w:rPr>
      </w:pPr>
      <w:r>
        <w:rPr>
          <w:rFonts w:ascii="Arial" w:cs="Arial" w:eastAsia="Arial" w:hAnsi="Arial"/>
          <w:sz w:val="16"/>
          <w:szCs w:val="16"/>
          <w:color w:val="auto"/>
        </w:rPr>
        <w:t>Article 2 of the UK Prospectus Regulation) (i) who have professional experience in matters relating to investments falling within Article 19(5) of the FSMA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In the United Kingdom, any investment or investment activity to which this document relates is only available to, and will be engaged in with, relevant persons.</w:t>
      </w:r>
    </w:p>
    <w:p>
      <w:pPr>
        <w:spacing w:after="0" w:line="171" w:lineRule="exact"/>
        <w:rPr>
          <w:sz w:val="20"/>
          <w:szCs w:val="20"/>
          <w:color w:val="auto"/>
        </w:rPr>
      </w:pPr>
    </w:p>
    <w:p>
      <w:pPr>
        <w:ind w:left="820" w:right="240" w:firstLine="385"/>
        <w:spacing w:after="0" w:line="256" w:lineRule="auto"/>
        <w:rPr>
          <w:sz w:val="20"/>
          <w:szCs w:val="20"/>
          <w:color w:val="auto"/>
        </w:rPr>
      </w:pPr>
      <w:r>
        <w:rPr>
          <w:rFonts w:ascii="Arial" w:cs="Arial" w:eastAsia="Arial" w:hAnsi="Arial"/>
          <w:sz w:val="16"/>
          <w:szCs w:val="16"/>
          <w:color w:val="auto"/>
        </w:rPr>
        <w:t>Any person in the United Kingdom who is not a relevant person must not act upon this document or any of its contents or use it as the basis for taking any action. In the United Kingdom, any investment or investment activity that this document relates to may be made or taken exclusively by relevant persons.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Switzerland</w:t>
      </w:r>
    </w:p>
    <w:p>
      <w:pPr>
        <w:spacing w:after="0" w:line="99"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5"/>
          <w:szCs w:val="15"/>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5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Dubai International Financial Center</w:t>
      </w:r>
    </w:p>
    <w:p>
      <w:pPr>
        <w:spacing w:after="0" w:line="99"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Australia</w:t>
      </w:r>
    </w:p>
    <w:p>
      <w:pPr>
        <w:spacing w:after="0" w:line="99" w:lineRule="exact"/>
        <w:rPr>
          <w:sz w:val="20"/>
          <w:szCs w:val="20"/>
          <w:color w:val="auto"/>
        </w:rPr>
      </w:pPr>
    </w:p>
    <w:p>
      <w:pPr>
        <w:ind w:left="820" w:right="260" w:firstLine="385"/>
        <w:spacing w:after="0" w:line="275" w:lineRule="auto"/>
        <w:rPr>
          <w:sz w:val="20"/>
          <w:szCs w:val="20"/>
          <w:color w:val="auto"/>
        </w:rPr>
      </w:pPr>
      <w:r>
        <w:rPr>
          <w:rFonts w:ascii="Arial" w:cs="Arial" w:eastAsia="Arial" w:hAnsi="Arial"/>
          <w:sz w:val="15"/>
          <w:szCs w:val="15"/>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53"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257</w:t>
      </w:r>
    </w:p>
    <w:p>
      <w:pPr>
        <w:sectPr>
          <w:pgSz w:w="11900" w:h="16838" w:orient="portrait"/>
          <w:cols w:equalWidth="0" w:num="1">
            <w:col w:w="10440"/>
          </w:cols>
          <w:pgMar w:left="320" w:top="418" w:right="1139" w:bottom="1440" w:gutter="0" w:footer="0" w:header="0"/>
        </w:sectPr>
      </w:pPr>
    </w:p>
    <w:bookmarkStart w:id="260" w:name="page261"/>
    <w:bookmarkEnd w:id="2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80" w:firstLine="385"/>
        <w:spacing w:after="0" w:line="329" w:lineRule="auto"/>
        <w:rPr>
          <w:sz w:val="20"/>
          <w:szCs w:val="20"/>
          <w:color w:val="auto"/>
        </w:rPr>
      </w:pPr>
      <w:r>
        <w:rPr>
          <w:rFonts w:ascii="Arial" w:cs="Arial" w:eastAsia="Arial" w:hAnsi="Arial"/>
          <w:sz w:val="13"/>
          <w:szCs w:val="13"/>
          <w:color w:val="auto"/>
        </w:rPr>
        <w:t>The shares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23"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Hong Kong</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shares of common stock have not been offered or sold and will not be offered or sold in Hong Kong, by means of any document, other than</w:t>
      </w:r>
    </w:p>
    <w:p>
      <w:pPr>
        <w:spacing w:after="0" w:line="51" w:lineRule="exact"/>
        <w:rPr>
          <w:sz w:val="20"/>
          <w:szCs w:val="20"/>
          <w:color w:val="auto"/>
        </w:rPr>
      </w:pPr>
    </w:p>
    <w:p>
      <w:pPr>
        <w:ind w:left="1020" w:hanging="206"/>
        <w:spacing w:after="0"/>
        <w:tabs>
          <w:tab w:leader="none" w:pos="10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to “professional investors” as defined in the Securities and Futures Ordinance (Cap. 571) of Hong Kong and any rules made under that Ordinance; or</w:t>
      </w:r>
    </w:p>
    <w:p>
      <w:pPr>
        <w:spacing w:after="0" w:line="39" w:lineRule="exact"/>
        <w:rPr>
          <w:rFonts w:ascii="Arial" w:cs="Arial" w:eastAsia="Arial" w:hAnsi="Arial"/>
          <w:sz w:val="13"/>
          <w:szCs w:val="13"/>
          <w:color w:val="auto"/>
        </w:rPr>
      </w:pPr>
    </w:p>
    <w:p>
      <w:pPr>
        <w:ind w:left="820" w:right="80" w:hanging="6"/>
        <w:spacing w:after="0" w:line="266" w:lineRule="auto"/>
        <w:tabs>
          <w:tab w:leader="none" w:pos="1042"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Japan</w:t>
      </w:r>
    </w:p>
    <w:p>
      <w:pPr>
        <w:spacing w:after="0" w:line="99" w:lineRule="exact"/>
        <w:rPr>
          <w:sz w:val="20"/>
          <w:szCs w:val="20"/>
          <w:color w:val="auto"/>
        </w:rPr>
      </w:pPr>
    </w:p>
    <w:p>
      <w:pPr>
        <w:ind w:left="820" w:right="60" w:firstLine="385"/>
        <w:spacing w:after="0" w:line="383" w:lineRule="auto"/>
        <w:rPr>
          <w:sz w:val="20"/>
          <w:szCs w:val="20"/>
          <w:color w:val="auto"/>
        </w:rPr>
      </w:pPr>
      <w:r>
        <w:rPr>
          <w:rFonts w:ascii="Arial" w:cs="Arial" w:eastAsia="Arial" w:hAnsi="Arial"/>
          <w:sz w:val="13"/>
          <w:szCs w:val="13"/>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8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For Qualified Institutional Investors, or QII</w:t>
      </w:r>
    </w:p>
    <w:p>
      <w:pPr>
        <w:spacing w:after="0" w:line="99" w:lineRule="exact"/>
        <w:rPr>
          <w:sz w:val="20"/>
          <w:szCs w:val="20"/>
          <w:color w:val="auto"/>
        </w:rPr>
      </w:pPr>
    </w:p>
    <w:p>
      <w:pPr>
        <w:ind w:left="820" w:right="20" w:firstLine="385"/>
        <w:spacing w:after="0" w:line="275"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For Non-QII Investors</w:t>
      </w:r>
    </w:p>
    <w:p>
      <w:pPr>
        <w:spacing w:after="0" w:line="99"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258</w:t>
      </w:r>
    </w:p>
    <w:p>
      <w:pPr>
        <w:sectPr>
          <w:pgSz w:w="11900" w:h="16838" w:orient="portrait"/>
          <w:cols w:equalWidth="0" w:num="1">
            <w:col w:w="10420"/>
          </w:cols>
          <w:pgMar w:left="320" w:top="418" w:right="1159" w:bottom="1440" w:gutter="0" w:footer="0" w:header="0"/>
        </w:sectPr>
      </w:pPr>
    </w:p>
    <w:bookmarkStart w:id="261" w:name="page262"/>
    <w:bookmarkEnd w:id="2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81" w:lineRule="auto"/>
        <w:rPr>
          <w:sz w:val="20"/>
          <w:szCs w:val="20"/>
          <w:color w:val="auto"/>
        </w:rPr>
      </w:pPr>
      <w:r>
        <w:rPr>
          <w:rFonts w:ascii="Arial" w:cs="Arial" w:eastAsia="Arial" w:hAnsi="Arial"/>
          <w:sz w:val="15"/>
          <w:szCs w:val="15"/>
          <w:color w:val="auto"/>
        </w:rPr>
        <w:t>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Singapore</w:t>
      </w:r>
    </w:p>
    <w:p>
      <w:pPr>
        <w:spacing w:after="0" w:line="99"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Where the shares of common stock are subscribed or purchased under Section 275 of the SFA by a relevant person which is:</w:t>
      </w:r>
    </w:p>
    <w:p>
      <w:pPr>
        <w:spacing w:after="0" w:line="193" w:lineRule="exact"/>
        <w:rPr>
          <w:sz w:val="20"/>
          <w:szCs w:val="20"/>
          <w:color w:val="auto"/>
        </w:rPr>
      </w:pPr>
    </w:p>
    <w:p>
      <w:pPr>
        <w:ind w:left="820" w:right="60" w:firstLine="378"/>
        <w:spacing w:after="0" w:line="266" w:lineRule="auto"/>
        <w:tabs>
          <w:tab w:leader="none" w:pos="141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8" w:lineRule="exact"/>
        <w:rPr>
          <w:rFonts w:ascii="Arial" w:cs="Arial" w:eastAsia="Arial" w:hAnsi="Arial"/>
          <w:sz w:val="16"/>
          <w:szCs w:val="16"/>
          <w:color w:val="auto"/>
        </w:rPr>
      </w:pPr>
    </w:p>
    <w:p>
      <w:pPr>
        <w:ind w:left="820" w:right="140" w:firstLine="378"/>
        <w:spacing w:after="0" w:line="266" w:lineRule="auto"/>
        <w:tabs>
          <w:tab w:leader="none" w:pos="142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the sole purpose of which is to hold investments and each beneficiary of the trust is an individual who is an accredited investor,</w:t>
      </w:r>
    </w:p>
    <w:p>
      <w:pPr>
        <w:spacing w:after="0" w:line="158"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66" w:lineRule="exact"/>
        <w:rPr>
          <w:sz w:val="20"/>
          <w:szCs w:val="20"/>
          <w:color w:val="auto"/>
        </w:rPr>
      </w:pPr>
    </w:p>
    <w:p>
      <w:pPr>
        <w:ind w:left="820" w:right="260" w:firstLine="378"/>
        <w:spacing w:after="0" w:line="266" w:lineRule="auto"/>
        <w:tabs>
          <w:tab w:leader="none" w:pos="141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158" w:lineRule="exact"/>
        <w:rPr>
          <w:rFonts w:ascii="Arial" w:cs="Arial" w:eastAsia="Arial" w:hAnsi="Arial"/>
          <w:sz w:val="16"/>
          <w:szCs w:val="16"/>
          <w:color w:val="auto"/>
        </w:rPr>
      </w:pPr>
    </w:p>
    <w:p>
      <w:pPr>
        <w:ind w:left="1420" w:hanging="222"/>
        <w:spacing w:after="0"/>
        <w:tabs>
          <w:tab w:leader="none" w:pos="14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as specified in Regulation 32 of the Securities and Futures (Offers of Investments) (Shares and Debentures) Regulations 2005 of Singapore.</w:t>
      </w:r>
    </w:p>
    <w:p>
      <w:pPr>
        <w:spacing w:after="0" w:line="3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United Arab Emirates</w:t>
      </w:r>
    </w:p>
    <w:p>
      <w:pPr>
        <w:spacing w:after="0" w:line="99" w:lineRule="exact"/>
        <w:rPr>
          <w:sz w:val="20"/>
          <w:szCs w:val="20"/>
          <w:color w:val="auto"/>
        </w:rPr>
      </w:pPr>
    </w:p>
    <w:p>
      <w:pPr>
        <w:ind w:left="820" w:right="120" w:firstLine="385"/>
        <w:spacing w:after="0" w:line="323" w:lineRule="auto"/>
        <w:rPr>
          <w:sz w:val="20"/>
          <w:szCs w:val="20"/>
          <w:color w:val="auto"/>
        </w:rPr>
      </w:pPr>
      <w:r>
        <w:rPr>
          <w:rFonts w:ascii="Arial" w:cs="Arial" w:eastAsia="Arial" w:hAnsi="Arial"/>
          <w:sz w:val="13"/>
          <w:szCs w:val="13"/>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259</w:t>
      </w:r>
    </w:p>
    <w:p>
      <w:pPr>
        <w:sectPr>
          <w:pgSz w:w="11900" w:h="16838" w:orient="portrait"/>
          <w:cols w:equalWidth="0" w:num="1">
            <w:col w:w="10420"/>
          </w:cols>
          <w:pgMar w:left="320" w:top="418" w:right="1159" w:bottom="1440" w:gutter="0" w:footer="0" w:header="0"/>
        </w:sectPr>
      </w:pPr>
    </w:p>
    <w:bookmarkStart w:id="262" w:name="page263"/>
    <w:bookmarkEnd w:id="2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China</w:t>
      </w:r>
    </w:p>
    <w:p>
      <w:pPr>
        <w:spacing w:after="0" w:line="99" w:lineRule="exact"/>
        <w:rPr>
          <w:sz w:val="20"/>
          <w:szCs w:val="20"/>
          <w:color w:val="auto"/>
        </w:rPr>
      </w:pPr>
    </w:p>
    <w:p>
      <w:pPr>
        <w:ind w:left="820" w:right="200" w:firstLine="385"/>
        <w:spacing w:after="0" w:line="300" w:lineRule="auto"/>
        <w:rPr>
          <w:sz w:val="20"/>
          <w:szCs w:val="20"/>
          <w:color w:val="auto"/>
        </w:rPr>
      </w:pPr>
      <w:r>
        <w:rPr>
          <w:rFonts w:ascii="Arial" w:cs="Arial" w:eastAsia="Arial" w:hAnsi="Arial"/>
          <w:sz w:val="15"/>
          <w:szCs w:val="15"/>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35" w:lineRule="exact"/>
        <w:rPr>
          <w:sz w:val="20"/>
          <w:szCs w:val="20"/>
          <w:color w:val="auto"/>
        </w:rPr>
      </w:pPr>
    </w:p>
    <w:p>
      <w:pPr>
        <w:ind w:left="820" w:right="360" w:firstLine="385"/>
        <w:spacing w:after="0" w:line="256" w:lineRule="auto"/>
        <w:rPr>
          <w:sz w:val="20"/>
          <w:szCs w:val="20"/>
          <w:color w:val="auto"/>
        </w:rPr>
      </w:pPr>
      <w:r>
        <w:rPr>
          <w:rFonts w:ascii="Arial" w:cs="Arial" w:eastAsia="Arial" w:hAnsi="Arial"/>
          <w:sz w:val="16"/>
          <w:szCs w:val="16"/>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Korea</w:t>
      </w:r>
    </w:p>
    <w:p>
      <w:pPr>
        <w:spacing w:after="0" w:line="99"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Taiwan</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South Africa</w:t>
      </w:r>
    </w:p>
    <w:p>
      <w:pPr>
        <w:spacing w:after="0" w:line="99" w:lineRule="exact"/>
        <w:rPr>
          <w:sz w:val="20"/>
          <w:szCs w:val="20"/>
          <w:color w:val="auto"/>
        </w:rPr>
      </w:pPr>
    </w:p>
    <w:p>
      <w:pPr>
        <w:ind w:left="820" w:right="180" w:firstLine="385"/>
        <w:spacing w:after="0" w:line="383" w:lineRule="auto"/>
        <w:rPr>
          <w:sz w:val="20"/>
          <w:szCs w:val="20"/>
          <w:color w:val="auto"/>
        </w:rPr>
      </w:pPr>
      <w:r>
        <w:rPr>
          <w:rFonts w:ascii="Arial" w:cs="Arial" w:eastAsia="Arial" w:hAnsi="Arial"/>
          <w:sz w:val="13"/>
          <w:szCs w:val="13"/>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 the offer, transfer, sale, renunciation or delivery is to:</w:t>
      </w:r>
    </w:p>
    <w:p>
      <w:pPr>
        <w:spacing w:after="0" w:line="193" w:lineRule="exact"/>
        <w:rPr>
          <w:sz w:val="20"/>
          <w:szCs w:val="20"/>
          <w:color w:val="auto"/>
        </w:rPr>
      </w:pPr>
    </w:p>
    <w:p>
      <w:pPr>
        <w:ind w:left="1420" w:hanging="222"/>
        <w:spacing w:after="0"/>
        <w:tabs>
          <w:tab w:leader="none" w:pos="14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persons whose ordinary business is to deal in securities, as principal or agent;</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authorized financial service providers under South African law;</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financial institutions recognized as such under South African law;</w:t>
      </w:r>
    </w:p>
    <w:p>
      <w:pPr>
        <w:spacing w:after="0" w:line="1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260</w:t>
      </w:r>
    </w:p>
    <w:p>
      <w:pPr>
        <w:sectPr>
          <w:pgSz w:w="11900" w:h="16838" w:orient="portrait"/>
          <w:cols w:equalWidth="0" w:num="1">
            <w:col w:w="10420"/>
          </w:cols>
          <w:pgMar w:left="320" w:top="418" w:right="1159" w:bottom="1440" w:gutter="0" w:footer="0" w:header="0"/>
        </w:sectPr>
      </w:pPr>
    </w:p>
    <w:bookmarkStart w:id="263" w:name="page264"/>
    <w:bookmarkEnd w:id="2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60" w:firstLine="378"/>
        <w:spacing w:after="0" w:line="300" w:lineRule="auto"/>
        <w:tabs>
          <w:tab w:leader="none" w:pos="1401"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 wholly-owned subsidiary of any person or entity contemplated in (c), (d) or (e), acting as agent in the capacity of an authorized portfolio manager for a pension fund or collective investment scheme (in each case duly registered as such under South African law); or</w:t>
      </w:r>
    </w:p>
    <w:p>
      <w:pPr>
        <w:spacing w:after="0" w:line="134" w:lineRule="exact"/>
        <w:rPr>
          <w:rFonts w:ascii="Arial" w:cs="Arial" w:eastAsia="Arial" w:hAnsi="Arial"/>
          <w:sz w:val="15"/>
          <w:szCs w:val="15"/>
          <w:color w:val="auto"/>
        </w:rPr>
      </w:pPr>
    </w:p>
    <w:p>
      <w:pPr>
        <w:ind w:left="1420" w:hanging="222"/>
        <w:spacing w:after="0"/>
        <w:tabs>
          <w:tab w:leader="none" w:pos="14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combination of the person in (a) to (f); or</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ii. the total contemplated acquisition cost of the securities, for any single addressee acting as principal is equal to or greater than ZAR1,000,000.</w:t>
      </w:r>
    </w:p>
    <w:p>
      <w:pPr>
        <w:spacing w:after="0" w:line="228"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No “offer to the public” (as such term is defined in the South African Companies Act, No. 71 of 2008 (as amended or re-enacted), or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Israel</w:t>
      </w:r>
    </w:p>
    <w:p>
      <w:pPr>
        <w:spacing w:after="0" w:line="99"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261</w:t>
      </w:r>
    </w:p>
    <w:p>
      <w:pPr>
        <w:sectPr>
          <w:pgSz w:w="11900" w:h="16838" w:orient="portrait"/>
          <w:cols w:equalWidth="0" w:num="1">
            <w:col w:w="10440"/>
          </w:cols>
          <w:pgMar w:left="320" w:top="418" w:right="1139" w:bottom="1440" w:gutter="0" w:footer="0" w:header="0"/>
        </w:sectPr>
      </w:pPr>
    </w:p>
    <w:bookmarkStart w:id="264" w:name="page265"/>
    <w:bookmarkEnd w:id="2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LEGAL MATTERS</w:t>
      </w:r>
    </w:p>
    <w:p>
      <w:pPr>
        <w:spacing w:after="0" w:line="197" w:lineRule="exact"/>
        <w:rPr>
          <w:sz w:val="20"/>
          <w:szCs w:val="20"/>
          <w:color w:val="auto"/>
        </w:rPr>
      </w:pPr>
    </w:p>
    <w:p>
      <w:pPr>
        <w:ind w:left="820" w:right="280" w:firstLine="385"/>
        <w:spacing w:after="0" w:line="383" w:lineRule="auto"/>
        <w:rPr>
          <w:sz w:val="20"/>
          <w:szCs w:val="20"/>
          <w:color w:val="auto"/>
        </w:rPr>
      </w:pPr>
      <w:r>
        <w:rPr>
          <w:rFonts w:ascii="Arial" w:cs="Arial" w:eastAsia="Arial" w:hAnsi="Arial"/>
          <w:sz w:val="13"/>
          <w:szCs w:val="13"/>
          <w:color w:val="auto"/>
        </w:rPr>
        <w:t>The validity of the issuance of our common stock offered in this prospectus will be passed upon for us by Wilson Sonsini Goodrich &amp; Rosati, Professional Corporation, Palo Alto, California. Davis Polk &amp; Wardwell LLP, Menlo Park, California, is acting as counsel for the underwriters.</w:t>
      </w:r>
    </w:p>
    <w:p>
      <w:pPr>
        <w:spacing w:after="0" w:line="273"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EXPERTS</w:t>
      </w:r>
    </w:p>
    <w:p>
      <w:pPr>
        <w:spacing w:after="0" w:line="197"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The financial statements as of December 31, 2019 and 2020, and for each of the two years in the period ended December 31, 2020,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52"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97"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59"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 tenayatherapeutics.com where these materials are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262</w:t>
      </w:r>
    </w:p>
    <w:p>
      <w:pPr>
        <w:sectPr>
          <w:pgSz w:w="11900" w:h="16838" w:orient="portrait"/>
          <w:cols w:equalWidth="0" w:num="1">
            <w:col w:w="10380"/>
          </w:cols>
          <w:pgMar w:left="320" w:top="418" w:right="1199" w:bottom="1440" w:gutter="0" w:footer="0" w:header="0"/>
        </w:sectPr>
      </w:pPr>
    </w:p>
    <w:bookmarkStart w:id="265" w:name="page266"/>
    <w:bookmarkEnd w:id="2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INDEX TO FINANCIAL STATEMENTS</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9220" w:type="dxa"/>
            <w:vAlign w:val="bottom"/>
            <w:gridSpan w:val="12"/>
            <w:vMerge w:val="restart"/>
          </w:tcPr>
          <w:p>
            <w:pPr>
              <w:spacing w:after="0"/>
              <w:rPr>
                <w:sz w:val="20"/>
                <w:szCs w:val="20"/>
                <w:color w:val="auto"/>
              </w:rPr>
            </w:pPr>
            <w:r>
              <w:rPr>
                <w:rFonts w:ascii="Arial" w:cs="Arial" w:eastAsia="Arial" w:hAnsi="Arial"/>
                <w:sz w:val="16"/>
                <w:szCs w:val="16"/>
                <w:b w:val="1"/>
                <w:bCs w:val="1"/>
                <w:color w:val="auto"/>
              </w:rPr>
              <w:t>Audited Financial Statements as of and for the Years Ended December 31, 2019 and 2020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6"/>
        </w:trPr>
        <w:tc>
          <w:tcPr>
            <w:tcW w:w="9220" w:type="dxa"/>
            <w:vAlign w:val="bottom"/>
            <w:gridSpan w:val="12"/>
            <w:vMerge w:val="continue"/>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80" w:type="dxa"/>
            <w:vAlign w:val="bottom"/>
            <w:tcBorders>
              <w:bottom w:val="single" w:sz="8" w:color="0000EE"/>
            </w:tcBorders>
            <w:gridSpan w:val="8"/>
          </w:tcPr>
          <w:p>
            <w:pPr>
              <w:spacing w:after="0" w:line="166" w:lineRule="exact"/>
              <w:rPr>
                <w:rFonts w:ascii="Arial" w:cs="Arial" w:eastAsia="Arial" w:hAnsi="Arial"/>
                <w:sz w:val="16"/>
                <w:szCs w:val="16"/>
                <w:color w:val="0000EE"/>
                <w:w w:val="89"/>
              </w:rPr>
            </w:pPr>
            <w:hyperlink w:anchor="page267">
              <w:r>
                <w:rPr>
                  <w:rFonts w:ascii="Arial" w:cs="Arial" w:eastAsia="Arial" w:hAnsi="Arial"/>
                  <w:sz w:val="16"/>
                  <w:szCs w:val="16"/>
                  <w:color w:val="0000EE"/>
                  <w:w w:val="89"/>
                </w:rPr>
                <w:t>Report of Independent Registered Public Accounting Firm</w:t>
              </w:r>
            </w:hyperlink>
          </w:p>
        </w:tc>
        <w:tc>
          <w:tcPr>
            <w:tcW w:w="5540" w:type="dxa"/>
            <w:vAlign w:val="bottom"/>
            <w:gridSpan w:val="4"/>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68">
              <w:r>
                <w:rPr>
                  <w:rFonts w:ascii="Arial" w:cs="Arial" w:eastAsia="Arial" w:hAnsi="Arial"/>
                  <w:sz w:val="16"/>
                  <w:szCs w:val="16"/>
                  <w:color w:val="0000EE"/>
                </w:rPr>
                <w:t>Balance Sheets</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F-3</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tcBorders>
              <w:bottom w:val="single" w:sz="8" w:color="0000EE"/>
            </w:tcBorders>
            <w:gridSpan w:val="7"/>
          </w:tcPr>
          <w:p>
            <w:pPr>
              <w:spacing w:after="0" w:line="168" w:lineRule="exact"/>
              <w:rPr>
                <w:rFonts w:ascii="Arial" w:cs="Arial" w:eastAsia="Arial" w:hAnsi="Arial"/>
                <w:sz w:val="16"/>
                <w:szCs w:val="16"/>
                <w:color w:val="0000EE"/>
                <w:w w:val="87"/>
              </w:rPr>
            </w:pPr>
            <w:hyperlink w:anchor="page269">
              <w:r>
                <w:rPr>
                  <w:rFonts w:ascii="Arial" w:cs="Arial" w:eastAsia="Arial" w:hAnsi="Arial"/>
                  <w:sz w:val="16"/>
                  <w:szCs w:val="16"/>
                  <w:color w:val="0000EE"/>
                  <w:w w:val="87"/>
                </w:rPr>
                <w:t>Statements of Operations and Comprehensive Loss</w:t>
              </w:r>
            </w:hyperlink>
          </w:p>
        </w:tc>
        <w:tc>
          <w:tcPr>
            <w:tcW w:w="6000" w:type="dxa"/>
            <w:vAlign w:val="bottom"/>
            <w:gridSpan w:val="5"/>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F-4</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0000EE"/>
            </w:tcBorders>
            <w:gridSpan w:val="10"/>
          </w:tcPr>
          <w:p>
            <w:pPr>
              <w:spacing w:after="0" w:line="168" w:lineRule="exact"/>
              <w:rPr>
                <w:rFonts w:ascii="Arial" w:cs="Arial" w:eastAsia="Arial" w:hAnsi="Arial"/>
                <w:sz w:val="16"/>
                <w:szCs w:val="16"/>
                <w:color w:val="0000EE"/>
                <w:w w:val="89"/>
              </w:rPr>
            </w:pPr>
            <w:hyperlink w:anchor="page270">
              <w:r>
                <w:rPr>
                  <w:rFonts w:ascii="Arial" w:cs="Arial" w:eastAsia="Arial" w:hAnsi="Arial"/>
                  <w:sz w:val="16"/>
                  <w:szCs w:val="16"/>
                  <w:color w:val="0000EE"/>
                  <w:w w:val="89"/>
                </w:rPr>
                <w:t>Statements of Convertible Preferred Stock and Stockholders’ Deficit</w:t>
              </w:r>
            </w:hyperlink>
          </w:p>
        </w:tc>
        <w:tc>
          <w:tcPr>
            <w:tcW w:w="4920" w:type="dxa"/>
            <w:vAlign w:val="bottom"/>
            <w:gridSpan w:val="2"/>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r>
        <w:trPr>
          <w:trHeight w:val="169"/>
        </w:trPr>
        <w:tc>
          <w:tcPr>
            <w:tcW w:w="1640" w:type="dxa"/>
            <w:vAlign w:val="bottom"/>
            <w:tcBorders>
              <w:bottom w:val="single" w:sz="8" w:color="0000EE"/>
            </w:tcBorders>
            <w:gridSpan w:val="2"/>
          </w:tcPr>
          <w:p>
            <w:pPr>
              <w:spacing w:after="0" w:line="168" w:lineRule="exact"/>
              <w:rPr>
                <w:rFonts w:ascii="Arial" w:cs="Arial" w:eastAsia="Arial" w:hAnsi="Arial"/>
                <w:sz w:val="16"/>
                <w:szCs w:val="16"/>
                <w:color w:val="0000EE"/>
                <w:w w:val="86"/>
              </w:rPr>
            </w:pPr>
            <w:hyperlink w:anchor="page271">
              <w:r>
                <w:rPr>
                  <w:rFonts w:ascii="Arial" w:cs="Arial" w:eastAsia="Arial" w:hAnsi="Arial"/>
                  <w:sz w:val="16"/>
                  <w:szCs w:val="16"/>
                  <w:color w:val="0000EE"/>
                  <w:w w:val="86"/>
                </w:rPr>
                <w:t>Statements of Cash Flows</w:t>
              </w:r>
            </w:hyperlink>
          </w:p>
        </w:tc>
        <w:tc>
          <w:tcPr>
            <w:tcW w:w="7580" w:type="dxa"/>
            <w:vAlign w:val="bottom"/>
            <w:gridSpan w:val="10"/>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F-6</w:t>
            </w:r>
          </w:p>
        </w:tc>
        <w:tc>
          <w:tcPr>
            <w:tcW w:w="0" w:type="dxa"/>
            <w:vAlign w:val="bottom"/>
          </w:tcPr>
          <w:p>
            <w:pPr>
              <w:spacing w:after="0"/>
              <w:rPr>
                <w:sz w:val="1"/>
                <w:szCs w:val="1"/>
                <w:color w:val="auto"/>
              </w:rPr>
            </w:pPr>
          </w:p>
        </w:tc>
      </w:tr>
      <w:tr>
        <w:trPr>
          <w:trHeight w:val="169"/>
        </w:trPr>
        <w:tc>
          <w:tcPr>
            <w:tcW w:w="1880" w:type="dxa"/>
            <w:vAlign w:val="bottom"/>
            <w:tcBorders>
              <w:bottom w:val="single" w:sz="8" w:color="0000EE"/>
            </w:tcBorders>
            <w:gridSpan w:val="4"/>
          </w:tcPr>
          <w:p>
            <w:pPr>
              <w:spacing w:after="0" w:line="168" w:lineRule="exact"/>
              <w:rPr>
                <w:rFonts w:ascii="Arial" w:cs="Arial" w:eastAsia="Arial" w:hAnsi="Arial"/>
                <w:sz w:val="16"/>
                <w:szCs w:val="16"/>
                <w:color w:val="0000EE"/>
                <w:w w:val="87"/>
              </w:rPr>
            </w:pPr>
            <w:hyperlink w:anchor="page272">
              <w:r>
                <w:rPr>
                  <w:rFonts w:ascii="Arial" w:cs="Arial" w:eastAsia="Arial" w:hAnsi="Arial"/>
                  <w:sz w:val="16"/>
                  <w:szCs w:val="16"/>
                  <w:color w:val="0000EE"/>
                  <w:w w:val="87"/>
                </w:rPr>
                <w:t>Notes to Financial Statements</w:t>
              </w:r>
            </w:hyperlink>
          </w:p>
        </w:tc>
        <w:tc>
          <w:tcPr>
            <w:tcW w:w="7340" w:type="dxa"/>
            <w:vAlign w:val="bottom"/>
            <w:gridSpan w:val="8"/>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F-7</w:t>
            </w:r>
          </w:p>
        </w:tc>
        <w:tc>
          <w:tcPr>
            <w:tcW w:w="0" w:type="dxa"/>
            <w:vAlign w:val="bottom"/>
          </w:tcPr>
          <w:p>
            <w:pPr>
              <w:spacing w:after="0"/>
              <w:rPr>
                <w:sz w:val="1"/>
                <w:szCs w:val="1"/>
                <w:color w:val="auto"/>
              </w:rPr>
            </w:pPr>
          </w:p>
        </w:tc>
      </w:tr>
      <w:tr>
        <w:trPr>
          <w:trHeight w:val="376"/>
        </w:trPr>
        <w:tc>
          <w:tcPr>
            <w:tcW w:w="9220" w:type="dxa"/>
            <w:vAlign w:val="bottom"/>
            <w:gridSpan w:val="12"/>
          </w:tcPr>
          <w:p>
            <w:pPr>
              <w:spacing w:after="0"/>
              <w:rPr>
                <w:sz w:val="20"/>
                <w:szCs w:val="20"/>
                <w:color w:val="auto"/>
              </w:rPr>
            </w:pPr>
            <w:r>
              <w:rPr>
                <w:rFonts w:ascii="Arial" w:cs="Arial" w:eastAsia="Arial" w:hAnsi="Arial"/>
                <w:sz w:val="16"/>
                <w:szCs w:val="16"/>
                <w:b w:val="1"/>
                <w:bCs w:val="1"/>
                <w:color w:val="auto"/>
                <w:w w:val="93"/>
              </w:rPr>
              <w:t>Unaudited Interim Condensed Financial Statements as of December 31, 2020 and March 31, 2021 and for the Three Months Ended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220" w:type="dxa"/>
            <w:vAlign w:val="bottom"/>
            <w:gridSpan w:val="12"/>
          </w:tcPr>
          <w:p>
            <w:pPr>
              <w:ind w:left="160"/>
              <w:spacing w:after="0"/>
              <w:rPr>
                <w:sz w:val="20"/>
                <w:szCs w:val="20"/>
                <w:color w:val="auto"/>
              </w:rPr>
            </w:pPr>
            <w:r>
              <w:rPr>
                <w:rFonts w:ascii="Arial" w:cs="Arial" w:eastAsia="Arial" w:hAnsi="Arial"/>
                <w:sz w:val="16"/>
                <w:szCs w:val="16"/>
                <w:b w:val="1"/>
                <w:bCs w:val="1"/>
                <w:color w:val="auto"/>
              </w:rPr>
              <w:t>March 31, 2020 and 2021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9220" w:type="dxa"/>
            <w:vAlign w:val="bottom"/>
            <w:gridSpan w:val="12"/>
          </w:tcPr>
          <w:p>
            <w:pPr>
              <w:spacing w:after="0" w:line="166" w:lineRule="exact"/>
              <w:rPr>
                <w:rFonts w:ascii="Arial" w:cs="Arial" w:eastAsia="Arial" w:hAnsi="Arial"/>
                <w:sz w:val="16"/>
                <w:szCs w:val="16"/>
                <w:color w:val="0000EE"/>
              </w:rPr>
            </w:pPr>
            <w:hyperlink w:anchor="page292">
              <w:r>
                <w:rPr>
                  <w:rFonts w:ascii="Arial" w:cs="Arial" w:eastAsia="Arial" w:hAnsi="Arial"/>
                  <w:sz w:val="16"/>
                  <w:szCs w:val="16"/>
                  <w:color w:val="0000EE"/>
                </w:rPr>
                <w:t>Condensed Balance Sheets</w:t>
              </w:r>
            </w:hyperlink>
          </w:p>
        </w:tc>
        <w:tc>
          <w:tcPr>
            <w:tcW w:w="360" w:type="dxa"/>
            <w:vAlign w:val="bottom"/>
          </w:tcPr>
          <w:p>
            <w:pPr>
              <w:jc w:val="right"/>
              <w:spacing w:after="0" w:line="166" w:lineRule="exact"/>
              <w:rPr>
                <w:sz w:val="20"/>
                <w:szCs w:val="20"/>
                <w:color w:val="auto"/>
              </w:rPr>
            </w:pPr>
            <w:r>
              <w:rPr>
                <w:rFonts w:ascii="Arial" w:cs="Arial" w:eastAsia="Arial" w:hAnsi="Arial"/>
                <w:sz w:val="16"/>
                <w:szCs w:val="16"/>
                <w:color w:val="auto"/>
                <w:w w:val="97"/>
              </w:rPr>
              <w:t>F-27</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93">
              <w:r>
                <w:rPr>
                  <w:rFonts w:ascii="Arial" w:cs="Arial" w:eastAsia="Arial" w:hAnsi="Arial"/>
                  <w:sz w:val="16"/>
                  <w:szCs w:val="16"/>
                  <w:color w:val="0000EE"/>
                </w:rPr>
                <w:t>Condensed Statements of Operations and Comprehensive Loss</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F-28</w:t>
            </w:r>
          </w:p>
        </w:tc>
        <w:tc>
          <w:tcPr>
            <w:tcW w:w="0" w:type="dxa"/>
            <w:vAlign w:val="bottom"/>
          </w:tcPr>
          <w:p>
            <w:pPr>
              <w:spacing w:after="0"/>
              <w:rPr>
                <w:sz w:val="1"/>
                <w:szCs w:val="1"/>
                <w:color w:val="auto"/>
              </w:rPr>
            </w:pPr>
          </w:p>
        </w:tc>
      </w:tr>
      <w:tr>
        <w:trPr>
          <w:trHeight w:val="20"/>
        </w:trPr>
        <w:tc>
          <w:tcPr>
            <w:tcW w:w="236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94">
              <w:r>
                <w:rPr>
                  <w:rFonts w:ascii="Arial" w:cs="Arial" w:eastAsia="Arial" w:hAnsi="Arial"/>
                  <w:sz w:val="16"/>
                  <w:szCs w:val="16"/>
                  <w:color w:val="0000EE"/>
                </w:rPr>
                <w:t>Condensed Statements of Convertible Preferred Stock and Stockholders’ Deficit</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F-29</w:t>
            </w:r>
          </w:p>
        </w:tc>
        <w:tc>
          <w:tcPr>
            <w:tcW w:w="0" w:type="dxa"/>
            <w:vAlign w:val="bottom"/>
          </w:tcPr>
          <w:p>
            <w:pPr>
              <w:spacing w:after="0"/>
              <w:rPr>
                <w:sz w:val="1"/>
                <w:szCs w:val="1"/>
                <w:color w:val="auto"/>
              </w:rPr>
            </w:pPr>
          </w:p>
        </w:tc>
      </w:tr>
      <w:tr>
        <w:trPr>
          <w:trHeight w:val="169"/>
        </w:trPr>
        <w:tc>
          <w:tcPr>
            <w:tcW w:w="5040" w:type="dxa"/>
            <w:vAlign w:val="bottom"/>
            <w:tcBorders>
              <w:top w:val="single" w:sz="8" w:color="0000EE"/>
            </w:tcBorders>
            <w:gridSpan w:val="11"/>
          </w:tcPr>
          <w:p>
            <w:pPr>
              <w:spacing w:after="0" w:line="168" w:lineRule="exact"/>
              <w:rPr>
                <w:rFonts w:ascii="Arial" w:cs="Arial" w:eastAsia="Arial" w:hAnsi="Arial"/>
                <w:sz w:val="16"/>
                <w:szCs w:val="16"/>
                <w:color w:val="0000EE"/>
              </w:rPr>
            </w:pPr>
            <w:hyperlink w:anchor="page296">
              <w:r>
                <w:rPr>
                  <w:rFonts w:ascii="Arial" w:cs="Arial" w:eastAsia="Arial" w:hAnsi="Arial"/>
                  <w:sz w:val="16"/>
                  <w:szCs w:val="16"/>
                  <w:color w:val="0000EE"/>
                </w:rPr>
                <w:t>Condensed Statements of Cash Flows</w:t>
              </w:r>
            </w:hyperlink>
          </w:p>
        </w:tc>
        <w:tc>
          <w:tcPr>
            <w:tcW w:w="418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F-31</w:t>
            </w:r>
          </w:p>
        </w:tc>
        <w:tc>
          <w:tcPr>
            <w:tcW w:w="0" w:type="dxa"/>
            <w:vAlign w:val="bottom"/>
          </w:tcPr>
          <w:p>
            <w:pPr>
              <w:spacing w:after="0"/>
              <w:rPr>
                <w:sz w:val="1"/>
                <w:szCs w:val="1"/>
                <w:color w:val="auto"/>
              </w:rPr>
            </w:pPr>
          </w:p>
        </w:tc>
      </w:tr>
      <w:tr>
        <w:trPr>
          <w:trHeight w:val="20"/>
        </w:trPr>
        <w:tc>
          <w:tcPr>
            <w:tcW w:w="236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97">
              <w:r>
                <w:rPr>
                  <w:rFonts w:ascii="Arial" w:cs="Arial" w:eastAsia="Arial" w:hAnsi="Arial"/>
                  <w:sz w:val="16"/>
                  <w:szCs w:val="16"/>
                  <w:color w:val="0000EE"/>
                </w:rPr>
                <w:t>Notes to Condensed Financial Statements</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F-32</w:t>
            </w:r>
          </w:p>
        </w:tc>
        <w:tc>
          <w:tcPr>
            <w:tcW w:w="0" w:type="dxa"/>
            <w:vAlign w:val="bottom"/>
          </w:tcPr>
          <w:p>
            <w:pPr>
              <w:spacing w:after="0"/>
              <w:rPr>
                <w:sz w:val="1"/>
                <w:szCs w:val="1"/>
                <w:color w:val="auto"/>
              </w:rPr>
            </w:pPr>
          </w:p>
        </w:tc>
      </w:tr>
      <w:tr>
        <w:trPr>
          <w:trHeight w:val="333"/>
        </w:trPr>
        <w:tc>
          <w:tcPr>
            <w:tcW w:w="9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gridSpan w:val="2"/>
          </w:tcPr>
          <w:p>
            <w:pPr>
              <w:ind w:left="400"/>
              <w:spacing w:after="0"/>
              <w:rPr>
                <w:sz w:val="20"/>
                <w:szCs w:val="20"/>
                <w:color w:val="auto"/>
              </w:rPr>
            </w:pPr>
            <w:r>
              <w:rPr>
                <w:rFonts w:ascii="Arial" w:cs="Arial" w:eastAsia="Arial" w:hAnsi="Arial"/>
                <w:sz w:val="16"/>
                <w:szCs w:val="16"/>
                <w:color w:val="auto"/>
              </w:rPr>
              <w:t>F-1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320" w:top="418" w:right="1179" w:bottom="1440" w:gutter="0" w:footer="0" w:header="0"/>
        </w:sectPr>
      </w:pPr>
    </w:p>
    <w:bookmarkStart w:id="266" w:name="page267"/>
    <w:bookmarkEnd w:id="2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 the Stockholders and Board of Directors of Tenaya Therapeutics, Inc.</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03"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We have audited the accompanying balance sheets of Tenaya Therapeutics, Inc. (the Company) as of December 31, 2019 and 2020,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Basis for Opinion</w:t>
      </w:r>
    </w:p>
    <w:p>
      <w:pPr>
        <w:spacing w:after="0" w:line="103"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left="820" w:right="180" w:firstLine="385"/>
        <w:spacing w:after="0" w:line="27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 Deloitte &amp; Touche LLP</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San Francisco, California</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May 7, 2021</w:t>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have served as the Company’s auditor since 2019.</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360"/>
          </w:cols>
          <w:pgMar w:left="320" w:top="418" w:right="1219" w:bottom="1440" w:gutter="0" w:footer="0" w:header="0"/>
        </w:sectPr>
      </w:pPr>
    </w:p>
    <w:bookmarkStart w:id="267" w:name="page268"/>
    <w:bookmarkEnd w:id="2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21"/>
        </w:trPr>
        <w:tc>
          <w:tcPr>
            <w:tcW w:w="20" w:type="dxa"/>
            <w:vAlign w:val="bottom"/>
          </w:tcPr>
          <w:p>
            <w:pPr>
              <w:spacing w:after="0"/>
              <w:rPr>
                <w:sz w:val="10"/>
                <w:szCs w:val="10"/>
                <w:color w:val="auto"/>
              </w:rPr>
            </w:pPr>
          </w:p>
        </w:tc>
        <w:tc>
          <w:tcPr>
            <w:tcW w:w="78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83"/>
              <w:spacing w:after="0" w:line="12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2"/>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7820" w:type="dxa"/>
            <w:vAlign w:val="bottom"/>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23,872</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128,535</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Investments in marketable securities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2,753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27,742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129,964</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17,185</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Restricted cash, non-current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2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38,001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148,161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1,959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Convertible preferred stock tranche liability</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2"/>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Deferred rent and other lease liabilities, current</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Deferred rent and other lease liabilities, non-current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3,662</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2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8,698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8,722</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6"/>
                <w:szCs w:val="16"/>
                <w:color w:val="auto"/>
                <w:w w:val="89"/>
              </w:rPr>
              <w:t>Convertible preferred stock, $0.0001 par value; 106,900,000 and 156,613,818 shares authorized as of December 31, 2019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w w:val="91"/>
              </w:rPr>
              <w:t>and 2020; 68,418,509 and 146,961,309 shares issued and outstanding as of December 31, 2019 and 2020; aggregate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rPr>
              <w:t>liquidation preference of $227,900 as of December 31, 2020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73,042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220,754</w:t>
            </w: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6"/>
                <w:szCs w:val="16"/>
                <w:color w:val="auto"/>
                <w:w w:val="90"/>
              </w:rPr>
              <w:t>Common stock, $0.0001 par value; 128,448,000 and 181,980,000 shares authorized as of December 31, 2019 and 2020;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rPr>
              <w:t>7,161,040 and 7,261,976 shares issued and outstanding as of December 31, 2019 and 2020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Notes receivable from stockholders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(87)</w:t>
            </w: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(44,417)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(82,812)</w:t>
            </w:r>
          </w:p>
        </w:tc>
      </w:tr>
      <w:tr>
        <w:trPr>
          <w:trHeight w:val="196"/>
        </w:trPr>
        <w:tc>
          <w:tcPr>
            <w:tcW w:w="7840" w:type="dxa"/>
            <w:vAlign w:val="bottom"/>
            <w:gridSpan w:val="2"/>
          </w:tcPr>
          <w:p>
            <w:pPr>
              <w:spacing w:after="0"/>
              <w:rPr>
                <w:sz w:val="20"/>
                <w:szCs w:val="20"/>
                <w:color w:val="auto"/>
              </w:rPr>
            </w:pPr>
            <w:r>
              <w:rPr>
                <w:rFonts w:ascii="Arial" w:cs="Arial" w:eastAsia="Arial" w:hAnsi="Arial"/>
                <w:sz w:val="16"/>
                <w:szCs w:val="16"/>
                <w:color w:val="auto"/>
              </w:rPr>
              <w:t>Total stockholders’ deficit</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0"/>
              </w:rPr>
              <w:t>(43,739)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(81,315)</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38,001</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148,161</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440"/>
          </w:cols>
          <w:pgMar w:left="320" w:top="418" w:right="1139" w:bottom="1440" w:gutter="0" w:footer="0" w:header="0"/>
        </w:sectPr>
      </w:pPr>
    </w:p>
    <w:bookmarkStart w:id="268" w:name="page269"/>
    <w:bookmarkEnd w:id="2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Statements of Operations and Comprehensive Loss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30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4"/>
              <w:spacing w:after="0" w:line="12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Operating expenses:</w:t>
            </w: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23,148</w:t>
            </w:r>
          </w:p>
        </w:tc>
        <w:tc>
          <w:tcPr>
            <w:tcW w:w="26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31,099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1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(27,712)</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(38,912)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8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ind w:left="600"/>
              <w:spacing w:after="0"/>
              <w:rPr>
                <w:sz w:val="20"/>
                <w:szCs w:val="20"/>
                <w:color w:val="auto"/>
              </w:rPr>
            </w:pPr>
            <w:r>
              <w:rPr>
                <w:rFonts w:ascii="Arial" w:cs="Arial" w:eastAsia="Arial" w:hAnsi="Arial"/>
                <w:sz w:val="16"/>
                <w:szCs w:val="16"/>
                <w:color w:val="auto"/>
              </w:rPr>
              <w:t>Total other income (expense), net</w:t>
            </w:r>
          </w:p>
        </w:tc>
        <w:tc>
          <w:tcPr>
            <w:tcW w:w="1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 expense</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(26,231)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(38,395)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Income tax expense</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(26,231)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(38,395)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2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(5.78)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Weighted-average shares used in computing net loss per share, basic and diluted</w:t>
            </w:r>
          </w:p>
        </w:tc>
        <w:tc>
          <w:tcPr>
            <w:tcW w:w="1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4,534,692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5,832,594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440"/>
          </w:cols>
          <w:pgMar w:left="320" w:top="418" w:right="1139" w:bottom="1440" w:gutter="0" w:footer="0" w:header="0"/>
        </w:sectPr>
      </w:pPr>
    </w:p>
    <w:bookmarkStart w:id="269" w:name="page270"/>
    <w:bookmarkEnd w:id="2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Statements of Convertible Preferred Stock and Stockholders’ Deficit</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data)</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32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3"/>
            <w:vMerge w:val="restart"/>
          </w:tcPr>
          <w:p>
            <w:pPr>
              <w:jc w:val="right"/>
              <w:spacing w:after="0" w:line="130"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jc w:val="center"/>
              <w:ind w:right="200"/>
              <w:spacing w:after="0" w:line="130" w:lineRule="exact"/>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220"/>
              <w:spacing w:after="0" w:line="13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320" w:type="dxa"/>
            <w:vAlign w:val="bottom"/>
            <w:gridSpan w:val="4"/>
            <w:vMerge w:val="restart"/>
          </w:tcPr>
          <w:p>
            <w:pPr>
              <w:jc w:val="right"/>
              <w:ind w:right="177"/>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w w:val="99"/>
              </w:rPr>
              <w:t>Paid-In</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from</w:t>
            </w:r>
          </w:p>
        </w:tc>
        <w:tc>
          <w:tcPr>
            <w:tcW w:w="960" w:type="dxa"/>
            <w:vAlign w:val="bottom"/>
            <w:gridSpan w:val="4"/>
          </w:tcPr>
          <w:p>
            <w:pPr>
              <w:ind w:left="100"/>
              <w:spacing w:after="0" w:line="110" w:lineRule="exact"/>
              <w:rPr>
                <w:sz w:val="20"/>
                <w:szCs w:val="20"/>
                <w:color w:val="auto"/>
              </w:rPr>
            </w:pPr>
            <w:r>
              <w:rPr>
                <w:rFonts w:ascii="Arial" w:cs="Arial" w:eastAsia="Arial" w:hAnsi="Arial"/>
                <w:sz w:val="12"/>
                <w:szCs w:val="12"/>
                <w:b w:val="1"/>
                <w:bCs w:val="1"/>
                <w:color w:val="auto"/>
              </w:rPr>
              <w:t>Accumulated</w:t>
            </w:r>
          </w:p>
        </w:tc>
        <w:tc>
          <w:tcPr>
            <w:tcW w:w="940" w:type="dxa"/>
            <w:vAlign w:val="bottom"/>
            <w:gridSpan w:val="4"/>
          </w:tcPr>
          <w:p>
            <w:pPr>
              <w:jc w:val="center"/>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Shares</w:t>
            </w:r>
          </w:p>
        </w:tc>
        <w:tc>
          <w:tcPr>
            <w:tcW w:w="560" w:type="dxa"/>
            <w:vAlign w:val="bottom"/>
            <w:gridSpan w:val="3"/>
          </w:tcPr>
          <w:p>
            <w:pPr>
              <w:ind w:left="100"/>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w w:val="92"/>
              </w:rPr>
              <w:t>Capital</w:t>
            </w: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2"/>
              </w:rPr>
              <w:t>Stockholders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3"/>
                <w:szCs w:val="13"/>
                <w:color w:val="auto"/>
              </w:rPr>
              <w:t>Balance as of January 1, 2019</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49,900,000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43,393</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9"/>
              </w:rPr>
              <w:t>6,559,040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229</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(84)</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(18,186)</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(18,040)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w w:val="94"/>
              </w:rPr>
              <w:t>Issuance of Series B convertible preferred stock, net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80"/>
              <w:spacing w:after="0" w:line="130" w:lineRule="exact"/>
              <w:rPr>
                <w:sz w:val="20"/>
                <w:szCs w:val="20"/>
                <w:color w:val="auto"/>
              </w:rPr>
            </w:pPr>
            <w:r>
              <w:rPr>
                <w:rFonts w:ascii="Arial" w:cs="Arial" w:eastAsia="Arial" w:hAnsi="Arial"/>
                <w:sz w:val="13"/>
                <w:szCs w:val="13"/>
                <w:color w:val="auto"/>
              </w:rPr>
              <w:t>of issuance costs of $221 and recognition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80"/>
              <w:spacing w:after="0" w:line="130" w:lineRule="exact"/>
              <w:rPr>
                <w:sz w:val="20"/>
                <w:szCs w:val="20"/>
                <w:color w:val="auto"/>
              </w:rPr>
            </w:pPr>
            <w:r>
              <w:rPr>
                <w:rFonts w:ascii="Arial" w:cs="Arial" w:eastAsia="Arial" w:hAnsi="Arial"/>
                <w:sz w:val="13"/>
                <w:szCs w:val="13"/>
                <w:color w:val="auto"/>
                <w:w w:val="96"/>
              </w:rPr>
              <w:t>convertible preferred stock liability upon issuance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of Series B convertible preferred stock of $797</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18,518,509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29,649</w:t>
            </w: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w w:val="96"/>
              </w:rPr>
              <w:t>Issuance of common stock to a related party for the</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grant of rights and licenses</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w w:val="99"/>
              </w:rPr>
              <w:t>Issuance of common stock upon exercise of stock</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options</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538,500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rPr>
              <w:t>Repurchase of common stock related to early</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exercise of options</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(36,500)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Vesting of early exercised stock options</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40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Notes receivable from stockholders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Stock-based compensation</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414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3"/>
                <w:szCs w:val="13"/>
                <w:color w:val="auto"/>
              </w:rPr>
              <w:t>414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Net loss and other comprehensive loss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(26,231)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(26,231)</w:t>
            </w:r>
          </w:p>
        </w:tc>
        <w:tc>
          <w:tcPr>
            <w:tcW w:w="0" w:type="dxa"/>
            <w:vAlign w:val="bottom"/>
          </w:tcPr>
          <w:p>
            <w:pPr>
              <w:spacing w:after="0"/>
              <w:rPr>
                <w:sz w:val="1"/>
                <w:szCs w:val="1"/>
                <w:color w:val="auto"/>
              </w:rPr>
            </w:pPr>
          </w:p>
        </w:tc>
      </w:tr>
      <w:tr>
        <w:trPr>
          <w:trHeight w:val="133"/>
        </w:trPr>
        <w:tc>
          <w:tcPr>
            <w:tcW w:w="3060" w:type="dxa"/>
            <w:vAlign w:val="bottom"/>
            <w:gridSpan w:val="2"/>
          </w:tcPr>
          <w:p>
            <w:pPr>
              <w:spacing w:after="0" w:line="133" w:lineRule="exact"/>
              <w:rPr>
                <w:sz w:val="20"/>
                <w:szCs w:val="20"/>
                <w:color w:val="auto"/>
              </w:rPr>
            </w:pPr>
            <w:r>
              <w:rPr>
                <w:rFonts w:ascii="Arial" w:cs="Arial" w:eastAsia="Arial" w:hAnsi="Arial"/>
                <w:sz w:val="13"/>
                <w:szCs w:val="13"/>
                <w:color w:val="auto"/>
              </w:rPr>
              <w:t>Balance as of December 31, 2019</w:t>
            </w:r>
          </w:p>
        </w:tc>
        <w:tc>
          <w:tcPr>
            <w:tcW w:w="6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68,418,509</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73,042</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w w:val="89"/>
              </w:rPr>
              <w:t>7,161,040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763</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(86)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(44,417)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(43,739)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w w:val="94"/>
              </w:rPr>
              <w:t>Issuance of Series B convertible preferred stock, net</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80"/>
              <w:spacing w:after="0" w:line="130" w:lineRule="exact"/>
              <w:rPr>
                <w:sz w:val="20"/>
                <w:szCs w:val="20"/>
                <w:color w:val="auto"/>
              </w:rPr>
            </w:pPr>
            <w:r>
              <w:rPr>
                <w:rFonts w:ascii="Arial" w:cs="Arial" w:eastAsia="Arial" w:hAnsi="Arial"/>
                <w:sz w:val="13"/>
                <w:szCs w:val="13"/>
                <w:color w:val="auto"/>
              </w:rPr>
              <w:t>of issuance costs of $49 and settlement of</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80"/>
              <w:spacing w:after="0" w:line="130" w:lineRule="exact"/>
              <w:rPr>
                <w:sz w:val="20"/>
                <w:szCs w:val="20"/>
                <w:color w:val="auto"/>
              </w:rPr>
            </w:pPr>
            <w:r>
              <w:rPr>
                <w:rFonts w:ascii="Arial" w:cs="Arial" w:eastAsia="Arial" w:hAnsi="Arial"/>
                <w:sz w:val="13"/>
                <w:szCs w:val="13"/>
                <w:color w:val="auto"/>
              </w:rPr>
              <w:t>convertible preferred stock tranche liability of</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$711</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37,037,018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61,995</w:t>
            </w: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w w:val="94"/>
              </w:rPr>
              <w:t>Issuance of Series C convertible preferred stock, net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of issuance costs of $283</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41,505,782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85,717</w:t>
            </w: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w w:val="99"/>
              </w:rPr>
              <w:t>Issuance of common stock upon exercise of stock</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options</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107,103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rPr>
              <w:t>Repurchase of common stock related to early</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exercise of options</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(6,167)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Vesting of early exercised stock options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Notes receivable from stockholders</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00"/>
              <w:spacing w:after="0" w:line="130"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Net loss and other comprehensive loss</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3"/>
                <w:szCs w:val="13"/>
                <w:color w:val="auto"/>
              </w:rPr>
              <w:t>(38,395)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(38,395)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Balance as of December 31, 2020</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w w:val="91"/>
              </w:rPr>
              <w:t>146,961,309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w w:val="89"/>
              </w:rPr>
              <w:t>220,754</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w w:val="89"/>
              </w:rPr>
              <w:t>7,261,976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1,583</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(87)</w:t>
            </w:r>
          </w:p>
        </w:tc>
        <w:tc>
          <w:tcPr>
            <w:tcW w:w="2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(82,812)</w:t>
            </w:r>
          </w:p>
        </w:tc>
        <w:tc>
          <w:tcPr>
            <w:tcW w:w="24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(81,315)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0440"/>
          </w:cols>
          <w:pgMar w:left="320" w:top="418" w:right="1139" w:bottom="1440" w:gutter="0" w:footer="0" w:header="0"/>
        </w:sectPr>
      </w:pPr>
    </w:p>
    <w:bookmarkStart w:id="270" w:name="page271"/>
    <w:bookmarkEnd w:id="2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Statements of Cash Flows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87"/>
              </w:rPr>
              <w:t>Year Ended 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7"/>
              <w:spacing w:after="0" w:line="12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37"/>
              <w:spacing w:after="0" w:line="12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8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Cash flows from operating activities: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Net loss</w:t>
            </w:r>
          </w:p>
        </w:tc>
        <w:tc>
          <w:tcPr>
            <w:tcW w:w="28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(26,231)</w:t>
            </w:r>
          </w:p>
        </w:tc>
        <w:tc>
          <w:tcPr>
            <w:tcW w:w="300" w:type="dxa"/>
            <w:vAlign w:val="bottom"/>
            <w:gridSpan w:val="2"/>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(38,395)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1,989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2,483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Stock-based compensation</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414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Accretion of discount on marketable 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(96)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Loss on disposal of property and equipment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Non-cash stock expense related to the grant of rights and licenses from a related party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75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Change in fair value of convertible preferred stock tranche liability</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Changes in operating assets and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(378)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480"/>
              <w:spacing w:after="0" w:line="130" w:lineRule="exact"/>
              <w:rPr>
                <w:sz w:val="20"/>
                <w:szCs w:val="20"/>
                <w:color w:val="auto"/>
              </w:rPr>
            </w:pPr>
            <w:r>
              <w:rPr>
                <w:rFonts w:ascii="Arial" w:cs="Arial" w:eastAsia="Arial" w:hAnsi="Arial"/>
                <w:sz w:val="13"/>
                <w:szCs w:val="13"/>
                <w:color w:val="auto"/>
              </w:rPr>
              <w:t>Other non-current assets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397</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480"/>
              <w:spacing w:after="0" w:line="130" w:lineRule="exact"/>
              <w:rPr>
                <w:sz w:val="20"/>
                <w:szCs w:val="20"/>
                <w:color w:val="auto"/>
              </w:rPr>
            </w:pPr>
            <w:r>
              <w:rPr>
                <w:rFonts w:ascii="Arial" w:cs="Arial" w:eastAsia="Arial" w:hAnsi="Arial"/>
                <w:sz w:val="13"/>
                <w:szCs w:val="13"/>
                <w:color w:val="auto"/>
              </w:rPr>
              <w:t>Accrued expenses and other current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514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925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Deferred rent and other lease liabilities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(691)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480"/>
              <w:spacing w:after="0" w:line="130" w:lineRule="exact"/>
              <w:rPr>
                <w:sz w:val="20"/>
                <w:szCs w:val="20"/>
                <w:color w:val="auto"/>
              </w:rPr>
            </w:pPr>
            <w:r>
              <w:rPr>
                <w:rFonts w:ascii="Arial" w:cs="Arial" w:eastAsia="Arial" w:hAnsi="Arial"/>
                <w:sz w:val="13"/>
                <w:szCs w:val="13"/>
                <w:color w:val="auto"/>
              </w:rPr>
              <w:t>Other non-current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(77)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720"/>
              <w:spacing w:after="0" w:line="130" w:lineRule="exact"/>
              <w:rPr>
                <w:sz w:val="20"/>
                <w:szCs w:val="20"/>
                <w:color w:val="auto"/>
              </w:rPr>
            </w:pPr>
            <w:r>
              <w:rPr>
                <w:rFonts w:ascii="Arial" w:cs="Arial" w:eastAsia="Arial" w:hAnsi="Arial"/>
                <w:sz w:val="13"/>
                <w:szCs w:val="13"/>
                <w:color w:val="auto"/>
              </w:rPr>
              <w:t>Net cash used in operating activities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(24,096)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(35,447)</w:t>
            </w:r>
          </w:p>
        </w:tc>
        <w:tc>
          <w:tcPr>
            <w:tcW w:w="0" w:type="dxa"/>
            <w:vAlign w:val="bottom"/>
          </w:tcPr>
          <w:p>
            <w:pPr>
              <w:spacing w:after="0"/>
              <w:rPr>
                <w:sz w:val="1"/>
                <w:szCs w:val="1"/>
                <w:color w:val="auto"/>
              </w:rPr>
            </w:pPr>
          </w:p>
        </w:tc>
      </w:tr>
      <w:tr>
        <w:trPr>
          <w:trHeight w:val="133"/>
        </w:trPr>
        <w:tc>
          <w:tcPr>
            <w:tcW w:w="77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Cash flows from investing activities:</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Purchases of property and equipment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(2,926)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(9,763)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Purchases of marketable 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(12,657)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maturities of marketable securities</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10,000</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2,753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80" w:type="dxa"/>
            <w:vAlign w:val="bottom"/>
          </w:tcPr>
          <w:p>
            <w:pPr>
              <w:ind w:left="720"/>
              <w:spacing w:after="0" w:line="133" w:lineRule="exact"/>
              <w:rPr>
                <w:sz w:val="20"/>
                <w:szCs w:val="20"/>
                <w:color w:val="auto"/>
              </w:rPr>
            </w:pPr>
            <w:r>
              <w:rPr>
                <w:rFonts w:ascii="Arial" w:cs="Arial" w:eastAsia="Arial" w:hAnsi="Arial"/>
                <w:sz w:val="13"/>
                <w:szCs w:val="13"/>
                <w:color w:val="auto"/>
              </w:rPr>
              <w:t>Net cash used in investing activities</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(5,583)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(7,010)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Proceeds from issuance of Series B convertible preferred stock, net of issuance costs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30,446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61,284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issuance of Series C convertible preferred stock, net of issuance costs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85,951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Proceeds from exercise of stock options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68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Repurchases of common stock</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80" w:type="dxa"/>
            <w:vAlign w:val="bottom"/>
          </w:tcPr>
          <w:p>
            <w:pPr>
              <w:ind w:left="720"/>
              <w:spacing w:after="0" w:line="133" w:lineRule="exact"/>
              <w:rPr>
                <w:sz w:val="20"/>
                <w:szCs w:val="20"/>
                <w:color w:val="auto"/>
              </w:rPr>
            </w:pPr>
            <w:r>
              <w:rPr>
                <w:rFonts w:ascii="Arial" w:cs="Arial" w:eastAsia="Arial" w:hAnsi="Arial"/>
                <w:sz w:val="13"/>
                <w:szCs w:val="13"/>
                <w:color w:val="auto"/>
              </w:rPr>
              <w:t>Net cash provided by financing activities</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30,511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147,268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Net increase in cash, cash equivalents and restricted cash</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832</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104,811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Cash, cash equivalents and restricted cash at beginning of period</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23,439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24,271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 at end of period</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24,271</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129,082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Components of cash, cash equivalents and restricted cash:</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and cash equivalents</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23,872</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128,535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Restricted cash, non-current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399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547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24,271</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129,082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Property and equipment included in accounts payable and accrued expenses and other current liabilities</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110</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color w:val="auto"/>
              </w:rPr>
              <w:t>Settlement of convertible preferred stock tranche liability in connection with the issuance of Series B convertible preferred stock</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711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6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89"/>
              </w:rPr>
              <w:t>Deferred offering costs related to Series C convertible preferred stock included in accounts payable and accrued expenses and other current liabilities</w:t>
            </w:r>
          </w:p>
        </w:tc>
        <w:tc>
          <w:tcPr>
            <w:tcW w:w="2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line="117"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28"/>
              <w:spacing w:after="0" w:line="117"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0440"/>
          </w:cols>
          <w:pgMar w:left="320" w:top="418" w:right="1139" w:bottom="1440" w:gutter="0" w:footer="0" w:header="0"/>
        </w:sectPr>
      </w:pPr>
    </w:p>
    <w:bookmarkStart w:id="271" w:name="page272"/>
    <w:bookmarkEnd w:id="2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Description of the Business</w:t>
      </w:r>
    </w:p>
    <w:p>
      <w:pPr>
        <w:spacing w:after="0" w:line="99" w:lineRule="exact"/>
        <w:rPr>
          <w:sz w:val="20"/>
          <w:szCs w:val="20"/>
          <w:color w:val="auto"/>
        </w:rPr>
      </w:pPr>
    </w:p>
    <w:p>
      <w:pPr>
        <w:ind w:left="820" w:right="80" w:firstLine="385"/>
        <w:spacing w:after="0" w:line="253" w:lineRule="auto"/>
        <w:rPr>
          <w:sz w:val="20"/>
          <w:szCs w:val="20"/>
          <w:color w:val="auto"/>
        </w:rPr>
      </w:pPr>
      <w:r>
        <w:rPr>
          <w:rFonts w:ascii="Arial" w:cs="Arial" w:eastAsia="Arial" w:hAnsi="Arial"/>
          <w:sz w:val="16"/>
          <w:szCs w:val="16"/>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Liquidity</w:t>
      </w:r>
    </w:p>
    <w:p>
      <w:pPr>
        <w:spacing w:after="0" w:line="99"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The Company has incurred net losses since inception and expects such losses to continue in the future as it conducts research and development activities. As of December 31, 2020, the Company had an accumulated deficit of $82.8 million. The Company incurred a net loss of $26.2 million and $38.4 million during the years ended December 31, 2019 and 2020. The Company had $128.5 million of cash and cash equivalents as of December 31, 2020. In addition, in January 2021, the Company raised $20.0 million in gross proceeds from the issuance and sale of shares of its Series C convertible preferred stock (see Note 13).</w:t>
      </w:r>
    </w:p>
    <w:p>
      <w:pPr>
        <w:spacing w:after="0" w:line="170" w:lineRule="exact"/>
        <w:rPr>
          <w:sz w:val="20"/>
          <w:szCs w:val="20"/>
          <w:color w:val="auto"/>
        </w:rPr>
      </w:pPr>
    </w:p>
    <w:p>
      <w:pPr>
        <w:ind w:left="820" w:right="280" w:firstLine="385"/>
        <w:spacing w:after="0" w:line="323" w:lineRule="auto"/>
        <w:rPr>
          <w:sz w:val="20"/>
          <w:szCs w:val="20"/>
          <w:color w:val="auto"/>
        </w:rPr>
      </w:pPr>
      <w:r>
        <w:rPr>
          <w:rFonts w:ascii="Arial" w:cs="Arial" w:eastAsia="Arial" w:hAnsi="Arial"/>
          <w:sz w:val="13"/>
          <w:szCs w:val="13"/>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December 31, 2020, together with the funds raised in January 2021 from the sale of Series C convertible preferred stock, are sufficient to fund the Company’s operations for at least the next twelve months following the issuance date of these financial statements.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99"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99" w:lineRule="exact"/>
        <w:rPr>
          <w:sz w:val="20"/>
          <w:szCs w:val="20"/>
          <w:color w:val="auto"/>
        </w:rPr>
      </w:pPr>
    </w:p>
    <w:p>
      <w:pPr>
        <w:ind w:left="820" w:right="320" w:firstLine="385"/>
        <w:spacing w:after="0" w:line="275" w:lineRule="auto"/>
        <w:rPr>
          <w:sz w:val="20"/>
          <w:szCs w:val="20"/>
          <w:color w:val="auto"/>
        </w:rPr>
      </w:pPr>
      <w:r>
        <w:rPr>
          <w:rFonts w:ascii="Arial" w:cs="Arial" w:eastAsia="Arial" w:hAnsi="Arial"/>
          <w:sz w:val="15"/>
          <w:szCs w:val="15"/>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three-level fair value hierarchy that requires an entity to maximize the use of observable inputs, where available, and minimize the use of unobservable inputs when measuring fair value. The three-level hierarchy of inputs is as follows:</w:t>
      </w:r>
    </w:p>
    <w:p>
      <w:pPr>
        <w:spacing w:after="0" w:line="176" w:lineRule="exact"/>
        <w:rPr>
          <w:sz w:val="20"/>
          <w:szCs w:val="20"/>
          <w:color w:val="auto"/>
        </w:rPr>
      </w:pPr>
    </w:p>
    <w:p>
      <w:pPr>
        <w:jc w:val="center"/>
        <w:ind w:left="1060" w:right="460"/>
        <w:spacing w:after="0" w:line="436" w:lineRule="auto"/>
        <w:rPr>
          <w:sz w:val="20"/>
          <w:szCs w:val="20"/>
          <w:color w:val="auto"/>
        </w:rPr>
      </w:pPr>
      <w:r>
        <w:rPr>
          <w:rFonts w:ascii="Arial" w:cs="Arial" w:eastAsia="Arial" w:hAnsi="Arial"/>
          <w:sz w:val="16"/>
          <w:szCs w:val="16"/>
          <w:b w:val="1"/>
          <w:bCs w:val="1"/>
          <w:i w:val="1"/>
          <w:iCs w:val="1"/>
          <w:color w:val="auto"/>
        </w:rPr>
        <w:t>Level 1</w:t>
      </w:r>
      <w:r>
        <w:rPr>
          <w:rFonts w:ascii="Arial" w:cs="Arial" w:eastAsia="Arial" w:hAnsi="Arial"/>
          <w:sz w:val="16"/>
          <w:szCs w:val="16"/>
          <w:color w:val="auto"/>
        </w:rPr>
        <w:t>—Observable inputs such as unadjusted quoted prices in active markets for identical assets or liabilities as of the measurement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F-7</w:t>
      </w:r>
    </w:p>
    <w:p>
      <w:pPr>
        <w:sectPr>
          <w:pgSz w:w="11900" w:h="16838" w:orient="portrait"/>
          <w:cols w:equalWidth="0" w:num="1">
            <w:col w:w="10420"/>
          </w:cols>
          <w:pgMar w:left="320" w:top="418" w:right="1159" w:bottom="1440" w:gutter="0" w:footer="0" w:header="0"/>
        </w:sectPr>
      </w:pPr>
    </w:p>
    <w:bookmarkStart w:id="272" w:name="page273"/>
    <w:bookmarkEnd w:id="2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p>
      <w:pPr>
        <w:ind w:left="1820" w:right="40" w:hanging="616"/>
        <w:spacing w:after="0" w:line="266" w:lineRule="auto"/>
        <w:rPr>
          <w:sz w:val="20"/>
          <w:szCs w:val="20"/>
          <w:color w:val="auto"/>
        </w:rPr>
      </w:pPr>
      <w:r>
        <w:rPr>
          <w:rFonts w:ascii="Arial" w:cs="Arial" w:eastAsia="Arial" w:hAnsi="Arial"/>
          <w:sz w:val="16"/>
          <w:szCs w:val="16"/>
          <w:b w:val="1"/>
          <w:bCs w:val="1"/>
          <w:i w:val="1"/>
          <w:iCs w:val="1"/>
          <w:color w:val="auto"/>
        </w:rPr>
        <w:t>Level 2</w:t>
      </w:r>
      <w:r>
        <w:rPr>
          <w:rFonts w:ascii="Arial" w:cs="Arial" w:eastAsia="Arial" w:hAnsi="Arial"/>
          <w:sz w:val="16"/>
          <w:szCs w:val="16"/>
          <w:color w:val="auto"/>
        </w:rPr>
        <w:t>—Inputs (other than quoted prices included within Level 1) that are directly observable for the asset or liability or indirectly observable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similar assets or liabilities;</w:t>
      </w:r>
    </w:p>
    <w:p>
      <w:pPr>
        <w:spacing w:after="0" w:line="64" w:lineRule="exact"/>
        <w:rPr>
          <w:sz w:val="20"/>
          <w:szCs w:val="20"/>
          <w:color w:val="auto"/>
        </w:rPr>
      </w:pPr>
    </w:p>
    <w:p>
      <w:pPr>
        <w:ind w:left="1820" w:right="180" w:hanging="616"/>
        <w:spacing w:after="0" w:line="266" w:lineRule="auto"/>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that are supported by little or no market activity and that are significant to determining the fair value of the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liabilities.</w:t>
      </w:r>
    </w:p>
    <w:p>
      <w:pPr>
        <w:spacing w:after="0" w:line="158"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7"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The Company’s cash and cash equivalents, prepaid expenses and other current assets, accounts payable and accrued expenses and other current liabilities approximate their fair value due to their short-term nature.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Concentrations of Credit Risk</w:t>
      </w:r>
    </w:p>
    <w:p>
      <w:pPr>
        <w:spacing w:after="0" w:line="99"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Financial instruments, which potentially subject the Company to concentration of risk, consist principally of cash, cash equivalents and marketable securities. All of the Company’s cash, cash equivalents and marketable securities are invested through banks and other accredited financial institutions in the United States. Such amounts may exceed federally insured limits. The Company has not experienced any losses on its deposits of cash and cash equivalents.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99" w:lineRule="exact"/>
        <w:rPr>
          <w:sz w:val="20"/>
          <w:szCs w:val="20"/>
          <w:color w:val="auto"/>
        </w:rPr>
      </w:pPr>
    </w:p>
    <w:p>
      <w:pPr>
        <w:ind w:left="820" w:right="120" w:firstLine="385"/>
        <w:spacing w:after="0" w:line="251" w:lineRule="auto"/>
        <w:rPr>
          <w:sz w:val="20"/>
          <w:szCs w:val="20"/>
          <w:color w:val="auto"/>
        </w:rPr>
      </w:pPr>
      <w:r>
        <w:rPr>
          <w:rFonts w:ascii="Arial" w:cs="Arial" w:eastAsia="Arial" w:hAnsi="Arial"/>
          <w:sz w:val="16"/>
          <w:szCs w:val="16"/>
          <w:color w:val="auto"/>
        </w:rPr>
        <w:t>The Company is subject to certain risks similar to that of other early-stage biopharmaceutical companies, including, but not limited to, the ability to obtain future financing, possible failure of future clinical trials, the need to obtain regulatory approvals for its product candidates, the need to successfully commercialize and gain market acceptance of the Company’s product candidates, competitive developments, protection of the proprietary technology, the ability to make milestone, royalty or other payments due under licensing agreements, and the Company’s ability to attract and retain employees necessary to support its growth.</w:t>
      </w:r>
    </w:p>
    <w:p>
      <w:pPr>
        <w:spacing w:after="0" w:line="170"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The ongoing COVID-19 pandemic has disrupted and may continue to disrupt the Company’s business and delay its programs and timelines. The Company does not yet know the full extent of potential delays to its preclinical trials, which could prevent or delay the Company from initiating clinical trials and obtaining approval for its product candidates. The extent to which the COVID-19 pandemic may impact the Company’s future operating results and financial condition is uncertain.</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Segment Information and Geographical Information</w:t>
      </w:r>
    </w:p>
    <w:p>
      <w:pPr>
        <w:spacing w:after="0" w:line="99" w:lineRule="exact"/>
        <w:rPr>
          <w:sz w:val="20"/>
          <w:szCs w:val="20"/>
          <w:color w:val="auto"/>
        </w:rPr>
      </w:pPr>
    </w:p>
    <w:p>
      <w:pPr>
        <w:ind w:left="820" w:right="220" w:firstLine="385"/>
        <w:spacing w:after="0" w:line="281" w:lineRule="auto"/>
        <w:rPr>
          <w:sz w:val="20"/>
          <w:szCs w:val="20"/>
          <w:color w:val="auto"/>
        </w:rPr>
      </w:pPr>
      <w:r>
        <w:rPr>
          <w:rFonts w:ascii="Arial" w:cs="Arial" w:eastAsia="Arial" w:hAnsi="Arial"/>
          <w:sz w:val="15"/>
          <w:szCs w:val="15"/>
          <w:color w:val="auto"/>
        </w:rPr>
        <w:t>The Company has one operating segment and one reportable segment, which is the business of developing treatments that address heart failure. The Company’s chief operating decision maker, its Chief Executive Officer, reviews financial information on an aggregate basis for the purpose of allocating resources and evaluating financial performance. All of the Company’s assets are located in the United States.</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99" w:lineRule="exact"/>
        <w:rPr>
          <w:sz w:val="20"/>
          <w:szCs w:val="20"/>
          <w:color w:val="auto"/>
        </w:rPr>
      </w:pPr>
    </w:p>
    <w:p>
      <w:pPr>
        <w:ind w:left="820" w:right="200" w:firstLine="385"/>
        <w:spacing w:after="0" w:line="256"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on the date of purchase to be cash equivalents. Cash equivalents primarily consist of money market funds, commercial paper and U.S. government agencies bonds that are stated at fair value.</w:t>
      </w:r>
    </w:p>
    <w:p>
      <w:pPr>
        <w:spacing w:after="0" w:line="107"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440"/>
          </w:cols>
          <w:pgMar w:left="320" w:top="418" w:right="1139" w:bottom="1440" w:gutter="0" w:footer="0" w:header="0"/>
        </w:sectPr>
      </w:pPr>
    </w:p>
    <w:bookmarkStart w:id="273" w:name="page274"/>
    <w:bookmarkEnd w:id="2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Restricted Cash</w:t>
      </w:r>
    </w:p>
    <w:p>
      <w:pPr>
        <w:spacing w:after="0" w:line="99" w:lineRule="exact"/>
        <w:rPr>
          <w:sz w:val="20"/>
          <w:szCs w:val="20"/>
          <w:color w:val="auto"/>
        </w:rPr>
      </w:pPr>
    </w:p>
    <w:p>
      <w:pPr>
        <w:ind w:left="820" w:right="40" w:firstLine="385"/>
        <w:spacing w:after="0" w:line="383" w:lineRule="auto"/>
        <w:rPr>
          <w:sz w:val="20"/>
          <w:szCs w:val="20"/>
          <w:color w:val="auto"/>
        </w:rPr>
      </w:pPr>
      <w:r>
        <w:rPr>
          <w:rFonts w:ascii="Arial" w:cs="Arial" w:eastAsia="Arial" w:hAnsi="Arial"/>
          <w:sz w:val="13"/>
          <w:szCs w:val="13"/>
          <w:color w:val="auto"/>
        </w:rPr>
        <w:t>As of December 31, 2019 and 2020, the Company’s restricted cash of $0.4 million and $0.5 million represent security deposits for the Company’s operating leases in South San Francisco, California. The security deposits are in the form of a letter of credit secured by restricted cash.</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The Company invests in marketable securities, primarily securities issued by the U.S. government and its agencies as well as commercial paper.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99"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167"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Impairment for Long-Lived Assets</w:t>
      </w:r>
    </w:p>
    <w:p>
      <w:pPr>
        <w:spacing w:after="0" w:line="99"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The obligation to issue additional shares of the Company’s Series B convertible preferred stock at a fixed price on future dates was determined to be a freestanding financial instrument that is accounted for as a liability. On issuance, the Company recorded the convertible preferred stock tranche liability on the balance sheet at its estimated fair value. The liability is subject to remeasurement at each balance sheet date, with changes in fair value recognized as a gain or loss on remeasurement as a component of other income (expense), net in the</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420"/>
          </w:cols>
          <w:pgMar w:left="320" w:top="418" w:right="1159" w:bottom="1440" w:gutter="0" w:footer="0" w:header="0"/>
        </w:sectPr>
      </w:pPr>
    </w:p>
    <w:bookmarkStart w:id="274" w:name="page275"/>
    <w:bookmarkEnd w:id="2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80"/>
        <w:spacing w:after="0" w:line="300" w:lineRule="auto"/>
        <w:rPr>
          <w:sz w:val="20"/>
          <w:szCs w:val="20"/>
          <w:color w:val="auto"/>
        </w:rPr>
      </w:pPr>
      <w:r>
        <w:rPr>
          <w:rFonts w:ascii="Arial" w:cs="Arial" w:eastAsia="Arial" w:hAnsi="Arial"/>
          <w:sz w:val="15"/>
          <w:szCs w:val="15"/>
          <w:color w:val="auto"/>
        </w:rPr>
        <w:t>statements of operations and comprehensive loss until settlement or extinguishment. The convertible preferred stock tranche liability was settled upon the second and third closings of the Company’s Series B convertible preferred stock in March and August 2020, respectively.</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Leases</w:t>
      </w:r>
    </w:p>
    <w:p>
      <w:pPr>
        <w:spacing w:after="0" w:line="193" w:lineRule="exact"/>
        <w:rPr>
          <w:sz w:val="20"/>
          <w:szCs w:val="20"/>
          <w:color w:val="auto"/>
        </w:rPr>
      </w:pPr>
    </w:p>
    <w:p>
      <w:pPr>
        <w:jc w:val="both"/>
        <w:ind w:left="820" w:right="140" w:firstLine="385"/>
        <w:spacing w:after="0" w:line="256" w:lineRule="auto"/>
        <w:rPr>
          <w:sz w:val="20"/>
          <w:szCs w:val="20"/>
          <w:color w:val="auto"/>
        </w:rPr>
      </w:pPr>
      <w:r>
        <w:rPr>
          <w:rFonts w:ascii="Arial" w:cs="Arial" w:eastAsia="Arial" w:hAnsi="Arial"/>
          <w:sz w:val="16"/>
          <w:szCs w:val="16"/>
          <w:color w:val="auto"/>
        </w:rPr>
        <w:t>The Company records rent expense on a straight-line basis over the life of the lease from the date that it obtains the legal right to use and control the leased space. In cases where there is a free rent period or future fixed rent escalations, the Company records a deferred rent liability. Deferred rent consists of the difference between cash payments and the rent expense recognized.</w:t>
      </w:r>
    </w:p>
    <w:p>
      <w:pPr>
        <w:spacing w:after="0" w:line="166"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As part of its lease agreements, the Company receives tenant improvement allowances from landlords. The Company recognizes these allowances as a leasehold incentive obligation, included in deferred rent and other lease liabilities, and amortizes allowances on a straight-line basis over the life of the lease. Allowances which contractually are not required to be paid back to the landlord, are amortized as a reduction to rent expense. Allowances which contractually are required to be paid back to the landlord are amortized over the life of the lease with a portion of the payment decreasing the allowance balance and recorded as an increase to rent expense.</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820" w:right="160" w:firstLine="385"/>
        <w:spacing w:after="0" w:line="275" w:lineRule="auto"/>
        <w:rPr>
          <w:sz w:val="20"/>
          <w:szCs w:val="20"/>
          <w:color w:val="auto"/>
        </w:rPr>
      </w:pPr>
      <w:r>
        <w:rPr>
          <w:rFonts w:ascii="Arial" w:cs="Arial" w:eastAsia="Arial" w:hAnsi="Arial"/>
          <w:sz w:val="15"/>
          <w:szCs w:val="15"/>
          <w:color w:val="auto"/>
        </w:rPr>
        <w:t>Research and development (R&amp;D) costs are expensed as incurred. Research and development costs include, among others, consulting fees, salaries, benefits, travel, stock-based compensation, laboratory supplies and other non-capital equipment utilized for in-house research, allocated facilities and overhead costs, amounts owed under licensing agreements, amounts paid to contract research organizations (CRO) that conduct research and development activities on the Company’s behalf and costs related to compliance with regulatory requirements.</w:t>
      </w:r>
    </w:p>
    <w:p>
      <w:pPr>
        <w:spacing w:after="0" w:line="153" w:lineRule="exact"/>
        <w:rPr>
          <w:sz w:val="20"/>
          <w:szCs w:val="20"/>
          <w:color w:val="auto"/>
        </w:rPr>
      </w:pPr>
    </w:p>
    <w:p>
      <w:pPr>
        <w:ind w:left="820" w:right="120" w:firstLine="385"/>
        <w:spacing w:after="0" w:line="315" w:lineRule="auto"/>
        <w:rPr>
          <w:sz w:val="20"/>
          <w:szCs w:val="20"/>
          <w:color w:val="auto"/>
        </w:rPr>
      </w:pPr>
      <w:r>
        <w:rPr>
          <w:rFonts w:ascii="Arial" w:cs="Arial" w:eastAsia="Arial" w:hAnsi="Arial"/>
          <w:sz w:val="13"/>
          <w:szCs w:val="13"/>
          <w:color w:val="auto"/>
        </w:rPr>
        <w:t>Goods or services incurred for research and development activities that have not yet been invoiced are recorded as liabilities within accrued expenses and other current liabilities on the Company’s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The Company makes judgments and estimates in determining the accrued and other current liabilities balance. If the actual timing of the performance of services or the level of effort varies from the estimate, the Company adjusts accrued expenses or prepaid expenses accordingly, which impact research and development expenses. The Company has not experienced any material differences between accrued costs and actual costs incurred. Changes in these estimates that result in material changes to the Company’s accrued costs could materially affect the Company’s results of operations.</w:t>
      </w:r>
    </w:p>
    <w:p>
      <w:pPr>
        <w:spacing w:after="0" w:line="324"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170"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Non-refundable advance payments for goods or services to be rendered as part of future research and development activities are capitalized on the Company’s balance sheets until the goods or services are received.</w:t>
      </w:r>
    </w:p>
    <w:p>
      <w:pPr>
        <w:spacing w:after="0" w:line="158" w:lineRule="exact"/>
        <w:rPr>
          <w:sz w:val="20"/>
          <w:szCs w:val="20"/>
          <w:color w:val="auto"/>
        </w:rPr>
      </w:pPr>
    </w:p>
    <w:p>
      <w:pPr>
        <w:ind w:left="820" w:right="60" w:firstLine="385"/>
        <w:spacing w:after="0" w:line="300" w:lineRule="auto"/>
        <w:rPr>
          <w:sz w:val="20"/>
          <w:szCs w:val="20"/>
          <w:color w:val="auto"/>
        </w:rPr>
      </w:pPr>
      <w:r>
        <w:rPr>
          <w:rFonts w:ascii="Arial" w:cs="Arial" w:eastAsia="Arial" w:hAnsi="Arial"/>
          <w:sz w:val="15"/>
          <w:szCs w:val="15"/>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420"/>
          </w:cols>
          <w:pgMar w:left="320" w:top="418" w:right="1159" w:bottom="1440" w:gutter="0" w:footer="0" w:header="0"/>
        </w:sectPr>
      </w:pPr>
    </w:p>
    <w:bookmarkStart w:id="275" w:name="page276"/>
    <w:bookmarkEnd w:id="2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67"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For purposes of determining the estimated fair value of options granted to employees and nonemployees, the Company uses the Black-Scholes option pricing model.</w:t>
      </w:r>
    </w:p>
    <w:p>
      <w:pPr>
        <w:spacing w:after="0" w:line="158"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The fair value of restricted stock awards is determined on the date of grant based on the estimated fair value of the Company’s common stock on that date.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Income Taxes</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67"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2019 and 2020, the Company has recorded a full valuation allowance on its net deferred tax assets.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Tax benefits related to uncertain tax positions are recognized when it is more likely than not that a tax position will be sustained during an audit.</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Interest and penalties, if any, related to unrecognized tax benefits are included within the provision for income tax.</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99" w:lineRule="exact"/>
        <w:rPr>
          <w:sz w:val="20"/>
          <w:szCs w:val="20"/>
          <w:color w:val="auto"/>
        </w:rPr>
      </w:pPr>
    </w:p>
    <w:p>
      <w:pPr>
        <w:ind w:left="820" w:right="280" w:firstLine="385"/>
        <w:spacing w:after="0" w:line="251"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99" w:lineRule="exact"/>
        <w:rPr>
          <w:sz w:val="20"/>
          <w:szCs w:val="20"/>
          <w:color w:val="auto"/>
        </w:rPr>
      </w:pPr>
    </w:p>
    <w:p>
      <w:pPr>
        <w:jc w:val="both"/>
        <w:ind w:left="820" w:right="40" w:firstLine="385"/>
        <w:spacing w:after="0" w:line="256" w:lineRule="auto"/>
        <w:rPr>
          <w:sz w:val="20"/>
          <w:szCs w:val="20"/>
          <w:color w:val="auto"/>
        </w:rPr>
      </w:pPr>
      <w:r>
        <w:rPr>
          <w:rFonts w:ascii="Arial" w:cs="Arial" w:eastAsia="Arial" w:hAnsi="Arial"/>
          <w:sz w:val="16"/>
          <w:szCs w:val="16"/>
          <w:color w:val="auto"/>
        </w:rPr>
        <w:t>Comprehensive loss includes net loss and certain changes in stockholders’ deficit that are excluded from net loss. The Company’s comprehensive loss is comprised of unrealized gains and losses on the Company’s marketable securities, which were immaterial for all periods presented. Accordingly, comprehensive loss is the same as net loss.</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400"/>
          </w:cols>
          <w:pgMar w:left="320" w:top="418" w:right="1179" w:bottom="1440" w:gutter="0" w:footer="0" w:header="0"/>
        </w:sectPr>
      </w:pPr>
    </w:p>
    <w:bookmarkStart w:id="276" w:name="page277"/>
    <w:bookmarkEnd w:id="2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99" w:lineRule="exact"/>
        <w:rPr>
          <w:sz w:val="20"/>
          <w:szCs w:val="20"/>
          <w:color w:val="auto"/>
        </w:rPr>
      </w:pPr>
    </w:p>
    <w:p>
      <w:pPr>
        <w:ind w:left="820" w:right="60" w:firstLine="385"/>
        <w:spacing w:after="0" w:line="319" w:lineRule="auto"/>
        <w:rPr>
          <w:sz w:val="20"/>
          <w:szCs w:val="20"/>
          <w:color w:val="auto"/>
        </w:rPr>
      </w:pPr>
      <w:r>
        <w:rPr>
          <w:rFonts w:ascii="Arial" w:cs="Arial" w:eastAsia="Arial" w:hAnsi="Arial"/>
          <w:sz w:val="13"/>
          <w:szCs w:val="13"/>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99"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 xml:space="preserve">On January 1, 2019, the Company adopted Financial Accounting Standards Board (FASB) Accounting Standards Update (ASU) No. 2016-18, </w:t>
      </w: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(Topic 230)—Restricted Cash (ASU 2016-18). This standard requires amounts generally described as restricted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equivalents to be included with cash and cash equivalents when reconciling beginning-of-period and end-of-period total amounts shown on the statements of cash flows. The provisions of ASU 2016-18 are applied retrospectively. The adoption of this standard did not have a material impact on the Company’s financial statements.</w:t>
      </w:r>
    </w:p>
    <w:p>
      <w:pPr>
        <w:spacing w:after="0" w:line="170" w:lineRule="exact"/>
        <w:rPr>
          <w:sz w:val="20"/>
          <w:szCs w:val="20"/>
          <w:color w:val="auto"/>
        </w:rPr>
      </w:pPr>
    </w:p>
    <w:p>
      <w:pPr>
        <w:ind w:left="820" w:right="320" w:firstLine="385"/>
        <w:spacing w:after="0" w:line="329" w:lineRule="auto"/>
        <w:rPr>
          <w:sz w:val="20"/>
          <w:szCs w:val="20"/>
          <w:color w:val="auto"/>
        </w:rPr>
      </w:pPr>
      <w:r>
        <w:rPr>
          <w:rFonts w:ascii="Arial" w:cs="Arial" w:eastAsia="Arial" w:hAnsi="Arial"/>
          <w:sz w:val="13"/>
          <w:szCs w:val="13"/>
          <w:color w:val="auto"/>
        </w:rPr>
        <w:t xml:space="preserve">On January 1, 2019, the Company early adopted FASB ASU No. 2018-07, </w:t>
      </w:r>
      <w:r>
        <w:rPr>
          <w:rFonts w:ascii="Arial" w:cs="Arial" w:eastAsia="Arial" w:hAnsi="Arial"/>
          <w:sz w:val="13"/>
          <w:szCs w:val="13"/>
          <w:i w:val="1"/>
          <w:iCs w:val="1"/>
          <w:color w:val="auto"/>
        </w:rPr>
        <w:t>Compensation-Stock Compensation (Topic 718): Improvements to</w:t>
      </w:r>
      <w:r>
        <w:rPr>
          <w:rFonts w:ascii="Arial" w:cs="Arial" w:eastAsia="Arial" w:hAnsi="Arial"/>
          <w:sz w:val="13"/>
          <w:szCs w:val="13"/>
          <w:color w:val="auto"/>
        </w:rPr>
        <w:t xml:space="preserve"> </w:t>
      </w:r>
      <w:r>
        <w:rPr>
          <w:rFonts w:ascii="Arial" w:cs="Arial" w:eastAsia="Arial" w:hAnsi="Arial"/>
          <w:sz w:val="13"/>
          <w:szCs w:val="13"/>
          <w:i w:val="1"/>
          <w:iCs w:val="1"/>
          <w:color w:val="auto"/>
        </w:rPr>
        <w:t>Nonemployee Share-Based Payment Accounting</w:t>
      </w:r>
      <w:r>
        <w:rPr>
          <w:rFonts w:ascii="Arial" w:cs="Arial" w:eastAsia="Arial" w:hAnsi="Arial"/>
          <w:sz w:val="13"/>
          <w:szCs w:val="13"/>
          <w:color w:val="auto"/>
        </w:rPr>
        <w:t>. This standard simplifies several aspects of the accounting for nonemployee share-based payment</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transactions resulting from expanding the scope of Topic 718 to include share-based payment transactions for acquiring goods and services from nonemployees. The adoption of this standard did not have a material impact on the Company’s financial statements.</w:t>
      </w:r>
    </w:p>
    <w:p>
      <w:pPr>
        <w:spacing w:after="0" w:line="123" w:lineRule="exact"/>
        <w:rPr>
          <w:sz w:val="20"/>
          <w:szCs w:val="20"/>
          <w:color w:val="auto"/>
        </w:rPr>
      </w:pPr>
    </w:p>
    <w:p>
      <w:pPr>
        <w:ind w:left="820" w:right="120" w:firstLine="385"/>
        <w:spacing w:after="0" w:line="275" w:lineRule="auto"/>
        <w:rPr>
          <w:sz w:val="20"/>
          <w:szCs w:val="20"/>
          <w:color w:val="auto"/>
        </w:rPr>
      </w:pPr>
      <w:r>
        <w:rPr>
          <w:rFonts w:ascii="Arial" w:cs="Arial" w:eastAsia="Arial" w:hAnsi="Arial"/>
          <w:sz w:val="15"/>
          <w:szCs w:val="15"/>
          <w:color w:val="auto"/>
        </w:rPr>
        <w:t xml:space="preserve">On January 1, 2020, the Company adopted FASB ASU No. 2018-13, </w:t>
      </w:r>
      <w:r>
        <w:rPr>
          <w:rFonts w:ascii="Arial" w:cs="Arial" w:eastAsia="Arial" w:hAnsi="Arial"/>
          <w:sz w:val="15"/>
          <w:szCs w:val="15"/>
          <w:i w:val="1"/>
          <w:iCs w:val="1"/>
          <w:color w:val="auto"/>
        </w:rPr>
        <w:t>Fair Value Measurement (Topic 820): Disclosure Framework—Changes to</w:t>
      </w:r>
      <w:r>
        <w:rPr>
          <w:rFonts w:ascii="Arial" w:cs="Arial" w:eastAsia="Arial" w:hAnsi="Arial"/>
          <w:sz w:val="15"/>
          <w:szCs w:val="15"/>
          <w:color w:val="auto"/>
        </w:rPr>
        <w:t xml:space="preserve"> </w:t>
      </w:r>
      <w:r>
        <w:rPr>
          <w:rFonts w:ascii="Arial" w:cs="Arial" w:eastAsia="Arial" w:hAnsi="Arial"/>
          <w:sz w:val="15"/>
          <w:szCs w:val="15"/>
          <w:i w:val="1"/>
          <w:iCs w:val="1"/>
          <w:color w:val="auto"/>
        </w:rPr>
        <w:t>the Disclosure Requirements for Fair Value Measurement</w:t>
      </w:r>
      <w:r>
        <w:rPr>
          <w:rFonts w:ascii="Arial" w:cs="Arial" w:eastAsia="Arial" w:hAnsi="Arial"/>
          <w:sz w:val="15"/>
          <w:szCs w:val="15"/>
          <w:color w:val="auto"/>
        </w:rPr>
        <w:t>. This standard eliminates, modifies and adds disclosure requirements for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The Company adopted the removed and modified disclosures on a retrospective basis and the new disclosures on a prospective basis. The adoption of this standard did not have a material impact on the Company’s financial statements.</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99"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 amended, which requires lessees to recognize operating and financing lease liabilities and corresponding right-of-use assets on the balance sheet for all leases with lease terms of more than twelve months. In July 2018, the FASB issued ASU No. 2018-11, </w:t>
      </w:r>
      <w:r>
        <w:rPr>
          <w:rFonts w:ascii="Arial" w:cs="Arial" w:eastAsia="Arial" w:hAnsi="Arial"/>
          <w:sz w:val="15"/>
          <w:szCs w:val="15"/>
          <w:i w:val="1"/>
          <w:iCs w:val="1"/>
          <w:color w:val="auto"/>
        </w:rPr>
        <w:t>Leases, Targeted Improvements (Topic 842)</w:t>
      </w:r>
      <w:r>
        <w:rPr>
          <w:rFonts w:ascii="Arial" w:cs="Arial" w:eastAsia="Arial" w:hAnsi="Arial"/>
          <w:sz w:val="15"/>
          <w:szCs w:val="15"/>
          <w:color w:val="auto"/>
        </w:rPr>
        <w:t>, an update which provides an alternative transition method, in addition to the existing modified retrospective transition method, by allowing entities to initially apply the new lease standard at the adoption date and recognize a cumulative-effect adjustment to the opening balance of retained earnings in the period of adoption. As an emerging growth company, these new lease standards are effective for the Company for fiscal year beginning January 1, 2022, with early adoption permitted. The Company is evaluating the impact of this standard on its financial statements.</w:t>
      </w:r>
    </w:p>
    <w:p>
      <w:pPr>
        <w:spacing w:after="0" w:line="161"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which replaces the existing incurred loss impairment model with an expected credit loss model. This standard will require</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to recognize an allowance for credit losses on available-for-sale debt securities rather than the current approach of recording a reduction to the carrying value of the asset. As an emerging growth company, ASU 2016-13 is effective for the Company for fiscal year beginning January 1, 2023. The Company is evaluating the impact of this standard on its financial statements.</w:t>
      </w:r>
    </w:p>
    <w:p>
      <w:pPr>
        <w:spacing w:after="0" w:line="9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400"/>
          </w:cols>
          <w:pgMar w:left="320" w:top="418" w:right="1179" w:bottom="1440" w:gutter="0" w:footer="0" w:header="0"/>
        </w:sectPr>
      </w:pPr>
    </w:p>
    <w:bookmarkStart w:id="277" w:name="page278"/>
    <w:bookmarkEnd w:id="2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for fiscal year beginning January 1, 2022. The Company is evaluating the impact of this standard on its financial statements.</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3. Fair Value Measurements</w:t>
      </w:r>
    </w:p>
    <w:p>
      <w:pPr>
        <w:spacing w:after="0" w:line="10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Financial assets and liabilities are recognized at fair value on a recurring basis. The following table summarize the Company’s financial assets and liabilities measured at fair value on a recurring basis by level within the fair value hierarchy:</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5"/>
              </w:rPr>
              <w:t>Valuation</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left="226"/>
              <w:spacing w:after="0"/>
              <w:rPr>
                <w:sz w:val="20"/>
                <w:szCs w:val="20"/>
                <w:color w:val="auto"/>
              </w:rPr>
            </w:pPr>
            <w:r>
              <w:rPr>
                <w:rFonts w:ascii="Arial" w:cs="Arial" w:eastAsia="Arial" w:hAnsi="Arial"/>
                <w:sz w:val="13"/>
                <w:szCs w:val="13"/>
                <w:b w:val="1"/>
                <w:bCs w:val="1"/>
                <w:color w:val="auto"/>
                <w:w w:val="85"/>
              </w:rPr>
              <w:t>December 31, 2019</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Amortized</w:t>
            </w:r>
          </w:p>
        </w:tc>
        <w:tc>
          <w:tcPr>
            <w:tcW w:w="72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98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Hierarchy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Cost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3"/>
                <w:szCs w:val="13"/>
                <w:b w:val="1"/>
                <w:bCs w:val="1"/>
                <w:color w:val="auto"/>
              </w:rPr>
              <w:t>Gain</w:t>
            </w:r>
          </w:p>
        </w:tc>
        <w:tc>
          <w:tcPr>
            <w:tcW w:w="380" w:type="dxa"/>
            <w:vAlign w:val="bottom"/>
          </w:tcPr>
          <w:p>
            <w:pPr>
              <w:spacing w:after="0"/>
              <w:rPr>
                <w:sz w:val="13"/>
                <w:szCs w:val="13"/>
                <w:color w:val="auto"/>
              </w:rPr>
            </w:pPr>
          </w:p>
        </w:tc>
        <w:tc>
          <w:tcPr>
            <w:tcW w:w="420" w:type="dxa"/>
            <w:vAlign w:val="bottom"/>
          </w:tcPr>
          <w:p>
            <w:pPr>
              <w:ind w:left="160"/>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b w:val="1"/>
                <w:bCs w:val="1"/>
                <w:color w:val="auto"/>
              </w:rPr>
              <w:t>Cash equivalents: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1</w:t>
            </w:r>
          </w:p>
        </w:tc>
        <w:tc>
          <w:tcPr>
            <w:tcW w:w="120" w:type="dxa"/>
            <w:vAlign w:val="bottom"/>
            <w:gridSpan w:val="2"/>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700" w:type="dxa"/>
            <w:vAlign w:val="bottom"/>
            <w:gridSpan w:val="2"/>
            <w:shd w:val="clear" w:color="auto" w:fill="CCEEFF"/>
          </w:tcPr>
          <w:p>
            <w:pPr>
              <w:jc w:val="right"/>
              <w:ind w:right="1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19,373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06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Government agencies bonds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b w:val="1"/>
                <w:bCs w:val="1"/>
                <w:color w:val="auto"/>
              </w:rPr>
              <w:t>Marketable securities: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treasuries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1</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gridSpan w:val="2"/>
          </w:tcPr>
          <w:p>
            <w:pPr>
              <w:spacing w:after="0"/>
              <w:rPr>
                <w:sz w:val="20"/>
                <w:szCs w:val="20"/>
                <w:color w:val="auto"/>
              </w:rPr>
            </w:pPr>
            <w:r>
              <w:rPr>
                <w:rFonts w:ascii="Arial" w:cs="Arial" w:eastAsia="Arial" w:hAnsi="Arial"/>
                <w:sz w:val="16"/>
                <w:szCs w:val="16"/>
                <w:color w:val="auto"/>
              </w:rPr>
              <w:t>Total financial assets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ind w:right="9"/>
              <w:spacing w:after="0"/>
              <w:rPr>
                <w:sz w:val="20"/>
                <w:szCs w:val="20"/>
                <w:color w:val="auto"/>
              </w:rPr>
            </w:pPr>
            <w:r>
              <w:rPr>
                <w:rFonts w:ascii="Arial" w:cs="Arial" w:eastAsia="Arial" w:hAnsi="Arial"/>
                <w:sz w:val="4"/>
                <w:szCs w:val="4"/>
                <w:color w:val="auto"/>
                <w:w w:val="8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25,626</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420" w:type="dxa"/>
            <w:vAlign w:val="bottom"/>
            <w:tcBorders>
              <w:bottom w:val="single" w:sz="8" w:color="auto"/>
            </w:tcBorders>
          </w:tcPr>
          <w:p>
            <w:pPr>
              <w:jc w:val="center"/>
              <w:ind w:right="269"/>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6"/>
                <w:szCs w:val="16"/>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25,626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color w:val="auto"/>
              </w:rPr>
              <w:t>Convertible preferred stock tranche liability</w:t>
            </w:r>
          </w:p>
        </w:tc>
        <w:tc>
          <w:tcPr>
            <w:tcW w:w="106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Level 3</w:t>
            </w:r>
          </w:p>
        </w:tc>
        <w:tc>
          <w:tcPr>
            <w:tcW w:w="120" w:type="dxa"/>
            <w:vAlign w:val="bottom"/>
            <w:gridSpan w:val="2"/>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700" w:type="dxa"/>
            <w:vAlign w:val="bottom"/>
            <w:gridSpan w:val="2"/>
          </w:tcPr>
          <w:p>
            <w:pPr>
              <w:jc w:val="right"/>
              <w:ind w:right="1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Total financial liabilities</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700" w:type="dxa"/>
            <w:vAlign w:val="bottom"/>
            <w:gridSpan w:val="2"/>
            <w:shd w:val="clear" w:color="auto" w:fill="CCEEFF"/>
          </w:tcPr>
          <w:p>
            <w:pPr>
              <w:jc w:val="right"/>
              <w:ind w:right="1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5"/>
              </w:rPr>
              <w:t>Valuation</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26"/>
              <w:spacing w:after="0"/>
              <w:rPr>
                <w:sz w:val="20"/>
                <w:szCs w:val="20"/>
                <w:color w:val="auto"/>
              </w:rPr>
            </w:pPr>
            <w:r>
              <w:rPr>
                <w:rFonts w:ascii="Arial" w:cs="Arial" w:eastAsia="Arial" w:hAnsi="Arial"/>
                <w:sz w:val="13"/>
                <w:szCs w:val="13"/>
                <w:b w:val="1"/>
                <w:bCs w:val="1"/>
                <w:color w:val="auto"/>
                <w:w w:val="85"/>
              </w:rPr>
              <w:t>December 31, 2020</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Amortized</w:t>
            </w:r>
          </w:p>
        </w:tc>
        <w:tc>
          <w:tcPr>
            <w:tcW w:w="72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98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Hierarchy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Cost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3"/>
                <w:szCs w:val="13"/>
                <w:b w:val="1"/>
                <w:bCs w:val="1"/>
                <w:color w:val="auto"/>
              </w:rPr>
              <w:t>Gain</w:t>
            </w:r>
          </w:p>
        </w:tc>
        <w:tc>
          <w:tcPr>
            <w:tcW w:w="380" w:type="dxa"/>
            <w:vAlign w:val="bottom"/>
          </w:tcPr>
          <w:p>
            <w:pPr>
              <w:spacing w:after="0"/>
              <w:rPr>
                <w:sz w:val="13"/>
                <w:szCs w:val="13"/>
                <w:color w:val="auto"/>
              </w:rPr>
            </w:pPr>
          </w:p>
        </w:tc>
        <w:tc>
          <w:tcPr>
            <w:tcW w:w="420" w:type="dxa"/>
            <w:vAlign w:val="bottom"/>
          </w:tcPr>
          <w:p>
            <w:pPr>
              <w:ind w:left="160"/>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b w:val="1"/>
                <w:bCs w:val="1"/>
                <w:color w:val="auto"/>
              </w:rPr>
              <w:t>Cash equivalents: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4"/>
              </w:rPr>
              <w:t>$ 127,535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$ 127,535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gridSpan w:val="2"/>
          </w:tcPr>
          <w:p>
            <w:pPr>
              <w:spacing w:after="0"/>
              <w:rPr>
                <w:sz w:val="20"/>
                <w:szCs w:val="20"/>
                <w:color w:val="auto"/>
              </w:rPr>
            </w:pPr>
            <w:r>
              <w:rPr>
                <w:rFonts w:ascii="Arial" w:cs="Arial" w:eastAsia="Arial" w:hAnsi="Arial"/>
                <w:sz w:val="16"/>
                <w:szCs w:val="16"/>
                <w:color w:val="auto"/>
              </w:rPr>
              <w:t>Total financial assets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1"/>
              </w:rPr>
              <w:t>$ 127,535</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center"/>
              <w:ind w:right="269"/>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6"/>
                <w:szCs w:val="16"/>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4"/>
              </w:rPr>
              <w:t>$ 127,535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Money market funds and U.S. treasuries are classified as Level 1 because they are valued using quoted market prices in active markets for identical assets. Financial instruments classified within Level 2 of the fair value hierarchy are valued based on the observable inputs or can be derived from non-binding quotes from its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170" w:lineRule="exact"/>
        <w:rPr>
          <w:sz w:val="20"/>
          <w:szCs w:val="20"/>
          <w:color w:val="auto"/>
        </w:rPr>
      </w:pPr>
    </w:p>
    <w:p>
      <w:pPr>
        <w:ind w:left="820" w:right="20" w:firstLine="385"/>
        <w:spacing w:after="0" w:line="300" w:lineRule="auto"/>
        <w:rPr>
          <w:sz w:val="20"/>
          <w:szCs w:val="20"/>
          <w:color w:val="auto"/>
        </w:rPr>
      </w:pPr>
      <w:r>
        <w:rPr>
          <w:rFonts w:ascii="Arial" w:cs="Arial" w:eastAsia="Arial" w:hAnsi="Arial"/>
          <w:sz w:val="15"/>
          <w:szCs w:val="15"/>
          <w:color w:val="auto"/>
        </w:rPr>
        <w:t>There were no unrealized losses as of December 31, 2019 and 2020. All available-for-sale marketable securities held as of December 31, 2019 had contractual maturities of less than one year. There were no available-for-sale marketable securities as of December 31, 2020.</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440"/>
          </w:cols>
          <w:pgMar w:left="320" w:top="418" w:right="1139" w:bottom="1440" w:gutter="0" w:footer="0" w:header="0"/>
        </w:sectPr>
      </w:pPr>
    </w:p>
    <w:bookmarkStart w:id="278" w:name="page279"/>
    <w:bookmarkEnd w:id="2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(SFP)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the significant unobservable assumptions used to value the convertible preferred stock tranche liability as of</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December 31, 2019 and August 24, 2020, the date immediately before the settlement of the tranche liability:</w:t>
      </w:r>
    </w:p>
    <w:p>
      <w:pPr>
        <w:spacing w:after="0" w:line="198"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55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w w:val="87"/>
              </w:rPr>
              <w:t>August 24,</w:t>
            </w:r>
          </w:p>
        </w:tc>
      </w:tr>
      <w:tr>
        <w:trPr>
          <w:trHeight w:val="121"/>
        </w:trPr>
        <w:tc>
          <w:tcPr>
            <w:tcW w:w="55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2"/>
              </w:rPr>
              <w:t>2019</w:t>
            </w:r>
          </w:p>
        </w:tc>
        <w:tc>
          <w:tcPr>
            <w:tcW w:w="3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2"/>
              </w:rPr>
              <w:t>2020</w:t>
            </w:r>
          </w:p>
        </w:tc>
      </w:tr>
      <w:tr>
        <w:trPr>
          <w:trHeight w:val="180"/>
        </w:trPr>
        <w:tc>
          <w:tcPr>
            <w:tcW w:w="55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Term to Valuation Date (in years)</w:t>
            </w:r>
          </w:p>
        </w:tc>
        <w:tc>
          <w:tcPr>
            <w:tcW w:w="76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0.25 – 0.75</w:t>
            </w: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0.00</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Discount Rate</w:t>
            </w:r>
          </w:p>
        </w:tc>
        <w:tc>
          <w:tcPr>
            <w:tcW w:w="760" w:type="dxa"/>
            <w:vAlign w:val="bottom"/>
          </w:tcPr>
          <w:p>
            <w:pPr>
              <w:jc w:val="center"/>
              <w:spacing w:after="0"/>
              <w:rPr>
                <w:sz w:val="20"/>
                <w:szCs w:val="20"/>
                <w:color w:val="auto"/>
              </w:rPr>
            </w:pPr>
            <w:r>
              <w:rPr>
                <w:rFonts w:ascii="Arial" w:cs="Arial" w:eastAsia="Arial" w:hAnsi="Arial"/>
                <w:sz w:val="16"/>
                <w:szCs w:val="16"/>
                <w:color w:val="auto"/>
                <w:w w:val="88"/>
              </w:rPr>
              <w:t>5.00%</w:t>
            </w:r>
          </w:p>
        </w:tc>
        <w:tc>
          <w:tcPr>
            <w:tcW w:w="3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88"/>
              </w:rPr>
              <w:t>5.00%</w:t>
            </w:r>
          </w:p>
        </w:tc>
      </w:tr>
    </w:tbl>
    <w:p>
      <w:pPr>
        <w:spacing w:after="0" w:line="165"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following table summarizes the changes in the estimated fair value of the Company’s convertible preferred stock tranche liability measured on a recurring basis using significant Level 3 inputs: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jc w:val="right"/>
              <w:ind w:right="1"/>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gridSpan w:val="4"/>
          </w:tcPr>
          <w:p>
            <w:pPr>
              <w:jc w:val="center"/>
              <w:ind w:right="60"/>
              <w:spacing w:after="0" w:line="122" w:lineRule="exact"/>
              <w:rPr>
                <w:sz w:val="20"/>
                <w:szCs w:val="20"/>
                <w:color w:val="auto"/>
              </w:rPr>
            </w:pPr>
            <w:r>
              <w:rPr>
                <w:rFonts w:ascii="Arial" w:cs="Arial" w:eastAsia="Arial" w:hAnsi="Arial"/>
                <w:sz w:val="13"/>
                <w:szCs w:val="13"/>
                <w:b w:val="1"/>
                <w:bCs w:val="1"/>
                <w:color w:val="auto"/>
                <w:w w:val="82"/>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57"/>
              <w:spacing w:after="0"/>
              <w:rPr>
                <w:sz w:val="20"/>
                <w:szCs w:val="20"/>
                <w:color w:val="auto"/>
              </w:rPr>
            </w:pPr>
            <w:r>
              <w:rPr>
                <w:rFonts w:ascii="Arial" w:cs="Arial" w:eastAsia="Arial" w:hAnsi="Arial"/>
                <w:sz w:val="16"/>
                <w:szCs w:val="16"/>
                <w:color w:val="auto"/>
              </w:rPr>
              <w:t>$  —</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5160" w:type="dxa"/>
            <w:vAlign w:val="bottom"/>
          </w:tcPr>
          <w:p>
            <w:pPr>
              <w:ind w:left="320"/>
              <w:spacing w:after="0" w:line="176" w:lineRule="exact"/>
              <w:rPr>
                <w:sz w:val="20"/>
                <w:szCs w:val="20"/>
                <w:color w:val="auto"/>
              </w:rPr>
            </w:pPr>
            <w:r>
              <w:rPr>
                <w:rFonts w:ascii="Arial" w:cs="Arial" w:eastAsia="Arial" w:hAnsi="Arial"/>
                <w:sz w:val="16"/>
                <w:szCs w:val="16"/>
                <w:color w:val="auto"/>
              </w:rPr>
              <w:t>Recognition of convertible preferred stock tranche liability upon the</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5160" w:type="dxa"/>
            <w:vAlign w:val="bottom"/>
          </w:tcPr>
          <w:p>
            <w:pPr>
              <w:ind w:left="460"/>
              <w:spacing w:after="0"/>
              <w:rPr>
                <w:sz w:val="20"/>
                <w:szCs w:val="20"/>
                <w:color w:val="auto"/>
              </w:rPr>
            </w:pPr>
            <w:r>
              <w:rPr>
                <w:rFonts w:ascii="Arial" w:cs="Arial" w:eastAsia="Arial" w:hAnsi="Arial"/>
                <w:sz w:val="16"/>
                <w:szCs w:val="16"/>
                <w:color w:val="auto"/>
              </w:rPr>
              <w:t>issuance of Series B convertible preferred stock</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797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upon remeasurement</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97"/>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5160" w:type="dxa"/>
            <w:vAlign w:val="bottom"/>
          </w:tcPr>
          <w:p>
            <w:pPr>
              <w:ind w:left="320"/>
              <w:spacing w:after="0" w:line="176" w:lineRule="exact"/>
              <w:rPr>
                <w:sz w:val="20"/>
                <w:szCs w:val="20"/>
                <w:color w:val="auto"/>
              </w:rPr>
            </w:pPr>
            <w:r>
              <w:rPr>
                <w:rFonts w:ascii="Arial" w:cs="Arial" w:eastAsia="Arial" w:hAnsi="Arial"/>
                <w:sz w:val="16"/>
                <w:szCs w:val="16"/>
                <w:color w:val="auto"/>
                <w:w w:val="95"/>
              </w:rPr>
              <w:t>Settlement of convertible preferred stock tranche liability on second and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5160" w:type="dxa"/>
            <w:vAlign w:val="bottom"/>
          </w:tcPr>
          <w:p>
            <w:pPr>
              <w:ind w:left="460"/>
              <w:spacing w:after="0"/>
              <w:rPr>
                <w:sz w:val="20"/>
                <w:szCs w:val="20"/>
                <w:color w:val="auto"/>
              </w:rPr>
            </w:pPr>
            <w:r>
              <w:rPr>
                <w:rFonts w:ascii="Arial" w:cs="Arial" w:eastAsia="Arial" w:hAnsi="Arial"/>
                <w:sz w:val="16"/>
                <w:szCs w:val="16"/>
                <w:color w:val="auto"/>
              </w:rPr>
              <w:t>third closings of the Series B convertible preferred stock</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(711)</w:t>
            </w:r>
          </w:p>
        </w:tc>
        <w:tc>
          <w:tcPr>
            <w:tcW w:w="0" w:type="dxa"/>
            <w:vAlign w:val="bottom"/>
          </w:tcPr>
          <w:p>
            <w:pPr>
              <w:spacing w:after="0"/>
              <w:rPr>
                <w:sz w:val="1"/>
                <w:szCs w:val="1"/>
                <w:color w:val="auto"/>
              </w:rPr>
            </w:pPr>
          </w:p>
        </w:tc>
      </w:tr>
      <w:tr>
        <w:trPr>
          <w:trHeight w:val="24"/>
        </w:trPr>
        <w:tc>
          <w:tcPr>
            <w:tcW w:w="120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$ 786</w:t>
            </w:r>
          </w:p>
        </w:tc>
        <w:tc>
          <w:tcPr>
            <w:tcW w:w="3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4. Balance Sheet Components</w:t>
            </w: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360" w:type="dxa"/>
            <w:vAlign w:val="bottom"/>
            <w:gridSpan w:val="2"/>
          </w:tcPr>
          <w:p>
            <w:pPr>
              <w:ind w:left="38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60" w:type="dxa"/>
            <w:vAlign w:val="bottom"/>
            <w:gridSpan w:val="2"/>
          </w:tcPr>
          <w:p>
            <w:pPr>
              <w:ind w:left="380"/>
              <w:spacing w:after="0"/>
              <w:rPr>
                <w:sz w:val="20"/>
                <w:szCs w:val="20"/>
                <w:color w:val="auto"/>
              </w:rPr>
            </w:pPr>
            <w:r>
              <w:rPr>
                <w:rFonts w:ascii="Arial" w:cs="Arial" w:eastAsia="Arial" w:hAnsi="Arial"/>
                <w:sz w:val="16"/>
                <w:szCs w:val="16"/>
                <w:color w:val="auto"/>
              </w:rPr>
              <w:t>Property and equipment, net, consists of the following:</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89"/>
              <w:spacing w:after="0" w:line="12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ind w:left="400"/>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5"/>
          </w:tcPr>
          <w:p>
            <w:pPr>
              <w:ind w:left="260"/>
              <w:spacing w:after="0" w:line="122"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7,206</w:t>
            </w:r>
          </w:p>
        </w:tc>
        <w:tc>
          <w:tcPr>
            <w:tcW w:w="30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7,237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Laboratory equipment</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5,846</w:t>
            </w:r>
          </w:p>
        </w:tc>
        <w:tc>
          <w:tcPr>
            <w:tcW w:w="3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8,182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77"/>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7,678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160" w:type="dxa"/>
            <w:vAlign w:val="bottom"/>
          </w:tcPr>
          <w:p>
            <w:pPr>
              <w:ind w:left="320"/>
              <w:spacing w:after="0"/>
              <w:rPr>
                <w:sz w:val="20"/>
                <w:szCs w:val="20"/>
                <w:color w:val="auto"/>
              </w:rPr>
            </w:pPr>
            <w:r>
              <w:rPr>
                <w:rFonts w:ascii="Arial" w:cs="Arial" w:eastAsia="Arial" w:hAnsi="Arial"/>
                <w:sz w:val="16"/>
                <w:szCs w:val="16"/>
                <w:color w:val="auto"/>
              </w:rPr>
              <w:t>Total property and equipment</w:t>
            </w:r>
          </w:p>
        </w:tc>
        <w:tc>
          <w:tcPr>
            <w:tcW w:w="3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5"/>
              </w:rPr>
              <w:t>13,808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23,888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17"/>
              <w:spacing w:after="0"/>
              <w:rPr>
                <w:sz w:val="20"/>
                <w:szCs w:val="20"/>
                <w:color w:val="auto"/>
              </w:rPr>
            </w:pPr>
            <w:r>
              <w:rPr>
                <w:rFonts w:ascii="Arial" w:cs="Arial" w:eastAsia="Arial" w:hAnsi="Arial"/>
                <w:sz w:val="16"/>
                <w:szCs w:val="16"/>
                <w:color w:val="auto"/>
                <w:w w:val="94"/>
              </w:rPr>
              <w:t>(4,233)</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160" w:type="dxa"/>
            <w:vAlign w:val="bottom"/>
          </w:tcPr>
          <w:p>
            <w:pPr>
              <w:ind w:left="320"/>
              <w:spacing w:after="0"/>
              <w:rPr>
                <w:sz w:val="20"/>
                <w:szCs w:val="20"/>
                <w:color w:val="auto"/>
              </w:rPr>
            </w:pPr>
            <w:r>
              <w:rPr>
                <w:rFonts w:ascii="Arial" w:cs="Arial" w:eastAsia="Arial" w:hAnsi="Arial"/>
                <w:sz w:val="16"/>
                <w:szCs w:val="16"/>
                <w:color w:val="auto"/>
              </w:rPr>
              <w:t>Total property and equipment, net</w:t>
            </w:r>
          </w:p>
        </w:tc>
        <w:tc>
          <w:tcPr>
            <w:tcW w:w="32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9,575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6"/>
              </w:rPr>
              <w:t>$ 17,185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60" w:type="dxa"/>
            <w:vAlign w:val="bottom"/>
            <w:vMerge w:val="restart"/>
          </w:tcPr>
          <w:p>
            <w:pPr>
              <w:ind w:left="3460"/>
              <w:spacing w:after="0"/>
              <w:rPr>
                <w:sz w:val="20"/>
                <w:szCs w:val="20"/>
                <w:color w:val="auto"/>
              </w:rPr>
            </w:pPr>
            <w:r>
              <w:rPr>
                <w:rFonts w:ascii="Arial" w:cs="Arial" w:eastAsia="Arial" w:hAnsi="Arial"/>
                <w:sz w:val="16"/>
                <w:szCs w:val="16"/>
                <w:color w:val="auto"/>
              </w:rPr>
              <w:t>F-14</w:t>
            </w: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279" w:name="page280"/>
    <w:bookmarkEnd w:id="2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Depreciation and amortization expense for the years ended December 31, 2019 and 2020 was approximately $2.0 million and $2.5 million. Construction in progress relates to the Company’s manufacturing and office space located in Union City, California (see Note 13), and consists primarily of capitalized machinery and equipment as the Company builds-out its manufacturing facility.</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Accrued Expenses and Other Current Liabilities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210"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5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4"/>
          </w:tcPr>
          <w:p>
            <w:pPr>
              <w:ind w:left="400"/>
              <w:spacing w:after="0"/>
              <w:rPr>
                <w:sz w:val="20"/>
                <w:szCs w:val="20"/>
                <w:color w:val="auto"/>
              </w:rPr>
            </w:pPr>
            <w:r>
              <w:rPr>
                <w:rFonts w:ascii="Arial" w:cs="Arial" w:eastAsia="Arial" w:hAnsi="Arial"/>
                <w:sz w:val="13"/>
                <w:szCs w:val="13"/>
                <w:b w:val="1"/>
                <w:bCs w:val="1"/>
                <w:color w:val="auto"/>
              </w:rPr>
              <w:t>December 31,</w:t>
            </w:r>
          </w:p>
        </w:tc>
      </w:tr>
      <w:tr>
        <w:trPr>
          <w:trHeight w:val="121"/>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ind w:right="53"/>
              <w:spacing w:after="0" w:line="122" w:lineRule="exact"/>
              <w:rPr>
                <w:sz w:val="20"/>
                <w:szCs w:val="20"/>
                <w:color w:val="auto"/>
              </w:rPr>
            </w:pPr>
            <w:r>
              <w:rPr>
                <w:rFonts w:ascii="Arial" w:cs="Arial" w:eastAsia="Arial" w:hAnsi="Arial"/>
                <w:sz w:val="13"/>
                <w:szCs w:val="13"/>
                <w:b w:val="1"/>
                <w:bCs w:val="1"/>
                <w:color w:val="auto"/>
              </w:rPr>
              <w:t>2019</w:t>
            </w:r>
          </w:p>
        </w:tc>
        <w:tc>
          <w:tcPr>
            <w:tcW w:w="1100" w:type="dxa"/>
            <w:vAlign w:val="bottom"/>
            <w:tcBorders>
              <w:top w:val="single" w:sz="8" w:color="auto"/>
              <w:bottom w:val="single" w:sz="8" w:color="auto"/>
            </w:tcBorders>
            <w:gridSpan w:val="2"/>
          </w:tcPr>
          <w:p>
            <w:pPr>
              <w:jc w:val="right"/>
              <w:ind w:right="61"/>
              <w:spacing w:after="0" w:line="122"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0"/>
                <w:szCs w:val="10"/>
                <w:color w:val="auto"/>
              </w:rPr>
            </w:pPr>
          </w:p>
        </w:tc>
      </w:tr>
      <w:tr>
        <w:trPr>
          <w:trHeight w:val="121"/>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tcPr>
          <w:p>
            <w:pPr>
              <w:jc w:val="right"/>
              <w:ind w:right="341"/>
              <w:spacing w:after="0" w:line="122" w:lineRule="exact"/>
              <w:rPr>
                <w:sz w:val="20"/>
                <w:szCs w:val="20"/>
                <w:color w:val="auto"/>
              </w:rPr>
            </w:pPr>
            <w:r>
              <w:rPr>
                <w:rFonts w:ascii="Arial" w:cs="Arial" w:eastAsia="Arial" w:hAnsi="Arial"/>
                <w:sz w:val="13"/>
                <w:szCs w:val="13"/>
                <w:b w:val="1"/>
                <w:bCs w:val="1"/>
                <w:color w:val="auto"/>
              </w:rPr>
              <w:t>(in thousands)</w:t>
            </w:r>
          </w:p>
        </w:tc>
        <w:tc>
          <w:tcPr>
            <w:tcW w:w="40" w:type="dxa"/>
            <w:vAlign w:val="bottom"/>
          </w:tcPr>
          <w:p>
            <w:pPr>
              <w:spacing w:after="0"/>
              <w:rPr>
                <w:sz w:val="10"/>
                <w:szCs w:val="10"/>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 and related expenses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6"/>
              </w:rPr>
              <w:t>$ 1,121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$ 2,090</w:t>
            </w:r>
          </w:p>
        </w:tc>
        <w:tc>
          <w:tcPr>
            <w:tcW w:w="40" w:type="dxa"/>
            <w:vAlign w:val="bottom"/>
            <w:shd w:val="clear" w:color="auto" w:fill="CCEEFF"/>
          </w:tcPr>
          <w:p>
            <w:pPr>
              <w:spacing w:after="0"/>
              <w:rPr>
                <w:sz w:val="16"/>
                <w:szCs w:val="16"/>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Accrued research and development expenses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296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391</w:t>
            </w:r>
          </w:p>
        </w:tc>
        <w:tc>
          <w:tcPr>
            <w:tcW w:w="40" w:type="dxa"/>
            <w:vAlign w:val="bottom"/>
          </w:tcPr>
          <w:p>
            <w:pPr>
              <w:spacing w:after="0"/>
              <w:rPr>
                <w:sz w:val="16"/>
                <w:szCs w:val="16"/>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services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40" w:type="dxa"/>
            <w:vAlign w:val="bottom"/>
            <w:shd w:val="clear" w:color="auto" w:fill="CCEEFF"/>
          </w:tcPr>
          <w:p>
            <w:pPr>
              <w:spacing w:after="0"/>
              <w:rPr>
                <w:sz w:val="16"/>
                <w:szCs w:val="16"/>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Accrued property and equipment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40" w:type="dxa"/>
            <w:vAlign w:val="bottom"/>
          </w:tcPr>
          <w:p>
            <w:pPr>
              <w:spacing w:after="0"/>
              <w:rPr>
                <w:sz w:val="16"/>
                <w:szCs w:val="16"/>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0" w:type="dxa"/>
            <w:vAlign w:val="bottom"/>
            <w:shd w:val="clear" w:color="auto" w:fill="CCEEFF"/>
          </w:tcPr>
          <w:p>
            <w:pPr>
              <w:spacing w:after="0"/>
              <w:rPr>
                <w:sz w:val="16"/>
                <w:szCs w:val="16"/>
                <w:color w:val="auto"/>
              </w:rPr>
            </w:pPr>
          </w:p>
        </w:tc>
      </w:tr>
      <w:tr>
        <w:trPr>
          <w:trHeight w:val="192"/>
        </w:trPr>
        <w:tc>
          <w:tcPr>
            <w:tcW w:w="5600" w:type="dxa"/>
            <w:vAlign w:val="bottom"/>
          </w:tcPr>
          <w:p>
            <w:pPr>
              <w:ind w:left="320"/>
              <w:spacing w:after="0"/>
              <w:rPr>
                <w:sz w:val="20"/>
                <w:szCs w:val="20"/>
                <w:color w:val="auto"/>
              </w:rPr>
            </w:pPr>
            <w:r>
              <w:rPr>
                <w:rFonts w:ascii="Arial" w:cs="Arial" w:eastAsia="Arial" w:hAnsi="Arial"/>
                <w:sz w:val="16"/>
                <w:szCs w:val="16"/>
                <w:color w:val="auto"/>
              </w:rPr>
              <w:t>Total accrued liabilities</w:t>
            </w:r>
          </w:p>
        </w:tc>
        <w:tc>
          <w:tcPr>
            <w:tcW w:w="2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2"/>
              </w:rPr>
              <w:t>$ 1,959</w:t>
            </w:r>
          </w:p>
        </w:tc>
        <w:tc>
          <w:tcPr>
            <w:tcW w:w="6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$ 3,161</w:t>
            </w:r>
          </w:p>
        </w:tc>
        <w:tc>
          <w:tcPr>
            <w:tcW w:w="40" w:type="dxa"/>
            <w:vAlign w:val="bottom"/>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5. Collaboration and License Agreements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Master Collaboration Agreement</w:t>
      </w:r>
    </w:p>
    <w:p>
      <w:pPr>
        <w:spacing w:after="0" w:line="99" w:lineRule="exact"/>
        <w:rPr>
          <w:sz w:val="20"/>
          <w:szCs w:val="20"/>
          <w:color w:val="auto"/>
        </w:rPr>
      </w:pPr>
    </w:p>
    <w:p>
      <w:pPr>
        <w:ind w:left="820" w:right="60" w:firstLine="385"/>
        <w:spacing w:after="0" w:line="307" w:lineRule="auto"/>
        <w:rPr>
          <w:sz w:val="20"/>
          <w:szCs w:val="20"/>
          <w:color w:val="auto"/>
        </w:rPr>
      </w:pPr>
      <w:r>
        <w:rPr>
          <w:rFonts w:ascii="Arial" w:cs="Arial" w:eastAsia="Arial" w:hAnsi="Arial"/>
          <w:sz w:val="13"/>
          <w:szCs w:val="13"/>
          <w:color w:val="auto"/>
        </w:rPr>
        <w:t>In October 2016, the Company entered into a Master Collaboration Agreement (MCA) with a related party, Gladstone Institutes (Gladstone), to collaborate on discovering therapies for the treatment of congestive heart failure and other diseases and conditions as mutually agreed. Under the MCA, the Company was required to provide minimum collaboration funding of $3.6 million during the first two years. During the year ended December 31, 2019, Gladstone completed the collaboration under the MCA and the Company satisfied the minimum collaboration funding requirement of</w:t>
      </w:r>
    </w:p>
    <w:p>
      <w:pPr>
        <w:spacing w:after="0" w:line="1" w:lineRule="exact"/>
        <w:rPr>
          <w:sz w:val="20"/>
          <w:szCs w:val="20"/>
          <w:color w:val="auto"/>
        </w:rPr>
      </w:pPr>
    </w:p>
    <w:p>
      <w:pPr>
        <w:ind w:left="820" w:right="20"/>
        <w:spacing w:after="0" w:line="269" w:lineRule="auto"/>
        <w:rPr>
          <w:sz w:val="20"/>
          <w:szCs w:val="20"/>
          <w:color w:val="auto"/>
        </w:rPr>
      </w:pPr>
      <w:r>
        <w:rPr>
          <w:rFonts w:ascii="Arial" w:cs="Arial" w:eastAsia="Arial" w:hAnsi="Arial"/>
          <w:sz w:val="15"/>
          <w:szCs w:val="15"/>
          <w:color w:val="auto"/>
        </w:rPr>
        <w:t>$3.6 million. In addition, on the third-year anniversary of the MCA’s effective date in October 2019, pursuant to the MCA, the Company issued 100,000 shares of the Company’s common stock to Gladstone in consideration for certain patent rights and technology created in the course of performance of the collaboration being licensed to the Company under the Gladstone License Agreement (as defined below). The related cost was recognized as research and development expenses since the technology acquired had no alternative future use.</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During the year ended December 31, 2019, the Company recorded research and development expenses of $0.4 million pursuant to the MCA.</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There was no expense recognized during the year ended December 31, 2020 pursuant to the MCA.</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License Agreement</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In connection and concurrent with the execution of the MCA, the Company entered into a license agreement with Gladstone (Gladstone License</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Agreement), pursuant to which Gladstone granted the Company a worldwide, royalty-bearing exclusive patent license and a non-exclusive technology</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license to develop and commercialize certain products for certain diseases. Upon the execution of the Gladstone License Agreement, the Company paid</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 non-refundable upfront license fee of $0.1 million and issued 750,000 shares of the Company’s common stock to Gladstone. Pursuant to the Gladstone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License Agreement, the Company is obligated, among other things, to pay Gladstone (i) annual license maintenance fees ranging from $25,000 up to</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$0.1 million per year, which will be creditable against royalties paid in the following twelve month period, (ii) milestone payments up to $4.1 million for</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royalty-bearing products directed to a particular target, which are contingent upon achieving specific clinical and commercialization milestone events,</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and (iii) tiered low-single digit royalties on future net sales of each royalty-bearing product. Under the agreement, the Company is subject to diligence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requirements to</w:t>
      </w:r>
    </w:p>
    <w:p>
      <w:pPr>
        <w:spacing w:after="0" w:line="12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420"/>
          </w:cols>
          <w:pgMar w:left="320" w:top="418" w:right="1159" w:bottom="1440" w:gutter="0" w:footer="0" w:header="0"/>
        </w:sectPr>
      </w:pPr>
    </w:p>
    <w:bookmarkStart w:id="280" w:name="page281"/>
    <w:bookmarkEnd w:id="2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240"/>
        <w:spacing w:after="0" w:line="256" w:lineRule="auto"/>
        <w:rPr>
          <w:sz w:val="20"/>
          <w:szCs w:val="20"/>
          <w:color w:val="auto"/>
        </w:rPr>
      </w:pPr>
      <w:r>
        <w:rPr>
          <w:rFonts w:ascii="Arial" w:cs="Arial" w:eastAsia="Arial" w:hAnsi="Arial"/>
          <w:sz w:val="16"/>
          <w:szCs w:val="16"/>
          <w:color w:val="auto"/>
        </w:rPr>
        <w:t>develop and commercialize at least one royalty-bearing product. The Company may pay $50,000 to $100,000 to extend the deadline for its diligence milestone obligations for up to four additional one-year terms. As of December 31, 2020, the Company has not recognized any milestone and royalty payments under the Gladstone License Agreement.</w:t>
      </w:r>
    </w:p>
    <w:p>
      <w:pPr>
        <w:spacing w:after="0" w:line="166"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During the years ended December 31, 2019 and 2020, the amounts recorded as research and development expenses related to annual license fees payable pursuant to the Gladstone License Agreement were not material.</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University of Texas Southwestern License Agreement</w:t>
      </w:r>
    </w:p>
    <w:p>
      <w:pPr>
        <w:spacing w:after="0" w:line="99" w:lineRule="exact"/>
        <w:rPr>
          <w:sz w:val="20"/>
          <w:szCs w:val="20"/>
          <w:color w:val="auto"/>
        </w:rPr>
      </w:pPr>
    </w:p>
    <w:p>
      <w:pPr>
        <w:ind w:left="820" w:right="180" w:firstLine="385"/>
        <w:spacing w:after="0" w:line="319" w:lineRule="auto"/>
        <w:rPr>
          <w:sz w:val="20"/>
          <w:szCs w:val="20"/>
          <w:color w:val="auto"/>
        </w:rPr>
      </w:pPr>
      <w:r>
        <w:rPr>
          <w:rFonts w:ascii="Arial" w:cs="Arial" w:eastAsia="Arial" w:hAnsi="Arial"/>
          <w:sz w:val="13"/>
          <w:szCs w:val="13"/>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2020, the Company has not recognized any milestone and royalty payments under the UTSW License.</w:t>
      </w:r>
    </w:p>
    <w:p>
      <w:pPr>
        <w:spacing w:after="0" w:line="128" w:lineRule="exact"/>
        <w:rPr>
          <w:sz w:val="20"/>
          <w:szCs w:val="20"/>
          <w:color w:val="auto"/>
        </w:rPr>
      </w:pPr>
    </w:p>
    <w:p>
      <w:pPr>
        <w:ind w:left="820" w:right="440" w:firstLine="385"/>
        <w:spacing w:after="0" w:line="266" w:lineRule="auto"/>
        <w:rPr>
          <w:sz w:val="20"/>
          <w:szCs w:val="20"/>
          <w:color w:val="auto"/>
        </w:rPr>
      </w:pPr>
      <w:r>
        <w:rPr>
          <w:rFonts w:ascii="Arial" w:cs="Arial" w:eastAsia="Arial" w:hAnsi="Arial"/>
          <w:sz w:val="16"/>
          <w:szCs w:val="16"/>
          <w:color w:val="auto"/>
        </w:rPr>
        <w:t>During the year ended December 31, 2020, the Company recorded research and development expenses of $0.1 million related to the upfront license fee payable pursuant to the UTSW License.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License Agreements</w:t>
      </w:r>
    </w:p>
    <w:p>
      <w:pPr>
        <w:spacing w:after="0" w:line="99" w:lineRule="exact"/>
        <w:rPr>
          <w:sz w:val="20"/>
          <w:szCs w:val="20"/>
          <w:color w:val="auto"/>
        </w:rPr>
      </w:pPr>
    </w:p>
    <w:p>
      <w:pPr>
        <w:ind w:left="820" w:right="120" w:firstLine="385"/>
        <w:spacing w:after="0" w:line="266" w:lineRule="auto"/>
        <w:rPr>
          <w:sz w:val="20"/>
          <w:szCs w:val="20"/>
          <w:color w:val="auto"/>
        </w:rPr>
      </w:pPr>
      <w:r>
        <w:rPr>
          <w:rFonts w:ascii="Arial" w:cs="Arial" w:eastAsia="Arial" w:hAnsi="Arial"/>
          <w:sz w:val="16"/>
          <w:szCs w:val="16"/>
          <w:color w:val="auto"/>
        </w:rPr>
        <w:t>In addition to the agreements described above, the Company has also entered into other license agreements with various institutions and business entities, none of which are material individually or in the aggregate.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6. Commitments and Contingencies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Facility Leases</w:t>
      </w:r>
    </w:p>
    <w:p>
      <w:pPr>
        <w:spacing w:after="0" w:line="99" w:lineRule="exact"/>
        <w:rPr>
          <w:sz w:val="20"/>
          <w:szCs w:val="20"/>
          <w:color w:val="auto"/>
        </w:rPr>
      </w:pPr>
    </w:p>
    <w:p>
      <w:pPr>
        <w:ind w:left="820" w:right="240" w:firstLine="385"/>
        <w:spacing w:after="0" w:line="329" w:lineRule="auto"/>
        <w:rPr>
          <w:sz w:val="20"/>
          <w:szCs w:val="20"/>
          <w:color w:val="auto"/>
        </w:rPr>
      </w:pPr>
      <w:r>
        <w:rPr>
          <w:rFonts w:ascii="Arial" w:cs="Arial" w:eastAsia="Arial" w:hAnsi="Arial"/>
          <w:sz w:val="13"/>
          <w:szCs w:val="13"/>
          <w:color w:val="auto"/>
        </w:rPr>
        <w:t>In December 2016, the Company entered into a lease agreement (Lease Agreement or Lease) for office and laboratory space in South San Francisco, California. The Lease expires in May 2025 and the Company may renew the lease term for two additional five-year periods. In connection with the execution of the Lease, the Company provided the landlord with a security deposit of $0.4 million in the form of a letter of credit, which is collateralized by a restricted cash deposit and recorded as restricted cash, non-current on the balance sheets as of December 31, 2019 and 2020.</w:t>
      </w:r>
    </w:p>
    <w:p>
      <w:pPr>
        <w:spacing w:after="0" w:line="123"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Pursuant to the Lease Agreement, the Company received a tenant improvement allowance (TIA) of $5.8 million in aggregate for leasehold improvements to the facility. As of December 31, 2020, the remaining balance of the TIA that is recorded as a component of deferred rent on the balance sheet is $3.2 million.</w:t>
      </w:r>
    </w:p>
    <w:p>
      <w:pPr>
        <w:spacing w:after="0" w:line="166" w:lineRule="exact"/>
        <w:rPr>
          <w:sz w:val="20"/>
          <w:szCs w:val="20"/>
          <w:color w:val="auto"/>
        </w:rPr>
      </w:pPr>
    </w:p>
    <w:p>
      <w:pPr>
        <w:ind w:left="820" w:right="160" w:firstLine="385"/>
        <w:spacing w:after="0" w:line="343" w:lineRule="auto"/>
        <w:rPr>
          <w:sz w:val="20"/>
          <w:szCs w:val="20"/>
          <w:color w:val="auto"/>
        </w:rPr>
      </w:pPr>
      <w:r>
        <w:rPr>
          <w:rFonts w:ascii="Arial" w:cs="Arial" w:eastAsia="Arial" w:hAnsi="Arial"/>
          <w:sz w:val="13"/>
          <w:szCs w:val="13"/>
          <w:color w:val="auto"/>
        </w:rPr>
        <w:t>In December 2020, the Company entered into a sublease agreement for additional office and laboratory space in South San Francisco, California with a lease term that expires on November 30, 2021. The Company provided the landlord a security deposit of $0.1 million in the form of a letter of credit, which is collateralized by a restricted cash deposit and recorded as restricted cash, non-current on the balance sheet as of December 31, 2020.</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During the years ended December 31, 2019 and 2020, the Company recognized rent expense of $2.1 million and $2.4 million.</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0440"/>
          </w:cols>
          <w:pgMar w:left="320" w:top="418" w:right="1139" w:bottom="1440" w:gutter="0" w:footer="0" w:header="0"/>
        </w:sectPr>
      </w:pPr>
    </w:p>
    <w:bookmarkStart w:id="281" w:name="page282"/>
    <w:bookmarkEnd w:id="2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the future minimum lease payments for the Company’s office space and laboratory facilities as of December 31,</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2020:</w:t>
      </w:r>
    </w:p>
    <w:p>
      <w:pPr>
        <w:spacing w:after="0" w:line="198"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r>
      <w:tr>
        <w:trPr>
          <w:trHeight w:val="169"/>
        </w:trPr>
        <w:tc>
          <w:tcPr>
            <w:tcW w:w="46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Year ending December 31,</w:t>
            </w:r>
          </w:p>
        </w:tc>
        <w:tc>
          <w:tcPr>
            <w:tcW w:w="1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2021</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3,752</w:t>
            </w:r>
          </w:p>
        </w:tc>
        <w:tc>
          <w:tcPr>
            <w:tcW w:w="40" w:type="dxa"/>
            <w:vAlign w:val="bottom"/>
          </w:tcPr>
          <w:p>
            <w:pPr>
              <w:spacing w:after="0"/>
              <w:rPr>
                <w:sz w:val="16"/>
                <w:szCs w:val="16"/>
                <w:color w:val="auto"/>
              </w:rPr>
            </w:pPr>
          </w:p>
        </w:tc>
      </w:tr>
      <w:tr>
        <w:trPr>
          <w:trHeight w:val="189"/>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40" w:type="dxa"/>
            <w:vAlign w:val="bottom"/>
            <w:shd w:val="clear" w:color="auto" w:fill="CCEEFF"/>
          </w:tcPr>
          <w:p>
            <w:pPr>
              <w:spacing w:after="0"/>
              <w:rPr>
                <w:sz w:val="16"/>
                <w:szCs w:val="16"/>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2023</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2,283</w:t>
            </w:r>
          </w:p>
        </w:tc>
        <w:tc>
          <w:tcPr>
            <w:tcW w:w="40" w:type="dxa"/>
            <w:vAlign w:val="bottom"/>
          </w:tcPr>
          <w:p>
            <w:pPr>
              <w:spacing w:after="0"/>
              <w:rPr>
                <w:sz w:val="16"/>
                <w:szCs w:val="16"/>
                <w:color w:val="auto"/>
              </w:rPr>
            </w:pPr>
          </w:p>
        </w:tc>
      </w:tr>
      <w:tr>
        <w:trPr>
          <w:trHeight w:val="189"/>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40" w:type="dxa"/>
            <w:vAlign w:val="bottom"/>
            <w:shd w:val="clear" w:color="auto" w:fill="CCEEFF"/>
          </w:tcPr>
          <w:p>
            <w:pPr>
              <w:spacing w:after="0"/>
              <w:rPr>
                <w:sz w:val="16"/>
                <w:szCs w:val="16"/>
                <w:color w:val="auto"/>
              </w:rPr>
            </w:pPr>
          </w:p>
        </w:tc>
      </w:tr>
      <w:tr>
        <w:trPr>
          <w:trHeight w:val="192"/>
        </w:trPr>
        <w:tc>
          <w:tcPr>
            <w:tcW w:w="4660" w:type="dxa"/>
            <w:vAlign w:val="bottom"/>
          </w:tcPr>
          <w:p>
            <w:pPr>
              <w:spacing w:after="0"/>
              <w:rPr>
                <w:sz w:val="20"/>
                <w:szCs w:val="20"/>
                <w:color w:val="auto"/>
              </w:rPr>
            </w:pPr>
            <w:r>
              <w:rPr>
                <w:rFonts w:ascii="Arial" w:cs="Arial" w:eastAsia="Arial" w:hAnsi="Arial"/>
                <w:sz w:val="16"/>
                <w:szCs w:val="16"/>
                <w:color w:val="auto"/>
              </w:rPr>
              <w:t>2025</w:t>
            </w:r>
          </w:p>
        </w:tc>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40" w:type="dxa"/>
            <w:vAlign w:val="bottom"/>
          </w:tcPr>
          <w:p>
            <w:pPr>
              <w:spacing w:after="0"/>
              <w:rPr>
                <w:sz w:val="16"/>
                <w:szCs w:val="16"/>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future minimum lease payments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11,603</w:t>
            </w:r>
          </w:p>
        </w:tc>
        <w:tc>
          <w:tcPr>
            <w:tcW w:w="40" w:type="dxa"/>
            <w:vAlign w:val="bottom"/>
            <w:shd w:val="clear" w:color="auto" w:fill="CCEEFF"/>
          </w:tcPr>
          <w:p>
            <w:pPr>
              <w:spacing w:after="0"/>
              <w:rPr>
                <w:sz w:val="16"/>
                <w:szCs w:val="16"/>
                <w:color w:val="auto"/>
              </w:rPr>
            </w:pPr>
          </w:p>
        </w:tc>
      </w:tr>
      <w:tr>
        <w:trPr>
          <w:trHeight w:val="20"/>
        </w:trPr>
        <w:tc>
          <w:tcPr>
            <w:tcW w:w="4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Company has previously entered into agreements to sublease portions of the Company’s facilities in South San Francisco to two different</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subtenants, both of which have expired as of December 31, 2020. Pursuant to the sublease agreements, the Company received sublease income of</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$1.0 million and $0.4 million during the years ended December 31, 2019 and 2020, which are recognized as a component of other income (expense), net</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within the Company’s statements of operations and comprehensive loss.</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99" w:lineRule="exact"/>
        <w:rPr>
          <w:sz w:val="20"/>
          <w:szCs w:val="20"/>
          <w:color w:val="auto"/>
        </w:rPr>
      </w:pPr>
    </w:p>
    <w:p>
      <w:pPr>
        <w:ind w:left="820" w:right="60" w:firstLine="385"/>
        <w:spacing w:after="0" w:line="343" w:lineRule="auto"/>
        <w:rPr>
          <w:sz w:val="20"/>
          <w:szCs w:val="20"/>
          <w:color w:val="auto"/>
        </w:rPr>
      </w:pPr>
      <w:r>
        <w:rPr>
          <w:rFonts w:ascii="Arial" w:cs="Arial" w:eastAsia="Arial" w:hAnsi="Arial"/>
          <w:sz w:val="13"/>
          <w:szCs w:val="13"/>
          <w:color w:val="auto"/>
        </w:rPr>
        <w:t>The Company also entered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Indemnification</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2019 and 2020, the Company does not have any material indemnification claims that were probable or reasonably possible and, consequently, has not recorded any related liabilities.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7. Convertible Preferred Stock</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B Convertible Preferred Stock Financing</w:t>
      </w:r>
    </w:p>
    <w:p>
      <w:pPr>
        <w:spacing w:after="0" w:line="99"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In August 2019, the Company entered into a Series B preferred stock purchase agreement (Series B SPA) for the issuance of up to 55,555,527 shares of the Company’s Series B convertible preferred stock at a purchase price of $1.656 per share in multiple closings. The Company completed the initial closing in August 2019, whereby 18,518,509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70"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w:t>
      </w:r>
    </w:p>
    <w:p>
      <w:pPr>
        <w:spacing w:after="0" w:line="5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0400"/>
          </w:cols>
          <w:pgMar w:left="320" w:top="418" w:right="1179" w:bottom="1440" w:gutter="0" w:footer="0" w:header="0"/>
        </w:sectPr>
      </w:pPr>
    </w:p>
    <w:bookmarkStart w:id="282" w:name="page283"/>
    <w:bookmarkEnd w:id="2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6" w:lineRule="auto"/>
        <w:rPr>
          <w:sz w:val="20"/>
          <w:szCs w:val="20"/>
          <w:color w:val="auto"/>
        </w:rPr>
      </w:pPr>
      <w:r>
        <w:rPr>
          <w:rFonts w:ascii="Arial" w:cs="Arial" w:eastAsia="Arial" w:hAnsi="Arial"/>
          <w:sz w:val="16"/>
          <w:szCs w:val="16"/>
          <w:color w:val="auto"/>
        </w:rPr>
        <w:t>convertible preferred stock. Any changes in fair value of convertible preferred stock tranche liability in subsequent reporting periods are recognized as a component of other income (expense), net in the statements of operations and comprehensive loss (see Note 3).</w:t>
      </w:r>
    </w:p>
    <w:p>
      <w:pPr>
        <w:spacing w:after="0" w:line="158"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In March 2020, the Company completed its second closing of Series B convertible preferred stock financing and issued 18,518,509 shares of Series B convertible preferred stock at the fixed purchase price of $1.656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54"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In August 2020, the Company completed its third closing of Series B convertible preferred stock financing and issued 18,518,509 shares of Series B convertible preferred stock at the purchase price of $1.656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C Convertible Preferred Stock Financing</w:t>
      </w:r>
    </w:p>
    <w:p>
      <w:pPr>
        <w:spacing w:after="0" w:line="99"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In December 2020, the Company entered into a Series C preferred stock purchase agreement (Series C SPA) for the issuance of up to 51,158,291 shares of the Company’s Series C convertible preferred stock at a purchase price of $2.072 per share in two closings. The Company completed the initial closing in December 2020, whereby 41,505,782 shares of Series C convertible preferred stock were issued for gross proceeds of $86.0 million.</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Company’s convertible preferred stock consists of the following:</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3"/>
                <w:szCs w:val="13"/>
                <w:b w:val="1"/>
                <w:bCs w:val="1"/>
                <w:color w:val="auto"/>
                <w:w w:val="85"/>
              </w:rPr>
              <w:t>December 31, 2019</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 Issued and</w:t>
            </w:r>
          </w:p>
        </w:tc>
        <w:tc>
          <w:tcPr>
            <w:tcW w:w="220" w:type="dxa"/>
            <w:vAlign w:val="bottom"/>
          </w:tcPr>
          <w:p>
            <w:pPr>
              <w:spacing w:after="0"/>
              <w:rPr>
                <w:sz w:val="8"/>
                <w:szCs w:val="8"/>
                <w:color w:val="auto"/>
              </w:rPr>
            </w:pPr>
          </w:p>
        </w:tc>
        <w:tc>
          <w:tcPr>
            <w:tcW w:w="8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Authorized</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center"/>
              <w:ind w:right="145"/>
              <w:spacing w:after="0"/>
              <w:rPr>
                <w:sz w:val="20"/>
                <w:szCs w:val="20"/>
                <w:color w:val="auto"/>
              </w:rPr>
            </w:pPr>
            <w:r>
              <w:rPr>
                <w:rFonts w:ascii="Arial" w:cs="Arial" w:eastAsia="Arial" w:hAnsi="Arial"/>
                <w:sz w:val="13"/>
                <w:szCs w:val="13"/>
                <w:b w:val="1"/>
                <w:bCs w:val="1"/>
                <w:color w:val="auto"/>
                <w:w w:val="86"/>
              </w:rPr>
              <w:t>Value</w:t>
            </w:r>
          </w:p>
        </w:tc>
        <w:tc>
          <w:tcPr>
            <w:tcW w:w="24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600" w:type="dxa"/>
            <w:vAlign w:val="bottom"/>
            <w:tcBorders>
              <w:top w:val="single" w:sz="8" w:color="auto"/>
            </w:tcBorders>
            <w:gridSpan w:val="8"/>
          </w:tcPr>
          <w:p>
            <w:pPr>
              <w:jc w:val="center"/>
              <w:ind w:left="510"/>
              <w:spacing w:after="0" w:line="122" w:lineRule="exact"/>
              <w:rPr>
                <w:sz w:val="20"/>
                <w:szCs w:val="20"/>
                <w:color w:val="auto"/>
              </w:rPr>
            </w:pPr>
            <w:r>
              <w:rPr>
                <w:rFonts w:ascii="Arial" w:cs="Arial" w:eastAsia="Arial" w:hAnsi="Arial"/>
                <w:sz w:val="13"/>
                <w:szCs w:val="13"/>
                <w:b w:val="1"/>
                <w:bCs w:val="1"/>
                <w:color w:val="auto"/>
                <w:w w:val="84"/>
              </w:rPr>
              <w:t>(in thousands, except shares and original issue price)</w:t>
            </w: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A</w:t>
            </w:r>
          </w:p>
        </w:tc>
        <w:tc>
          <w:tcPr>
            <w:tcW w:w="900" w:type="dxa"/>
            <w:vAlign w:val="bottom"/>
          </w:tcPr>
          <w:p>
            <w:pPr>
              <w:jc w:val="right"/>
              <w:spacing w:after="0"/>
              <w:rPr>
                <w:sz w:val="20"/>
                <w:szCs w:val="20"/>
                <w:color w:val="auto"/>
              </w:rPr>
            </w:pPr>
            <w:r>
              <w:rPr>
                <w:rFonts w:ascii="Arial" w:cs="Arial" w:eastAsia="Arial" w:hAnsi="Arial"/>
                <w:sz w:val="16"/>
                <w:szCs w:val="16"/>
                <w:color w:val="auto"/>
              </w:rPr>
              <w:t>49,900,000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49,900,000</w:t>
            </w:r>
          </w:p>
        </w:tc>
        <w:tc>
          <w:tcPr>
            <w:tcW w:w="42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43,393</w:t>
            </w:r>
          </w:p>
        </w:tc>
        <w:tc>
          <w:tcPr>
            <w:tcW w:w="3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18,518,509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30,667</w:t>
            </w:r>
          </w:p>
        </w:tc>
        <w:tc>
          <w:tcPr>
            <w:tcW w:w="60" w:type="dxa"/>
            <w:vAlign w:val="bottom"/>
            <w:shd w:val="clear" w:color="auto" w:fill="CCEEFF"/>
          </w:tcPr>
          <w:p>
            <w:pPr>
              <w:spacing w:after="0"/>
              <w:rPr>
                <w:sz w:val="16"/>
                <w:szCs w:val="16"/>
                <w:color w:val="auto"/>
              </w:rPr>
            </w:pPr>
          </w:p>
        </w:tc>
      </w:tr>
      <w:tr>
        <w:trPr>
          <w:trHeight w:val="192"/>
        </w:trPr>
        <w:tc>
          <w:tcPr>
            <w:tcW w:w="5380" w:type="dxa"/>
            <w:vAlign w:val="bottom"/>
            <w:gridSpan w:val="3"/>
          </w:tcPr>
          <w:p>
            <w:pPr>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106,900,000</w:t>
            </w:r>
          </w:p>
        </w:tc>
        <w:tc>
          <w:tcPr>
            <w:tcW w:w="24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68,418,509</w:t>
            </w:r>
          </w:p>
        </w:tc>
        <w:tc>
          <w:tcPr>
            <w:tcW w:w="2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73,042</w:t>
            </w: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80,567</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3"/>
                <w:szCs w:val="13"/>
                <w:b w:val="1"/>
                <w:bCs w:val="1"/>
                <w:color w:val="auto"/>
                <w:w w:val="85"/>
              </w:rPr>
              <w:t>December 31, 2020</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 Issued and</w:t>
            </w:r>
          </w:p>
        </w:tc>
        <w:tc>
          <w:tcPr>
            <w:tcW w:w="220" w:type="dxa"/>
            <w:vAlign w:val="bottom"/>
          </w:tcPr>
          <w:p>
            <w:pPr>
              <w:spacing w:after="0"/>
              <w:rPr>
                <w:sz w:val="8"/>
                <w:szCs w:val="8"/>
                <w:color w:val="auto"/>
              </w:rPr>
            </w:pPr>
          </w:p>
        </w:tc>
        <w:tc>
          <w:tcPr>
            <w:tcW w:w="8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Authorized</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center"/>
              <w:ind w:right="145"/>
              <w:spacing w:after="0"/>
              <w:rPr>
                <w:sz w:val="20"/>
                <w:szCs w:val="20"/>
                <w:color w:val="auto"/>
              </w:rPr>
            </w:pPr>
            <w:r>
              <w:rPr>
                <w:rFonts w:ascii="Arial" w:cs="Arial" w:eastAsia="Arial" w:hAnsi="Arial"/>
                <w:sz w:val="13"/>
                <w:szCs w:val="13"/>
                <w:b w:val="1"/>
                <w:bCs w:val="1"/>
                <w:color w:val="auto"/>
                <w:w w:val="86"/>
              </w:rPr>
              <w:t>Value</w:t>
            </w:r>
          </w:p>
        </w:tc>
        <w:tc>
          <w:tcPr>
            <w:tcW w:w="24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600" w:type="dxa"/>
            <w:vAlign w:val="bottom"/>
            <w:tcBorders>
              <w:top w:val="single" w:sz="8" w:color="auto"/>
            </w:tcBorders>
            <w:gridSpan w:val="8"/>
          </w:tcPr>
          <w:p>
            <w:pPr>
              <w:jc w:val="center"/>
              <w:ind w:left="510"/>
              <w:spacing w:after="0" w:line="122" w:lineRule="exact"/>
              <w:rPr>
                <w:sz w:val="20"/>
                <w:szCs w:val="20"/>
                <w:color w:val="auto"/>
              </w:rPr>
            </w:pPr>
            <w:r>
              <w:rPr>
                <w:rFonts w:ascii="Arial" w:cs="Arial" w:eastAsia="Arial" w:hAnsi="Arial"/>
                <w:sz w:val="13"/>
                <w:szCs w:val="13"/>
                <w:b w:val="1"/>
                <w:bCs w:val="1"/>
                <w:color w:val="auto"/>
                <w:w w:val="84"/>
              </w:rPr>
              <w:t>(in thousands, except shares and original issue price)</w:t>
            </w: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A</w:t>
            </w:r>
          </w:p>
        </w:tc>
        <w:tc>
          <w:tcPr>
            <w:tcW w:w="900" w:type="dxa"/>
            <w:vAlign w:val="bottom"/>
          </w:tcPr>
          <w:p>
            <w:pPr>
              <w:jc w:val="right"/>
              <w:spacing w:after="0"/>
              <w:rPr>
                <w:sz w:val="20"/>
                <w:szCs w:val="20"/>
                <w:color w:val="auto"/>
              </w:rPr>
            </w:pPr>
            <w:r>
              <w:rPr>
                <w:rFonts w:ascii="Arial" w:cs="Arial" w:eastAsia="Arial" w:hAnsi="Arial"/>
                <w:sz w:val="16"/>
                <w:szCs w:val="16"/>
                <w:color w:val="auto"/>
              </w:rPr>
              <w:t>49,900,000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49,900,000</w:t>
            </w:r>
          </w:p>
        </w:tc>
        <w:tc>
          <w:tcPr>
            <w:tcW w:w="42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43,393</w:t>
            </w:r>
          </w:p>
        </w:tc>
        <w:tc>
          <w:tcPr>
            <w:tcW w:w="3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41,505,782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85,717</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156,613,818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146,961,309</w:t>
            </w:r>
          </w:p>
        </w:tc>
        <w:tc>
          <w:tcPr>
            <w:tcW w:w="4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220,754</w:t>
            </w:r>
          </w:p>
        </w:tc>
        <w:tc>
          <w:tcPr>
            <w:tcW w:w="3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227,900</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380" w:firstLine="385"/>
        <w:spacing w:after="0" w:line="256" w:lineRule="auto"/>
        <w:rPr>
          <w:sz w:val="20"/>
          <w:szCs w:val="20"/>
          <w:color w:val="auto"/>
        </w:rPr>
      </w:pPr>
      <w:r>
        <w:rPr>
          <w:rFonts w:ascii="Arial" w:cs="Arial" w:eastAsia="Arial" w:hAnsi="Arial"/>
          <w:sz w:val="16"/>
          <w:szCs w:val="16"/>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0440"/>
          </w:cols>
          <w:pgMar w:left="320" w:top="418" w:right="1139" w:bottom="1440" w:gutter="0" w:footer="0" w:header="0"/>
        </w:sectPr>
      </w:pPr>
    </w:p>
    <w:bookmarkStart w:id="283" w:name="page284"/>
    <w:bookmarkEnd w:id="2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275" w:lineRule="auto"/>
        <w:rPr>
          <w:sz w:val="20"/>
          <w:szCs w:val="20"/>
          <w:color w:val="auto"/>
        </w:rPr>
      </w:pPr>
      <w:r>
        <w:rPr>
          <w:rFonts w:ascii="Arial" w:cs="Arial" w:eastAsia="Arial" w:hAnsi="Arial"/>
          <w:sz w:val="15"/>
          <w:szCs w:val="15"/>
          <w:color w:val="auto"/>
        </w:rPr>
        <w:t>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153"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The holders of the Company’s Series A, Series B and Series C convertible preferred stock (together, convertible preferred stock) have various rights, preferences and privileges as follows: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Voting Rights</w:t>
      </w:r>
    </w:p>
    <w:p>
      <w:pPr>
        <w:spacing w:after="0" w:line="99" w:lineRule="exact"/>
        <w:rPr>
          <w:sz w:val="20"/>
          <w:szCs w:val="20"/>
          <w:color w:val="auto"/>
        </w:rPr>
      </w:pPr>
    </w:p>
    <w:p>
      <w:pPr>
        <w:ind w:left="820" w:right="80" w:firstLine="385"/>
        <w:spacing w:after="0" w:line="281" w:lineRule="auto"/>
        <w:rPr>
          <w:sz w:val="20"/>
          <w:szCs w:val="20"/>
          <w:color w:val="auto"/>
        </w:rPr>
      </w:pPr>
      <w:r>
        <w:rPr>
          <w:rFonts w:ascii="Arial" w:cs="Arial" w:eastAsia="Arial" w:hAnsi="Arial"/>
          <w:sz w:val="15"/>
          <w:szCs w:val="15"/>
          <w:color w:val="auto"/>
        </w:rPr>
        <w:t>Each holder of shares of convertible preferred stock is entitled to the number of votes equal to the number of shares of common stock into which such shares of convertible preferred stock could be converted. The holders of convertible preferred stock vote together with the holders of common stock as a single class on an as-converted basis on all matters as to which holders of common stock have the right to vote.</w:t>
      </w:r>
    </w:p>
    <w:p>
      <w:pPr>
        <w:spacing w:after="0" w:line="149"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The holders of convertible preferred stock, voting as a separate class, are entitled to elect three members of the Company’s board of directors. The holders of common stock, voting as a separate class, are entitled to elect one member of the Company’s board of directors. Any additional members of the Company’s board of directors are elected by the holders of common stock and convertible preferred stock, voting together as a single class on an as-converted basis.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Dividends</w:t>
      </w:r>
    </w:p>
    <w:p>
      <w:pPr>
        <w:spacing w:after="0" w:line="99"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Each holder of convertible preferred stock is entitled to receive dividends when and if declared by the board of directors at an annual rate of $0.08 per share for the Series A preferred stock, $0.132 per share for the Series B preferred stock, and $0.166 per share for the Series C preferred stock. Dividends are noncumulative. No dividends have been declared or paid as of December 31, 2020.</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Conversion</w:t>
      </w:r>
    </w:p>
    <w:p>
      <w:pPr>
        <w:spacing w:after="0" w:line="99"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Each share of convertible preferred stock is convertible, at the option of the holder any time after the issuance date, into shares of common stock determined by dividing the original issue price by the conversion price in effect on the date of conversion. The conversion price of each series of convertible preferred stock is $1.00 for Series A convertible preferred stock, $1.656 for Series B convertible preferred stock, and $2.072 for Series C convertible preferred stock, subject to adjustment for anti-dilution provisions and stock dividend, stock split, combination of shares, reorganization, recapitalization, reclassification or other similar event.</w:t>
      </w:r>
    </w:p>
    <w:p>
      <w:pPr>
        <w:spacing w:after="0" w:line="170" w:lineRule="exact"/>
        <w:rPr>
          <w:sz w:val="20"/>
          <w:szCs w:val="20"/>
          <w:color w:val="auto"/>
        </w:rPr>
      </w:pPr>
    </w:p>
    <w:p>
      <w:pPr>
        <w:ind w:left="820" w:right="40" w:firstLine="385"/>
        <w:spacing w:after="0" w:line="316" w:lineRule="auto"/>
        <w:rPr>
          <w:sz w:val="20"/>
          <w:szCs w:val="20"/>
          <w:color w:val="auto"/>
        </w:rPr>
      </w:pPr>
      <w:r>
        <w:rPr>
          <w:rFonts w:ascii="Arial" w:cs="Arial" w:eastAsia="Arial" w:hAnsi="Arial"/>
          <w:sz w:val="13"/>
          <w:szCs w:val="13"/>
          <w:color w:val="auto"/>
        </w:rPr>
        <w:t>Each share of convertible preferred stock is automatically convertible into common stock immediately upon the earlier of (i) the closing of a firm commitment underwritten initial public offering pursuant to an effective registration statement filed under the Securities Act of 1933, as amended, resulting in aggregate gross proceeds not less than $75.0 million (a “Qualified IPO”) or (ii) the Company’s receipt of a written request for such conversion from a majority of the holders of convertible preferred stock then outstanding, voting together as a single class on an as-converted basis. With respect to a Qualified IPO at which the price per share is less than $2.59 (subject to adjustment for stock dividend, stock split, combination of shares, reorganization, recapitalization, reclassification or other similar event), each share of convertible preferred stock is convertible into common stock with the written consent of a majority of the holders of the Series C convertible preferred stock then outstanding, voting as a separate class.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Liquidation Preference</w:t>
      </w:r>
    </w:p>
    <w:p>
      <w:pPr>
        <w:spacing w:after="0" w:line="99"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the holders of the preferred stock shall be entitled to receive, prior and in preference to any distribution of any of</w:t>
      </w:r>
    </w:p>
    <w:p>
      <w:pPr>
        <w:spacing w:after="0" w:line="9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380"/>
          </w:cols>
          <w:pgMar w:left="320" w:top="418" w:right="1199" w:bottom="1440" w:gutter="0" w:footer="0" w:header="0"/>
        </w:sectPr>
      </w:pPr>
    </w:p>
    <w:bookmarkStart w:id="284" w:name="page285"/>
    <w:bookmarkEnd w:id="2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49" w:lineRule="auto"/>
        <w:rPr>
          <w:sz w:val="20"/>
          <w:szCs w:val="20"/>
          <w:color w:val="auto"/>
        </w:rPr>
      </w:pPr>
      <w:r>
        <w:rPr>
          <w:rFonts w:ascii="Arial" w:cs="Arial" w:eastAsia="Arial" w:hAnsi="Arial"/>
          <w:sz w:val="16"/>
          <w:szCs w:val="16"/>
          <w:color w:val="auto"/>
        </w:rPr>
        <w:t>the assets of the Company to the holders of common stock, an amount per share equal to $1.00 per share for Series A convertible preferred stock, $1.656 per share for Series B convertible preferred stock and $2.072 per share for Series C convertible preferred stock (subject to adjustment for stock dividend, stock split, combination of shares, reorganization, recapitalization, reclassification or other similar event) plus all declared but unpaid dividends. After the distributions described above have been paid in full, the remaining assets of the Company shall be distributed among the holders of common stock in proportion to the numbers of shares of common stock. If the assets of the Company are insufficient to permit the payments to holders of convertible preferred stock of the full amount described above, all assets and funds legally available shall be distributed ratably among holders of convertible preferred stock.</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8. Common Stock</w:t>
      </w:r>
    </w:p>
    <w:p>
      <w:pPr>
        <w:spacing w:after="0" w:line="103"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 As of December 31, 2019 and 2020, outstanding common stock included 1,986,608 and 828,825 shares, respectively, related to early exercised stock options and restricted stock that are unvested and subject to repurchase.</w:t>
      </w:r>
    </w:p>
    <w:p>
      <w:pPr>
        <w:spacing w:after="0" w:line="12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 has reserved the following shares of common stock for issuance, on an as-if converted basis:</w:t>
      </w:r>
    </w:p>
    <w:p>
      <w:pPr>
        <w:spacing w:after="0" w:line="190"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62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0"/>
        </w:trPr>
        <w:tc>
          <w:tcPr>
            <w:tcW w:w="62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Conversion of outstanding shares of convertible preferred stock</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6"/>
              </w:rPr>
              <w:t>146,961,309</w:t>
            </w:r>
          </w:p>
        </w:tc>
        <w:tc>
          <w:tcPr>
            <w:tcW w:w="60" w:type="dxa"/>
            <w:vAlign w:val="bottom"/>
            <w:shd w:val="clear" w:color="auto" w:fill="CCEEFF"/>
          </w:tcPr>
          <w:p>
            <w:pPr>
              <w:spacing w:after="0"/>
              <w:rPr>
                <w:sz w:val="15"/>
                <w:szCs w:val="15"/>
                <w:color w:val="auto"/>
              </w:rPr>
            </w:pP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Options outstanding under the 2016 Plan</w:t>
            </w:r>
          </w:p>
        </w:tc>
        <w:tc>
          <w:tcPr>
            <w:tcW w:w="880" w:type="dxa"/>
            <w:vAlign w:val="bottom"/>
          </w:tcPr>
          <w:p>
            <w:pPr>
              <w:jc w:val="right"/>
              <w:spacing w:after="0"/>
              <w:rPr>
                <w:sz w:val="20"/>
                <w:szCs w:val="20"/>
                <w:color w:val="auto"/>
              </w:rPr>
            </w:pPr>
            <w:r>
              <w:rPr>
                <w:rFonts w:ascii="Arial" w:cs="Arial" w:eastAsia="Arial" w:hAnsi="Arial"/>
                <w:sz w:val="16"/>
                <w:szCs w:val="16"/>
                <w:color w:val="auto"/>
              </w:rPr>
              <w:t>6,965,000</w:t>
            </w:r>
          </w:p>
        </w:tc>
        <w:tc>
          <w:tcPr>
            <w:tcW w:w="60" w:type="dxa"/>
            <w:vAlign w:val="bottom"/>
          </w:tcPr>
          <w:p>
            <w:pPr>
              <w:spacing w:after="0"/>
              <w:rPr>
                <w:sz w:val="16"/>
                <w:szCs w:val="16"/>
                <w:color w:val="auto"/>
              </w:rPr>
            </w:pPr>
          </w:p>
        </w:tc>
      </w:tr>
      <w:tr>
        <w:trPr>
          <w:trHeight w:val="189"/>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Options available for future grant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2,473,024</w:t>
            </w:r>
          </w:p>
        </w:tc>
        <w:tc>
          <w:tcPr>
            <w:tcW w:w="60" w:type="dxa"/>
            <w:vAlign w:val="bottom"/>
            <w:shd w:val="clear" w:color="auto" w:fill="CCEEFF"/>
          </w:tcPr>
          <w:p>
            <w:pPr>
              <w:spacing w:after="0"/>
              <w:rPr>
                <w:sz w:val="16"/>
                <w:szCs w:val="16"/>
                <w:color w:val="auto"/>
              </w:rPr>
            </w:pPr>
          </w:p>
        </w:tc>
      </w:tr>
      <w:tr>
        <w:trPr>
          <w:trHeight w:val="192"/>
        </w:trPr>
        <w:tc>
          <w:tcPr>
            <w:tcW w:w="6280" w:type="dxa"/>
            <w:vAlign w:val="bottom"/>
          </w:tcPr>
          <w:p>
            <w:pPr>
              <w:ind w:left="3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156,399,333</w:t>
            </w:r>
          </w:p>
        </w:tc>
        <w:tc>
          <w:tcPr>
            <w:tcW w:w="60" w:type="dxa"/>
            <w:vAlign w:val="bottom"/>
          </w:tcPr>
          <w:p>
            <w:pPr>
              <w:spacing w:after="0"/>
              <w:rPr>
                <w:sz w:val="16"/>
                <w:szCs w:val="16"/>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9. Stock-Based Compensation</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Amended and Restated 2016 Equity Incentive Plan</w:t>
      </w:r>
    </w:p>
    <w:p>
      <w:pPr>
        <w:spacing w:after="0" w:line="99"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In October 2016, the Company adopted the 2016 Equity Incentive Plan, which was later amended and restated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166"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Under the 2016 Plan, the Company’s board of directors has the authority to select the service provider to whom options will be granted and the type of award that will be granted, to determine when awards are to be granted, the number of shares, the term, and the exercise price. Options have a term of ten years and generally vest over a four-year period. As of December 31, 2020, 2,473,024 shares of common stock were authorized and available for grant under the 2016 Plan.</w:t>
      </w:r>
    </w:p>
    <w:p>
      <w:pPr>
        <w:spacing w:after="0" w:line="10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440"/>
          </w:cols>
          <w:pgMar w:left="320" w:top="418" w:right="1139" w:bottom="1440" w:gutter="0" w:footer="0" w:header="0"/>
        </w:sectPr>
      </w:pPr>
    </w:p>
    <w:bookmarkStart w:id="285" w:name="page286"/>
    <w:bookmarkEnd w:id="2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stock option activity under the 2016 Plan:</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7"/>
              <w:spacing w:after="0" w:line="130" w:lineRule="exact"/>
              <w:rPr>
                <w:sz w:val="20"/>
                <w:szCs w:val="20"/>
                <w:color w:val="auto"/>
              </w:rPr>
            </w:pPr>
            <w:r>
              <w:rPr>
                <w:rFonts w:ascii="Arial" w:cs="Arial" w:eastAsia="Arial" w:hAnsi="Arial"/>
                <w:sz w:val="13"/>
                <w:szCs w:val="13"/>
                <w:b w:val="1"/>
                <w:bCs w:val="1"/>
                <w:color w:val="auto"/>
                <w:w w:val="85"/>
              </w:rPr>
              <w:t>Weighted-</w:t>
            </w:r>
          </w:p>
        </w:tc>
        <w:tc>
          <w:tcPr>
            <w:tcW w:w="52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92"/>
              </w:rPr>
              <w:t>Number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7"/>
              <w:spacing w:after="0" w:line="130" w:lineRule="exact"/>
              <w:rPr>
                <w:sz w:val="20"/>
                <w:szCs w:val="20"/>
                <w:color w:val="auto"/>
              </w:rPr>
            </w:pPr>
            <w:r>
              <w:rPr>
                <w:rFonts w:ascii="Arial" w:cs="Arial" w:eastAsia="Arial" w:hAnsi="Arial"/>
                <w:sz w:val="13"/>
                <w:szCs w:val="13"/>
                <w:b w:val="1"/>
                <w:bCs w:val="1"/>
                <w:color w:val="auto"/>
                <w:w w:val="85"/>
              </w:rPr>
              <w:t>Average</w:t>
            </w:r>
          </w:p>
        </w:tc>
        <w:tc>
          <w:tcPr>
            <w:tcW w:w="52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Remaining</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89"/>
              </w:rPr>
              <w:t>Options</w:t>
            </w:r>
          </w:p>
        </w:tc>
        <w:tc>
          <w:tcPr>
            <w:tcW w:w="1020" w:type="dxa"/>
            <w:vAlign w:val="bottom"/>
            <w:gridSpan w:val="3"/>
          </w:tcPr>
          <w:p>
            <w:pPr>
              <w:ind w:left="260"/>
              <w:spacing w:after="0" w:line="130" w:lineRule="exact"/>
              <w:rPr>
                <w:sz w:val="20"/>
                <w:szCs w:val="20"/>
                <w:color w:val="auto"/>
              </w:rPr>
            </w:pPr>
            <w:r>
              <w:rPr>
                <w:rFonts w:ascii="Arial" w:cs="Arial" w:eastAsia="Arial" w:hAnsi="Arial"/>
                <w:sz w:val="13"/>
                <w:szCs w:val="13"/>
                <w:b w:val="1"/>
                <w:bCs w:val="1"/>
                <w:color w:val="auto"/>
                <w:w w:val="83"/>
              </w:rPr>
              <w:t>Exercise Price</w:t>
            </w:r>
          </w:p>
        </w:tc>
        <w:tc>
          <w:tcPr>
            <w:tcW w:w="1420" w:type="dxa"/>
            <w:vAlign w:val="bottom"/>
            <w:gridSpan w:val="2"/>
          </w:tcPr>
          <w:p>
            <w:pPr>
              <w:jc w:val="center"/>
              <w:ind w:left="445"/>
              <w:spacing w:after="0" w:line="130" w:lineRule="exact"/>
              <w:rPr>
                <w:sz w:val="20"/>
                <w:szCs w:val="20"/>
                <w:color w:val="auto"/>
              </w:rPr>
            </w:pPr>
            <w:r>
              <w:rPr>
                <w:rFonts w:ascii="Arial" w:cs="Arial" w:eastAsia="Arial" w:hAnsi="Arial"/>
                <w:sz w:val="13"/>
                <w:szCs w:val="13"/>
                <w:b w:val="1"/>
                <w:bCs w:val="1"/>
                <w:color w:val="auto"/>
                <w:w w:val="90"/>
              </w:rPr>
              <w:t>Contractual Life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Outstanding</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7"/>
              <w:spacing w:after="0"/>
              <w:rPr>
                <w:sz w:val="20"/>
                <w:szCs w:val="20"/>
                <w:color w:val="auto"/>
              </w:rPr>
            </w:pPr>
            <w:r>
              <w:rPr>
                <w:rFonts w:ascii="Arial" w:cs="Arial" w:eastAsia="Arial" w:hAnsi="Arial"/>
                <w:sz w:val="13"/>
                <w:szCs w:val="13"/>
                <w:b w:val="1"/>
                <w:bCs w:val="1"/>
                <w:color w:val="auto"/>
                <w:w w:val="88"/>
              </w:rPr>
              <w:t>Per Share</w:t>
            </w:r>
          </w:p>
        </w:tc>
        <w:tc>
          <w:tcPr>
            <w:tcW w:w="5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5,285,000</w:t>
            </w: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Pr>
          <w:p>
            <w:pPr>
              <w:ind w:left="280"/>
              <w:spacing w:after="0"/>
              <w:rPr>
                <w:sz w:val="20"/>
                <w:szCs w:val="20"/>
                <w:color w:val="auto"/>
              </w:rPr>
            </w:pPr>
            <w:r>
              <w:rPr>
                <w:rFonts w:ascii="Arial" w:cs="Arial" w:eastAsia="Arial" w:hAnsi="Arial"/>
                <w:sz w:val="16"/>
                <w:szCs w:val="16"/>
                <w:color w:val="auto"/>
              </w:rPr>
              <w:t>Options granted</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1,876,250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0.57</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Options exercised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(107,103)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20" w:type="dxa"/>
            <w:vAlign w:val="bottom"/>
          </w:tcPr>
          <w:p>
            <w:pPr>
              <w:ind w:left="280"/>
              <w:spacing w:after="0"/>
              <w:rPr>
                <w:sz w:val="20"/>
                <w:szCs w:val="20"/>
                <w:color w:val="auto"/>
              </w:rPr>
            </w:pPr>
            <w:r>
              <w:rPr>
                <w:rFonts w:ascii="Arial" w:cs="Arial" w:eastAsia="Arial" w:hAnsi="Arial"/>
                <w:sz w:val="16"/>
                <w:szCs w:val="16"/>
                <w:color w:val="auto"/>
              </w:rPr>
              <w:t>Options cancelled</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(89,147)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0.40</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6,965,000</w:t>
            </w: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6"/>
                <w:szCs w:val="16"/>
                <w:color w:val="auto"/>
              </w:rPr>
              <w:t>Exercisable as of December 31, 2020</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vMerge w:val="restart"/>
          </w:tcPr>
          <w:p>
            <w:pPr>
              <w:ind w:left="24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0.19</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color w:val="auto"/>
              </w:rPr>
              <w:t>8.05</w:t>
            </w:r>
          </w:p>
        </w:tc>
        <w:tc>
          <w:tcPr>
            <w:tcW w:w="620" w:type="dxa"/>
            <w:vAlign w:val="bottom"/>
            <w:gridSpan w:val="2"/>
            <w:vMerge w:val="restart"/>
          </w:tcPr>
          <w:p>
            <w:pPr>
              <w:ind w:left="52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2,298</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gridSpan w:val="2"/>
            <w:vMerge w:val="continue"/>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2"/>
              </w:rPr>
              <w:t>2,641,917</w:t>
            </w:r>
          </w:p>
        </w:tc>
        <w:tc>
          <w:tcPr>
            <w:tcW w:w="32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The total intrinsic value of options exercised during the years ended December 31, 2019 and 2020 was approximately $0.3 million and $37,000. The aggregate intrinsic is the difference between the fair value of the Company’s common stock, as approved by the Company’s board of directors, and exercise price of the option.</w:t>
      </w:r>
    </w:p>
    <w:p>
      <w:pPr>
        <w:spacing w:after="0" w:line="166"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The weighted average grant-date fair value of options granted during the years ended December 31, 2019 and 2020 was $0.57 and $0.83 per share.</w:t>
      </w:r>
    </w:p>
    <w:p>
      <w:pPr>
        <w:spacing w:after="0" w:line="29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stock-based compensation recognized in the Company’s statements of operations and comprehensive loss:</w:t>
      </w: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1"/>
        </w:trPr>
        <w:tc>
          <w:tcPr>
            <w:tcW w:w="4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8"/>
              <w:spacing w:after="0" w:line="122" w:lineRule="exact"/>
              <w:rPr>
                <w:sz w:val="20"/>
                <w:szCs w:val="20"/>
                <w:color w:val="auto"/>
              </w:rPr>
            </w:pPr>
            <w:r>
              <w:rPr>
                <w:rFonts w:ascii="Arial" w:cs="Arial" w:eastAsia="Arial" w:hAnsi="Arial"/>
                <w:sz w:val="13"/>
                <w:szCs w:val="13"/>
                <w:b w:val="1"/>
                <w:bCs w:val="1"/>
                <w:color w:val="auto"/>
                <w:w w:val="96"/>
              </w:rPr>
              <w:t>2019</w:t>
            </w: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5"/>
              <w:spacing w:after="0" w:line="122" w:lineRule="exact"/>
              <w:rPr>
                <w:sz w:val="20"/>
                <w:szCs w:val="20"/>
                <w:color w:val="auto"/>
              </w:rPr>
            </w:pPr>
            <w:r>
              <w:rPr>
                <w:rFonts w:ascii="Arial" w:cs="Arial" w:eastAsia="Arial" w:hAnsi="Arial"/>
                <w:sz w:val="13"/>
                <w:szCs w:val="13"/>
                <w:b w:val="1"/>
                <w:bCs w:val="1"/>
                <w:color w:val="auto"/>
                <w:w w:val="82"/>
              </w:rPr>
              <w:t>2020</w:t>
            </w:r>
          </w:p>
        </w:tc>
        <w:tc>
          <w:tcPr>
            <w:tcW w:w="40" w:type="dxa"/>
            <w:vAlign w:val="bottom"/>
          </w:tcPr>
          <w:p>
            <w:pPr>
              <w:spacing w:after="0"/>
              <w:rPr>
                <w:sz w:val="10"/>
                <w:szCs w:val="10"/>
                <w:color w:val="auto"/>
              </w:rPr>
            </w:pPr>
          </w:p>
        </w:tc>
      </w:tr>
      <w:tr>
        <w:trPr>
          <w:trHeight w:val="121"/>
        </w:trPr>
        <w:tc>
          <w:tcPr>
            <w:tcW w:w="4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8"/>
              </w:rPr>
              <w:t>(in thousands)</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40" w:type="dxa"/>
            <w:vAlign w:val="bottom"/>
            <w:shd w:val="clear" w:color="auto" w:fill="CCEEFF"/>
          </w:tcPr>
          <w:p>
            <w:pPr>
              <w:spacing w:after="0"/>
              <w:rPr>
                <w:sz w:val="16"/>
                <w:szCs w:val="16"/>
                <w:color w:val="auto"/>
              </w:rPr>
            </w:pPr>
          </w:p>
        </w:tc>
      </w:tr>
      <w:tr>
        <w:trPr>
          <w:trHeight w:val="192"/>
        </w:trPr>
        <w:tc>
          <w:tcPr>
            <w:tcW w:w="48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40" w:type="dxa"/>
            <w:vAlign w:val="bottom"/>
          </w:tcPr>
          <w:p>
            <w:pPr>
              <w:spacing w:after="0"/>
              <w:rPr>
                <w:sz w:val="16"/>
                <w:szCs w:val="16"/>
                <w:color w:val="auto"/>
              </w:rPr>
            </w:pPr>
          </w:p>
        </w:tc>
      </w:tr>
      <w:tr>
        <w:trPr>
          <w:trHeight w:val="189"/>
        </w:trPr>
        <w:tc>
          <w:tcPr>
            <w:tcW w:w="4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stock-based compensation</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40" w:type="dxa"/>
            <w:vAlign w:val="bottom"/>
            <w:shd w:val="clear" w:color="auto" w:fill="CCEEFF"/>
          </w:tcPr>
          <w:p>
            <w:pPr>
              <w:spacing w:after="0"/>
              <w:rPr>
                <w:sz w:val="16"/>
                <w:szCs w:val="16"/>
                <w:color w:val="auto"/>
              </w:rPr>
            </w:pPr>
          </w:p>
        </w:tc>
      </w:tr>
      <w:tr>
        <w:trPr>
          <w:trHeight w:val="20"/>
        </w:trPr>
        <w:tc>
          <w:tcPr>
            <w:tcW w:w="4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420" w:firstLine="385"/>
        <w:spacing w:after="0" w:line="266" w:lineRule="auto"/>
        <w:rPr>
          <w:sz w:val="20"/>
          <w:szCs w:val="20"/>
          <w:color w:val="auto"/>
        </w:rPr>
      </w:pPr>
      <w:r>
        <w:rPr>
          <w:rFonts w:ascii="Arial" w:cs="Arial" w:eastAsia="Arial" w:hAnsi="Arial"/>
          <w:sz w:val="16"/>
          <w:szCs w:val="16"/>
          <w:color w:val="auto"/>
        </w:rPr>
        <w:t>As of December 31, 2020, there was approximately $2.3 million of unrecognized stock-based compensation, which the Company expects to recognize over a weighted-average period of 3.0 years.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Valuation</w:t>
      </w:r>
    </w:p>
    <w:p>
      <w:pPr>
        <w:spacing w:after="0" w:line="99"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fair value of the Company’s stock option awards is estimated on the date of grant using the Black-Scholes option pricing model using the following assumptions: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0"/>
              </w:rPr>
              <w:t>Year Ended December 31,</w:t>
            </w:r>
          </w:p>
        </w:tc>
        <w:tc>
          <w:tcPr>
            <w:tcW w:w="780" w:type="dxa"/>
            <w:vAlign w:val="bottom"/>
            <w:tcBorders>
              <w:bottom w:val="single" w:sz="8" w:color="auto"/>
            </w:tcBorders>
          </w:tcPr>
          <w:p>
            <w:pPr>
              <w:spacing w:after="0"/>
              <w:rPr>
                <w:sz w:val="13"/>
                <w:szCs w:val="13"/>
                <w:color w:val="auto"/>
              </w:rPr>
            </w:pPr>
          </w:p>
        </w:tc>
      </w:tr>
      <w:tr>
        <w:trPr>
          <w:trHeight w:val="121"/>
        </w:trPr>
        <w:tc>
          <w:tcPr>
            <w:tcW w:w="3100" w:type="dxa"/>
            <w:vAlign w:val="bottom"/>
            <w:tcBorders>
              <w:bottom w:val="single" w:sz="8" w:color="CCEEFF"/>
            </w:tcBorders>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gridSpan w:val="2"/>
          </w:tcPr>
          <w:p>
            <w:pPr>
              <w:jc w:val="right"/>
              <w:ind w:right="525"/>
              <w:spacing w:after="0" w:line="12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gridSpan w:val="2"/>
          </w:tcPr>
          <w:p>
            <w:pPr>
              <w:jc w:val="right"/>
              <w:ind w:right="521"/>
              <w:spacing w:after="0" w:line="122" w:lineRule="exact"/>
              <w:rPr>
                <w:sz w:val="20"/>
                <w:szCs w:val="20"/>
                <w:color w:val="auto"/>
              </w:rPr>
            </w:pPr>
            <w:r>
              <w:rPr>
                <w:rFonts w:ascii="Arial" w:cs="Arial" w:eastAsia="Arial" w:hAnsi="Arial"/>
                <w:sz w:val="13"/>
                <w:szCs w:val="13"/>
                <w:b w:val="1"/>
                <w:bCs w:val="1"/>
                <w:color w:val="auto"/>
              </w:rPr>
              <w:t>2020</w:t>
            </w:r>
          </w:p>
        </w:tc>
      </w:tr>
      <w:tr>
        <w:trPr>
          <w:trHeight w:val="180"/>
        </w:trPr>
        <w:tc>
          <w:tcPr>
            <w:tcW w:w="3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Expected term (in years)</w:t>
            </w:r>
          </w:p>
        </w:tc>
        <w:tc>
          <w:tcPr>
            <w:tcW w:w="34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5.0</w:t>
            </w:r>
          </w:p>
        </w:tc>
        <w:tc>
          <w:tcPr>
            <w:tcW w:w="7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 6.1</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5.9</w:t>
            </w:r>
          </w:p>
        </w:tc>
        <w:tc>
          <w:tcPr>
            <w:tcW w:w="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 6.1</w:t>
            </w:r>
          </w:p>
        </w:tc>
      </w:tr>
      <w:tr>
        <w:trPr>
          <w:trHeight w:val="189"/>
        </w:trPr>
        <w:tc>
          <w:tcPr>
            <w:tcW w:w="3100" w:type="dxa"/>
            <w:vAlign w:val="bottom"/>
          </w:tcPr>
          <w:p>
            <w:pPr>
              <w:spacing w:after="0"/>
              <w:rPr>
                <w:sz w:val="20"/>
                <w:szCs w:val="20"/>
                <w:color w:val="auto"/>
              </w:rPr>
            </w:pPr>
            <w:r>
              <w:rPr>
                <w:rFonts w:ascii="Arial" w:cs="Arial" w:eastAsia="Arial" w:hAnsi="Arial"/>
                <w:sz w:val="16"/>
                <w:szCs w:val="16"/>
                <w:color w:val="auto"/>
              </w:rPr>
              <w:t>Expected volatility</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 192%</w:t>
            </w:r>
          </w:p>
        </w:tc>
        <w:tc>
          <w:tcPr>
            <w:tcW w:w="660" w:type="dxa"/>
            <w:vAlign w:val="bottom"/>
          </w:tcPr>
          <w:p>
            <w:pPr>
              <w:jc w:val="right"/>
              <w:spacing w:after="0"/>
              <w:rPr>
                <w:sz w:val="20"/>
                <w:szCs w:val="20"/>
                <w:color w:val="auto"/>
              </w:rPr>
            </w:pPr>
            <w:r>
              <w:rPr>
                <w:rFonts w:ascii="Arial" w:cs="Arial" w:eastAsia="Arial" w:hAnsi="Arial"/>
                <w:sz w:val="16"/>
                <w:szCs w:val="16"/>
                <w:color w:val="auto"/>
              </w:rPr>
              <w:t>178%</w:t>
            </w:r>
          </w:p>
        </w:tc>
        <w:tc>
          <w:tcPr>
            <w:tcW w:w="780" w:type="dxa"/>
            <w:vAlign w:val="bottom"/>
          </w:tcPr>
          <w:p>
            <w:pPr>
              <w:spacing w:after="0"/>
              <w:rPr>
                <w:sz w:val="20"/>
                <w:szCs w:val="20"/>
                <w:color w:val="auto"/>
              </w:rPr>
            </w:pPr>
            <w:r>
              <w:rPr>
                <w:rFonts w:ascii="Arial" w:cs="Arial" w:eastAsia="Arial" w:hAnsi="Arial"/>
                <w:sz w:val="16"/>
                <w:szCs w:val="16"/>
                <w:color w:val="auto"/>
              </w:rPr>
              <w:t>– 183%</w:t>
            </w:r>
          </w:p>
        </w:tc>
      </w:tr>
      <w:tr>
        <w:trPr>
          <w:trHeight w:val="189"/>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2.5%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1.5%</w:t>
            </w: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3440" w:type="dxa"/>
            <w:vAlign w:val="bottom"/>
          </w:tcPr>
          <w:p>
            <w:pPr>
              <w:spacing w:after="0"/>
              <w:rPr>
                <w:sz w:val="17"/>
                <w:szCs w:val="17"/>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6"/>
                <w:szCs w:val="16"/>
                <w:color w:val="auto"/>
                <w:w w:val="99"/>
              </w:rPr>
              <w:t>—%</w:t>
            </w: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r>
      <w:tr>
        <w:trPr>
          <w:trHeight w:val="306"/>
        </w:trPr>
        <w:tc>
          <w:tcPr>
            <w:tcW w:w="3100" w:type="dxa"/>
            <w:vAlign w:val="bottom"/>
          </w:tcPr>
          <w:p>
            <w:pPr>
              <w:spacing w:after="0"/>
              <w:rPr>
                <w:sz w:val="24"/>
                <w:szCs w:val="24"/>
                <w:color w:val="auto"/>
              </w:rPr>
            </w:pPr>
          </w:p>
        </w:tc>
        <w:tc>
          <w:tcPr>
            <w:tcW w:w="4100" w:type="dxa"/>
            <w:vAlign w:val="bottom"/>
            <w:gridSpan w:val="2"/>
          </w:tcPr>
          <w:p>
            <w:pPr>
              <w:jc w:val="right"/>
              <w:ind w:right="2167"/>
              <w:spacing w:after="0"/>
              <w:rPr>
                <w:sz w:val="20"/>
                <w:szCs w:val="20"/>
                <w:color w:val="auto"/>
              </w:rPr>
            </w:pPr>
            <w:r>
              <w:rPr>
                <w:rFonts w:ascii="Arial" w:cs="Arial" w:eastAsia="Arial" w:hAnsi="Arial"/>
                <w:sz w:val="16"/>
                <w:szCs w:val="16"/>
                <w:color w:val="auto"/>
              </w:rPr>
              <w:t>F-21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440"/>
          </w:cols>
          <w:pgMar w:left="320" w:top="418" w:right="1139" w:bottom="1440" w:gutter="0" w:footer="0" w:header="0"/>
        </w:sectPr>
      </w:pPr>
    </w:p>
    <w:bookmarkStart w:id="286" w:name="page287"/>
    <w:bookmarkEnd w:id="2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assumptions used to determine the fair value of options granted were as follows. Each of these inputs is subjective and generally requires significant judgement.</w:t>
      </w:r>
    </w:p>
    <w:p>
      <w:pPr>
        <w:spacing w:after="0" w:line="64" w:lineRule="exact"/>
        <w:rPr>
          <w:sz w:val="20"/>
          <w:szCs w:val="20"/>
          <w:color w:val="auto"/>
        </w:rPr>
      </w:pPr>
    </w:p>
    <w:p>
      <w:pPr>
        <w:ind w:left="1200" w:right="340" w:firstLine="369"/>
        <w:spacing w:after="0" w:line="256"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b w:val="1"/>
          <w:bCs w:val="1"/>
          <w:i w:val="1"/>
          <w:iCs w:val="1"/>
          <w:color w:val="auto"/>
        </w:rPr>
        <w:t>—</w:t>
      </w:r>
      <w:r>
        <w:rPr>
          <w:rFonts w:ascii="Arial" w:cs="Arial" w:eastAsia="Arial" w:hAnsi="Arial"/>
          <w:sz w:val="16"/>
          <w:szCs w:val="16"/>
          <w:color w:val="auto"/>
        </w:rPr>
        <w:t>The Company determines the expected term, which represents the period that stock-based awards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in accordance with the simplified method due to its limited operating history, which is presumed to be the mid-point between the contractual term and the vesting period.</w:t>
      </w:r>
    </w:p>
    <w:p>
      <w:pPr>
        <w:spacing w:after="0" w:line="71" w:lineRule="exact"/>
        <w:rPr>
          <w:sz w:val="20"/>
          <w:szCs w:val="20"/>
          <w:color w:val="auto"/>
        </w:rPr>
      </w:pPr>
    </w:p>
    <w:p>
      <w:pPr>
        <w:ind w:left="1200" w:right="100" w:firstLine="369"/>
        <w:spacing w:after="0" w:line="253"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b w:val="1"/>
          <w:bCs w:val="1"/>
          <w:i w:val="1"/>
          <w:iCs w:val="1"/>
          <w:color w:val="auto"/>
        </w:rPr>
        <w:t>—</w:t>
      </w:r>
      <w:r>
        <w:rPr>
          <w:rFonts w:ascii="Arial" w:cs="Arial" w:eastAsia="Arial" w:hAnsi="Arial"/>
          <w:sz w:val="16"/>
          <w:szCs w:val="16"/>
          <w:color w:val="auto"/>
        </w:rPr>
        <w:t>As there is no trading history for the Company’s common stock, the Company determines its computation of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3" w:lineRule="exact"/>
        <w:rPr>
          <w:sz w:val="20"/>
          <w:szCs w:val="20"/>
          <w:color w:val="auto"/>
        </w:rPr>
      </w:pPr>
    </w:p>
    <w:p>
      <w:pPr>
        <w:ind w:left="1200" w:right="60" w:firstLine="369"/>
        <w:spacing w:after="0" w:line="266"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b w:val="1"/>
          <w:bCs w:val="1"/>
          <w:i w:val="1"/>
          <w:iCs w:val="1"/>
          <w:color w:val="auto"/>
        </w:rPr>
        <w:t>—</w:t>
      </w:r>
      <w:r>
        <w:rPr>
          <w:rFonts w:ascii="Arial" w:cs="Arial" w:eastAsia="Arial" w:hAnsi="Arial"/>
          <w:sz w:val="16"/>
          <w:szCs w:val="16"/>
          <w:color w:val="auto"/>
        </w:rPr>
        <w:t>The Company bases the risk-free interest rate on U.S. Treasury zero coupon issues in effect at the time of grant for</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corresponding with the expected term assumption.</w:t>
      </w:r>
    </w:p>
    <w:p>
      <w:pPr>
        <w:spacing w:after="0" w:line="64" w:lineRule="exact"/>
        <w:rPr>
          <w:sz w:val="20"/>
          <w:szCs w:val="20"/>
          <w:color w:val="auto"/>
        </w:rPr>
      </w:pPr>
    </w:p>
    <w:p>
      <w:pPr>
        <w:ind w:left="1200" w:right="240" w:firstLine="369"/>
        <w:spacing w:after="0" w:line="266" w:lineRule="auto"/>
        <w:rPr>
          <w:sz w:val="20"/>
          <w:szCs w:val="20"/>
          <w:color w:val="auto"/>
        </w:rPr>
      </w:pPr>
      <w:r>
        <w:rPr>
          <w:rFonts w:ascii="Arial" w:cs="Arial" w:eastAsia="Arial" w:hAnsi="Arial"/>
          <w:sz w:val="16"/>
          <w:szCs w:val="16"/>
          <w:i w:val="1"/>
          <w:iCs w:val="1"/>
          <w:color w:val="auto"/>
        </w:rPr>
        <w:t>Expected Dividend Yield</w:t>
      </w:r>
      <w:r>
        <w:rPr>
          <w:rFonts w:ascii="Arial" w:cs="Arial" w:eastAsia="Arial" w:hAnsi="Arial"/>
          <w:sz w:val="16"/>
          <w:szCs w:val="16"/>
          <w:b w:val="1"/>
          <w:bCs w:val="1"/>
          <w:i w:val="1"/>
          <w:iCs w:val="1"/>
          <w:color w:val="auto"/>
        </w:rPr>
        <w:t>—</w:t>
      </w:r>
      <w:r>
        <w:rPr>
          <w:rFonts w:ascii="Arial" w:cs="Arial" w:eastAsia="Arial" w:hAnsi="Arial"/>
          <w:sz w:val="16"/>
          <w:szCs w:val="16"/>
          <w:color w:val="auto"/>
        </w:rPr>
        <w:t>The expected dividend yield is assumed to be zero as the Company has never paid and has no plans to pay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its common stock.</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99" w:lineRule="exact"/>
        <w:rPr>
          <w:sz w:val="20"/>
          <w:szCs w:val="20"/>
          <w:color w:val="auto"/>
        </w:rPr>
      </w:pPr>
    </w:p>
    <w:p>
      <w:pPr>
        <w:ind w:left="820" w:right="160" w:firstLine="385"/>
        <w:spacing w:after="0" w:line="275" w:lineRule="auto"/>
        <w:rPr>
          <w:sz w:val="20"/>
          <w:szCs w:val="20"/>
          <w:color w:val="auto"/>
        </w:rPr>
      </w:pPr>
      <w:r>
        <w:rPr>
          <w:rFonts w:ascii="Arial" w:cs="Arial" w:eastAsia="Arial" w:hAnsi="Arial"/>
          <w:sz w:val="15"/>
          <w:szCs w:val="15"/>
          <w:color w:val="auto"/>
        </w:rPr>
        <w:t>The 2016 Plan allows the Company to grant stock options that may be exercised by option holders prior to vesting, subject to certain limitations. The Company has also issued restricted stock awards to certain employees and non-employee founders under its 2016 Plan. The 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5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The proceeds from early exercises are initially recorded in accrued expenses and other current liabilities and other non-current liabilities and are reclassified to common stock and additional paid-in capital the vesting conditions are met and the repurchase right lapses. As of December 31, 2019 and 2020, $0.1 million and $53,000 was recorded as liabilities on the balance sheets.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 summary of restricted stock activity is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Weighted</w:t>
            </w:r>
          </w:p>
        </w:tc>
      </w:tr>
      <w:tr>
        <w:trPr>
          <w:trHeight w:val="130"/>
        </w:trPr>
        <w:tc>
          <w:tcPr>
            <w:tcW w:w="7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jc w:val="center"/>
              <w:ind w:right="80"/>
              <w:spacing w:after="0" w:line="130" w:lineRule="exact"/>
              <w:rPr>
                <w:sz w:val="20"/>
                <w:szCs w:val="20"/>
                <w:color w:val="auto"/>
              </w:rPr>
            </w:pPr>
            <w:r>
              <w:rPr>
                <w:rFonts w:ascii="Arial" w:cs="Arial" w:eastAsia="Arial" w:hAnsi="Arial"/>
                <w:sz w:val="13"/>
                <w:szCs w:val="13"/>
                <w:b w:val="1"/>
                <w:bCs w:val="1"/>
                <w:color w:val="auto"/>
                <w:w w:val="88"/>
              </w:rPr>
              <w:t>Average Fair</w:t>
            </w:r>
          </w:p>
        </w:tc>
      </w:tr>
      <w:tr>
        <w:trPr>
          <w:trHeight w:val="130"/>
        </w:trPr>
        <w:tc>
          <w:tcPr>
            <w:tcW w:w="7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jc w:val="center"/>
              <w:ind w:right="60"/>
              <w:spacing w:after="0" w:line="130" w:lineRule="exact"/>
              <w:rPr>
                <w:sz w:val="20"/>
                <w:szCs w:val="20"/>
                <w:color w:val="auto"/>
              </w:rPr>
            </w:pPr>
            <w:r>
              <w:rPr>
                <w:rFonts w:ascii="Arial" w:cs="Arial" w:eastAsia="Arial" w:hAnsi="Arial"/>
                <w:sz w:val="13"/>
                <w:szCs w:val="13"/>
                <w:b w:val="1"/>
                <w:bCs w:val="1"/>
                <w:color w:val="auto"/>
                <w:w w:val="88"/>
              </w:rPr>
              <w:t>Value at Date</w:t>
            </w:r>
          </w:p>
        </w:tc>
      </w:tr>
      <w:tr>
        <w:trPr>
          <w:trHeight w:val="130"/>
        </w:trPr>
        <w:tc>
          <w:tcPr>
            <w:tcW w:w="7400" w:type="dxa"/>
            <w:vAlign w:val="bottom"/>
          </w:tcPr>
          <w:p>
            <w:pPr>
              <w:spacing w:after="0"/>
              <w:rPr>
                <w:sz w:val="11"/>
                <w:szCs w:val="11"/>
                <w:color w:val="auto"/>
              </w:rPr>
            </w:pPr>
          </w:p>
        </w:tc>
        <w:tc>
          <w:tcPr>
            <w:tcW w:w="1100" w:type="dxa"/>
            <w:vAlign w:val="bottom"/>
            <w:gridSpan w:val="2"/>
          </w:tcPr>
          <w:p>
            <w:pPr>
              <w:jc w:val="right"/>
              <w:ind w:right="440"/>
              <w:spacing w:after="0" w:line="130" w:lineRule="exact"/>
              <w:rPr>
                <w:sz w:val="20"/>
                <w:szCs w:val="20"/>
                <w:color w:val="auto"/>
              </w:rPr>
            </w:pPr>
            <w:r>
              <w:rPr>
                <w:rFonts w:ascii="Arial" w:cs="Arial" w:eastAsia="Arial" w:hAnsi="Arial"/>
                <w:sz w:val="13"/>
                <w:szCs w:val="13"/>
                <w:b w:val="1"/>
                <w:bCs w:val="1"/>
                <w:color w:val="auto"/>
                <w:w w:val="98"/>
              </w:rPr>
              <w:t>Number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4"/>
              </w:rPr>
              <w:t>of Grant</w:t>
            </w:r>
          </w:p>
        </w:tc>
      </w:tr>
      <w:tr>
        <w:trPr>
          <w:trHeight w:val="150"/>
        </w:trPr>
        <w:tc>
          <w:tcPr>
            <w:tcW w:w="740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per Share</w:t>
            </w:r>
          </w:p>
        </w:tc>
      </w:tr>
      <w:tr>
        <w:trPr>
          <w:trHeight w:val="180"/>
        </w:trPr>
        <w:tc>
          <w:tcPr>
            <w:tcW w:w="74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Unvested as of December 31, 2019</w:t>
            </w: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1,986,608</w:t>
            </w: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0.12</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7400" w:type="dxa"/>
            <w:vAlign w:val="bottom"/>
          </w:tcPr>
          <w:p>
            <w:pPr>
              <w:ind w:left="300"/>
              <w:spacing w:after="0"/>
              <w:rPr>
                <w:sz w:val="20"/>
                <w:szCs w:val="20"/>
                <w:color w:val="auto"/>
              </w:rPr>
            </w:pPr>
            <w:r>
              <w:rPr>
                <w:rFonts w:ascii="Arial" w:cs="Arial" w:eastAsia="Arial" w:hAnsi="Arial"/>
                <w:sz w:val="16"/>
                <w:szCs w:val="16"/>
                <w:color w:val="auto"/>
              </w:rPr>
              <w:t>Vested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5"/>
              </w:rPr>
              <w:t>(1,151,616)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0.10</w:t>
            </w:r>
          </w:p>
        </w:tc>
        <w:tc>
          <w:tcPr>
            <w:tcW w:w="60" w:type="dxa"/>
            <w:vAlign w:val="bottom"/>
          </w:tcPr>
          <w:p>
            <w:pPr>
              <w:spacing w:after="0"/>
              <w:rPr>
                <w:sz w:val="16"/>
                <w:szCs w:val="16"/>
                <w:color w:val="auto"/>
              </w:rPr>
            </w:pPr>
          </w:p>
        </w:tc>
      </w:tr>
      <w:tr>
        <w:trPr>
          <w:trHeight w:val="189"/>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Repurchased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(6,167)</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60" w:type="dxa"/>
            <w:vAlign w:val="bottom"/>
            <w:shd w:val="clear" w:color="auto" w:fill="CCEEFF"/>
          </w:tcPr>
          <w:p>
            <w:pPr>
              <w:spacing w:after="0"/>
              <w:rPr>
                <w:sz w:val="16"/>
                <w:szCs w:val="16"/>
                <w:color w:val="auto"/>
              </w:rPr>
            </w:pPr>
          </w:p>
        </w:tc>
      </w:tr>
      <w:tr>
        <w:trPr>
          <w:trHeight w:val="192"/>
        </w:trPr>
        <w:tc>
          <w:tcPr>
            <w:tcW w:w="7400" w:type="dxa"/>
            <w:vAlign w:val="bottom"/>
          </w:tcPr>
          <w:p>
            <w:pPr>
              <w:spacing w:after="0"/>
              <w:rPr>
                <w:sz w:val="20"/>
                <w:szCs w:val="20"/>
                <w:color w:val="auto"/>
              </w:rPr>
            </w:pPr>
            <w:r>
              <w:rPr>
                <w:rFonts w:ascii="Arial" w:cs="Arial" w:eastAsia="Arial" w:hAnsi="Arial"/>
                <w:sz w:val="16"/>
                <w:szCs w:val="16"/>
                <w:color w:val="auto"/>
              </w:rPr>
              <w:t>Unvested as of December 31,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828,825</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60" w:type="dxa"/>
            <w:vAlign w:val="bottom"/>
          </w:tcPr>
          <w:p>
            <w:pPr>
              <w:spacing w:after="0"/>
              <w:rPr>
                <w:sz w:val="16"/>
                <w:szCs w:val="16"/>
                <w:color w:val="auto"/>
              </w:rPr>
            </w:pPr>
          </w:p>
        </w:tc>
      </w:tr>
      <w:tr>
        <w:trPr>
          <w:trHeight w:val="20"/>
        </w:trPr>
        <w:tc>
          <w:tcPr>
            <w:tcW w:w="7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Employee Recourse Notes</w:t>
      </w:r>
    </w:p>
    <w:p>
      <w:pPr>
        <w:spacing w:after="0" w:line="99"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90 days after employment is terminated. As of December 31, 2020, the principal and accrued interest amount of the notes was $87,000. The notes are presented in the statements of convertible preferred stock and stockholders’ deficit.</w:t>
      </w:r>
    </w:p>
    <w:p>
      <w:pPr>
        <w:spacing w:after="0" w:line="10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0440"/>
          </w:cols>
          <w:pgMar w:left="320" w:top="418" w:right="1139" w:bottom="1440" w:gutter="0" w:footer="0" w:header="0"/>
        </w:sectPr>
      </w:pPr>
    </w:p>
    <w:bookmarkStart w:id="287" w:name="page288"/>
    <w:bookmarkEnd w:id="2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10. Income Taxes</w:t>
      </w:r>
    </w:p>
    <w:p>
      <w:pPr>
        <w:spacing w:after="0" w:line="103" w:lineRule="exact"/>
        <w:rPr>
          <w:sz w:val="20"/>
          <w:szCs w:val="20"/>
          <w:color w:val="auto"/>
        </w:rPr>
      </w:pPr>
    </w:p>
    <w:p>
      <w:pPr>
        <w:ind w:left="820" w:right="80" w:firstLine="385"/>
        <w:spacing w:after="0" w:line="329" w:lineRule="auto"/>
        <w:rPr>
          <w:sz w:val="20"/>
          <w:szCs w:val="20"/>
          <w:color w:val="auto"/>
        </w:rPr>
      </w:pPr>
      <w:r>
        <w:rPr>
          <w:rFonts w:ascii="Arial" w:cs="Arial" w:eastAsia="Arial" w:hAnsi="Arial"/>
          <w:sz w:val="13"/>
          <w:szCs w:val="13"/>
          <w:color w:val="auto"/>
        </w:rPr>
        <w:t>No provision for, or benefit from, income taxes was recorded during the years ended December 31, 2019 and 2020. The Company has established a full valuation allowance against its net deferred tax assets due to the uncertainty regarding the realization of such assets. All losses to date have been incurred in the United States. 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Effective Tax Rate Reconciliation</w:t>
      </w:r>
    </w:p>
    <w:p>
      <w:pPr>
        <w:spacing w:after="0" w:line="99"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The effective tax rate of the Company’s provision for income taxes differs from the federal statutory rate and the effective tax rate reconciliation is as follows: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3"/>
                <w:szCs w:val="13"/>
                <w:b w:val="1"/>
                <w:bCs w:val="1"/>
                <w:color w:val="auto"/>
                <w:w w:val="94"/>
              </w:rPr>
              <w:t>December 31,</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U.S. federal taxes at statutory rate</w:t>
            </w:r>
          </w:p>
        </w:tc>
        <w:tc>
          <w:tcPr>
            <w:tcW w:w="620" w:type="dxa"/>
            <w:vAlign w:val="bottom"/>
            <w:gridSpan w:val="3"/>
            <w:shd w:val="clear" w:color="auto" w:fill="CCEEFF"/>
          </w:tcPr>
          <w:p>
            <w:pPr>
              <w:jc w:val="right"/>
              <w:ind w:right="26"/>
              <w:spacing w:after="0" w:line="181" w:lineRule="exact"/>
              <w:rPr>
                <w:sz w:val="20"/>
                <w:szCs w:val="20"/>
                <w:color w:val="auto"/>
              </w:rPr>
            </w:pPr>
            <w:r>
              <w:rPr>
                <w:rFonts w:ascii="Arial" w:cs="Arial" w:eastAsia="Arial" w:hAnsi="Arial"/>
                <w:sz w:val="16"/>
                <w:szCs w:val="16"/>
                <w:color w:val="auto"/>
              </w:rPr>
              <w:t>21.0%</w:t>
            </w:r>
          </w:p>
        </w:tc>
        <w:tc>
          <w:tcPr>
            <w:tcW w:w="72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4"/>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w w:val="96"/>
              </w:rPr>
              <w:t>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Credits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20" w:type="dxa"/>
            <w:vAlign w:val="bottom"/>
            <w:gridSpan w:val="3"/>
          </w:tcPr>
          <w:p>
            <w:pPr>
              <w:jc w:val="right"/>
              <w:ind w:right="106"/>
              <w:spacing w:after="0"/>
              <w:rPr>
                <w:sz w:val="20"/>
                <w:szCs w:val="20"/>
                <w:color w:val="auto"/>
              </w:rPr>
            </w:pPr>
            <w:r>
              <w:rPr>
                <w:rFonts w:ascii="Arial" w:cs="Arial" w:eastAsia="Arial" w:hAnsi="Arial"/>
                <w:sz w:val="16"/>
                <w:szCs w:val="16"/>
                <w:color w:val="auto"/>
              </w:rPr>
              <w:t>(0.2)</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Section 382 limitation on tax attribute carryforwards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620" w:type="dxa"/>
            <w:vAlign w:val="bottom"/>
            <w:gridSpan w:val="3"/>
          </w:tcPr>
          <w:p>
            <w:pPr>
              <w:jc w:val="right"/>
              <w:ind w:right="106"/>
              <w:spacing w:after="0"/>
              <w:rPr>
                <w:sz w:val="20"/>
                <w:szCs w:val="20"/>
                <w:color w:val="auto"/>
              </w:rPr>
            </w:pPr>
            <w:r>
              <w:rPr>
                <w:rFonts w:ascii="Arial" w:cs="Arial" w:eastAsia="Arial" w:hAnsi="Arial"/>
                <w:sz w:val="16"/>
                <w:szCs w:val="16"/>
                <w:color w:val="auto"/>
              </w:rPr>
              <w:t>(30.7)</w:t>
            </w: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620" w:type="dxa"/>
            <w:vAlign w:val="bottom"/>
            <w:gridSpan w:val="3"/>
            <w:shd w:val="clear" w:color="auto" w:fill="CCEEFF"/>
          </w:tcPr>
          <w:p>
            <w:pPr>
              <w:jc w:val="right"/>
              <w:ind w:right="106"/>
              <w:spacing w:after="0"/>
              <w:rPr>
                <w:sz w:val="20"/>
                <w:szCs w:val="20"/>
                <w:color w:val="auto"/>
              </w:rPr>
            </w:pPr>
            <w:r>
              <w:rPr>
                <w:rFonts w:ascii="Arial" w:cs="Arial" w:eastAsia="Arial" w:hAnsi="Arial"/>
                <w:sz w:val="16"/>
                <w:szCs w:val="16"/>
                <w:color w:val="auto"/>
              </w:rPr>
              <w:t>(0.1)</w:t>
            </w: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40" w:type="dxa"/>
            <w:vAlign w:val="bottom"/>
            <w:vMerge w:val="continue"/>
          </w:tcPr>
          <w:p>
            <w:pPr>
              <w:spacing w:after="0"/>
              <w:rPr>
                <w:sz w:val="16"/>
                <w:szCs w:val="16"/>
                <w:color w:val="auto"/>
              </w:rPr>
            </w:pPr>
          </w:p>
        </w:tc>
        <w:tc>
          <w:tcPr>
            <w:tcW w:w="620" w:type="dxa"/>
            <w:vAlign w:val="bottom"/>
            <w:gridSpan w:val="3"/>
          </w:tcPr>
          <w:p>
            <w:pPr>
              <w:jc w:val="right"/>
              <w:ind w:right="26"/>
              <w:spacing w:after="0"/>
              <w:rPr>
                <w:sz w:val="20"/>
                <w:szCs w:val="20"/>
                <w:color w:val="auto"/>
              </w:rPr>
            </w:pPr>
            <w:r>
              <w:rPr>
                <w:rFonts w:ascii="Arial" w:cs="Arial" w:eastAsia="Arial" w:hAnsi="Arial"/>
                <w:sz w:val="16"/>
                <w:szCs w:val="16"/>
                <w:color w:val="auto"/>
              </w:rPr>
              <w:t>0.0%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w w:val="98"/>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36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w w:val="82"/>
              </w:rPr>
              <w:t>December 31,</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6"/>
              <w:spacing w:after="0" w:line="122" w:lineRule="exact"/>
              <w:rPr>
                <w:sz w:val="20"/>
                <w:szCs w:val="20"/>
                <w:color w:val="auto"/>
              </w:rPr>
            </w:pPr>
            <w:r>
              <w:rPr>
                <w:rFonts w:ascii="Arial" w:cs="Arial" w:eastAsia="Arial" w:hAnsi="Arial"/>
                <w:sz w:val="13"/>
                <w:szCs w:val="13"/>
                <w:b w:val="1"/>
                <w:bCs w:val="1"/>
                <w:color w:val="auto"/>
              </w:rPr>
              <w:t>2019</w:t>
            </w: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75"/>
              </w:rPr>
              <w:t>2020</w:t>
            </w: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3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280"/>
              <w:spacing w:after="0"/>
              <w:rPr>
                <w:sz w:val="20"/>
                <w:szCs w:val="20"/>
                <w:color w:val="auto"/>
              </w:rPr>
            </w:pPr>
            <w:r>
              <w:rPr>
                <w:rFonts w:ascii="Arial" w:cs="Arial" w:eastAsia="Arial" w:hAnsi="Arial"/>
                <w:sz w:val="16"/>
                <w:szCs w:val="16"/>
                <w:color w:val="auto"/>
              </w:rPr>
              <w:t>Additions based on tax positions related to current year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2"/>
              </w:rPr>
              <w:t>473</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Additions based on tax positions related to prior years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271</w:t>
            </w: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280"/>
              <w:spacing w:after="0"/>
              <w:rPr>
                <w:sz w:val="20"/>
                <w:szCs w:val="20"/>
                <w:color w:val="auto"/>
              </w:rPr>
            </w:pPr>
            <w:r>
              <w:rPr>
                <w:rFonts w:ascii="Arial" w:cs="Arial" w:eastAsia="Arial" w:hAnsi="Arial"/>
                <w:sz w:val="16"/>
                <w:szCs w:val="16"/>
                <w:color w:val="auto"/>
              </w:rPr>
              <w:t>Reductions for tax positions related to prior years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w w:val="96"/>
              </w:rPr>
              <w:t>(466)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3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744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80" w:firstLine="385"/>
        <w:spacing w:after="0" w:line="256" w:lineRule="auto"/>
        <w:rPr>
          <w:sz w:val="20"/>
          <w:szCs w:val="20"/>
          <w:color w:val="auto"/>
        </w:rPr>
      </w:pPr>
      <w:r>
        <w:rPr>
          <w:rFonts w:ascii="Arial" w:cs="Arial" w:eastAsia="Arial" w:hAnsi="Arial"/>
          <w:sz w:val="16"/>
          <w:szCs w:val="16"/>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66"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The Company files tax returns in U.S. federal and state with varying statutes of limitations. Due to net operating loss and credit carryforwards, all of the tax years since inception through the 2020 tax year remain subject to examination by the U.S. federal and state authorities. The Company is currently not subject to any income tax audits by federal or state taxing authorities.</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0440"/>
          </w:cols>
          <w:pgMar w:left="320" w:top="418" w:right="1139" w:bottom="1440" w:gutter="0" w:footer="0" w:header="0"/>
        </w:sectPr>
      </w:pPr>
    </w:p>
    <w:bookmarkStart w:id="288" w:name="page289"/>
    <w:bookmarkEnd w:id="2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Deferred Income Taxes</w:t>
      </w:r>
    </w:p>
    <w:p>
      <w:pPr>
        <w:spacing w:after="0" w:line="9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tax effects of significant items comprising the Company’s deferred income taxes are as follows</w:t>
      </w:r>
      <w:r>
        <w:rPr>
          <w:rFonts w:ascii="Arial" w:cs="Arial" w:eastAsia="Arial" w:hAnsi="Arial"/>
          <w:sz w:val="16"/>
          <w:szCs w:val="16"/>
          <w:b w:val="1"/>
          <w:bCs w:val="1"/>
          <w:color w:val="auto"/>
        </w:rPr>
        <w:t>:</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9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1"/>
        </w:trPr>
        <w:tc>
          <w:tcPr>
            <w:tcW w:w="49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5"/>
              <w:spacing w:after="0" w:line="12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r>
      <w:tr>
        <w:trPr>
          <w:trHeight w:val="121"/>
        </w:trPr>
        <w:tc>
          <w:tcPr>
            <w:tcW w:w="49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ind w:left="300"/>
              <w:spacing w:after="0"/>
              <w:rPr>
                <w:sz w:val="20"/>
                <w:szCs w:val="20"/>
                <w:color w:val="auto"/>
              </w:rPr>
            </w:pPr>
            <w:r>
              <w:rPr>
                <w:rFonts w:ascii="Arial" w:cs="Arial" w:eastAsia="Arial" w:hAnsi="Arial"/>
                <w:sz w:val="16"/>
                <w:szCs w:val="16"/>
                <w:color w:val="auto"/>
              </w:rPr>
              <w:t>Net operating losses</w:t>
            </w:r>
          </w:p>
        </w:tc>
        <w:tc>
          <w:tcPr>
            <w:tcW w:w="2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11,820</w:t>
            </w:r>
          </w:p>
        </w:tc>
        <w:tc>
          <w:tcPr>
            <w:tcW w:w="30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20,917</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 credits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ind w:left="300"/>
              <w:spacing w:after="0"/>
              <w:rPr>
                <w:sz w:val="20"/>
                <w:szCs w:val="20"/>
                <w:color w:val="auto"/>
              </w:rPr>
            </w:pPr>
            <w:r>
              <w:rPr>
                <w:rFonts w:ascii="Arial" w:cs="Arial" w:eastAsia="Arial" w:hAnsi="Arial"/>
                <w:sz w:val="16"/>
                <w:szCs w:val="16"/>
                <w:color w:val="auto"/>
              </w:rPr>
              <w:t>Accrued expenses and other</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Tenant improvements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ind w:left="300"/>
              <w:spacing w:after="0"/>
              <w:rPr>
                <w:sz w:val="20"/>
                <w:szCs w:val="20"/>
                <w:color w:val="auto"/>
              </w:rPr>
            </w:pPr>
            <w:r>
              <w:rPr>
                <w:rFonts w:ascii="Arial" w:cs="Arial" w:eastAsia="Arial" w:hAnsi="Arial"/>
                <w:sz w:val="16"/>
                <w:szCs w:val="16"/>
                <w:color w:val="auto"/>
              </w:rPr>
              <w:t>Property and equipment</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6"/>
                <w:szCs w:val="16"/>
                <w:color w:val="auto"/>
              </w:rPr>
            </w:pPr>
          </w:p>
        </w:tc>
      </w:tr>
      <w:tr>
        <w:trPr>
          <w:trHeight w:val="192"/>
        </w:trPr>
        <w:tc>
          <w:tcPr>
            <w:tcW w:w="4960" w:type="dxa"/>
            <w:vAlign w:val="bottom"/>
          </w:tcPr>
          <w:p>
            <w:pPr>
              <w:ind w:left="300"/>
              <w:spacing w:after="0"/>
              <w:rPr>
                <w:sz w:val="20"/>
                <w:szCs w:val="20"/>
                <w:color w:val="auto"/>
              </w:rPr>
            </w:pPr>
            <w:r>
              <w:rPr>
                <w:rFonts w:ascii="Arial" w:cs="Arial" w:eastAsia="Arial" w:hAnsi="Arial"/>
                <w:sz w:val="16"/>
                <w:szCs w:val="16"/>
                <w:color w:val="auto"/>
              </w:rPr>
              <w:t>Other</w:t>
            </w:r>
          </w:p>
        </w:tc>
        <w:tc>
          <w:tcPr>
            <w:tcW w:w="28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deferred tax assets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15,418</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24,287</w:t>
            </w: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Valuation allowance</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(15,418)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(24,287)</w:t>
            </w:r>
          </w:p>
        </w:tc>
      </w:tr>
      <w:tr>
        <w:trPr>
          <w:trHeight w:val="24"/>
        </w:trPr>
        <w:tc>
          <w:tcPr>
            <w:tcW w:w="49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9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deferred tax assets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4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00" w:firstLine="385"/>
        <w:spacing w:after="0" w:line="314" w:lineRule="auto"/>
        <w:rPr>
          <w:sz w:val="20"/>
          <w:szCs w:val="20"/>
          <w:color w:val="auto"/>
        </w:rPr>
      </w:pPr>
      <w:r>
        <w:rPr>
          <w:rFonts w:ascii="Arial" w:cs="Arial" w:eastAsia="Arial" w:hAnsi="Arial"/>
          <w:sz w:val="13"/>
          <w:szCs w:val="13"/>
          <w:color w:val="auto"/>
        </w:rPr>
        <w:t>The tax benefit of net operating losses,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$7.4 million and $8.9 million during the years ended December 31, 2019 and 2020. The increase in the valuation allowance during the year ended December 31, 2020 would have been larger but for the reduction in net operating loss and tax credit carryforwards limited under Section 382. The impact of the Section 382 limitation resulted in the reduction of deferred tax assets for federal research credits and state net operating loss carryforwards, with an offsetting reduction of the valuation allowance.</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Net Operating Loss and Tax Credit Carryforwards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As of December 31, 2020, the Company’s net operating loss and tax carryforwards are summarized as follows:</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520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Expiration in years</w:t>
            </w:r>
          </w:p>
        </w:tc>
      </w:tr>
      <w:tr>
        <w:trPr>
          <w:trHeight w:val="180"/>
        </w:trPr>
        <w:tc>
          <w:tcPr>
            <w:tcW w:w="52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operating losses, federal (post-December 31, 2017)</w:t>
            </w:r>
          </w:p>
        </w:tc>
        <w:tc>
          <w:tcPr>
            <w:tcW w:w="17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8"/>
              </w:rPr>
              <w:t>$  75,431</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Do Not Expire</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Net operating losses, federal (pre-January 1, 2018)</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3,093</w:t>
            </w:r>
          </w:p>
        </w:tc>
        <w:tc>
          <w:tcPr>
            <w:tcW w:w="2020" w:type="dxa"/>
            <w:vAlign w:val="bottom"/>
            <w:gridSpan w:val="2"/>
          </w:tcPr>
          <w:p>
            <w:pPr>
              <w:ind w:left="240"/>
              <w:spacing w:after="0"/>
              <w:rPr>
                <w:sz w:val="20"/>
                <w:szCs w:val="20"/>
                <w:color w:val="auto"/>
              </w:rPr>
            </w:pPr>
            <w:r>
              <w:rPr>
                <w:rFonts w:ascii="Arial" w:cs="Arial" w:eastAsia="Arial" w:hAnsi="Arial"/>
                <w:sz w:val="16"/>
                <w:szCs w:val="16"/>
                <w:color w:val="auto"/>
              </w:rPr>
              <w:t>Begins to Expire 2036</w:t>
            </w: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losses, state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62,508</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Begins to Expire 2036</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Tax credits, federal</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2020" w:type="dxa"/>
            <w:vAlign w:val="bottom"/>
            <w:gridSpan w:val="2"/>
          </w:tcPr>
          <w:p>
            <w:pPr>
              <w:ind w:left="240"/>
              <w:spacing w:after="0"/>
              <w:rPr>
                <w:sz w:val="20"/>
                <w:szCs w:val="20"/>
                <w:color w:val="auto"/>
              </w:rPr>
            </w:pPr>
            <w:r>
              <w:rPr>
                <w:rFonts w:ascii="Arial" w:cs="Arial" w:eastAsia="Arial" w:hAnsi="Arial"/>
                <w:sz w:val="16"/>
                <w:szCs w:val="16"/>
                <w:color w:val="auto"/>
              </w:rPr>
              <w:t>Begins to Expire 2036</w:t>
            </w: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Tax credits, state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Do Not Expire</w:t>
            </w:r>
          </w:p>
        </w:tc>
      </w:tr>
    </w:tbl>
    <w:p>
      <w:pPr>
        <w:spacing w:after="0" w:line="176" w:lineRule="exact"/>
        <w:rPr>
          <w:sz w:val="20"/>
          <w:szCs w:val="20"/>
          <w:color w:val="auto"/>
        </w:rPr>
      </w:pPr>
    </w:p>
    <w:p>
      <w:pPr>
        <w:ind w:left="820" w:right="40" w:firstLine="385"/>
        <w:spacing w:after="0" w:line="249" w:lineRule="auto"/>
        <w:rPr>
          <w:sz w:val="20"/>
          <w:szCs w:val="20"/>
          <w:color w:val="auto"/>
        </w:rPr>
      </w:pPr>
      <w:r>
        <w:rPr>
          <w:rFonts w:ascii="Arial" w:cs="Arial" w:eastAsia="Arial" w:hAnsi="Arial"/>
          <w:sz w:val="16"/>
          <w:szCs w:val="16"/>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2020, a formal study was conducted and concluded that the Company has experienced an ownership change in 2020. As a result, the Company has removed $3.1 million of deferred tax assets related to net operating loss carryforwards and research tax credit carryforwards due to Section 382 limitations. The Company’s ability to use its remaining net operating loss carryforwards may be further limited if the Company experiences a Section 382 ownership change as a result of future changes in its stock ownership.</w:t>
      </w:r>
    </w:p>
    <w:p>
      <w:pPr>
        <w:spacing w:after="0" w:line="11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0440"/>
          </w:cols>
          <w:pgMar w:left="320" w:top="418" w:right="1139" w:bottom="1440" w:gutter="0" w:footer="0" w:header="0"/>
        </w:sectPr>
      </w:pPr>
    </w:p>
    <w:bookmarkStart w:id="289" w:name="page290"/>
    <w:bookmarkEnd w:id="2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Company recognizes interest and penalties related to taxes and uncertain tax positions as a component of income tax expense. During the years ended December 31, 2019 and 2020, no interest and penalties were accrued by the Company.</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11. Net Loss Per Share</w:t>
      </w:r>
    </w:p>
    <w:p>
      <w:pPr>
        <w:spacing w:after="0" w:line="103"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The following potentially dilutive securities were not included in the calculation of diluted net loss per share for the periods presented because the effect would have been anti-dilutive:</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6920" w:type="dxa"/>
            <w:vAlign w:val="bottom"/>
          </w:tcPr>
          <w:p>
            <w:pPr>
              <w:spacing w:after="0"/>
              <w:rPr>
                <w:sz w:val="13"/>
                <w:szCs w:val="13"/>
                <w:color w:val="auto"/>
              </w:rPr>
            </w:pPr>
          </w:p>
        </w:tc>
        <w:tc>
          <w:tcPr>
            <w:tcW w:w="2700" w:type="dxa"/>
            <w:vAlign w:val="bottom"/>
            <w:gridSpan w:val="4"/>
          </w:tcPr>
          <w:p>
            <w:pPr>
              <w:ind w:left="620"/>
              <w:spacing w:after="0"/>
              <w:rPr>
                <w:sz w:val="20"/>
                <w:szCs w:val="20"/>
                <w:color w:val="auto"/>
              </w:rPr>
            </w:pPr>
            <w:r>
              <w:rPr>
                <w:rFonts w:ascii="Arial" w:cs="Arial" w:eastAsia="Arial" w:hAnsi="Arial"/>
                <w:sz w:val="13"/>
                <w:szCs w:val="13"/>
                <w:b w:val="1"/>
                <w:bCs w:val="1"/>
                <w:color w:val="auto"/>
              </w:rPr>
              <w:t>Year Ended December 31,</w:t>
            </w:r>
          </w:p>
        </w:tc>
      </w:tr>
      <w:tr>
        <w:trPr>
          <w:trHeight w:val="121"/>
        </w:trPr>
        <w:tc>
          <w:tcPr>
            <w:tcW w:w="6920" w:type="dxa"/>
            <w:vAlign w:val="bottom"/>
          </w:tcPr>
          <w:p>
            <w:pPr>
              <w:spacing w:after="0"/>
              <w:rPr>
                <w:sz w:val="10"/>
                <w:szCs w:val="10"/>
                <w:color w:val="auto"/>
              </w:rPr>
            </w:pPr>
          </w:p>
        </w:tc>
        <w:tc>
          <w:tcPr>
            <w:tcW w:w="1180" w:type="dxa"/>
            <w:vAlign w:val="bottom"/>
            <w:tcBorders>
              <w:top w:val="single" w:sz="8" w:color="auto"/>
            </w:tcBorders>
          </w:tcPr>
          <w:p>
            <w:pPr>
              <w:jc w:val="right"/>
              <w:ind w:right="407"/>
              <w:spacing w:after="0" w:line="122" w:lineRule="exact"/>
              <w:rPr>
                <w:sz w:val="20"/>
                <w:szCs w:val="20"/>
                <w:color w:val="auto"/>
              </w:rPr>
            </w:pPr>
            <w:r>
              <w:rPr>
                <w:rFonts w:ascii="Arial" w:cs="Arial" w:eastAsia="Arial" w:hAnsi="Arial"/>
                <w:sz w:val="13"/>
                <w:szCs w:val="13"/>
                <w:b w:val="1"/>
                <w:bCs w:val="1"/>
                <w:color w:val="auto"/>
              </w:rPr>
              <w:t>2019</w:t>
            </w:r>
          </w:p>
        </w:tc>
        <w:tc>
          <w:tcPr>
            <w:tcW w:w="1440" w:type="dxa"/>
            <w:vAlign w:val="bottom"/>
            <w:tcBorders>
              <w:top w:val="single" w:sz="8" w:color="auto"/>
            </w:tcBorders>
            <w:gridSpan w:val="2"/>
          </w:tcPr>
          <w:p>
            <w:pPr>
              <w:jc w:val="right"/>
              <w:ind w:right="401"/>
              <w:spacing w:after="0" w:line="122"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0"/>
                <w:szCs w:val="10"/>
                <w:color w:val="auto"/>
              </w:rPr>
            </w:pPr>
          </w:p>
        </w:tc>
      </w:tr>
      <w:tr>
        <w:trPr>
          <w:trHeight w:val="180"/>
        </w:trPr>
        <w:tc>
          <w:tcPr>
            <w:tcW w:w="6920" w:type="dxa"/>
            <w:vAlign w:val="bottom"/>
            <w:tcBorders>
              <w:top w:val="single" w:sz="8" w:color="CCEEFF"/>
            </w:tcBorders>
            <w:shd w:val="clear" w:color="auto" w:fill="CCEEFF"/>
          </w:tcPr>
          <w:p>
            <w:pPr>
              <w:ind w:left="160"/>
              <w:spacing w:after="0" w:line="180" w:lineRule="exact"/>
              <w:rPr>
                <w:sz w:val="20"/>
                <w:szCs w:val="20"/>
                <w:color w:val="auto"/>
              </w:rPr>
            </w:pPr>
            <w:r>
              <w:rPr>
                <w:rFonts w:ascii="Arial" w:cs="Arial" w:eastAsia="Arial" w:hAnsi="Arial"/>
                <w:sz w:val="16"/>
                <w:szCs w:val="16"/>
                <w:color w:val="auto"/>
              </w:rPr>
              <w:t>Convertible preferred stock</w:t>
            </w:r>
          </w:p>
        </w:tc>
        <w:tc>
          <w:tcPr>
            <w:tcW w:w="11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68,418,509</w:t>
            </w:r>
          </w:p>
        </w:tc>
        <w:tc>
          <w:tcPr>
            <w:tcW w:w="2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146,961,309</w:t>
            </w: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6920" w:type="dxa"/>
            <w:vAlign w:val="bottom"/>
          </w:tcPr>
          <w:p>
            <w:pPr>
              <w:ind w:left="160"/>
              <w:spacing w:after="0"/>
              <w:rPr>
                <w:sz w:val="20"/>
                <w:szCs w:val="20"/>
                <w:color w:val="auto"/>
              </w:rPr>
            </w:pPr>
            <w:r>
              <w:rPr>
                <w:rFonts w:ascii="Arial" w:cs="Arial" w:eastAsia="Arial" w:hAnsi="Arial"/>
                <w:sz w:val="16"/>
                <w:szCs w:val="16"/>
                <w:color w:val="auto"/>
              </w:rPr>
              <w:t>Outstanding 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5,285,000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6,965,000</w:t>
            </w:r>
          </w:p>
        </w:tc>
        <w:tc>
          <w:tcPr>
            <w:tcW w:w="80" w:type="dxa"/>
            <w:vAlign w:val="bottom"/>
          </w:tcPr>
          <w:p>
            <w:pPr>
              <w:spacing w:after="0"/>
              <w:rPr>
                <w:sz w:val="16"/>
                <w:szCs w:val="16"/>
                <w:color w:val="auto"/>
              </w:rPr>
            </w:pPr>
          </w:p>
        </w:tc>
      </w:tr>
      <w:tr>
        <w:trPr>
          <w:trHeight w:val="189"/>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 subject to future vesting</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1,986,608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828,825</w:t>
            </w:r>
          </w:p>
        </w:tc>
        <w:tc>
          <w:tcPr>
            <w:tcW w:w="80" w:type="dxa"/>
            <w:vAlign w:val="bottom"/>
            <w:shd w:val="clear" w:color="auto" w:fill="CCEEFF"/>
          </w:tcPr>
          <w:p>
            <w:pPr>
              <w:spacing w:after="0"/>
              <w:rPr>
                <w:sz w:val="16"/>
                <w:szCs w:val="16"/>
                <w:color w:val="auto"/>
              </w:rPr>
            </w:pPr>
          </w:p>
        </w:tc>
      </w:tr>
      <w:tr>
        <w:trPr>
          <w:trHeight w:val="192"/>
        </w:trPr>
        <w:tc>
          <w:tcPr>
            <w:tcW w:w="6920" w:type="dxa"/>
            <w:vAlign w:val="bottom"/>
          </w:tcPr>
          <w:p>
            <w:pPr>
              <w:ind w:left="30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75,690,117</w:t>
            </w:r>
          </w:p>
        </w:tc>
        <w:tc>
          <w:tcPr>
            <w:tcW w:w="2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154,755,134</w:t>
            </w:r>
          </w:p>
        </w:tc>
        <w:tc>
          <w:tcPr>
            <w:tcW w:w="80" w:type="dxa"/>
            <w:vAlign w:val="bottom"/>
          </w:tcPr>
          <w:p>
            <w:pPr>
              <w:spacing w:after="0"/>
              <w:rPr>
                <w:sz w:val="16"/>
                <w:szCs w:val="16"/>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6740"/>
        <w:spacing w:after="0"/>
        <w:rPr>
          <w:sz w:val="20"/>
          <w:szCs w:val="20"/>
          <w:color w:val="auto"/>
        </w:rPr>
      </w:pPr>
      <w:r>
        <w:rPr>
          <w:rFonts w:ascii="Arial" w:cs="Arial" w:eastAsia="Arial" w:hAnsi="Arial"/>
          <w:sz w:val="16"/>
          <w:szCs w:val="16"/>
          <w:b w:val="1"/>
          <w:bCs w:val="1"/>
          <w:color w:val="auto"/>
        </w:rPr>
        <w:t>12. Related Party Transactions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Institutes</w:t>
      </w:r>
    </w:p>
    <w:p>
      <w:pPr>
        <w:spacing w:after="0" w:line="99" w:lineRule="exact"/>
        <w:rPr>
          <w:sz w:val="20"/>
          <w:szCs w:val="20"/>
          <w:color w:val="auto"/>
        </w:rPr>
      </w:pPr>
    </w:p>
    <w:p>
      <w:pPr>
        <w:ind w:left="820" w:right="140" w:firstLine="385"/>
        <w:spacing w:after="0" w:line="319" w:lineRule="auto"/>
        <w:rPr>
          <w:sz w:val="20"/>
          <w:szCs w:val="20"/>
          <w:color w:val="auto"/>
        </w:rPr>
      </w:pPr>
      <w:r>
        <w:rPr>
          <w:rFonts w:ascii="Arial" w:cs="Arial" w:eastAsia="Arial" w:hAnsi="Arial"/>
          <w:sz w:val="13"/>
          <w:szCs w:val="13"/>
          <w:color w:val="auto"/>
        </w:rPr>
        <w:t>Under the MCA, Gladstone performed specific research activities for the Company in accordance with the mutually agreed-upon annual project plans (see Note 5). During the year ended December 31, 2019, the Company recognized $0.4 million in research and development expenses in relation to the services provided by Gladstone. No such research services were provided during the year ended December 31, 2020. In addition, during the year ended December 31, 2019, the Company recognized $0.2 million in aggregate lab, license and patent fees and $75,000 in stock. During the year ended December 31, 2020, the Company recognized $0.1 million in aggregate lab, license and patent fees. As of December 31, 2019 and 2020, the related party balance included within accounts payable and accrued expenses was $10,000 and $nil.</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Scientific Founders</w:t>
      </w:r>
    </w:p>
    <w:p>
      <w:pPr>
        <w:spacing w:after="0" w:line="99"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During the years ended December 31, 2019 and 2020, the Company recognized a total of $0.2 million in each period in consulting expense paid to five of its scientific founders.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13. Subsequent Events</w:t>
      </w:r>
    </w:p>
    <w:p>
      <w:pPr>
        <w:spacing w:after="0" w:line="103" w:lineRule="exact"/>
        <w:rPr>
          <w:sz w:val="20"/>
          <w:szCs w:val="20"/>
          <w:color w:val="auto"/>
        </w:rPr>
      </w:pPr>
    </w:p>
    <w:p>
      <w:pPr>
        <w:ind w:left="820" w:right="300" w:firstLine="385"/>
        <w:spacing w:after="0" w:line="256" w:lineRule="auto"/>
        <w:rPr>
          <w:sz w:val="20"/>
          <w:szCs w:val="20"/>
          <w:color w:val="auto"/>
        </w:rPr>
      </w:pPr>
      <w:r>
        <w:rPr>
          <w:rFonts w:ascii="Arial" w:cs="Arial" w:eastAsia="Arial" w:hAnsi="Arial"/>
          <w:sz w:val="16"/>
          <w:szCs w:val="16"/>
          <w:color w:val="auto"/>
        </w:rPr>
        <w:t>The Company evaluated subsequent events from December 31, 2020, the date of these financial statements, through May 7, 2021, the date the financial statements were available for issuance, for events requiring recognition or disclosure in the financial statements for the year ended December 31, 2020.</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C Convertible Preferred Stock Issuance</w:t>
      </w:r>
    </w:p>
    <w:p>
      <w:pPr>
        <w:spacing w:after="0" w:line="99" w:lineRule="exact"/>
        <w:rPr>
          <w:sz w:val="20"/>
          <w:szCs w:val="20"/>
          <w:color w:val="auto"/>
        </w:rPr>
      </w:pPr>
    </w:p>
    <w:p>
      <w:pPr>
        <w:ind w:left="820" w:right="380" w:firstLine="385"/>
        <w:spacing w:after="0" w:line="266" w:lineRule="auto"/>
        <w:rPr>
          <w:sz w:val="20"/>
          <w:szCs w:val="20"/>
          <w:color w:val="auto"/>
        </w:rPr>
      </w:pPr>
      <w:r>
        <w:rPr>
          <w:rFonts w:ascii="Arial" w:cs="Arial" w:eastAsia="Arial" w:hAnsi="Arial"/>
          <w:sz w:val="16"/>
          <w:szCs w:val="16"/>
          <w:color w:val="auto"/>
        </w:rPr>
        <w:t>In January 2021, the Company sold an additional 9,652,509 shares of Series C convertible preferred stock at the price of $2.072 per share for aggregate gross proceeds of $20.0 million.</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Manufacturing and Office Space Lease Agreement</w:t>
      </w:r>
    </w:p>
    <w:p>
      <w:pPr>
        <w:spacing w:after="0" w:line="99" w:lineRule="exact"/>
        <w:rPr>
          <w:sz w:val="20"/>
          <w:szCs w:val="20"/>
          <w:color w:val="auto"/>
        </w:rPr>
      </w:pPr>
    </w:p>
    <w:p>
      <w:pPr>
        <w:ind w:left="820" w:right="20" w:firstLine="385"/>
        <w:spacing w:after="0" w:line="281" w:lineRule="auto"/>
        <w:rPr>
          <w:sz w:val="20"/>
          <w:szCs w:val="20"/>
          <w:color w:val="auto"/>
        </w:rPr>
      </w:pPr>
      <w:r>
        <w:rPr>
          <w:rFonts w:ascii="Arial" w:cs="Arial" w:eastAsia="Arial" w:hAnsi="Arial"/>
          <w:sz w:val="15"/>
          <w:szCs w:val="15"/>
          <w:color w:val="auto"/>
        </w:rPr>
        <w:t>In February 2021, the Company entered into a lease agreement for manufacturing and office space located in Union City, California. The lease has a ten-year term with one five-year renewal option. Upon the execution of the lease agreement, the Company provided the landlord with a security deposit of $3.3 million. Total lease payments during the lease term are expected to be $13.9 million.</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440"/>
          </w:cols>
          <w:pgMar w:left="320" w:top="418" w:right="1139" w:bottom="1440" w:gutter="0" w:footer="0" w:header="0"/>
        </w:sectPr>
      </w:pPr>
    </w:p>
    <w:bookmarkStart w:id="290" w:name="page291"/>
    <w:bookmarkEnd w:id="2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2021 Stock Options Grants</w:t>
      </w:r>
    </w:p>
    <w:p>
      <w:pPr>
        <w:spacing w:after="0" w:line="9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In January 2021, the Company granted 778,250 options to employees, each with an exercise price of $0.94 per share and a four-year vesting schedule. In February 2021, the Company granted 2,500,000 options to its chief executive officer, with an exercise price of $0.94 per share and a four-year vesting schedule.</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0280"/>
          </w:cols>
          <w:pgMar w:left="320" w:top="418" w:right="1299" w:bottom="1440" w:gutter="0" w:footer="0" w:header="0"/>
        </w:sectPr>
      </w:pPr>
    </w:p>
    <w:bookmarkStart w:id="291" w:name="page292"/>
    <w:bookmarkEnd w:id="2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Balance Sheets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60" w:type="dxa"/>
            <w:vAlign w:val="bottom"/>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128,535</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128,439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129,964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129,750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17,185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21,267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Restricted cash, non-current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148,161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159,757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rent and other lease liabilities, current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Operating lease liabilities, current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Deferred rent and other lease liabilities, non-current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3,662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Convertible preferred stock, $0.0001 par value; 156,613,818 shares authorized as of December 31, 2020 and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March 31, 2021; 146,961,309 and 156,613,818 shares issued and outstanding as of December 31, 2020 and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March 31, 2021; aggregate liquidation preference of $247,900 as of March 31, 2021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220,754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240,735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Stockholders’ 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5"/>
              </w:rPr>
              <w:t>Common stock, $0.0001 par value; 181,980,000 shares authorized as of December 31, 2020 and March 31, 2021;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7,261,976 and 7,334,861 shares issued and outstanding as of December 31, 2020 and March 31, 2021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receivable from stockholders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(82,812)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(95,910)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deficit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(81,315)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(93,943)</w:t>
            </w:r>
          </w:p>
        </w:tc>
        <w:tc>
          <w:tcPr>
            <w:tcW w:w="0" w:type="dxa"/>
            <w:vAlign w:val="bottom"/>
          </w:tcPr>
          <w:p>
            <w:pPr>
              <w:spacing w:after="0"/>
              <w:rPr>
                <w:sz w:val="1"/>
                <w:szCs w:val="1"/>
                <w:color w:val="auto"/>
              </w:rPr>
            </w:pPr>
          </w:p>
        </w:tc>
      </w:tr>
      <w:tr>
        <w:trPr>
          <w:trHeight w:val="192"/>
        </w:trPr>
        <w:tc>
          <w:tcPr>
            <w:tcW w:w="7780" w:type="dxa"/>
            <w:vAlign w:val="bottom"/>
            <w:gridSpan w:val="2"/>
          </w:tcPr>
          <w:p>
            <w:pPr>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148,161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159,757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440"/>
          </w:cols>
          <w:pgMar w:left="320" w:top="418" w:right="1139" w:bottom="1440" w:gutter="0" w:footer="0" w:header="0"/>
        </w:sectPr>
      </w:pPr>
    </w:p>
    <w:bookmarkStart w:id="292" w:name="page293"/>
    <w:bookmarkEnd w:id="2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92"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Three Months Ended</w:t>
      </w:r>
    </w:p>
    <w:p>
      <w:pPr>
        <w:jc w:val="center"/>
        <w:ind w:left="7600"/>
        <w:spacing w:after="0" w:line="217" w:lineRule="auto"/>
        <w:rPr>
          <w:sz w:val="20"/>
          <w:szCs w:val="20"/>
          <w:color w:val="auto"/>
        </w:rPr>
      </w:pPr>
      <w:r>
        <w:rPr>
          <w:rFonts w:ascii="Arial" w:cs="Arial" w:eastAsia="Arial" w:hAnsi="Arial"/>
          <w:sz w:val="13"/>
          <w:szCs w:val="13"/>
          <w:b w:val="1"/>
          <w:bCs w:val="1"/>
          <w:color w:val="auto"/>
        </w:rPr>
        <w:t>March 31,</w:t>
      </w:r>
    </w:p>
    <w:tbl>
      <w:tblPr>
        <w:tblLayout w:type="fixed"/>
        <w:tblInd w:w="8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634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Operating expenses:</w:t>
            </w: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7,297</w:t>
            </w:r>
          </w:p>
        </w:tc>
        <w:tc>
          <w:tcPr>
            <w:tcW w:w="2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13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(9,266)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600"/>
              <w:spacing w:after="0"/>
              <w:rPr>
                <w:sz w:val="20"/>
                <w:szCs w:val="20"/>
                <w:color w:val="auto"/>
              </w:rPr>
            </w:pPr>
            <w:r>
              <w:rPr>
                <w:rFonts w:ascii="Arial" w:cs="Arial" w:eastAsia="Arial" w:hAnsi="Arial"/>
                <w:sz w:val="16"/>
                <w:szCs w:val="16"/>
                <w:color w:val="auto"/>
              </w:rPr>
              <w:t>Total other income (expense), net</w:t>
            </w:r>
          </w:p>
        </w:tc>
        <w:tc>
          <w:tcPr>
            <w:tcW w:w="13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 expense</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(9,051)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Income tax expense</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(9,051)</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1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Weighted-average shares used in computing net loss per share, basic and diluted</w:t>
            </w:r>
          </w:p>
        </w:tc>
        <w:tc>
          <w:tcPr>
            <w:tcW w:w="13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5,351,978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6,586,917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440"/>
          </w:cols>
          <w:pgMar w:left="320" w:top="418" w:right="1139" w:bottom="1440" w:gutter="0" w:footer="0" w:header="0"/>
        </w:sectPr>
      </w:pPr>
    </w:p>
    <w:bookmarkStart w:id="293" w:name="page294"/>
    <w:bookmarkEnd w:id="2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Convertible Preferred Stock and Stockholders’ Deficit</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20" w:type="dxa"/>
            <w:vAlign w:val="bottom"/>
            <w:gridSpan w:val="4"/>
            <w:vMerge w:val="restart"/>
          </w:tcPr>
          <w:p>
            <w:pPr>
              <w:jc w:val="right"/>
              <w:ind w:right="269"/>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3"/>
            <w:vMerge w:val="restart"/>
          </w:tcPr>
          <w:p>
            <w:pPr>
              <w:jc w:val="right"/>
              <w:spacing w:after="0" w:line="130"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6"/>
                <w:szCs w:val="6"/>
                <w:color w:val="auto"/>
              </w:rPr>
            </w:pPr>
          </w:p>
        </w:tc>
        <w:tc>
          <w:tcPr>
            <w:tcW w:w="840" w:type="dxa"/>
            <w:vAlign w:val="bottom"/>
            <w:gridSpan w:val="3"/>
            <w:vMerge w:val="restart"/>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220"/>
              <w:spacing w:after="0" w:line="13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320" w:type="dxa"/>
            <w:vAlign w:val="bottom"/>
            <w:gridSpan w:val="4"/>
            <w:vMerge w:val="restart"/>
          </w:tcPr>
          <w:p>
            <w:pPr>
              <w:jc w:val="right"/>
              <w:ind w:right="169"/>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bottom w:val="single" w:sz="8" w:color="auto"/>
            </w:tcBorders>
            <w:gridSpan w:val="4"/>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7"/>
              </w:rPr>
              <w:t>from</w:t>
            </w:r>
          </w:p>
        </w:tc>
        <w:tc>
          <w:tcPr>
            <w:tcW w:w="960" w:type="dxa"/>
            <w:vAlign w:val="bottom"/>
            <w:gridSpan w:val="4"/>
          </w:tcPr>
          <w:p>
            <w:pPr>
              <w:ind w:left="100"/>
              <w:spacing w:after="0" w:line="110" w:lineRule="exact"/>
              <w:rPr>
                <w:sz w:val="20"/>
                <w:szCs w:val="20"/>
                <w:color w:val="auto"/>
              </w:rPr>
            </w:pPr>
            <w:r>
              <w:rPr>
                <w:rFonts w:ascii="Arial" w:cs="Arial" w:eastAsia="Arial" w:hAnsi="Arial"/>
                <w:sz w:val="12"/>
                <w:szCs w:val="12"/>
                <w:b w:val="1"/>
                <w:bCs w:val="1"/>
                <w:color w:val="auto"/>
              </w:rPr>
              <w:t>Accumulated</w:t>
            </w:r>
          </w:p>
        </w:tc>
        <w:tc>
          <w:tcPr>
            <w:tcW w:w="920" w:type="dxa"/>
            <w:vAlign w:val="bottom"/>
            <w:gridSpan w:val="4"/>
          </w:tcPr>
          <w:p>
            <w:pPr>
              <w:jc w:val="center"/>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80" w:type="dxa"/>
            <w:vAlign w:val="bottom"/>
          </w:tcPr>
          <w:p>
            <w:pPr>
              <w:jc w:val="right"/>
              <w:ind w:right="91"/>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3"/>
          </w:tcPr>
          <w:p>
            <w:pPr>
              <w:ind w:left="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31"/>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Stockholders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68,418,509</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73,042</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7,161,040</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(44,417)</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(43,739)</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w w:val="96"/>
              </w:rPr>
              <w:t>Issuance of Series B convertible preferred stock,</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net of issuance costs of $23 and partial</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settlement of convertible preferred stock</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tranche liability of $27</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18,518,509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30,671</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upon exercise of</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Repurchase of common stock related to early</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exercise of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(3,667)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early exercised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Notes receivable from stockholders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Net loss and other comprehensive loss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86,937,018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103,713</w:t>
            </w:r>
          </w:p>
        </w:tc>
        <w:tc>
          <w:tcPr>
            <w:tcW w:w="120" w:type="dxa"/>
            <w:vAlign w:val="bottom"/>
            <w:tcBorders>
              <w:right w:val="single" w:sz="8" w:color="auto"/>
            </w:tcBorders>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7,177,373</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(53,468)</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0440"/>
          </w:cols>
          <w:pgMar w:left="320" w:top="418" w:right="1139" w:bottom="1440" w:gutter="0" w:footer="0" w:header="0"/>
        </w:sectPr>
      </w:pPr>
    </w:p>
    <w:bookmarkStart w:id="294" w:name="page295"/>
    <w:bookmarkEnd w:id="2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Convertible Preferred Stock and Stockholders’ Deficit</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400" w:type="dxa"/>
            <w:vAlign w:val="bottom"/>
            <w:gridSpan w:val="3"/>
            <w:vMerge w:val="restart"/>
          </w:tcPr>
          <w:p>
            <w:pPr>
              <w:jc w:val="right"/>
              <w:ind w:right="31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302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3"/>
            <w:vMerge w:val="restart"/>
          </w:tcPr>
          <w:p>
            <w:pPr>
              <w:jc w:val="right"/>
              <w:spacing w:after="0" w:line="130"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6"/>
                <w:szCs w:val="6"/>
                <w:color w:val="auto"/>
              </w:rPr>
            </w:pPr>
          </w:p>
        </w:tc>
        <w:tc>
          <w:tcPr>
            <w:tcW w:w="840" w:type="dxa"/>
            <w:vAlign w:val="bottom"/>
            <w:gridSpan w:val="3"/>
            <w:vMerge w:val="restart"/>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220"/>
              <w:spacing w:after="0" w:line="13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3020" w:type="dxa"/>
            <w:vAlign w:val="bottom"/>
          </w:tcPr>
          <w:p>
            <w:pPr>
              <w:spacing w:after="0"/>
              <w:rPr>
                <w:sz w:val="5"/>
                <w:szCs w:val="5"/>
                <w:color w:val="auto"/>
              </w:rPr>
            </w:pPr>
          </w:p>
        </w:tc>
        <w:tc>
          <w:tcPr>
            <w:tcW w:w="1400" w:type="dxa"/>
            <w:vAlign w:val="bottom"/>
            <w:gridSpan w:val="3"/>
            <w:vMerge w:val="restart"/>
          </w:tcPr>
          <w:p>
            <w:pPr>
              <w:jc w:val="right"/>
              <w:ind w:right="21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4"/>
            <w:vMerge w:val="restart"/>
          </w:tcPr>
          <w:p>
            <w:pPr>
              <w:jc w:val="right"/>
              <w:ind w:right="9"/>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1400" w:type="dxa"/>
            <w:vAlign w:val="bottom"/>
            <w:tcBorders>
              <w:bottom w:val="single" w:sz="8" w:color="auto"/>
            </w:tcBorders>
            <w:gridSpan w:val="3"/>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11"/>
              <w:spacing w:after="0" w:line="110" w:lineRule="exact"/>
              <w:rPr>
                <w:sz w:val="20"/>
                <w:szCs w:val="20"/>
                <w:color w:val="auto"/>
              </w:rPr>
            </w:pPr>
            <w:r>
              <w:rPr>
                <w:rFonts w:ascii="Arial" w:cs="Arial" w:eastAsia="Arial" w:hAnsi="Arial"/>
                <w:sz w:val="12"/>
                <w:szCs w:val="12"/>
                <w:b w:val="1"/>
                <w:bCs w:val="1"/>
                <w:color w:val="auto"/>
                <w:w w:val="99"/>
              </w:rPr>
              <w:t>Paid-In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7"/>
              </w:rPr>
              <w:t>from</w:t>
            </w:r>
          </w:p>
        </w:tc>
        <w:tc>
          <w:tcPr>
            <w:tcW w:w="960" w:type="dxa"/>
            <w:vAlign w:val="bottom"/>
            <w:gridSpan w:val="4"/>
          </w:tcPr>
          <w:p>
            <w:pPr>
              <w:ind w:left="100"/>
              <w:spacing w:after="0" w:line="110" w:lineRule="exact"/>
              <w:rPr>
                <w:sz w:val="20"/>
                <w:szCs w:val="20"/>
                <w:color w:val="auto"/>
              </w:rPr>
            </w:pPr>
            <w:r>
              <w:rPr>
                <w:rFonts w:ascii="Arial" w:cs="Arial" w:eastAsia="Arial" w:hAnsi="Arial"/>
                <w:sz w:val="12"/>
                <w:szCs w:val="12"/>
                <w:b w:val="1"/>
                <w:bCs w:val="1"/>
                <w:color w:val="auto"/>
              </w:rPr>
              <w:t>Accumulated</w:t>
            </w:r>
          </w:p>
        </w:tc>
        <w:tc>
          <w:tcPr>
            <w:tcW w:w="920" w:type="dxa"/>
            <w:vAlign w:val="bottom"/>
            <w:gridSpan w:val="4"/>
          </w:tcPr>
          <w:p>
            <w:pPr>
              <w:jc w:val="center"/>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760" w:type="dxa"/>
            <w:vAlign w:val="bottom"/>
          </w:tcPr>
          <w:p>
            <w:pPr>
              <w:jc w:val="right"/>
              <w:ind w:right="131"/>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Arial" w:cs="Arial" w:eastAsia="Arial" w:hAnsi="Arial"/>
                <w:sz w:val="13"/>
                <w:szCs w:val="13"/>
                <w:b w:val="1"/>
                <w:bCs w:val="1"/>
                <w:color w:val="auto"/>
                <w:w w:val="92"/>
              </w:rPr>
              <w:t>Capital</w:t>
            </w: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Stockholders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146,961,309</w:t>
            </w: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$220,754</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7,261,976</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(82,812)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(81,315)</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200"/>
              <w:spacing w:after="0"/>
              <w:rPr>
                <w:sz w:val="20"/>
                <w:szCs w:val="20"/>
                <w:color w:val="auto"/>
              </w:rPr>
            </w:pPr>
            <w:r>
              <w:rPr>
                <w:rFonts w:ascii="Arial" w:cs="Arial" w:eastAsia="Arial" w:hAnsi="Arial"/>
                <w:sz w:val="14"/>
                <w:szCs w:val="14"/>
                <w:color w:val="auto"/>
              </w:rPr>
              <w:t>Issuance of Series C convertible preferred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340"/>
              <w:spacing w:after="0"/>
              <w:rPr>
                <w:sz w:val="20"/>
                <w:szCs w:val="20"/>
                <w:color w:val="auto"/>
              </w:rPr>
            </w:pPr>
            <w:r>
              <w:rPr>
                <w:rFonts w:ascii="Arial" w:cs="Arial" w:eastAsia="Arial" w:hAnsi="Arial"/>
                <w:sz w:val="14"/>
                <w:szCs w:val="14"/>
                <w:color w:val="auto"/>
              </w:rPr>
              <w:t>stock, net of issuance costs of $20</w:t>
            </w:r>
          </w:p>
        </w:tc>
        <w:tc>
          <w:tcPr>
            <w:tcW w:w="760" w:type="dxa"/>
            <w:vAlign w:val="bottom"/>
          </w:tcPr>
          <w:p>
            <w:pPr>
              <w:jc w:val="right"/>
              <w:spacing w:after="0"/>
              <w:rPr>
                <w:sz w:val="20"/>
                <w:szCs w:val="20"/>
                <w:color w:val="auto"/>
              </w:rPr>
            </w:pPr>
            <w:r>
              <w:rPr>
                <w:rFonts w:ascii="Arial" w:cs="Arial" w:eastAsia="Arial" w:hAnsi="Arial"/>
                <w:sz w:val="14"/>
                <w:szCs w:val="14"/>
                <w:color w:val="auto"/>
              </w:rPr>
              <w:t>9,652,509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19,981</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exercise of</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75,073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200"/>
              <w:spacing w:after="0"/>
              <w:rPr>
                <w:sz w:val="20"/>
                <w:szCs w:val="20"/>
                <w:color w:val="auto"/>
              </w:rPr>
            </w:pPr>
            <w:r>
              <w:rPr>
                <w:rFonts w:ascii="Arial" w:cs="Arial" w:eastAsia="Arial" w:hAnsi="Arial"/>
                <w:sz w:val="14"/>
                <w:szCs w:val="14"/>
                <w:color w:val="auto"/>
                <w:w w:val="99"/>
              </w:rPr>
              <w:t>Repurchase of common stock related to early</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340"/>
              <w:spacing w:after="0"/>
              <w:rPr>
                <w:sz w:val="20"/>
                <w:szCs w:val="20"/>
                <w:color w:val="auto"/>
              </w:rPr>
            </w:pPr>
            <w:r>
              <w:rPr>
                <w:rFonts w:ascii="Arial" w:cs="Arial" w:eastAsia="Arial" w:hAnsi="Arial"/>
                <w:sz w:val="14"/>
                <w:szCs w:val="14"/>
                <w:color w:val="auto"/>
              </w:rPr>
              <w:t>exercise of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loss and 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(13,098)</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4"/>
                <w:szCs w:val="14"/>
                <w:color w:val="auto"/>
              </w:rPr>
              <w:t>Balance as of March 31, 2021</w:t>
            </w: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20" w:type="dxa"/>
            <w:vAlign w:val="bottom"/>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156,613,818</w:t>
            </w:r>
          </w:p>
        </w:tc>
        <w:tc>
          <w:tcPr>
            <w:tcW w:w="6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240,735</w:t>
            </w:r>
          </w:p>
        </w:tc>
        <w:tc>
          <w:tcPr>
            <w:tcW w:w="100" w:type="dxa"/>
            <w:vAlign w:val="bottom"/>
            <w:tcBorders>
              <w:right w:val="single" w:sz="8" w:color="auto"/>
            </w:tcBorders>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7,334,861</w:t>
            </w:r>
          </w:p>
        </w:tc>
        <w:tc>
          <w:tcPr>
            <w:tcW w:w="140" w:type="dxa"/>
            <w:vAlign w:val="bottom"/>
          </w:tcPr>
          <w:p>
            <w:pPr>
              <w:spacing w:after="0"/>
              <w:rPr>
                <w:sz w:val="15"/>
                <w:szCs w:val="15"/>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2,053</w:t>
            </w:r>
          </w:p>
        </w:tc>
        <w:tc>
          <w:tcPr>
            <w:tcW w:w="320" w:type="dxa"/>
            <w:vAlign w:val="bottom"/>
            <w:gridSpan w:val="2"/>
          </w:tcPr>
          <w:p>
            <w:pPr>
              <w:jc w:val="right"/>
              <w:ind w:right="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(95,910)</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(93,943)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440"/>
          </w:cols>
          <w:pgMar w:left="320" w:top="418" w:right="1139" w:bottom="1440" w:gutter="0" w:footer="0" w:header="0"/>
        </w:sectPr>
      </w:pPr>
    </w:p>
    <w:bookmarkStart w:id="295" w:name="page296"/>
    <w:bookmarkEnd w:id="2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Cash Flows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1"/>
              </w:rPr>
              <w:t>Three Months Ended March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8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97"/>
              <w:spacing w:after="0" w:line="122"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17"/>
              <w:spacing w:after="0" w:line="122" w:lineRule="exact"/>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8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Cash flows from operating activities:</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Net loss</w:t>
            </w:r>
          </w:p>
        </w:tc>
        <w:tc>
          <w:tcPr>
            <w:tcW w:w="440" w:type="dxa"/>
            <w:vAlign w:val="bottom"/>
            <w:gridSpan w:val="2"/>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3"/>
                <w:szCs w:val="13"/>
                <w:color w:val="auto"/>
              </w:rPr>
              <w:t>(9,051)</w:t>
            </w:r>
          </w:p>
        </w:tc>
        <w:tc>
          <w:tcPr>
            <w:tcW w:w="420" w:type="dxa"/>
            <w:vAlign w:val="bottom"/>
            <w:gridSpan w:val="2"/>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(13,098)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220"/>
              <w:spacing w:after="0" w:line="130" w:lineRule="exact"/>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584</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689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154</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220"/>
              <w:spacing w:after="0" w:line="130" w:lineRule="exact"/>
              <w:rPr>
                <w:sz w:val="20"/>
                <w:szCs w:val="20"/>
                <w:color w:val="auto"/>
              </w:rPr>
            </w:pPr>
            <w:r>
              <w:rPr>
                <w:rFonts w:ascii="Arial" w:cs="Arial" w:eastAsia="Arial" w:hAnsi="Arial"/>
                <w:sz w:val="13"/>
                <w:szCs w:val="13"/>
                <w:color w:val="auto"/>
              </w:rPr>
              <w:t>Loss on disposal of property and equipment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35</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Non-cash operating lease expense</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220"/>
              <w:spacing w:after="0" w:line="130" w:lineRule="exact"/>
              <w:rPr>
                <w:sz w:val="20"/>
                <w:szCs w:val="20"/>
                <w:color w:val="auto"/>
              </w:rPr>
            </w:pPr>
            <w:r>
              <w:rPr>
                <w:rFonts w:ascii="Arial" w:cs="Arial" w:eastAsia="Arial" w:hAnsi="Arial"/>
                <w:sz w:val="13"/>
                <w:szCs w:val="13"/>
                <w:color w:val="auto"/>
              </w:rPr>
              <w:t>Change in fair value of convertible preferred stock tranche liability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19</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Changes in operating assets and liabilities: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Prepaid expenses and other current assets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158</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Other non-current assets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(169)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Accounts payable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674</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618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Accrued expenses and other current liabilities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(452)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(1,022)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Deferred rent and other lease liabilities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3"/>
                <w:szCs w:val="13"/>
                <w:color w:val="auto"/>
              </w:rPr>
              <w:t>(182)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Operating lease liabilities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Other non-current liabilities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3"/>
                <w:szCs w:val="13"/>
                <w:color w:val="auto"/>
              </w:rPr>
              <w:t>(8)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720"/>
              <w:spacing w:after="0" w:line="130" w:lineRule="exact"/>
              <w:rPr>
                <w:sz w:val="20"/>
                <w:szCs w:val="20"/>
                <w:color w:val="auto"/>
              </w:rPr>
            </w:pPr>
            <w:r>
              <w:rPr>
                <w:rFonts w:ascii="Arial" w:cs="Arial" w:eastAsia="Arial" w:hAnsi="Arial"/>
                <w:sz w:val="13"/>
                <w:szCs w:val="13"/>
                <w:color w:val="auto"/>
              </w:rPr>
              <w:t>Net cash used in operating activities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(8,238)</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(15,789)</w:t>
            </w:r>
          </w:p>
        </w:tc>
        <w:tc>
          <w:tcPr>
            <w:tcW w:w="0" w:type="dxa"/>
            <w:vAlign w:val="bottom"/>
          </w:tcPr>
          <w:p>
            <w:pPr>
              <w:spacing w:after="0"/>
              <w:rPr>
                <w:sz w:val="1"/>
                <w:szCs w:val="1"/>
                <w:color w:val="auto"/>
              </w:rPr>
            </w:pPr>
          </w:p>
        </w:tc>
      </w:tr>
      <w:tr>
        <w:trPr>
          <w:trHeight w:val="133"/>
        </w:trPr>
        <w:tc>
          <w:tcPr>
            <w:tcW w:w="71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Purchases of property and equipment</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(435)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(4,323)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Proceeds from maturities of marketable securities</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2,753</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720"/>
              <w:spacing w:after="0" w:line="130" w:lineRule="exact"/>
              <w:rPr>
                <w:sz w:val="20"/>
                <w:szCs w:val="20"/>
                <w:color w:val="auto"/>
              </w:rPr>
            </w:pPr>
            <w:r>
              <w:rPr>
                <w:rFonts w:ascii="Arial" w:cs="Arial" w:eastAsia="Arial" w:hAnsi="Arial"/>
                <w:sz w:val="13"/>
                <w:szCs w:val="13"/>
                <w:color w:val="auto"/>
              </w:rPr>
              <w:t>Net cash provided by (used in) investing activities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2,318</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(4,323)</w:t>
            </w:r>
          </w:p>
        </w:tc>
        <w:tc>
          <w:tcPr>
            <w:tcW w:w="0" w:type="dxa"/>
            <w:vAlign w:val="bottom"/>
          </w:tcPr>
          <w:p>
            <w:pPr>
              <w:spacing w:after="0"/>
              <w:rPr>
                <w:sz w:val="1"/>
                <w:szCs w:val="1"/>
                <w:color w:val="auto"/>
              </w:rPr>
            </w:pPr>
          </w:p>
        </w:tc>
      </w:tr>
      <w:tr>
        <w:trPr>
          <w:trHeight w:val="133"/>
        </w:trPr>
        <w:tc>
          <w:tcPr>
            <w:tcW w:w="71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issuance of Series B convertible preferred stock, net of issuance costs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30,667</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Proceeds from issuance of Series C convertible preferred stock, net of issuance costs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19,986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exercise of stock options</w:t>
            </w:r>
          </w:p>
        </w:tc>
        <w:tc>
          <w:tcPr>
            <w:tcW w:w="3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3</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80" w:type="dxa"/>
            <w:vAlign w:val="bottom"/>
          </w:tcPr>
          <w:p>
            <w:pPr>
              <w:ind w:left="720"/>
              <w:spacing w:after="0" w:line="133" w:lineRule="exact"/>
              <w:rPr>
                <w:sz w:val="20"/>
                <w:szCs w:val="20"/>
                <w:color w:val="auto"/>
              </w:rPr>
            </w:pPr>
            <w:r>
              <w:rPr>
                <w:rFonts w:ascii="Arial" w:cs="Arial" w:eastAsia="Arial" w:hAnsi="Arial"/>
                <w:sz w:val="13"/>
                <w:szCs w:val="13"/>
                <w:color w:val="auto"/>
              </w:rPr>
              <w:t>Net cash provided by financing activities</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30,670</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20,015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Net increase (decrease) in cash, cash equivalents and restricted cash</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24,750</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Cash, cash equivalents and restricted cash at beginning of period</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24,271</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129,083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 at end of period</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49,021</w:t>
            </w:r>
          </w:p>
        </w:tc>
        <w:tc>
          <w:tcPr>
            <w:tcW w:w="3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128,986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Components of cash, cash equivalents and restricted cash:</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and cash equivalents</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48,622</w:t>
            </w:r>
          </w:p>
        </w:tc>
        <w:tc>
          <w:tcPr>
            <w:tcW w:w="3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128,439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Restricted cash, non-current</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399</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547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49,021</w:t>
            </w:r>
          </w:p>
        </w:tc>
        <w:tc>
          <w:tcPr>
            <w:tcW w:w="3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128,986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cash operating activities: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paid for leases that were included in operating cash outflows</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1,389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non-cash operating activities: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Lease liability obtained in exchange for right-of-use asset</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213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Deferred offering costs related to initial public offering included in accounts payable</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Property and equipment included in accounts payable and accrued expenses and other current liabilities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162</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452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1"/>
              </w:rPr>
              <w:t>Partial settlement of convertible preferred stock tranche liability in connection with the issuance of Series B convertible preferred stock</w:t>
            </w:r>
          </w:p>
        </w:tc>
        <w:tc>
          <w:tcPr>
            <w:tcW w:w="440" w:type="dxa"/>
            <w:vAlign w:val="bottom"/>
            <w:gridSpan w:val="2"/>
            <w:shd w:val="clear" w:color="auto" w:fill="CCEEFF"/>
          </w:tcPr>
          <w:p>
            <w:pPr>
              <w:jc w:val="right"/>
              <w:ind w:right="28"/>
              <w:spacing w:after="0" w:line="117"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27</w:t>
            </w:r>
          </w:p>
        </w:tc>
        <w:tc>
          <w:tcPr>
            <w:tcW w:w="3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48"/>
              <w:spacing w:after="0" w:line="117"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line="141" w:lineRule="exact"/>
              <w:rPr>
                <w:sz w:val="20"/>
                <w:szCs w:val="20"/>
                <w:color w:val="auto"/>
              </w:rPr>
            </w:pPr>
            <w:r>
              <w:rPr>
                <w:rFonts w:ascii="Arial" w:cs="Arial" w:eastAsia="Arial" w:hAnsi="Arial"/>
                <w:sz w:val="13"/>
                <w:szCs w:val="13"/>
                <w:color w:val="auto"/>
                <w:w w:val="93"/>
              </w:rPr>
              <w:t>Offering costs related to Series B convertible preferred stock included in accounts payable and accrued expenses and other current</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1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80" w:type="dxa"/>
            <w:vAlign w:val="bottom"/>
          </w:tcPr>
          <w:p>
            <w:pPr>
              <w:ind w:left="100"/>
              <w:spacing w:after="0" w:line="146" w:lineRule="exact"/>
              <w:rPr>
                <w:sz w:val="20"/>
                <w:szCs w:val="20"/>
                <w:color w:val="auto"/>
              </w:rPr>
            </w:pPr>
            <w:r>
              <w:rPr>
                <w:rFonts w:ascii="Arial" w:cs="Arial" w:eastAsia="Arial" w:hAnsi="Arial"/>
                <w:sz w:val="13"/>
                <w:szCs w:val="13"/>
                <w:color w:val="auto"/>
              </w:rPr>
              <w:t>liabilities</w:t>
            </w:r>
          </w:p>
        </w:tc>
        <w:tc>
          <w:tcPr>
            <w:tcW w:w="440" w:type="dxa"/>
            <w:vAlign w:val="bottom"/>
            <w:gridSpan w:val="2"/>
          </w:tcPr>
          <w:p>
            <w:pPr>
              <w:jc w:val="right"/>
              <w:ind w:right="28"/>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23</w:t>
            </w:r>
          </w:p>
        </w:tc>
        <w:tc>
          <w:tcPr>
            <w:tcW w:w="300" w:type="dxa"/>
            <w:vAlign w:val="bottom"/>
          </w:tcPr>
          <w:p>
            <w:pPr>
              <w:spacing w:after="0"/>
              <w:rPr>
                <w:sz w:val="12"/>
                <w:szCs w:val="12"/>
                <w:color w:val="auto"/>
              </w:rPr>
            </w:pPr>
          </w:p>
        </w:tc>
        <w:tc>
          <w:tcPr>
            <w:tcW w:w="420" w:type="dxa"/>
            <w:vAlign w:val="bottom"/>
            <w:gridSpan w:val="2"/>
          </w:tcPr>
          <w:p>
            <w:pPr>
              <w:jc w:val="right"/>
              <w:ind w:right="48"/>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Offering costs related to Series C convertible preferred stock included in accounts payable</w:t>
            </w:r>
          </w:p>
        </w:tc>
        <w:tc>
          <w:tcPr>
            <w:tcW w:w="440" w:type="dxa"/>
            <w:vAlign w:val="bottom"/>
            <w:gridSpan w:val="2"/>
            <w:shd w:val="clear" w:color="auto" w:fill="CCEEFF"/>
          </w:tcPr>
          <w:p>
            <w:pPr>
              <w:jc w:val="right"/>
              <w:ind w:right="28"/>
              <w:spacing w:after="0" w:line="117"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17"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17"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0440"/>
          </w:cols>
          <w:pgMar w:left="320" w:top="418" w:right="1139" w:bottom="1440" w:gutter="0" w:footer="0" w:header="0"/>
        </w:sectPr>
      </w:pPr>
    </w:p>
    <w:bookmarkStart w:id="296" w:name="page297"/>
    <w:bookmarkEnd w:id="2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 Organization and Description of the Business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Description of the Business</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Liquidity</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Company has incurred net losses since inception and expects such losses to continue in the future as it conducts research and development</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activities. As of March 31, 2021, the Company had an accumulated deficit of $95.9 million. The Company incurred a net loss of $9.1 million and</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3"/>
          <w:szCs w:val="13"/>
          <w:color w:val="auto"/>
        </w:rPr>
        <w:t>$13.1 million during the three months ended March 31, 2020 and 2021. The Company had $128.4 million of cash and cash equivalents as of March 31,</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82"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March 31, 2021 are sufficient to fund the Company’s operations for at least the next twelve months following the filing date of these condensed financial statements.</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99" w:lineRule="exact"/>
        <w:rPr>
          <w:sz w:val="20"/>
          <w:szCs w:val="20"/>
          <w:color w:val="auto"/>
        </w:rPr>
      </w:pPr>
    </w:p>
    <w:p>
      <w:pPr>
        <w:ind w:left="820" w:right="100" w:firstLine="385"/>
        <w:spacing w:after="0" w:line="281" w:lineRule="auto"/>
        <w:rPr>
          <w:sz w:val="20"/>
          <w:szCs w:val="20"/>
          <w:color w:val="auto"/>
        </w:rPr>
      </w:pPr>
      <w:r>
        <w:rPr>
          <w:rFonts w:ascii="Arial" w:cs="Arial" w:eastAsia="Arial" w:hAnsi="Arial"/>
          <w:sz w:val="15"/>
          <w:szCs w:val="15"/>
          <w:color w:val="auto"/>
        </w:rPr>
        <w:t>The accompanying condensed financial statements have been prepared in accordance with accounting principles generally accepted in the United States of America (GAAP) and follow the requirements of the Securities and Exchange Commission (SEC) for interim reporting. As permitted under those rules, certain footnotes or other financial information that are normally required by GAAP can be condensed or omitted.</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99" w:lineRule="exact"/>
        <w:rPr>
          <w:sz w:val="20"/>
          <w:szCs w:val="20"/>
          <w:color w:val="auto"/>
        </w:rPr>
      </w:pPr>
    </w:p>
    <w:p>
      <w:pPr>
        <w:ind w:left="820" w:right="80" w:firstLine="385"/>
        <w:spacing w:after="0" w:line="316" w:lineRule="auto"/>
        <w:rPr>
          <w:sz w:val="20"/>
          <w:szCs w:val="20"/>
          <w:color w:val="auto"/>
        </w:rPr>
      </w:pPr>
      <w:r>
        <w:rPr>
          <w:rFonts w:ascii="Arial" w:cs="Arial" w:eastAsia="Arial" w:hAnsi="Arial"/>
          <w:sz w:val="13"/>
          <w:szCs w:val="13"/>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condensed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Unaudited Interim Condensed Financial Statements</w:t>
      </w:r>
    </w:p>
    <w:p>
      <w:pPr>
        <w:spacing w:after="0" w:line="99" w:lineRule="exact"/>
        <w:rPr>
          <w:sz w:val="20"/>
          <w:szCs w:val="20"/>
          <w:color w:val="auto"/>
        </w:rPr>
      </w:pPr>
    </w:p>
    <w:p>
      <w:pPr>
        <w:ind w:left="820" w:right="520" w:firstLine="385"/>
        <w:spacing w:after="0" w:line="329" w:lineRule="auto"/>
        <w:rPr>
          <w:sz w:val="20"/>
          <w:szCs w:val="20"/>
          <w:color w:val="auto"/>
        </w:rPr>
      </w:pPr>
      <w:r>
        <w:rPr>
          <w:rFonts w:ascii="Arial" w:cs="Arial" w:eastAsia="Arial" w:hAnsi="Arial"/>
          <w:sz w:val="13"/>
          <w:szCs w:val="13"/>
          <w:color w:val="auto"/>
        </w:rPr>
        <w:t>The interim condensed balance sheet as of March 31, 2021, and the interim condensed statements of operations and comprehensive loss, convertible preferred stock and stockholders’ deficit and cash flows for the three months ended March 31, 2020 and 2021 are unaudited. These unaudited interim condensed financial statements have been prepared on the same basis as the Company’s annual financial statements and, in the opinion of management, reflect all adjustments (consisting only of normal recurring adjustments) that are</w:t>
      </w:r>
    </w:p>
    <w:p>
      <w:pPr>
        <w:spacing w:after="0" w:line="6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440"/>
          </w:cols>
          <w:pgMar w:left="320" w:top="418" w:right="1139" w:bottom="1440" w:gutter="0" w:footer="0" w:header="0"/>
        </w:sectPr>
      </w:pPr>
    </w:p>
    <w:bookmarkStart w:id="297" w:name="page298"/>
    <w:bookmarkEnd w:id="2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51" w:lineRule="auto"/>
        <w:rPr>
          <w:sz w:val="20"/>
          <w:szCs w:val="20"/>
          <w:color w:val="auto"/>
        </w:rPr>
      </w:pPr>
      <w:r>
        <w:rPr>
          <w:rFonts w:ascii="Arial" w:cs="Arial" w:eastAsia="Arial" w:hAnsi="Arial"/>
          <w:sz w:val="16"/>
          <w:szCs w:val="16"/>
          <w:color w:val="auto"/>
        </w:rPr>
        <w:t>necessary for the fair statement of the Company’s financial position, results of operations and cash flows for the interim periods presented. The condensed results of operations for the three months ended March 31, 2021 are not necessarily indicative of the results to be expected for the full year or for any other future annual or interim period. The condensed balance sheet as of December 31, 2020 included herein was derived from the audited financial statements as of that date. These interim condensed financial statements should be read in conjunction with the Company’s audited financial statements included elsewhere in this prospectus.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99"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Leases</w:t>
      </w:r>
    </w:p>
    <w:p>
      <w:pPr>
        <w:spacing w:after="0" w:line="99" w:lineRule="exact"/>
        <w:rPr>
          <w:sz w:val="20"/>
          <w:szCs w:val="20"/>
          <w:color w:val="auto"/>
        </w:rPr>
      </w:pPr>
    </w:p>
    <w:p>
      <w:pPr>
        <w:ind w:left="820" w:right="260" w:firstLine="385"/>
        <w:spacing w:after="0" w:line="383" w:lineRule="auto"/>
        <w:rPr>
          <w:sz w:val="20"/>
          <w:szCs w:val="20"/>
          <w:color w:val="auto"/>
        </w:rPr>
      </w:pPr>
      <w:r>
        <w:rPr>
          <w:rFonts w:ascii="Arial" w:cs="Arial" w:eastAsia="Arial" w:hAnsi="Arial"/>
          <w:sz w:val="13"/>
          <w:szCs w:val="13"/>
          <w:color w:val="auto"/>
        </w:rPr>
        <w:t xml:space="preserve">The Company adopted Accounting Standards Codification (ASC) Topic 842,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842) on January 1, 2021, as discussed below in the section titled “Recently Adopted Accounting Standards”. Under ASC 842, the Company determines if an arrangement is a lease at inception.</w:t>
      </w:r>
    </w:p>
    <w:p>
      <w:pPr>
        <w:spacing w:after="0" w:line="89" w:lineRule="exact"/>
        <w:rPr>
          <w:sz w:val="20"/>
          <w:szCs w:val="20"/>
          <w:color w:val="auto"/>
        </w:rPr>
      </w:pPr>
    </w:p>
    <w:p>
      <w:pPr>
        <w:ind w:left="820" w:right="60" w:firstLine="385"/>
        <w:spacing w:after="0" w:line="314" w:lineRule="auto"/>
        <w:rPr>
          <w:sz w:val="20"/>
          <w:szCs w:val="20"/>
          <w:color w:val="auto"/>
        </w:rPr>
      </w:pPr>
      <w:r>
        <w:rPr>
          <w:rFonts w:ascii="Arial" w:cs="Arial" w:eastAsia="Arial" w:hAnsi="Arial"/>
          <w:sz w:val="13"/>
          <w:szCs w:val="13"/>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227"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The Company’s non-lease components are primarily related to property taxes, insurance, and common area maintenance, which vary based on future outcomes, and are recognized as rent expense when incurred.</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Deferred offering costs, consisting of legal, accounting, audit and filing fees relating to the Company’s initial public offering, are capitalized.</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Deferred offering costs will be offset against offering proceeds upon the completion of the offering. In the event the offering is terminated or delayed,</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deferred offering costs will be expensed. As of December 31, 2020, the Company did not incur any deferred offering costs. As of March 31, 2021,</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$0.1 million of deferred offering costs were capitalized, which are included in other non-current assets in the accompanying condensed balance sheet.</w:t>
      </w:r>
    </w:p>
    <w:p>
      <w:pPr>
        <w:spacing w:after="0" w:line="31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99" w:lineRule="exact"/>
        <w:rPr>
          <w:sz w:val="20"/>
          <w:szCs w:val="20"/>
          <w:color w:val="auto"/>
        </w:rPr>
      </w:pPr>
    </w:p>
    <w:p>
      <w:pPr>
        <w:ind w:left="820" w:right="280" w:firstLine="385"/>
        <w:spacing w:after="0" w:line="251"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400"/>
          </w:cols>
          <w:pgMar w:left="320" w:top="418" w:right="1179" w:bottom="1440" w:gutter="0" w:footer="0" w:header="0"/>
        </w:sectPr>
      </w:pPr>
    </w:p>
    <w:bookmarkStart w:id="298" w:name="page299"/>
    <w:bookmarkEnd w:id="2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99"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 xml:space="preserve">On January 1, 2020, the Company adopted Financial Accounting Standards Board (FASB) Accounting Standard Update (ASU) No. 2018-13,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 (Topic 820): Disclosure Framework—Changes to the Disclosure Requirements for Fair Value Measurement</w:t>
      </w:r>
      <w:r>
        <w:rPr>
          <w:rFonts w:ascii="Arial" w:cs="Arial" w:eastAsia="Arial" w:hAnsi="Arial"/>
          <w:sz w:val="16"/>
          <w:szCs w:val="16"/>
          <w:color w:val="auto"/>
        </w:rPr>
        <w:t>. This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eliminates, modifies and adds disclosure requirements for fair value measurements. The Company adopted the removed and modified disclosures on a retrospective basis and the new disclosures on a prospective basis. The adoption of this standard did not have a material impact on the Company’s financial statements.</w:t>
      </w:r>
    </w:p>
    <w:p>
      <w:pPr>
        <w:spacing w:after="0" w:line="170"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 xml:space="preserve">On January 1, 2021, the Company adopted ASC 842 using the modified retrospective transition method and elected the practical expedients to not reassess whether any expired or existing contracts are or contain leases, carry forward its historical lease classification and not reassess initial direct costs for existing leases. The Company elected to not separate non-lease components from the associated lease components and to not recognize ROU assets and lease liabilities for leases with a term of twelve months or less. Upon adoption of ASC 842, the Company recorded an operating right-of-use asset of $4.6 million, operating lease liabilities of $9.1 million and derecognized deferred rent and other lease liabilities of $4.5 million. Results for the three months ended March 31, 2021 are presented under ASC 842. Prior period amounts before January 1, 2021 have not been adjusted and continue to be reported in accordance with the Company’s historical accounting under previous lease guidance, ASC 840: </w:t>
      </w:r>
      <w:r>
        <w:rPr>
          <w:rFonts w:ascii="Arial" w:cs="Arial" w:eastAsia="Arial" w:hAnsi="Arial"/>
          <w:sz w:val="13"/>
          <w:szCs w:val="13"/>
          <w:i w:val="1"/>
          <w:iCs w:val="1"/>
          <w:color w:val="auto"/>
        </w:rPr>
        <w:t>Leases (Topic 840)</w:t>
      </w:r>
      <w:r>
        <w:rPr>
          <w:rFonts w:ascii="Arial" w:cs="Arial" w:eastAsia="Arial" w:hAnsi="Arial"/>
          <w:sz w:val="13"/>
          <w:szCs w:val="13"/>
          <w:color w:val="auto"/>
        </w:rPr>
        <w:t>.</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99"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which replaces the existing incurred loss impairment model with an expected credit loss model. This standard will require</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to recognize an allowance for credit losses on available-for-sale debt securities rather than the current approach of recording a reduction to the carrying value of the asset. As an emerging growth company, ASU 2016-13 is effective for the Company beginning January 1, 2023. The Company is evaluating the impact of this standard on its financial statements.</w:t>
      </w:r>
    </w:p>
    <w:p>
      <w:pPr>
        <w:spacing w:after="0" w:line="60"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beginning January 1, 2022. The Company is evaluating the impact of this standard on its financial statements.</w:t>
      </w:r>
    </w:p>
    <w:p>
      <w:pPr>
        <w:spacing w:after="0" w:line="75" w:lineRule="exact"/>
        <w:rPr>
          <w:sz w:val="20"/>
          <w:szCs w:val="20"/>
          <w:color w:val="auto"/>
        </w:rPr>
      </w:pPr>
    </w:p>
    <w:p>
      <w:pPr>
        <w:ind w:left="820" w:right="120" w:firstLine="385"/>
        <w:spacing w:after="0" w:line="270" w:lineRule="auto"/>
        <w:rPr>
          <w:sz w:val="20"/>
          <w:szCs w:val="20"/>
          <w:color w:val="auto"/>
        </w:rPr>
      </w:pPr>
      <w:r>
        <w:rPr>
          <w:rFonts w:ascii="Arial" w:cs="Arial" w:eastAsia="Arial" w:hAnsi="Arial"/>
          <w:sz w:val="15"/>
          <w:szCs w:val="15"/>
          <w:color w:val="auto"/>
        </w:rPr>
        <w:t>In August 2020, the FASB issued ASU No. 2020-06, Debt—</w:t>
      </w:r>
      <w:r>
        <w:rPr>
          <w:rFonts w:ascii="Arial" w:cs="Arial" w:eastAsia="Arial" w:hAnsi="Arial"/>
          <w:sz w:val="15"/>
          <w:szCs w:val="15"/>
          <w:i w:val="1"/>
          <w:iCs w:val="1"/>
          <w:color w:val="auto"/>
        </w:rPr>
        <w:t>Debt with Conversion and Other Options (Subtopic 470-20) and 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Hedging—Contracts in Entity’s Own Equity (Subtopic 815-40) </w:t>
      </w:r>
      <w:r>
        <w:rPr>
          <w:rFonts w:ascii="Arial" w:cs="Arial" w:eastAsia="Arial" w:hAnsi="Arial"/>
          <w:sz w:val="15"/>
          <w:szCs w:val="15"/>
          <w:color w:val="auto"/>
        </w:rPr>
        <w:t>(ASU 2020-06), which is intended to simplify the accounting for convertible debt</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and convertible preferred stock. This standard removes the existing guidance in ASC 470-20 that requires companies to account for cash conversion features and beneficial conversion features in equity, separately from the host convertible debt or preferred stock. As an emerging growth company, ASU 2020-06 is effective for the Company beginning January 1, 2024. The Company currently does not expect the adoption of this standard to have a material impact on its financial statements.</w:t>
      </w:r>
    </w:p>
    <w:p>
      <w:pPr>
        <w:spacing w:after="0" w:line="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0420"/>
          </w:cols>
          <w:pgMar w:left="320" w:top="418" w:right="1159" w:bottom="1440" w:gutter="0" w:footer="0" w:header="0"/>
        </w:sectPr>
      </w:pPr>
    </w:p>
    <w:bookmarkStart w:id="299" w:name="page300"/>
    <w:bookmarkEnd w:id="2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3. Fair Value Measurements</w:t>
      </w:r>
    </w:p>
    <w:p>
      <w:pPr>
        <w:spacing w:after="0" w:line="103"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Financial assets and liabilities are recognized at fair value on a recurring basis. The following tables summarize the Company’s financial assets measured at fair value on a recurring basis by level within the fair value hierarchy:</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88"/>
              </w:rPr>
              <w:t>Valuation</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December 31, 2020</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Amortized</w:t>
            </w:r>
          </w:p>
        </w:tc>
        <w:tc>
          <w:tcPr>
            <w:tcW w:w="920" w:type="dxa"/>
            <w:vAlign w:val="bottom"/>
            <w:gridSpan w:val="3"/>
          </w:tcPr>
          <w:p>
            <w:pPr>
              <w:ind w:left="320"/>
              <w:spacing w:after="0" w:line="102" w:lineRule="exact"/>
              <w:rPr>
                <w:sz w:val="20"/>
                <w:szCs w:val="20"/>
                <w:color w:val="auto"/>
              </w:rPr>
            </w:pPr>
            <w:r>
              <w:rPr>
                <w:rFonts w:ascii="Arial" w:cs="Arial" w:eastAsia="Arial" w:hAnsi="Arial"/>
                <w:sz w:val="10"/>
                <w:szCs w:val="10"/>
                <w:b w:val="1"/>
                <w:bCs w:val="1"/>
                <w:color w:val="auto"/>
              </w:rPr>
              <w:t>Unrealized</w:t>
            </w:r>
          </w:p>
        </w:tc>
        <w:tc>
          <w:tcPr>
            <w:tcW w:w="90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25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Hierarchy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47"/>
              <w:spacing w:after="0"/>
              <w:rPr>
                <w:sz w:val="20"/>
                <w:szCs w:val="20"/>
                <w:color w:val="auto"/>
              </w:rPr>
            </w:pPr>
            <w:r>
              <w:rPr>
                <w:rFonts w:ascii="Arial" w:cs="Arial" w:eastAsia="Arial" w:hAnsi="Arial"/>
                <w:sz w:val="13"/>
                <w:szCs w:val="13"/>
                <w:b w:val="1"/>
                <w:bCs w:val="1"/>
                <w:color w:val="auto"/>
                <w:w w:val="82"/>
              </w:rPr>
              <w:t>Cost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rPr>
              <w:t>Gain</w:t>
            </w: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spacing w:after="0" w:line="122"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620"/>
              <w:spacing w:after="0"/>
              <w:rPr>
                <w:sz w:val="20"/>
                <w:szCs w:val="20"/>
                <w:color w:val="auto"/>
              </w:rPr>
            </w:pPr>
            <w:r>
              <w:rPr>
                <w:rFonts w:ascii="Arial" w:cs="Arial" w:eastAsia="Arial" w:hAnsi="Arial"/>
                <w:sz w:val="16"/>
                <w:szCs w:val="16"/>
                <w:b w:val="1"/>
                <w:bCs w:val="1"/>
                <w:color w:val="auto"/>
              </w:rPr>
              <w:t>Cash equivalents:</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Money market funds</w:t>
            </w:r>
          </w:p>
        </w:tc>
        <w:tc>
          <w:tcPr>
            <w:tcW w:w="16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Level 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127,535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74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127,535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20"/>
                <w:szCs w:val="20"/>
                <w:color w:val="auto"/>
              </w:rPr>
            </w:pPr>
            <w:r>
              <w:rPr>
                <w:rFonts w:ascii="Arial" w:cs="Arial" w:eastAsia="Arial" w:hAnsi="Arial"/>
                <w:sz w:val="16"/>
                <w:szCs w:val="16"/>
                <w:color w:val="auto"/>
              </w:rPr>
              <w:t>Total financial assets</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127,535</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127,535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88"/>
              </w:rPr>
              <w:t>Valuation</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March 31, 2021</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Amortized</w:t>
            </w:r>
          </w:p>
        </w:tc>
        <w:tc>
          <w:tcPr>
            <w:tcW w:w="920" w:type="dxa"/>
            <w:vAlign w:val="bottom"/>
            <w:gridSpan w:val="3"/>
          </w:tcPr>
          <w:p>
            <w:pPr>
              <w:ind w:left="320"/>
              <w:spacing w:after="0" w:line="102" w:lineRule="exact"/>
              <w:rPr>
                <w:sz w:val="20"/>
                <w:szCs w:val="20"/>
                <w:color w:val="auto"/>
              </w:rPr>
            </w:pPr>
            <w:r>
              <w:rPr>
                <w:rFonts w:ascii="Arial" w:cs="Arial" w:eastAsia="Arial" w:hAnsi="Arial"/>
                <w:sz w:val="10"/>
                <w:szCs w:val="10"/>
                <w:b w:val="1"/>
                <w:bCs w:val="1"/>
                <w:color w:val="auto"/>
              </w:rPr>
              <w:t>Unrealized</w:t>
            </w:r>
          </w:p>
        </w:tc>
        <w:tc>
          <w:tcPr>
            <w:tcW w:w="90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25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Hierarchy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47"/>
              <w:spacing w:after="0"/>
              <w:rPr>
                <w:sz w:val="20"/>
                <w:szCs w:val="20"/>
                <w:color w:val="auto"/>
              </w:rPr>
            </w:pPr>
            <w:r>
              <w:rPr>
                <w:rFonts w:ascii="Arial" w:cs="Arial" w:eastAsia="Arial" w:hAnsi="Arial"/>
                <w:sz w:val="13"/>
                <w:szCs w:val="13"/>
                <w:b w:val="1"/>
                <w:bCs w:val="1"/>
                <w:color w:val="auto"/>
                <w:w w:val="82"/>
              </w:rPr>
              <w:t>Cost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rPr>
              <w:t>Gain</w:t>
            </w: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spacing w:after="0" w:line="122"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620"/>
              <w:spacing w:after="0"/>
              <w:rPr>
                <w:sz w:val="20"/>
                <w:szCs w:val="20"/>
                <w:color w:val="auto"/>
              </w:rPr>
            </w:pPr>
            <w:r>
              <w:rPr>
                <w:rFonts w:ascii="Arial" w:cs="Arial" w:eastAsia="Arial" w:hAnsi="Arial"/>
                <w:sz w:val="16"/>
                <w:szCs w:val="16"/>
                <w:b w:val="1"/>
                <w:bCs w:val="1"/>
                <w:color w:val="auto"/>
              </w:rPr>
              <w:t>Cash equivalents:</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Money market funds</w:t>
            </w:r>
          </w:p>
        </w:tc>
        <w:tc>
          <w:tcPr>
            <w:tcW w:w="16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Level 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127,433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74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127,433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20"/>
                <w:szCs w:val="20"/>
                <w:color w:val="auto"/>
              </w:rPr>
            </w:pPr>
            <w:r>
              <w:rPr>
                <w:rFonts w:ascii="Arial" w:cs="Arial" w:eastAsia="Arial" w:hAnsi="Arial"/>
                <w:sz w:val="16"/>
                <w:szCs w:val="16"/>
                <w:color w:val="auto"/>
              </w:rPr>
              <w:t>Total financial assets</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127,433</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127,433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Money market funds are classified as Level 1 because they are valued using quoted market prices in active markets for identical assets.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There were no unrealized losses as of December 31, 2020 and March 31, 2021.</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 and March 31, 2021.</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the significant unobservable assumptions used to value the convertible preferred stock tranche liability as of</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March 31, 2020:</w:t>
      </w:r>
    </w:p>
    <w:p>
      <w:pPr>
        <w:spacing w:after="0" w:line="178"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3960" w:type="dxa"/>
            <w:vAlign w:val="bottom"/>
            <w:gridSpan w:val="3"/>
          </w:tcPr>
          <w:p>
            <w:pPr>
              <w:ind w:left="3360"/>
              <w:spacing w:after="0"/>
              <w:rPr>
                <w:sz w:val="20"/>
                <w:szCs w:val="20"/>
                <w:color w:val="auto"/>
              </w:rPr>
            </w:pPr>
            <w:r>
              <w:rPr>
                <w:rFonts w:ascii="Arial" w:cs="Arial" w:eastAsia="Arial" w:hAnsi="Arial"/>
                <w:sz w:val="13"/>
                <w:szCs w:val="13"/>
                <w:b w:val="1"/>
                <w:bCs w:val="1"/>
                <w:color w:val="auto"/>
                <w:w w:val="96"/>
              </w:rPr>
              <w:t>March 31,</w:t>
            </w:r>
          </w:p>
        </w:tc>
      </w:tr>
      <w:tr>
        <w:trPr>
          <w:trHeight w:val="150"/>
        </w:trPr>
        <w:tc>
          <w:tcPr>
            <w:tcW w:w="2580" w:type="dxa"/>
            <w:vAlign w:val="bottom"/>
          </w:tcPr>
          <w:p>
            <w:pPr>
              <w:spacing w:after="0"/>
              <w:rPr>
                <w:sz w:val="13"/>
                <w:szCs w:val="13"/>
                <w:color w:val="auto"/>
              </w:rPr>
            </w:pPr>
          </w:p>
        </w:tc>
        <w:tc>
          <w:tcPr>
            <w:tcW w:w="3900" w:type="dxa"/>
            <w:vAlign w:val="bottom"/>
            <w:gridSpan w:val="2"/>
          </w:tcPr>
          <w:p>
            <w:pPr>
              <w:jc w:val="right"/>
              <w:ind w:right="61"/>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3"/>
                <w:szCs w:val="13"/>
                <w:color w:val="auto"/>
              </w:rPr>
            </w:pPr>
          </w:p>
        </w:tc>
      </w:tr>
      <w:tr>
        <w:trPr>
          <w:trHeight w:val="180"/>
        </w:trPr>
        <w:tc>
          <w:tcPr>
            <w:tcW w:w="25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Term to valuation date (in years)</w:t>
            </w:r>
          </w:p>
        </w:tc>
        <w:tc>
          <w:tcPr>
            <w:tcW w:w="3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0.5</w:t>
            </w:r>
          </w:p>
        </w:tc>
        <w:tc>
          <w:tcPr>
            <w:tcW w:w="60" w:type="dxa"/>
            <w:vAlign w:val="bottom"/>
            <w:tcBorders>
              <w:top w:val="single" w:sz="8" w:color="CCEEFF"/>
            </w:tcBorders>
            <w:shd w:val="clear" w:color="auto" w:fill="CCEEFF"/>
          </w:tcPr>
          <w:p>
            <w:pPr>
              <w:spacing w:after="0"/>
              <w:rPr>
                <w:sz w:val="15"/>
                <w:szCs w:val="15"/>
                <w:color w:val="auto"/>
              </w:rPr>
            </w:pPr>
          </w:p>
        </w:tc>
      </w:tr>
      <w:tr>
        <w:trPr>
          <w:trHeight w:val="200"/>
        </w:trPr>
        <w:tc>
          <w:tcPr>
            <w:tcW w:w="2580" w:type="dxa"/>
            <w:vAlign w:val="bottom"/>
          </w:tcPr>
          <w:p>
            <w:pPr>
              <w:spacing w:after="0"/>
              <w:rPr>
                <w:sz w:val="20"/>
                <w:szCs w:val="20"/>
                <w:color w:val="auto"/>
              </w:rPr>
            </w:pPr>
            <w:r>
              <w:rPr>
                <w:rFonts w:ascii="Arial" w:cs="Arial" w:eastAsia="Arial" w:hAnsi="Arial"/>
                <w:sz w:val="16"/>
                <w:szCs w:val="16"/>
                <w:color w:val="auto"/>
              </w:rPr>
              <w:t>Discount rate</w:t>
            </w:r>
          </w:p>
        </w:tc>
        <w:tc>
          <w:tcPr>
            <w:tcW w:w="390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7"/>
                <w:szCs w:val="17"/>
                <w:color w:val="auto"/>
              </w:rPr>
            </w:pPr>
          </w:p>
        </w:tc>
      </w:tr>
      <w:tr>
        <w:trPr>
          <w:trHeight w:val="306"/>
        </w:trPr>
        <w:tc>
          <w:tcPr>
            <w:tcW w:w="2580" w:type="dxa"/>
            <w:vAlign w:val="bottom"/>
          </w:tcPr>
          <w:p>
            <w:pPr>
              <w:spacing w:after="0"/>
              <w:rPr>
                <w:sz w:val="24"/>
                <w:szCs w:val="24"/>
                <w:color w:val="auto"/>
              </w:rPr>
            </w:pPr>
          </w:p>
        </w:tc>
        <w:tc>
          <w:tcPr>
            <w:tcW w:w="3960" w:type="dxa"/>
            <w:vAlign w:val="bottom"/>
            <w:gridSpan w:val="3"/>
          </w:tcPr>
          <w:p>
            <w:pPr>
              <w:ind w:left="540"/>
              <w:spacing w:after="0"/>
              <w:rPr>
                <w:sz w:val="20"/>
                <w:szCs w:val="20"/>
                <w:color w:val="auto"/>
              </w:rPr>
            </w:pPr>
            <w:r>
              <w:rPr>
                <w:rFonts w:ascii="Arial" w:cs="Arial" w:eastAsia="Arial" w:hAnsi="Arial"/>
                <w:sz w:val="16"/>
                <w:szCs w:val="16"/>
                <w:color w:val="auto"/>
              </w:rPr>
              <w:t>F-35</w:t>
            </w:r>
          </w:p>
        </w:tc>
      </w:tr>
    </w:tbl>
    <w:p>
      <w:pPr>
        <w:sectPr>
          <w:pgSz w:w="11900" w:h="16838" w:orient="portrait"/>
          <w:cols w:equalWidth="0" w:num="1">
            <w:col w:w="10440"/>
          </w:cols>
          <w:pgMar w:left="320" w:top="418" w:right="1139" w:bottom="1440" w:gutter="0" w:footer="0" w:header="0"/>
        </w:sectPr>
      </w:pPr>
    </w:p>
    <w:bookmarkStart w:id="300" w:name="page301"/>
    <w:bookmarkEnd w:id="3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following table summarizes the changes in the estimated fair value of the Company’s convertible preferred stock tranche liability measured on a recurring basis using significant Level 3 inputs:</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6"/>
          </w:tcPr>
          <w:p>
            <w:pPr>
              <w:jc w:val="center"/>
              <w:ind w:right="540"/>
              <w:spacing w:after="0"/>
              <w:rPr>
                <w:sz w:val="20"/>
                <w:szCs w:val="20"/>
                <w:color w:val="auto"/>
              </w:rPr>
            </w:pPr>
            <w:r>
              <w:rPr>
                <w:rFonts w:ascii="Arial" w:cs="Arial" w:eastAsia="Arial" w:hAnsi="Arial"/>
                <w:sz w:val="13"/>
                <w:szCs w:val="13"/>
                <w:b w:val="1"/>
                <w:bCs w:val="1"/>
                <w:color w:val="auto"/>
                <w:w w:val="89"/>
              </w:rPr>
              <w:t>March 31,</w:t>
            </w: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left="87"/>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60" w:type="dxa"/>
            <w:vAlign w:val="bottom"/>
          </w:tcPr>
          <w:p>
            <w:pPr>
              <w:ind w:left="320"/>
              <w:spacing w:after="0" w:line="176" w:lineRule="exact"/>
              <w:rPr>
                <w:sz w:val="20"/>
                <w:szCs w:val="20"/>
                <w:color w:val="auto"/>
              </w:rPr>
            </w:pPr>
            <w:r>
              <w:rPr>
                <w:rFonts w:ascii="Arial" w:cs="Arial" w:eastAsia="Arial" w:hAnsi="Arial"/>
                <w:sz w:val="16"/>
                <w:szCs w:val="16"/>
                <w:color w:val="auto"/>
                <w:w w:val="90"/>
              </w:rPr>
              <w:t>Partial settlement upon second closing of Series B convertible preferred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60" w:type="dxa"/>
            <w:vAlign w:val="bottom"/>
          </w:tcPr>
          <w:p>
            <w:pPr>
              <w:ind w:left="46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upon remeasurement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w:t>
            </w: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300" w:type="dxa"/>
            <w:vAlign w:val="bottom"/>
            <w:gridSpan w:val="2"/>
          </w:tcPr>
          <w:p>
            <w:pPr>
              <w:ind w:left="340"/>
              <w:spacing w:after="0"/>
              <w:rPr>
                <w:sz w:val="20"/>
                <w:szCs w:val="20"/>
                <w:color w:val="auto"/>
              </w:rPr>
            </w:pPr>
            <w:r>
              <w:rPr>
                <w:rFonts w:ascii="Arial" w:cs="Arial" w:eastAsia="Arial" w:hAnsi="Arial"/>
                <w:sz w:val="16"/>
                <w:szCs w:val="16"/>
                <w:color w:val="auto"/>
              </w:rPr>
              <w:t>Ending balance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4. Balance Sheet Components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5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500" w:type="dxa"/>
            <w:vAlign w:val="bottom"/>
            <w:gridSpan w:val="3"/>
          </w:tcPr>
          <w:p>
            <w:pPr>
              <w:ind w:left="38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00" w:type="dxa"/>
            <w:vAlign w:val="bottom"/>
            <w:gridSpan w:val="3"/>
          </w:tcPr>
          <w:p>
            <w:pPr>
              <w:ind w:left="380"/>
              <w:spacing w:after="0"/>
              <w:rPr>
                <w:sz w:val="20"/>
                <w:szCs w:val="20"/>
                <w:color w:val="auto"/>
              </w:rPr>
            </w:pPr>
            <w:r>
              <w:rPr>
                <w:rFonts w:ascii="Arial" w:cs="Arial" w:eastAsia="Arial" w:hAnsi="Arial"/>
                <w:sz w:val="16"/>
                <w:szCs w:val="16"/>
                <w:color w:val="auto"/>
              </w:rPr>
              <w:t>Property and equipment, net consists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Arial" w:cs="Arial" w:eastAsia="Arial" w:hAnsi="Arial"/>
                <w:sz w:val="13"/>
                <w:szCs w:val="13"/>
                <w:b w:val="1"/>
                <w:bCs w:val="1"/>
                <w:color w:val="auto"/>
                <w:w w:val="92"/>
              </w:rPr>
              <w:t>December 31,</w:t>
            </w:r>
          </w:p>
        </w:tc>
        <w:tc>
          <w:tcPr>
            <w:tcW w:w="420" w:type="dxa"/>
            <w:vAlign w:val="bottom"/>
          </w:tcPr>
          <w:p>
            <w:pPr>
              <w:spacing w:after="0"/>
              <w:rPr>
                <w:sz w:val="24"/>
                <w:szCs w:val="24"/>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5"/>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Construction in progress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7,678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11,937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Furniture and fixtures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534</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Computer equipment and software</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300" w:type="dxa"/>
            <w:vAlign w:val="bottom"/>
            <w:gridSpan w:val="2"/>
          </w:tcPr>
          <w:p>
            <w:pPr>
              <w:ind w:left="320"/>
              <w:spacing w:after="0"/>
              <w:rPr>
                <w:sz w:val="20"/>
                <w:szCs w:val="20"/>
                <w:color w:val="auto"/>
              </w:rPr>
            </w:pPr>
            <w:r>
              <w:rPr>
                <w:rFonts w:ascii="Arial" w:cs="Arial" w:eastAsia="Arial" w:hAnsi="Arial"/>
                <w:sz w:val="16"/>
                <w:szCs w:val="16"/>
                <w:color w:val="auto"/>
              </w:rPr>
              <w:t>Total property and equipment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23,888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28,656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(6,703)</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(7,389)</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300" w:type="dxa"/>
            <w:vAlign w:val="bottom"/>
            <w:gridSpan w:val="2"/>
          </w:tcPr>
          <w:p>
            <w:pPr>
              <w:ind w:left="320"/>
              <w:spacing w:after="0"/>
              <w:rPr>
                <w:sz w:val="20"/>
                <w:szCs w:val="20"/>
                <w:color w:val="auto"/>
              </w:rPr>
            </w:pPr>
            <w:r>
              <w:rPr>
                <w:rFonts w:ascii="Arial" w:cs="Arial" w:eastAsia="Arial" w:hAnsi="Arial"/>
                <w:sz w:val="16"/>
                <w:szCs w:val="16"/>
                <w:color w:val="auto"/>
              </w:rPr>
              <w:t>Total property and equipment, net</w:t>
            </w: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17,185</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21,267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820" w:right="140" w:firstLine="385"/>
        <w:spacing w:after="0" w:line="256" w:lineRule="auto"/>
        <w:rPr>
          <w:sz w:val="20"/>
          <w:szCs w:val="20"/>
          <w:color w:val="auto"/>
        </w:rPr>
      </w:pPr>
      <w:r>
        <w:rPr>
          <w:rFonts w:ascii="Arial" w:cs="Arial" w:eastAsia="Arial" w:hAnsi="Arial"/>
          <w:sz w:val="16"/>
          <w:szCs w:val="16"/>
          <w:color w:val="auto"/>
        </w:rPr>
        <w:t>Depreciation and amortization expense for the three months ended March 31, 2020 and 2021 was $0.6 million and $0.7 million. Construction in progress consists primarily of capitalized machinery and equipment that is expected to be placed in service in the Company’s manufacturing and office space located in Union City, California after the lease commencement date in May 2021.</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Accrued Expenses and Other Current Liabilities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190"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540" w:type="dxa"/>
            <w:vAlign w:val="bottom"/>
            <w:gridSpan w:val="3"/>
          </w:tcPr>
          <w:p>
            <w:pPr>
              <w:ind w:left="800"/>
              <w:spacing w:after="0"/>
              <w:rPr>
                <w:sz w:val="20"/>
                <w:szCs w:val="20"/>
                <w:color w:val="auto"/>
              </w:rPr>
            </w:pPr>
            <w:r>
              <w:rPr>
                <w:rFonts w:ascii="Arial" w:cs="Arial" w:eastAsia="Arial" w:hAnsi="Arial"/>
                <w:sz w:val="13"/>
                <w:szCs w:val="13"/>
                <w:b w:val="1"/>
                <w:bCs w:val="1"/>
                <w:color w:val="auto"/>
                <w:w w:val="85"/>
              </w:rPr>
              <w:t>December 31,</w:t>
            </w:r>
          </w:p>
        </w:tc>
        <w:tc>
          <w:tcPr>
            <w:tcW w:w="1120" w:type="dxa"/>
            <w:vAlign w:val="bottom"/>
            <w:gridSpan w:val="4"/>
          </w:tcPr>
          <w:p>
            <w:pPr>
              <w:ind w:left="52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50"/>
        </w:trPr>
        <w:tc>
          <w:tcPr>
            <w:tcW w:w="4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96"/>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tcPr>
          <w:p>
            <w:pPr>
              <w:jc w:val="right"/>
              <w:ind w:right="29"/>
              <w:spacing w:after="0" w:line="122" w:lineRule="exact"/>
              <w:rPr>
                <w:sz w:val="20"/>
                <w:szCs w:val="20"/>
                <w:color w:val="auto"/>
              </w:rPr>
            </w:pPr>
            <w:r>
              <w:rPr>
                <w:rFonts w:ascii="Arial" w:cs="Arial" w:eastAsia="Arial" w:hAnsi="Arial"/>
                <w:sz w:val="13"/>
                <w:szCs w:val="13"/>
                <w:b w:val="1"/>
                <w:bCs w:val="1"/>
                <w:color w:val="auto"/>
              </w:rPr>
              <w:t>(in thousands)</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 and related expenses</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Accrued research and development expenses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services</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Accrued property and equipment</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8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5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60" w:type="dxa"/>
            <w:vAlign w:val="bottom"/>
          </w:tcPr>
          <w:p>
            <w:pPr>
              <w:ind w:left="320"/>
              <w:spacing w:after="0"/>
              <w:rPr>
                <w:sz w:val="20"/>
                <w:szCs w:val="20"/>
                <w:color w:val="auto"/>
              </w:rPr>
            </w:pPr>
            <w:r>
              <w:rPr>
                <w:rFonts w:ascii="Arial" w:cs="Arial" w:eastAsia="Arial" w:hAnsi="Arial"/>
                <w:sz w:val="16"/>
                <w:szCs w:val="16"/>
                <w:color w:val="auto"/>
              </w:rPr>
              <w:t>Total accrued expenses and other current liabilities</w:t>
            </w:r>
          </w:p>
        </w:tc>
        <w:tc>
          <w:tcPr>
            <w:tcW w:w="800" w:type="dxa"/>
            <w:vAlign w:val="bottom"/>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5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60"/>
              <w:spacing w:after="0"/>
              <w:rPr>
                <w:sz w:val="20"/>
                <w:szCs w:val="20"/>
                <w:color w:val="auto"/>
              </w:rPr>
            </w:pPr>
            <w:r>
              <w:rPr>
                <w:rFonts w:ascii="Arial" w:cs="Arial" w:eastAsia="Arial" w:hAnsi="Arial"/>
                <w:sz w:val="16"/>
                <w:szCs w:val="16"/>
                <w:color w:val="auto"/>
              </w:rPr>
              <w:t>F-36</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301" w:name="page302"/>
    <w:bookmarkEnd w:id="3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5. Collaboration and License Agreements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License Agreement</w:t>
      </w:r>
    </w:p>
    <w:p>
      <w:pPr>
        <w:spacing w:after="0" w:line="99"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In October 2016, the Company entered into a license agreement with Gladstone Institutes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March 31, 2021, the Company has not recognized any milestone and royalty payments under the Gladstone License Agreement.</w:t>
      </w:r>
    </w:p>
    <w:p>
      <w:pPr>
        <w:spacing w:after="0" w:line="137"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During the three months ended March 31, 2020 and 2021, there were no amounts recorded related to annual license fees payable pursuant to the Gladstone License Agreement.</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University of Texas Southwestern License Agreement</w:t>
      </w:r>
    </w:p>
    <w:p>
      <w:pPr>
        <w:spacing w:after="0" w:line="99" w:lineRule="exact"/>
        <w:rPr>
          <w:sz w:val="20"/>
          <w:szCs w:val="20"/>
          <w:color w:val="auto"/>
        </w:rPr>
      </w:pPr>
    </w:p>
    <w:p>
      <w:pPr>
        <w:ind w:left="820" w:right="140" w:firstLine="385"/>
        <w:spacing w:after="0" w:line="319" w:lineRule="auto"/>
        <w:rPr>
          <w:sz w:val="20"/>
          <w:szCs w:val="20"/>
          <w:color w:val="auto"/>
        </w:rPr>
      </w:pPr>
      <w:r>
        <w:rPr>
          <w:rFonts w:ascii="Arial" w:cs="Arial" w:eastAsia="Arial" w:hAnsi="Arial"/>
          <w:sz w:val="13"/>
          <w:szCs w:val="13"/>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March 31, 2021, the Company has not recognized any milestone and royalty payments under the UTSW License.</w:t>
      </w:r>
    </w:p>
    <w:p>
      <w:pPr>
        <w:spacing w:after="0" w:line="128"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During the three months ended March 31, 2020, the Company recorded research and development expenses of $0.1 million related to the upfront license fee payable pursuant to the UTSW License.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License Agreements</w:t>
      </w:r>
    </w:p>
    <w:p>
      <w:pPr>
        <w:spacing w:after="0" w:line="99"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In addition to the agreements described above, the Company has also entered into other license agreements with various institutions and business entities, none of which are material individually or in the aggregate.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6. Commitments and Contingencies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Facility Leases</w:t>
      </w:r>
    </w:p>
    <w:p>
      <w:pPr>
        <w:spacing w:after="0" w:line="99" w:lineRule="exact"/>
        <w:rPr>
          <w:sz w:val="20"/>
          <w:szCs w:val="20"/>
          <w:color w:val="auto"/>
        </w:rPr>
      </w:pPr>
    </w:p>
    <w:p>
      <w:pPr>
        <w:ind w:left="820" w:right="240" w:firstLine="385"/>
        <w:spacing w:after="0" w:line="281" w:lineRule="auto"/>
        <w:rPr>
          <w:sz w:val="20"/>
          <w:szCs w:val="20"/>
          <w:color w:val="auto"/>
        </w:rPr>
      </w:pPr>
      <w:r>
        <w:rPr>
          <w:rFonts w:ascii="Arial" w:cs="Arial" w:eastAsia="Arial" w:hAnsi="Arial"/>
          <w:sz w:val="15"/>
          <w:szCs w:val="15"/>
          <w:color w:val="auto"/>
        </w:rPr>
        <w:t>In December 2016, the Company entered into a lease agreement for office and laboratory space in South San Francisco, California. The lease expires in May 2025 and the Company may renew the lease term for two additional five-year periods. Pursuant to the lease agreement, the Company received a tenant improvement allowance of $5.8 million in aggregate for leasehold improvements to the facility.</w:t>
      </w:r>
    </w:p>
    <w:p>
      <w:pPr>
        <w:spacing w:after="0" w:line="149"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In December 2020, the Company entered into a short-term sublease agreement for additional office and laboratory space in South San Francisco, California with a lease term that expires on November 30, 2021.</w:t>
      </w:r>
    </w:p>
    <w:p>
      <w:pPr>
        <w:spacing w:after="0" w:line="158"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On January 1, 2021, the Company adopted ASC 842 (see Note 2) and the following disclosures as of and for the three months ended March 31, 2021 are presented under ASC 842. As of March 31, 2021, the remaining lease term was 4.4 years and the incremental borrowing rate used to determine the operating lease liability was 9.0%.</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400"/>
          </w:cols>
          <w:pgMar w:left="320" w:top="418" w:right="1179" w:bottom="1440" w:gutter="0" w:footer="0" w:header="0"/>
        </w:sectPr>
      </w:pPr>
    </w:p>
    <w:bookmarkStart w:id="302" w:name="page303"/>
    <w:bookmarkEnd w:id="3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520" w:firstLine="385"/>
        <w:spacing w:after="0" w:line="256" w:lineRule="auto"/>
        <w:rPr>
          <w:sz w:val="20"/>
          <w:szCs w:val="20"/>
          <w:color w:val="auto"/>
        </w:rPr>
      </w:pPr>
      <w:r>
        <w:rPr>
          <w:rFonts w:ascii="Arial" w:cs="Arial" w:eastAsia="Arial" w:hAnsi="Arial"/>
          <w:sz w:val="16"/>
          <w:szCs w:val="16"/>
          <w:color w:val="auto"/>
        </w:rPr>
        <w:t>For the three months ended March 31, 2021, the Company incurred $1.2 million in rent expense, of which $0.6 million is related to the Company’s short-term lease. Variable lease payments were $0.4 million for the three months ended March 31, 2021. For the three months ended March 31, 2020, the Company incurred $0.6 million in rent expense.</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As of March 31, 2021 the undiscounted future minimum lease payments due under the Company’s non-cancelable operating lease are as follows:</w:t>
      </w:r>
    </w:p>
    <w:p>
      <w:pPr>
        <w:spacing w:after="0" w:line="244" w:lineRule="exact"/>
        <w:rPr>
          <w:sz w:val="20"/>
          <w:szCs w:val="20"/>
          <w:color w:val="auto"/>
        </w:rPr>
      </w:pPr>
    </w:p>
    <w:tbl>
      <w:tblPr>
        <w:tblLayout w:type="fixed"/>
        <w:tblInd w:w="2360" w:type="dxa"/>
        <w:tblCellMar>
          <w:top w:w="0" w:type="dxa"/>
          <w:left w:w="0" w:type="dxa"/>
          <w:bottom w:w="0" w:type="dxa"/>
          <w:right w:w="0" w:type="dxa"/>
        </w:tblCellMar>
      </w:tblPr>
      <w:tr>
        <w:trPr>
          <w:trHeight w:val="150"/>
        </w:trPr>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Amount</w:t>
            </w:r>
          </w:p>
        </w:tc>
      </w:tr>
      <w:tr>
        <w:trPr>
          <w:trHeight w:val="121"/>
        </w:trPr>
        <w:tc>
          <w:tcPr>
            <w:tcW w:w="5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82"/>
              </w:rPr>
              <w:t>(in thousands)</w:t>
            </w:r>
          </w:p>
        </w:tc>
        <w:tc>
          <w:tcPr>
            <w:tcW w:w="100" w:type="dxa"/>
            <w:vAlign w:val="bottom"/>
          </w:tcPr>
          <w:p>
            <w:pPr>
              <w:spacing w:after="0"/>
              <w:rPr>
                <w:sz w:val="10"/>
                <w:szCs w:val="10"/>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2021 (remaining 9 months)</w:t>
            </w: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6"/>
                <w:szCs w:val="16"/>
                <w:color w:val="auto"/>
              </w:rPr>
            </w:pPr>
          </w:p>
        </w:tc>
      </w:tr>
      <w:tr>
        <w:trPr>
          <w:trHeight w:val="192"/>
        </w:trPr>
        <w:tc>
          <w:tcPr>
            <w:tcW w:w="5660" w:type="dxa"/>
            <w:vAlign w:val="bottom"/>
          </w:tcPr>
          <w:p>
            <w:pPr>
              <w:ind w:left="320"/>
              <w:spacing w:after="0"/>
              <w:rPr>
                <w:sz w:val="20"/>
                <w:szCs w:val="20"/>
                <w:color w:val="auto"/>
              </w:rPr>
            </w:pPr>
            <w:r>
              <w:rPr>
                <w:rFonts w:ascii="Arial" w:cs="Arial" w:eastAsia="Arial" w:hAnsi="Arial"/>
                <w:sz w:val="16"/>
                <w:szCs w:val="16"/>
                <w:color w:val="auto"/>
              </w:rPr>
              <w:t>Total undiscounted future minimum lease payments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10,459</w:t>
            </w:r>
          </w:p>
        </w:tc>
        <w:tc>
          <w:tcPr>
            <w:tcW w:w="10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Present value adjustment for minimum lease commitments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(1,733)</w:t>
            </w:r>
          </w:p>
        </w:tc>
      </w:tr>
      <w:tr>
        <w:trPr>
          <w:trHeight w:val="192"/>
        </w:trPr>
        <w:tc>
          <w:tcPr>
            <w:tcW w:w="5660" w:type="dxa"/>
            <w:vAlign w:val="bottom"/>
          </w:tcPr>
          <w:p>
            <w:pPr>
              <w:ind w:left="320"/>
              <w:spacing w:after="0"/>
              <w:rPr>
                <w:sz w:val="20"/>
                <w:szCs w:val="20"/>
                <w:color w:val="auto"/>
              </w:rPr>
            </w:pPr>
            <w:r>
              <w:rPr>
                <w:rFonts w:ascii="Arial" w:cs="Arial" w:eastAsia="Arial" w:hAnsi="Arial"/>
                <w:sz w:val="16"/>
                <w:szCs w:val="16"/>
                <w:color w:val="auto"/>
              </w:rPr>
              <w:t>Total operating lease liabilities</w:t>
            </w: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8,726</w:t>
            </w:r>
          </w:p>
        </w:tc>
        <w:tc>
          <w:tcPr>
            <w:tcW w:w="100" w:type="dxa"/>
            <w:vAlign w:val="bottom"/>
          </w:tcPr>
          <w:p>
            <w:pPr>
              <w:spacing w:after="0"/>
              <w:rPr>
                <w:sz w:val="16"/>
                <w:szCs w:val="16"/>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As of December 31, 2020, undiscounted future minimum lease payments due under the Company’s non-cancelable operating lease are as follows:</w:t>
      </w:r>
    </w:p>
    <w:p>
      <w:pPr>
        <w:spacing w:after="0" w:line="244"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r>
      <w:tr>
        <w:trPr>
          <w:trHeight w:val="121"/>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82"/>
              </w:rPr>
              <w:t>(in thousands)</w:t>
            </w:r>
          </w:p>
        </w:tc>
        <w:tc>
          <w:tcPr>
            <w:tcW w:w="40" w:type="dxa"/>
            <w:vAlign w:val="bottom"/>
          </w:tcPr>
          <w:p>
            <w:pPr>
              <w:spacing w:after="0"/>
              <w:rPr>
                <w:sz w:val="10"/>
                <w:szCs w:val="10"/>
                <w:color w:val="auto"/>
              </w:rPr>
            </w:pPr>
          </w:p>
        </w:tc>
      </w:tr>
      <w:tr>
        <w:trPr>
          <w:trHeight w:val="189"/>
        </w:trPr>
        <w:tc>
          <w:tcPr>
            <w:tcW w:w="6400" w:type="dxa"/>
            <w:vAlign w:val="bottom"/>
            <w:shd w:val="clear" w:color="auto" w:fill="CCEEFF"/>
          </w:tcPr>
          <w:p>
            <w:pPr>
              <w:jc w:val="right"/>
              <w:ind w:right="6001"/>
              <w:spacing w:after="0"/>
              <w:rPr>
                <w:sz w:val="20"/>
                <w:szCs w:val="20"/>
                <w:color w:val="auto"/>
              </w:rPr>
            </w:pPr>
            <w:r>
              <w:rPr>
                <w:rFonts w:ascii="Arial" w:cs="Arial" w:eastAsia="Arial" w:hAnsi="Arial"/>
                <w:sz w:val="16"/>
                <w:szCs w:val="16"/>
                <w:color w:val="auto"/>
                <w:w w:val="84"/>
              </w:rPr>
              <w:t>2021</w:t>
            </w:r>
          </w:p>
        </w:tc>
        <w:tc>
          <w:tcPr>
            <w:tcW w:w="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40" w:type="dxa"/>
            <w:vAlign w:val="bottom"/>
            <w:shd w:val="clear" w:color="auto" w:fill="CCEEFF"/>
          </w:tcPr>
          <w:p>
            <w:pPr>
              <w:spacing w:after="0"/>
              <w:rPr>
                <w:sz w:val="16"/>
                <w:szCs w:val="16"/>
                <w:color w:val="auto"/>
              </w:rPr>
            </w:pPr>
          </w:p>
        </w:tc>
      </w:tr>
      <w:tr>
        <w:trPr>
          <w:trHeight w:val="189"/>
        </w:trPr>
        <w:tc>
          <w:tcPr>
            <w:tcW w:w="6400" w:type="dxa"/>
            <w:vAlign w:val="bottom"/>
          </w:tcPr>
          <w:p>
            <w:pPr>
              <w:jc w:val="right"/>
              <w:ind w:right="6001"/>
              <w:spacing w:after="0"/>
              <w:rPr>
                <w:sz w:val="20"/>
                <w:szCs w:val="20"/>
                <w:color w:val="auto"/>
              </w:rPr>
            </w:pPr>
            <w:r>
              <w:rPr>
                <w:rFonts w:ascii="Arial" w:cs="Arial" w:eastAsia="Arial" w:hAnsi="Arial"/>
                <w:sz w:val="16"/>
                <w:szCs w:val="16"/>
                <w:color w:val="auto"/>
                <w:w w:val="84"/>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Pr>
          <w:p>
            <w:pPr>
              <w:spacing w:after="0"/>
              <w:rPr>
                <w:sz w:val="16"/>
                <w:szCs w:val="16"/>
                <w:color w:val="auto"/>
              </w:rPr>
            </w:pPr>
          </w:p>
        </w:tc>
      </w:tr>
      <w:tr>
        <w:trPr>
          <w:trHeight w:val="189"/>
        </w:trPr>
        <w:tc>
          <w:tcPr>
            <w:tcW w:w="6400" w:type="dxa"/>
            <w:vAlign w:val="bottom"/>
            <w:shd w:val="clear" w:color="auto" w:fill="CCEEFF"/>
          </w:tcPr>
          <w:p>
            <w:pPr>
              <w:jc w:val="right"/>
              <w:ind w:right="6001"/>
              <w:spacing w:after="0"/>
              <w:rPr>
                <w:sz w:val="20"/>
                <w:szCs w:val="20"/>
                <w:color w:val="auto"/>
              </w:rPr>
            </w:pPr>
            <w:r>
              <w:rPr>
                <w:rFonts w:ascii="Arial" w:cs="Arial" w:eastAsia="Arial" w:hAnsi="Arial"/>
                <w:sz w:val="16"/>
                <w:szCs w:val="16"/>
                <w:color w:val="auto"/>
                <w:w w:val="84"/>
              </w:rPr>
              <w:t>2023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40" w:type="dxa"/>
            <w:vAlign w:val="bottom"/>
            <w:shd w:val="clear" w:color="auto" w:fill="CCEEFF"/>
          </w:tcPr>
          <w:p>
            <w:pPr>
              <w:spacing w:after="0"/>
              <w:rPr>
                <w:sz w:val="16"/>
                <w:szCs w:val="16"/>
                <w:color w:val="auto"/>
              </w:rPr>
            </w:pPr>
          </w:p>
        </w:tc>
      </w:tr>
      <w:tr>
        <w:trPr>
          <w:trHeight w:val="189"/>
        </w:trPr>
        <w:tc>
          <w:tcPr>
            <w:tcW w:w="6400" w:type="dxa"/>
            <w:vAlign w:val="bottom"/>
          </w:tcPr>
          <w:p>
            <w:pPr>
              <w:jc w:val="right"/>
              <w:ind w:right="6001"/>
              <w:spacing w:after="0"/>
              <w:rPr>
                <w:sz w:val="20"/>
                <w:szCs w:val="20"/>
                <w:color w:val="auto"/>
              </w:rPr>
            </w:pPr>
            <w:r>
              <w:rPr>
                <w:rFonts w:ascii="Arial" w:cs="Arial" w:eastAsia="Arial" w:hAnsi="Arial"/>
                <w:sz w:val="16"/>
                <w:szCs w:val="16"/>
                <w:color w:val="auto"/>
                <w:w w:val="84"/>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2,363</w:t>
            </w:r>
          </w:p>
        </w:tc>
        <w:tc>
          <w:tcPr>
            <w:tcW w:w="40" w:type="dxa"/>
            <w:vAlign w:val="bottom"/>
          </w:tcPr>
          <w:p>
            <w:pPr>
              <w:spacing w:after="0"/>
              <w:rPr>
                <w:sz w:val="16"/>
                <w:szCs w:val="16"/>
                <w:color w:val="auto"/>
              </w:rPr>
            </w:pPr>
          </w:p>
        </w:tc>
      </w:tr>
      <w:tr>
        <w:trPr>
          <w:trHeight w:val="189"/>
        </w:trPr>
        <w:tc>
          <w:tcPr>
            <w:tcW w:w="6400" w:type="dxa"/>
            <w:vAlign w:val="bottom"/>
            <w:shd w:val="clear" w:color="auto" w:fill="CCEEFF"/>
          </w:tcPr>
          <w:p>
            <w:pPr>
              <w:jc w:val="right"/>
              <w:ind w:right="6001"/>
              <w:spacing w:after="0"/>
              <w:rPr>
                <w:sz w:val="20"/>
                <w:szCs w:val="20"/>
                <w:color w:val="auto"/>
              </w:rPr>
            </w:pPr>
            <w:r>
              <w:rPr>
                <w:rFonts w:ascii="Arial" w:cs="Arial" w:eastAsia="Arial" w:hAnsi="Arial"/>
                <w:sz w:val="16"/>
                <w:szCs w:val="16"/>
                <w:color w:val="auto"/>
                <w:w w:val="84"/>
              </w:rPr>
              <w:t>2025</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40" w:type="dxa"/>
            <w:vAlign w:val="bottom"/>
            <w:shd w:val="clear" w:color="auto" w:fill="CCEEFF"/>
          </w:tcPr>
          <w:p>
            <w:pPr>
              <w:spacing w:after="0"/>
              <w:rPr>
                <w:sz w:val="16"/>
                <w:szCs w:val="16"/>
                <w:color w:val="auto"/>
              </w:rPr>
            </w:pPr>
          </w:p>
        </w:tc>
      </w:tr>
      <w:tr>
        <w:trPr>
          <w:trHeight w:val="192"/>
        </w:trPr>
        <w:tc>
          <w:tcPr>
            <w:tcW w:w="6400" w:type="dxa"/>
            <w:vAlign w:val="bottom"/>
          </w:tcPr>
          <w:p>
            <w:pPr>
              <w:jc w:val="right"/>
              <w:ind w:right="3621"/>
              <w:spacing w:after="0"/>
              <w:rPr>
                <w:sz w:val="20"/>
                <w:szCs w:val="20"/>
                <w:color w:val="auto"/>
              </w:rPr>
            </w:pPr>
            <w:r>
              <w:rPr>
                <w:rFonts w:ascii="Arial" w:cs="Arial" w:eastAsia="Arial" w:hAnsi="Arial"/>
                <w:sz w:val="16"/>
                <w:szCs w:val="16"/>
                <w:color w:val="auto"/>
              </w:rPr>
              <w:t>Total future minimum lease payments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11,603</w:t>
            </w:r>
          </w:p>
        </w:tc>
        <w:tc>
          <w:tcPr>
            <w:tcW w:w="40" w:type="dxa"/>
            <w:vAlign w:val="bottom"/>
          </w:tcPr>
          <w:p>
            <w:pPr>
              <w:spacing w:after="0"/>
              <w:rPr>
                <w:sz w:val="16"/>
                <w:szCs w:val="16"/>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40" w:firstLine="385"/>
        <w:spacing w:after="0" w:line="329" w:lineRule="auto"/>
        <w:rPr>
          <w:sz w:val="20"/>
          <w:szCs w:val="20"/>
          <w:color w:val="auto"/>
        </w:rPr>
      </w:pPr>
      <w:r>
        <w:rPr>
          <w:rFonts w:ascii="Arial" w:cs="Arial" w:eastAsia="Arial" w:hAnsi="Arial"/>
          <w:sz w:val="13"/>
          <w:szCs w:val="13"/>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condensed balance sheets. The total undiscounted future minimum lease payments associated with this operating lease are $13.9 million and are not included in the table above.</w:t>
      </w:r>
    </w:p>
    <w:p>
      <w:pPr>
        <w:spacing w:after="0" w:line="123" w:lineRule="exact"/>
        <w:rPr>
          <w:sz w:val="20"/>
          <w:szCs w:val="20"/>
          <w:color w:val="auto"/>
        </w:rPr>
      </w:pPr>
    </w:p>
    <w:p>
      <w:pPr>
        <w:ind w:left="820" w:right="280" w:firstLine="385"/>
        <w:spacing w:after="0" w:line="311" w:lineRule="auto"/>
        <w:rPr>
          <w:sz w:val="20"/>
          <w:szCs w:val="20"/>
          <w:color w:val="auto"/>
        </w:rPr>
      </w:pPr>
      <w:r>
        <w:rPr>
          <w:rFonts w:ascii="Arial" w:cs="Arial" w:eastAsia="Arial" w:hAnsi="Arial"/>
          <w:sz w:val="13"/>
          <w:szCs w:val="13"/>
          <w:color w:val="auto"/>
        </w:rPr>
        <w:t>The Company has previously entered into agreements to sublease portions of the Company’s facilities in South San Francisco to two different subtenants, both of which expired as of December 31, 2020. Pursuant to the sublease agreements, the Company received sublease income of</w:t>
      </w:r>
    </w:p>
    <w:p>
      <w:pPr>
        <w:spacing w:after="0" w:line="1"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$0.2 million during the three months ended March 31, 2020, which is included in other income (expense), net on the condensed statements of operations and comprehensive loss.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99" w:lineRule="exact"/>
        <w:rPr>
          <w:sz w:val="20"/>
          <w:szCs w:val="20"/>
          <w:color w:val="auto"/>
        </w:rPr>
      </w:pPr>
    </w:p>
    <w:p>
      <w:pPr>
        <w:ind w:left="820" w:right="180" w:firstLine="385"/>
        <w:spacing w:after="0" w:line="343" w:lineRule="auto"/>
        <w:rPr>
          <w:sz w:val="20"/>
          <w:szCs w:val="20"/>
          <w:color w:val="auto"/>
        </w:rPr>
      </w:pPr>
      <w:r>
        <w:rPr>
          <w:rFonts w:ascii="Arial" w:cs="Arial" w:eastAsia="Arial" w:hAnsi="Arial"/>
          <w:sz w:val="13"/>
          <w:szCs w:val="13"/>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5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400"/>
          </w:cols>
          <w:pgMar w:left="320" w:top="418" w:right="1179" w:bottom="1440" w:gutter="0" w:footer="0" w:header="0"/>
        </w:sectPr>
      </w:pPr>
    </w:p>
    <w:bookmarkStart w:id="303" w:name="page304"/>
    <w:bookmarkEnd w:id="3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Indemnification</w:t>
      </w:r>
    </w:p>
    <w:p>
      <w:pPr>
        <w:spacing w:after="0" w:line="99"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2020 and March 31, 2021, the Company does not have any material indemnification claims that were probable or reasonably possible and, consequently, has not recorded any related liabilities.</w:t>
      </w:r>
    </w:p>
    <w:p>
      <w:pPr>
        <w:spacing w:after="0" w:line="222" w:lineRule="exact"/>
        <w:rPr>
          <w:sz w:val="20"/>
          <w:szCs w:val="20"/>
          <w:color w:val="auto"/>
        </w:rPr>
      </w:pPr>
    </w:p>
    <w:p>
      <w:pPr>
        <w:ind w:left="980" w:hanging="166"/>
        <w:spacing w:after="0"/>
        <w:tabs>
          <w:tab w:leader="none" w:pos="980" w:val="left"/>
        </w:tabs>
        <w:numPr>
          <w:ilvl w:val="0"/>
          <w:numId w:val="155"/>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Convertible Preferred Stock</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B Convertible Preferred Stock Financing</w:t>
      </w:r>
    </w:p>
    <w:p>
      <w:pPr>
        <w:spacing w:after="0" w:line="99" w:lineRule="exact"/>
        <w:rPr>
          <w:sz w:val="20"/>
          <w:szCs w:val="20"/>
          <w:color w:val="auto"/>
        </w:rPr>
      </w:pPr>
    </w:p>
    <w:p>
      <w:pPr>
        <w:ind w:left="820" w:right="120" w:firstLine="385"/>
        <w:spacing w:after="0" w:line="251" w:lineRule="auto"/>
        <w:rPr>
          <w:sz w:val="20"/>
          <w:szCs w:val="20"/>
          <w:color w:val="auto"/>
        </w:rPr>
      </w:pPr>
      <w:r>
        <w:rPr>
          <w:rFonts w:ascii="Arial" w:cs="Arial" w:eastAsia="Arial" w:hAnsi="Arial"/>
          <w:sz w:val="16"/>
          <w:szCs w:val="16"/>
          <w:color w:val="auto"/>
        </w:rPr>
        <w:t>In August 2019, the Company entered into a Series B preferred stock purchase agreement (Series B SPA) for the issuance of up to 55,555,527 shares of the Company’s Series B convertible preferred stock at a purchase price of $1.656 per share in multiple closings. The Company completed the initial closing in August 2019, whereby 18,518,509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70" w:lineRule="exact"/>
        <w:rPr>
          <w:sz w:val="20"/>
          <w:szCs w:val="20"/>
          <w:color w:val="auto"/>
        </w:rPr>
      </w:pPr>
    </w:p>
    <w:p>
      <w:pPr>
        <w:ind w:left="820" w:right="40" w:firstLine="385"/>
        <w:spacing w:after="0" w:line="323" w:lineRule="auto"/>
        <w:rPr>
          <w:sz w:val="20"/>
          <w:szCs w:val="20"/>
          <w:color w:val="auto"/>
        </w:rPr>
      </w:pPr>
      <w:r>
        <w:rPr>
          <w:rFonts w:ascii="Arial" w:cs="Arial" w:eastAsia="Arial" w:hAnsi="Arial"/>
          <w:sz w:val="13"/>
          <w:szCs w:val="13"/>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 convertible preferred stock. Any changes in fair value of the convertible preferred stock tranche liability in subsequent reporting periods are recognized as a component of other income (expense), net in the statements of operations and comprehensive loss (see Note 3).</w:t>
      </w:r>
    </w:p>
    <w:p>
      <w:pPr>
        <w:spacing w:after="0" w:line="126"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In March 2020, the Company completed its second closing of Series B convertible preferred stock financing and issued 18,518,509 shares of Series B convertible preferred stock at the fixed purchase price of $1.656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54"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In August 2020, the Company completed its third closing of Series B convertible preferred stock financing and issued 18,518,509 shares of Series B convertible preferred stock at the purchase price of $1.656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C Convertible Preferred Stock Financing</w:t>
      </w:r>
    </w:p>
    <w:p>
      <w:pPr>
        <w:spacing w:after="0" w:line="9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In December 2020, the Company entered into a Series C preferred stock purchase agreement (Series C SPA) for the issuance of up to 51,158,291 shares of the Company’s Series C convertible preferred stock at a purchase price of $2.072 per share in two closings. The Company completed the initial closing in December 2020,</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0420"/>
          </w:cols>
          <w:pgMar w:left="320" w:top="418" w:right="1159" w:bottom="1440" w:gutter="0" w:footer="0" w:header="0"/>
        </w:sectPr>
      </w:pPr>
    </w:p>
    <w:bookmarkStart w:id="304" w:name="page305"/>
    <w:bookmarkEnd w:id="3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whereby 41,505,782 shares of Series C convertible preferred stock were issued for gross proceeds of $86.0 million.</w:t>
      </w:r>
    </w:p>
    <w:p>
      <w:pPr>
        <w:spacing w:after="0" w:line="193" w:lineRule="exact"/>
        <w:rPr>
          <w:sz w:val="20"/>
          <w:szCs w:val="20"/>
          <w:color w:val="auto"/>
        </w:rPr>
      </w:pPr>
    </w:p>
    <w:p>
      <w:pPr>
        <w:ind w:left="820" w:right="120" w:firstLine="385"/>
        <w:spacing w:after="0" w:line="266" w:lineRule="auto"/>
        <w:rPr>
          <w:sz w:val="20"/>
          <w:szCs w:val="20"/>
          <w:color w:val="auto"/>
        </w:rPr>
      </w:pPr>
      <w:r>
        <w:rPr>
          <w:rFonts w:ascii="Arial" w:cs="Arial" w:eastAsia="Arial" w:hAnsi="Arial"/>
          <w:sz w:val="16"/>
          <w:szCs w:val="16"/>
          <w:color w:val="auto"/>
        </w:rPr>
        <w:t>In January 2021, the Company sold an additional 9,652,509 shares of Series C convertible preferred stock at a purchase price of $2.072 per share for gross proceeds of $20.0 million.</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Company’s convertible preferred stock consists of the following:</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8"/>
                <w:szCs w:val="8"/>
                <w:color w:val="auto"/>
              </w:rPr>
            </w:pPr>
          </w:p>
        </w:tc>
        <w:tc>
          <w:tcPr>
            <w:tcW w:w="106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Shares Issued and</w:t>
            </w:r>
          </w:p>
        </w:tc>
        <w:tc>
          <w:tcPr>
            <w:tcW w:w="240" w:type="dxa"/>
            <w:vAlign w:val="bottom"/>
          </w:tcPr>
          <w:p>
            <w:pPr>
              <w:spacing w:after="0"/>
              <w:rPr>
                <w:sz w:val="8"/>
                <w:szCs w:val="8"/>
                <w:color w:val="auto"/>
              </w:rPr>
            </w:pPr>
          </w:p>
        </w:tc>
        <w:tc>
          <w:tcPr>
            <w:tcW w:w="78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4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Authorized</w:t>
            </w:r>
          </w:p>
        </w:tc>
        <w:tc>
          <w:tcPr>
            <w:tcW w:w="220" w:type="dxa"/>
            <w:vAlign w:val="bottom"/>
          </w:tcPr>
          <w:p>
            <w:pPr>
              <w:spacing w:after="0"/>
              <w:rPr>
                <w:sz w:val="13"/>
                <w:szCs w:val="13"/>
                <w:color w:val="auto"/>
              </w:rPr>
            </w:pPr>
          </w:p>
        </w:tc>
        <w:tc>
          <w:tcPr>
            <w:tcW w:w="1060" w:type="dxa"/>
            <w:vAlign w:val="bottom"/>
          </w:tcPr>
          <w:p>
            <w:pPr>
              <w:ind w:left="200"/>
              <w:spacing w:after="0"/>
              <w:rPr>
                <w:sz w:val="20"/>
                <w:szCs w:val="20"/>
                <w:color w:val="auto"/>
              </w:rPr>
            </w:pPr>
            <w:r>
              <w:rPr>
                <w:rFonts w:ascii="Arial" w:cs="Arial" w:eastAsia="Arial" w:hAnsi="Arial"/>
                <w:sz w:val="13"/>
                <w:szCs w:val="13"/>
                <w:b w:val="1"/>
                <w:bCs w:val="1"/>
                <w:color w:val="auto"/>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center"/>
              <w:ind w:right="125"/>
              <w:spacing w:after="0"/>
              <w:rPr>
                <w:sz w:val="20"/>
                <w:szCs w:val="20"/>
                <w:color w:val="auto"/>
              </w:rPr>
            </w:pPr>
            <w:r>
              <w:rPr>
                <w:rFonts w:ascii="Arial" w:cs="Arial" w:eastAsia="Arial" w:hAnsi="Arial"/>
                <w:sz w:val="13"/>
                <w:szCs w:val="13"/>
                <w:b w:val="1"/>
                <w:bCs w:val="1"/>
                <w:color w:val="auto"/>
                <w:w w:val="86"/>
              </w:rPr>
              <w:t>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4"/>
          </w:tcPr>
          <w:p>
            <w:pPr>
              <w:ind w:left="200"/>
              <w:spacing w:after="0" w:line="122" w:lineRule="exact"/>
              <w:rPr>
                <w:sz w:val="20"/>
                <w:szCs w:val="20"/>
                <w:color w:val="auto"/>
              </w:rPr>
            </w:pPr>
            <w:r>
              <w:rPr>
                <w:rFonts w:ascii="Arial" w:cs="Arial" w:eastAsia="Arial" w:hAnsi="Arial"/>
                <w:sz w:val="13"/>
                <w:szCs w:val="13"/>
                <w:b w:val="1"/>
                <w:bCs w:val="1"/>
                <w:color w:val="auto"/>
              </w:rPr>
              <w:t>(in thousands, except shares)</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A</w:t>
            </w:r>
          </w:p>
        </w:tc>
        <w:tc>
          <w:tcPr>
            <w:tcW w:w="900" w:type="dxa"/>
            <w:vAlign w:val="bottom"/>
          </w:tcPr>
          <w:p>
            <w:pPr>
              <w:jc w:val="right"/>
              <w:spacing w:after="0"/>
              <w:rPr>
                <w:sz w:val="20"/>
                <w:szCs w:val="20"/>
                <w:color w:val="auto"/>
              </w:rPr>
            </w:pPr>
            <w:r>
              <w:rPr>
                <w:rFonts w:ascii="Arial" w:cs="Arial" w:eastAsia="Arial" w:hAnsi="Arial"/>
                <w:sz w:val="16"/>
                <w:szCs w:val="16"/>
                <w:color w:val="auto"/>
              </w:rPr>
              <w:t>49,900,000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49,900,000</w:t>
            </w:r>
          </w:p>
        </w:tc>
        <w:tc>
          <w:tcPr>
            <w:tcW w:w="44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43,393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41,505,782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85,717</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156,613,818</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146,961,309</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220,754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227,900</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b w:val="1"/>
                <w:bCs w:val="1"/>
                <w:color w:val="auto"/>
              </w:rPr>
              <w:t>March 31,</w:t>
            </w:r>
          </w:p>
        </w:tc>
        <w:tc>
          <w:tcPr>
            <w:tcW w:w="440" w:type="dxa"/>
            <w:vAlign w:val="bottom"/>
            <w:tcBorders>
              <w:bottom w:val="single" w:sz="8" w:color="auto"/>
            </w:tcBorders>
            <w:gridSpan w:val="2"/>
          </w:tcPr>
          <w:p>
            <w:pPr>
              <w:jc w:val="right"/>
              <w:ind w:right="68"/>
              <w:spacing w:after="0" w:line="117"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8"/>
                <w:szCs w:val="8"/>
                <w:color w:val="auto"/>
              </w:rPr>
            </w:pPr>
          </w:p>
        </w:tc>
        <w:tc>
          <w:tcPr>
            <w:tcW w:w="106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Shares Issued and</w:t>
            </w:r>
          </w:p>
        </w:tc>
        <w:tc>
          <w:tcPr>
            <w:tcW w:w="240" w:type="dxa"/>
            <w:vAlign w:val="bottom"/>
          </w:tcPr>
          <w:p>
            <w:pPr>
              <w:spacing w:after="0"/>
              <w:rPr>
                <w:sz w:val="8"/>
                <w:szCs w:val="8"/>
                <w:color w:val="auto"/>
              </w:rPr>
            </w:pPr>
          </w:p>
        </w:tc>
        <w:tc>
          <w:tcPr>
            <w:tcW w:w="78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4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Authorized</w:t>
            </w:r>
          </w:p>
        </w:tc>
        <w:tc>
          <w:tcPr>
            <w:tcW w:w="220" w:type="dxa"/>
            <w:vAlign w:val="bottom"/>
          </w:tcPr>
          <w:p>
            <w:pPr>
              <w:spacing w:after="0"/>
              <w:rPr>
                <w:sz w:val="13"/>
                <w:szCs w:val="13"/>
                <w:color w:val="auto"/>
              </w:rPr>
            </w:pPr>
          </w:p>
        </w:tc>
        <w:tc>
          <w:tcPr>
            <w:tcW w:w="1060" w:type="dxa"/>
            <w:vAlign w:val="bottom"/>
          </w:tcPr>
          <w:p>
            <w:pPr>
              <w:ind w:left="200"/>
              <w:spacing w:after="0"/>
              <w:rPr>
                <w:sz w:val="20"/>
                <w:szCs w:val="20"/>
                <w:color w:val="auto"/>
              </w:rPr>
            </w:pPr>
            <w:r>
              <w:rPr>
                <w:rFonts w:ascii="Arial" w:cs="Arial" w:eastAsia="Arial" w:hAnsi="Arial"/>
                <w:sz w:val="13"/>
                <w:szCs w:val="13"/>
                <w:b w:val="1"/>
                <w:bCs w:val="1"/>
                <w:color w:val="auto"/>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center"/>
              <w:ind w:right="125"/>
              <w:spacing w:after="0"/>
              <w:rPr>
                <w:sz w:val="20"/>
                <w:szCs w:val="20"/>
                <w:color w:val="auto"/>
              </w:rPr>
            </w:pPr>
            <w:r>
              <w:rPr>
                <w:rFonts w:ascii="Arial" w:cs="Arial" w:eastAsia="Arial" w:hAnsi="Arial"/>
                <w:sz w:val="13"/>
                <w:szCs w:val="13"/>
                <w:b w:val="1"/>
                <w:bCs w:val="1"/>
                <w:color w:val="auto"/>
                <w:w w:val="86"/>
              </w:rPr>
              <w:t>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4"/>
          </w:tcPr>
          <w:p>
            <w:pPr>
              <w:ind w:left="200"/>
              <w:spacing w:after="0" w:line="122" w:lineRule="exact"/>
              <w:rPr>
                <w:sz w:val="20"/>
                <w:szCs w:val="20"/>
                <w:color w:val="auto"/>
              </w:rPr>
            </w:pPr>
            <w:r>
              <w:rPr>
                <w:rFonts w:ascii="Arial" w:cs="Arial" w:eastAsia="Arial" w:hAnsi="Arial"/>
                <w:sz w:val="13"/>
                <w:szCs w:val="13"/>
                <w:b w:val="1"/>
                <w:bCs w:val="1"/>
                <w:color w:val="auto"/>
              </w:rPr>
              <w:t>(in thousands, except shares)</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A</w:t>
            </w:r>
          </w:p>
        </w:tc>
        <w:tc>
          <w:tcPr>
            <w:tcW w:w="900" w:type="dxa"/>
            <w:vAlign w:val="bottom"/>
          </w:tcPr>
          <w:p>
            <w:pPr>
              <w:jc w:val="right"/>
              <w:spacing w:after="0"/>
              <w:rPr>
                <w:sz w:val="20"/>
                <w:szCs w:val="20"/>
                <w:color w:val="auto"/>
              </w:rPr>
            </w:pPr>
            <w:r>
              <w:rPr>
                <w:rFonts w:ascii="Arial" w:cs="Arial" w:eastAsia="Arial" w:hAnsi="Arial"/>
                <w:sz w:val="16"/>
                <w:szCs w:val="16"/>
                <w:color w:val="auto"/>
              </w:rPr>
              <w:t>49,900,000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49,900,000</w:t>
            </w:r>
          </w:p>
        </w:tc>
        <w:tc>
          <w:tcPr>
            <w:tcW w:w="44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43,393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105,698</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156,613,818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156,613,818</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240,735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247,900</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 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8. Common Stock</w:t>
      </w:r>
    </w:p>
    <w:p>
      <w:pPr>
        <w:spacing w:after="0" w:line="103"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condensed balance sheets and condensed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 As of December 31, 2020 and March 31, 2021, outstanding common stock included 828,825 and 609,599 shares, respectively, related to early exercised stock options and restricted stock that are unvested and subject to repurchase.</w:t>
      </w:r>
    </w:p>
    <w:p>
      <w:pPr>
        <w:spacing w:after="0" w:line="6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0440"/>
          </w:cols>
          <w:pgMar w:left="320" w:top="418" w:right="1139" w:bottom="1440" w:gutter="0" w:footer="0" w:header="0"/>
        </w:sectPr>
      </w:pPr>
    </w:p>
    <w:bookmarkStart w:id="305" w:name="page306"/>
    <w:bookmarkEnd w:id="3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 has reserved the following shares of common stock for issuance, on an as-if converted basis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920" w:type="dxa"/>
            <w:vAlign w:val="bottom"/>
          </w:tcPr>
          <w:p>
            <w:pPr>
              <w:spacing w:after="0"/>
              <w:rPr>
                <w:sz w:val="13"/>
                <w:szCs w:val="13"/>
                <w:color w:val="auto"/>
              </w:rPr>
            </w:pPr>
          </w:p>
        </w:tc>
        <w:tc>
          <w:tcPr>
            <w:tcW w:w="1180" w:type="dxa"/>
            <w:vAlign w:val="bottom"/>
          </w:tcPr>
          <w:p>
            <w:pPr>
              <w:jc w:val="right"/>
              <w:ind w:right="167"/>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280" w:type="dxa"/>
            <w:vAlign w:val="bottom"/>
            <w:gridSpan w:val="2"/>
          </w:tcPr>
          <w:p>
            <w:pPr>
              <w:ind w:left="320"/>
              <w:spacing w:after="0"/>
              <w:rPr>
                <w:sz w:val="20"/>
                <w:szCs w:val="20"/>
                <w:color w:val="auto"/>
              </w:rPr>
            </w:pPr>
            <w:r>
              <w:rPr>
                <w:rFonts w:ascii="Arial" w:cs="Arial" w:eastAsia="Arial" w:hAnsi="Arial"/>
                <w:sz w:val="13"/>
                <w:szCs w:val="13"/>
                <w:b w:val="1"/>
                <w:bCs w:val="1"/>
                <w:color w:val="auto"/>
              </w:rPr>
              <w:t>March 31,</w:t>
            </w:r>
          </w:p>
        </w:tc>
      </w:tr>
      <w:tr>
        <w:trPr>
          <w:trHeight w:val="150"/>
        </w:trPr>
        <w:tc>
          <w:tcPr>
            <w:tcW w:w="6920" w:type="dxa"/>
            <w:vAlign w:val="bottom"/>
          </w:tcPr>
          <w:p>
            <w:pPr>
              <w:spacing w:after="0"/>
              <w:rPr>
                <w:sz w:val="13"/>
                <w:szCs w:val="13"/>
                <w:color w:val="auto"/>
              </w:rPr>
            </w:pPr>
          </w:p>
        </w:tc>
        <w:tc>
          <w:tcPr>
            <w:tcW w:w="1180" w:type="dxa"/>
            <w:vAlign w:val="bottom"/>
          </w:tcPr>
          <w:p>
            <w:pPr>
              <w:jc w:val="right"/>
              <w:ind w:right="407"/>
              <w:spacing w:after="0"/>
              <w:rPr>
                <w:sz w:val="20"/>
                <w:szCs w:val="20"/>
                <w:color w:val="auto"/>
              </w:rPr>
            </w:pPr>
            <w:r>
              <w:rPr>
                <w:rFonts w:ascii="Arial" w:cs="Arial" w:eastAsia="Arial" w:hAnsi="Arial"/>
                <w:sz w:val="13"/>
                <w:szCs w:val="13"/>
                <w:b w:val="1"/>
                <w:bCs w:val="1"/>
                <w:color w:val="auto"/>
              </w:rPr>
              <w:t>2020</w:t>
            </w:r>
          </w:p>
        </w:tc>
        <w:tc>
          <w:tcPr>
            <w:tcW w:w="1440" w:type="dxa"/>
            <w:vAlign w:val="bottom"/>
            <w:gridSpan w:val="2"/>
          </w:tcPr>
          <w:p>
            <w:pPr>
              <w:jc w:val="right"/>
              <w:ind w:right="40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r>
      <w:tr>
        <w:trPr>
          <w:trHeight w:val="180"/>
        </w:trPr>
        <w:tc>
          <w:tcPr>
            <w:tcW w:w="69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Conversion of outstanding shares of convertible preferred stock</w:t>
            </w:r>
          </w:p>
        </w:tc>
        <w:tc>
          <w:tcPr>
            <w:tcW w:w="11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146,961,309</w:t>
            </w:r>
          </w:p>
        </w:tc>
        <w:tc>
          <w:tcPr>
            <w:tcW w:w="2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156,613,818</w:t>
            </w: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6920" w:type="dxa"/>
            <w:vAlign w:val="bottom"/>
          </w:tcPr>
          <w:p>
            <w:pPr>
              <w:spacing w:after="0"/>
              <w:rPr>
                <w:sz w:val="20"/>
                <w:szCs w:val="20"/>
                <w:color w:val="auto"/>
              </w:rPr>
            </w:pPr>
            <w:r>
              <w:rPr>
                <w:rFonts w:ascii="Arial" w:cs="Arial" w:eastAsia="Arial" w:hAnsi="Arial"/>
                <w:sz w:val="16"/>
                <w:szCs w:val="16"/>
                <w:color w:val="auto"/>
              </w:rPr>
              <w:t>Options outstanding under the 2016 Plan</w:t>
            </w:r>
          </w:p>
        </w:tc>
        <w:tc>
          <w:tcPr>
            <w:tcW w:w="1180" w:type="dxa"/>
            <w:vAlign w:val="bottom"/>
          </w:tcPr>
          <w:p>
            <w:pPr>
              <w:jc w:val="right"/>
              <w:spacing w:after="0"/>
              <w:rPr>
                <w:sz w:val="20"/>
                <w:szCs w:val="20"/>
                <w:color w:val="auto"/>
              </w:rPr>
            </w:pPr>
            <w:r>
              <w:rPr>
                <w:rFonts w:ascii="Arial" w:cs="Arial" w:eastAsia="Arial" w:hAnsi="Arial"/>
                <w:sz w:val="16"/>
                <w:szCs w:val="16"/>
                <w:color w:val="auto"/>
              </w:rPr>
              <w:t>6,965,000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10,368,032</w:t>
            </w:r>
          </w:p>
        </w:tc>
        <w:tc>
          <w:tcPr>
            <w:tcW w:w="80" w:type="dxa"/>
            <w:vAlign w:val="bottom"/>
          </w:tcPr>
          <w:p>
            <w:pPr>
              <w:spacing w:after="0"/>
              <w:rPr>
                <w:sz w:val="16"/>
                <w:szCs w:val="16"/>
                <w:color w:val="auto"/>
              </w:rPr>
            </w:pPr>
          </w:p>
        </w:tc>
      </w:tr>
      <w:tr>
        <w:trPr>
          <w:trHeight w:val="18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Options available for future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2,473,024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2,275,357</w:t>
            </w:r>
          </w:p>
        </w:tc>
        <w:tc>
          <w:tcPr>
            <w:tcW w:w="80" w:type="dxa"/>
            <w:vAlign w:val="bottom"/>
            <w:shd w:val="clear" w:color="auto" w:fill="CCEEFF"/>
          </w:tcPr>
          <w:p>
            <w:pPr>
              <w:spacing w:after="0"/>
              <w:rPr>
                <w:sz w:val="16"/>
                <w:szCs w:val="16"/>
                <w:color w:val="auto"/>
              </w:rPr>
            </w:pPr>
          </w:p>
        </w:tc>
      </w:tr>
      <w:tr>
        <w:trPr>
          <w:trHeight w:val="192"/>
        </w:trPr>
        <w:tc>
          <w:tcPr>
            <w:tcW w:w="6920" w:type="dxa"/>
            <w:vAlign w:val="bottom"/>
          </w:tcPr>
          <w:p>
            <w:pPr>
              <w:ind w:left="30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156,399,333</w:t>
            </w:r>
          </w:p>
        </w:tc>
        <w:tc>
          <w:tcPr>
            <w:tcW w:w="2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169,257,207</w:t>
            </w:r>
          </w:p>
        </w:tc>
        <w:tc>
          <w:tcPr>
            <w:tcW w:w="80" w:type="dxa"/>
            <w:vAlign w:val="bottom"/>
          </w:tcPr>
          <w:p>
            <w:pPr>
              <w:spacing w:after="0"/>
              <w:rPr>
                <w:sz w:val="16"/>
                <w:szCs w:val="16"/>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9. Stock-Based Compensation</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99" w:lineRule="exact"/>
        <w:rPr>
          <w:sz w:val="20"/>
          <w:szCs w:val="20"/>
          <w:color w:val="auto"/>
        </w:rPr>
      </w:pPr>
    </w:p>
    <w:p>
      <w:pPr>
        <w:ind w:left="820" w:right="500" w:firstLine="385"/>
        <w:spacing w:after="0" w:line="256" w:lineRule="auto"/>
        <w:rPr>
          <w:sz w:val="20"/>
          <w:szCs w:val="20"/>
          <w:color w:val="auto"/>
        </w:rPr>
      </w:pPr>
      <w:r>
        <w:rPr>
          <w:rFonts w:ascii="Arial" w:cs="Arial" w:eastAsia="Arial" w:hAnsi="Arial"/>
          <w:sz w:val="16"/>
          <w:szCs w:val="16"/>
          <w:color w:val="auto"/>
        </w:rPr>
        <w:t>In October 2016, the Company adopted the 2016 Equity Incentive Plan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7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Total shares reserved and available for grant under the 2016 Plan as of March 31, 2021 are 2,275,357.</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stock option activity under the 2016 Plan:</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3"/>
          </w:tcPr>
          <w:p>
            <w:pPr>
              <w:ind w:left="240"/>
              <w:spacing w:after="0"/>
              <w:rPr>
                <w:sz w:val="20"/>
                <w:szCs w:val="20"/>
                <w:color w:val="auto"/>
              </w:rPr>
            </w:pPr>
            <w:r>
              <w:rPr>
                <w:rFonts w:ascii="Arial" w:cs="Arial" w:eastAsia="Arial" w:hAnsi="Arial"/>
                <w:sz w:val="13"/>
                <w:szCs w:val="13"/>
                <w:b w:val="1"/>
                <w:bCs w:val="1"/>
                <w:color w:val="auto"/>
                <w:w w:val="85"/>
              </w:rPr>
              <w:t>Weighted-</w:t>
            </w:r>
          </w:p>
        </w:tc>
        <w:tc>
          <w:tcPr>
            <w:tcW w:w="4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460" w:type="dxa"/>
            <w:vAlign w:val="bottom"/>
          </w:tcPr>
          <w:p>
            <w:pPr>
              <w:spacing w:after="0"/>
              <w:rPr>
                <w:sz w:val="11"/>
                <w:szCs w:val="11"/>
                <w:color w:val="auto"/>
              </w:rPr>
            </w:pP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40" w:type="dxa"/>
            <w:vAlign w:val="bottom"/>
            <w:gridSpan w:val="2"/>
          </w:tcPr>
          <w:p>
            <w:pPr>
              <w:jc w:val="center"/>
              <w:ind w:right="280"/>
              <w:spacing w:after="0" w:line="130" w:lineRule="exact"/>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1"/>
                <w:szCs w:val="11"/>
                <w:color w:val="auto"/>
              </w:rPr>
            </w:pPr>
          </w:p>
        </w:tc>
        <w:tc>
          <w:tcPr>
            <w:tcW w:w="5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5"/>
              </w:rPr>
              <w:t>Exercise</w:t>
            </w:r>
          </w:p>
        </w:tc>
        <w:tc>
          <w:tcPr>
            <w:tcW w:w="460" w:type="dxa"/>
            <w:vAlign w:val="bottom"/>
          </w:tcPr>
          <w:p>
            <w:pPr>
              <w:spacing w:after="0"/>
              <w:rPr>
                <w:sz w:val="11"/>
                <w:szCs w:val="11"/>
                <w:color w:val="auto"/>
              </w:rPr>
            </w:pP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Remaining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40" w:type="dxa"/>
            <w:vAlign w:val="bottom"/>
            <w:gridSpan w:val="2"/>
          </w:tcPr>
          <w:p>
            <w:pPr>
              <w:jc w:val="center"/>
              <w:ind w:right="280"/>
              <w:spacing w:after="0" w:line="130" w:lineRule="exact"/>
              <w:rPr>
                <w:sz w:val="20"/>
                <w:szCs w:val="20"/>
                <w:color w:val="auto"/>
              </w:rPr>
            </w:pPr>
            <w:r>
              <w:rPr>
                <w:rFonts w:ascii="Arial" w:cs="Arial" w:eastAsia="Arial" w:hAnsi="Arial"/>
                <w:sz w:val="13"/>
                <w:szCs w:val="13"/>
                <w:b w:val="1"/>
                <w:bCs w:val="1"/>
                <w:color w:val="auto"/>
                <w:w w:val="89"/>
              </w:rPr>
              <w:t>Options</w:t>
            </w:r>
          </w:p>
        </w:tc>
        <w:tc>
          <w:tcPr>
            <w:tcW w:w="240" w:type="dxa"/>
            <w:vAlign w:val="bottom"/>
          </w:tcPr>
          <w:p>
            <w:pPr>
              <w:spacing w:after="0"/>
              <w:rPr>
                <w:sz w:val="11"/>
                <w:szCs w:val="11"/>
                <w:color w:val="auto"/>
              </w:rPr>
            </w:pPr>
          </w:p>
        </w:tc>
        <w:tc>
          <w:tcPr>
            <w:tcW w:w="5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8"/>
              </w:rPr>
              <w:t>Price Per</w:t>
            </w:r>
          </w:p>
        </w:tc>
        <w:tc>
          <w:tcPr>
            <w:tcW w:w="1380" w:type="dxa"/>
            <w:vAlign w:val="bottom"/>
            <w:gridSpan w:val="2"/>
          </w:tcPr>
          <w:p>
            <w:pPr>
              <w:jc w:val="center"/>
              <w:ind w:left="365"/>
              <w:spacing w:after="0" w:line="130" w:lineRule="exact"/>
              <w:rPr>
                <w:sz w:val="20"/>
                <w:szCs w:val="20"/>
                <w:color w:val="auto"/>
              </w:rPr>
            </w:pPr>
            <w:r>
              <w:rPr>
                <w:rFonts w:ascii="Arial" w:cs="Arial" w:eastAsia="Arial" w:hAnsi="Arial"/>
                <w:sz w:val="13"/>
                <w:szCs w:val="13"/>
                <w:b w:val="1"/>
                <w:bCs w:val="1"/>
                <w:color w:val="auto"/>
                <w:w w:val="90"/>
              </w:rPr>
              <w:t>Contractual Life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Outstanding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44"/>
              <w:spacing w:after="0"/>
              <w:rPr>
                <w:sz w:val="20"/>
                <w:szCs w:val="20"/>
                <w:color w:val="auto"/>
              </w:rPr>
            </w:pPr>
            <w:r>
              <w:rPr>
                <w:rFonts w:ascii="Arial" w:cs="Arial" w:eastAsia="Arial" w:hAnsi="Arial"/>
                <w:sz w:val="13"/>
                <w:szCs w:val="13"/>
                <w:b w:val="1"/>
                <w:bCs w:val="1"/>
                <w:color w:val="auto"/>
                <w:w w:val="82"/>
              </w:rPr>
              <w:t>Share</w:t>
            </w:r>
          </w:p>
        </w:tc>
        <w:tc>
          <w:tcPr>
            <w:tcW w:w="4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(years)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6,965,000</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80"/>
              <w:spacing w:after="0"/>
              <w:rPr>
                <w:sz w:val="20"/>
                <w:szCs w:val="20"/>
                <w:color w:val="auto"/>
              </w:rPr>
            </w:pPr>
            <w:r>
              <w:rPr>
                <w:rFonts w:ascii="Arial" w:cs="Arial" w:eastAsia="Arial" w:hAnsi="Arial"/>
                <w:sz w:val="16"/>
                <w:szCs w:val="16"/>
                <w:color w:val="auto"/>
              </w:rPr>
              <w:t>Options granted</w:t>
            </w:r>
          </w:p>
        </w:tc>
        <w:tc>
          <w:tcPr>
            <w:tcW w:w="760" w:type="dxa"/>
            <w:vAlign w:val="bottom"/>
          </w:tcPr>
          <w:p>
            <w:pPr>
              <w:jc w:val="right"/>
              <w:spacing w:after="0"/>
              <w:rPr>
                <w:sz w:val="20"/>
                <w:szCs w:val="20"/>
                <w:color w:val="auto"/>
              </w:rPr>
            </w:pPr>
            <w:r>
              <w:rPr>
                <w:rFonts w:ascii="Arial" w:cs="Arial" w:eastAsia="Arial" w:hAnsi="Arial"/>
                <w:sz w:val="16"/>
                <w:szCs w:val="16"/>
                <w:color w:val="auto"/>
              </w:rPr>
              <w:t>3,581,200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0.94</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(75,073)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tcPr>
          <w:p>
            <w:pPr>
              <w:ind w:left="280"/>
              <w:spacing w:after="0"/>
              <w:rPr>
                <w:sz w:val="20"/>
                <w:szCs w:val="20"/>
                <w:color w:val="auto"/>
              </w:rPr>
            </w:pPr>
            <w:r>
              <w:rPr>
                <w:rFonts w:ascii="Arial" w:cs="Arial" w:eastAsia="Arial" w:hAnsi="Arial"/>
                <w:sz w:val="16"/>
                <w:szCs w:val="16"/>
                <w:color w:val="auto"/>
              </w:rPr>
              <w:t>Options cancelled</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(103,095)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0.52</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10,368,032</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Exercisable as of March 31, 2021</w:t>
            </w: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vMerge w:val="restart"/>
          </w:tcPr>
          <w:p>
            <w:pPr>
              <w:ind w:left="240"/>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0.23</w:t>
            </w: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color w:val="auto"/>
              </w:rPr>
              <w:t>7.93</w:t>
            </w:r>
          </w:p>
        </w:tc>
        <w:tc>
          <w:tcPr>
            <w:tcW w:w="560" w:type="dxa"/>
            <w:vAlign w:val="bottom"/>
            <w:gridSpan w:val="2"/>
            <w:vMerge w:val="restart"/>
          </w:tcPr>
          <w:p>
            <w:pPr>
              <w:ind w:left="46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3,935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gridSpan w:val="2"/>
            <w:vMerge w:val="continue"/>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3,120,909</w:t>
            </w:r>
          </w:p>
        </w:tc>
        <w:tc>
          <w:tcPr>
            <w:tcW w:w="2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The total intrinsic value of options exercised during the three months ended March 31, 2020 and 2021 was $6,000 and $70,000. The aggregate intrinsic value is the difference between the fair value of the Company’s common stock, as approved by the Company’s board of directors, and exercise price of the option.</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weighted average grant-date fair value of options granted during the three months ended March 31, 2020 and 2021 was $0.79 and $1.29 per</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share.</w:t>
      </w:r>
    </w:p>
    <w:p>
      <w:pPr>
        <w:spacing w:after="0" w:line="12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0440"/>
          </w:cols>
          <w:pgMar w:left="320" w:top="418" w:right="1139" w:bottom="1440" w:gutter="0" w:footer="0" w:header="0"/>
        </w:sectPr>
      </w:pPr>
    </w:p>
    <w:bookmarkStart w:id="306" w:name="page307"/>
    <w:bookmarkEnd w:id="3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stock-based compensation recognized in the Company’s condensed statements of operations and comprehensive</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loss:</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9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March 31,</w:t>
            </w:r>
          </w:p>
        </w:tc>
      </w:tr>
      <w:tr>
        <w:trPr>
          <w:trHeight w:val="121"/>
        </w:trPr>
        <w:tc>
          <w:tcPr>
            <w:tcW w:w="49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22" w:lineRule="exact"/>
              <w:rPr>
                <w:sz w:val="20"/>
                <w:szCs w:val="20"/>
                <w:color w:val="auto"/>
              </w:rPr>
            </w:pPr>
            <w:r>
              <w:rPr>
                <w:rFonts w:ascii="Arial" w:cs="Arial" w:eastAsia="Arial" w:hAnsi="Arial"/>
                <w:sz w:val="13"/>
                <w:szCs w:val="13"/>
                <w:b w:val="1"/>
                <w:bCs w:val="1"/>
                <w:color w:val="auto"/>
                <w:w w:val="89"/>
              </w:rPr>
              <w:t>2020</w:t>
            </w:r>
          </w:p>
        </w:tc>
        <w:tc>
          <w:tcPr>
            <w:tcW w:w="10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5"/>
              <w:spacing w:after="0" w:line="122" w:lineRule="exact"/>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0"/>
                <w:szCs w:val="10"/>
                <w:color w:val="auto"/>
              </w:rPr>
            </w:pPr>
          </w:p>
        </w:tc>
      </w:tr>
      <w:tr>
        <w:trPr>
          <w:trHeight w:val="121"/>
        </w:trPr>
        <w:tc>
          <w:tcPr>
            <w:tcW w:w="49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2"/>
          </w:tcPr>
          <w:p>
            <w:pPr>
              <w:jc w:val="right"/>
              <w:ind w:right="240"/>
              <w:spacing w:after="0" w:line="122" w:lineRule="exact"/>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40" w:type="dxa"/>
            <w:vAlign w:val="bottom"/>
            <w:shd w:val="clear" w:color="auto" w:fill="CCEEFF"/>
          </w:tcPr>
          <w:p>
            <w:pPr>
              <w:spacing w:after="0"/>
              <w:rPr>
                <w:sz w:val="16"/>
                <w:szCs w:val="16"/>
                <w:color w:val="auto"/>
              </w:rPr>
            </w:pPr>
          </w:p>
        </w:tc>
      </w:tr>
      <w:tr>
        <w:trPr>
          <w:trHeight w:val="192"/>
        </w:trPr>
        <w:tc>
          <w:tcPr>
            <w:tcW w:w="49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40" w:type="dxa"/>
            <w:vAlign w:val="bottom"/>
          </w:tcPr>
          <w:p>
            <w:pPr>
              <w:spacing w:after="0"/>
              <w:rPr>
                <w:sz w:val="16"/>
                <w:szCs w:val="16"/>
                <w:color w:val="auto"/>
              </w:rPr>
            </w:pPr>
          </w:p>
        </w:tc>
      </w:tr>
      <w:tr>
        <w:trPr>
          <w:trHeight w:val="189"/>
        </w:trPr>
        <w:tc>
          <w:tcPr>
            <w:tcW w:w="4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stock-based compensation</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40" w:type="dxa"/>
            <w:vAlign w:val="bottom"/>
            <w:shd w:val="clear" w:color="auto" w:fill="CCEEFF"/>
          </w:tcPr>
          <w:p>
            <w:pPr>
              <w:spacing w:after="0"/>
              <w:rPr>
                <w:sz w:val="16"/>
                <w:szCs w:val="16"/>
                <w:color w:val="auto"/>
              </w:rPr>
            </w:pPr>
          </w:p>
        </w:tc>
      </w:tr>
      <w:tr>
        <w:trPr>
          <w:trHeight w:val="20"/>
        </w:trPr>
        <w:tc>
          <w:tcPr>
            <w:tcW w:w="4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540" w:firstLine="385"/>
        <w:spacing w:after="0" w:line="266" w:lineRule="auto"/>
        <w:rPr>
          <w:sz w:val="20"/>
          <w:szCs w:val="20"/>
          <w:color w:val="auto"/>
        </w:rPr>
      </w:pPr>
      <w:r>
        <w:rPr>
          <w:rFonts w:ascii="Arial" w:cs="Arial" w:eastAsia="Arial" w:hAnsi="Arial"/>
          <w:sz w:val="16"/>
          <w:szCs w:val="16"/>
          <w:color w:val="auto"/>
        </w:rPr>
        <w:t>As of March 31, 2021, there was $6.4 million of unrecognized stock-based compensation, which the Company expects to recognize over a weighted-average period of 3.5 years.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Valuation</w:t>
      </w:r>
    </w:p>
    <w:p>
      <w:pPr>
        <w:spacing w:after="0" w:line="99"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fair value of the Company’s stock option awards is estimated on the date of grant using the Black-Scholes option pricing model using the following assumptions: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6620" w:type="dxa"/>
            <w:vAlign w:val="bottom"/>
          </w:tcPr>
          <w:p>
            <w:pPr>
              <w:spacing w:after="0"/>
              <w:rPr>
                <w:sz w:val="13"/>
                <w:szCs w:val="13"/>
                <w:color w:val="auto"/>
              </w:rPr>
            </w:pPr>
          </w:p>
        </w:tc>
        <w:tc>
          <w:tcPr>
            <w:tcW w:w="30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Three Months Ended March 31,</w:t>
            </w:r>
          </w:p>
        </w:tc>
      </w:tr>
      <w:tr>
        <w:trPr>
          <w:trHeight w:val="121"/>
        </w:trPr>
        <w:tc>
          <w:tcPr>
            <w:tcW w:w="662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2020</w:t>
            </w:r>
          </w:p>
        </w:tc>
        <w:tc>
          <w:tcPr>
            <w:tcW w:w="280" w:type="dxa"/>
            <w:vAlign w:val="bottom"/>
            <w:tcBorders>
              <w:bottom w:val="single" w:sz="8" w:color="CCEEFF"/>
            </w:tcBorders>
          </w:tcPr>
          <w:p>
            <w:pPr>
              <w:spacing w:after="0"/>
              <w:rPr>
                <w:sz w:val="10"/>
                <w:szCs w:val="10"/>
                <w:color w:val="auto"/>
              </w:rPr>
            </w:pPr>
          </w:p>
        </w:tc>
        <w:tc>
          <w:tcPr>
            <w:tcW w:w="13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2021</w:t>
            </w:r>
          </w:p>
        </w:tc>
      </w:tr>
      <w:tr>
        <w:trPr>
          <w:trHeight w:val="180"/>
        </w:trPr>
        <w:tc>
          <w:tcPr>
            <w:tcW w:w="6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Expected term (in years)</w:t>
            </w:r>
          </w:p>
        </w:tc>
        <w:tc>
          <w:tcPr>
            <w:tcW w:w="13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6.0</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6.0 – 6.1</w:t>
            </w:r>
          </w:p>
        </w:tc>
      </w:tr>
      <w:tr>
        <w:trPr>
          <w:trHeight w:val="189"/>
        </w:trPr>
        <w:tc>
          <w:tcPr>
            <w:tcW w:w="6620" w:type="dxa"/>
            <w:vAlign w:val="bottom"/>
          </w:tcPr>
          <w:p>
            <w:pPr>
              <w:spacing w:after="0"/>
              <w:rPr>
                <w:sz w:val="20"/>
                <w:szCs w:val="20"/>
                <w:color w:val="auto"/>
              </w:rPr>
            </w:pPr>
            <w:r>
              <w:rPr>
                <w:rFonts w:ascii="Arial" w:cs="Arial" w:eastAsia="Arial" w:hAnsi="Arial"/>
                <w:sz w:val="16"/>
                <w:szCs w:val="16"/>
                <w:color w:val="auto"/>
              </w:rPr>
              <w:t>Expected volatility</w:t>
            </w:r>
          </w:p>
        </w:tc>
        <w:tc>
          <w:tcPr>
            <w:tcW w:w="1340" w:type="dxa"/>
            <w:vAlign w:val="bottom"/>
          </w:tcPr>
          <w:p>
            <w:pPr>
              <w:jc w:val="center"/>
              <w:spacing w:after="0"/>
              <w:rPr>
                <w:sz w:val="20"/>
                <w:szCs w:val="20"/>
                <w:color w:val="auto"/>
              </w:rPr>
            </w:pPr>
            <w:r>
              <w:rPr>
                <w:rFonts w:ascii="Arial" w:cs="Arial" w:eastAsia="Arial" w:hAnsi="Arial"/>
                <w:sz w:val="16"/>
                <w:szCs w:val="16"/>
                <w:color w:val="auto"/>
                <w:w w:val="87"/>
              </w:rPr>
              <w:t>178%</w:t>
            </w:r>
          </w:p>
        </w:tc>
        <w:tc>
          <w:tcPr>
            <w:tcW w:w="2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7"/>
              </w:rPr>
              <w:t>183%</w:t>
            </w:r>
          </w:p>
        </w:tc>
      </w:tr>
      <w:tr>
        <w:trPr>
          <w:trHeight w:val="18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62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0"/>
              </w:rPr>
              <w:t>0.7% – 1.5%</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0.6% – 1.0%</w:t>
            </w:r>
          </w:p>
        </w:tc>
      </w:tr>
      <w:tr>
        <w:trPr>
          <w:trHeight w:val="200"/>
        </w:trPr>
        <w:tc>
          <w:tcPr>
            <w:tcW w:w="662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w:t>
            </w:r>
          </w:p>
        </w:tc>
      </w:tr>
    </w:tbl>
    <w:p>
      <w:pPr>
        <w:spacing w:after="0" w:line="25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99"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 summary of restricted stock activity is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88"/>
              </w:rPr>
              <w:t>Value at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20" w:type="dxa"/>
            <w:vAlign w:val="bottom"/>
            <w:gridSpan w:val="2"/>
          </w:tcPr>
          <w:p>
            <w:pPr>
              <w:jc w:val="right"/>
              <w:ind w:right="420"/>
              <w:spacing w:after="0" w:line="130" w:lineRule="exact"/>
              <w:rPr>
                <w:sz w:val="20"/>
                <w:szCs w:val="20"/>
                <w:color w:val="auto"/>
              </w:rPr>
            </w:pPr>
            <w:r>
              <w:rPr>
                <w:rFonts w:ascii="Arial" w:cs="Arial" w:eastAsia="Arial" w:hAnsi="Arial"/>
                <w:sz w:val="13"/>
                <w:szCs w:val="13"/>
                <w:b w:val="1"/>
                <w:bCs w:val="1"/>
                <w:color w:val="auto"/>
                <w:w w:val="89"/>
              </w:rPr>
              <w:t>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4"/>
              </w:rPr>
              <w:t>of Grant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Unvested as of December 31, 2020</w:t>
            </w:r>
          </w:p>
        </w:tc>
        <w:tc>
          <w:tcPr>
            <w:tcW w:w="6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828,825</w:t>
            </w: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0.15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280"/>
              <w:spacing w:after="0"/>
              <w:rPr>
                <w:sz w:val="20"/>
                <w:szCs w:val="20"/>
                <w:color w:val="auto"/>
              </w:rPr>
            </w:pPr>
            <w:r>
              <w:rPr>
                <w:rFonts w:ascii="Arial" w:cs="Arial" w:eastAsia="Arial" w:hAnsi="Arial"/>
                <w:sz w:val="16"/>
                <w:szCs w:val="16"/>
                <w:color w:val="auto"/>
              </w:rPr>
              <w:t>Granted</w:t>
            </w:r>
          </w:p>
        </w:tc>
        <w:tc>
          <w:tcPr>
            <w:tcW w:w="620" w:type="dxa"/>
            <w:vAlign w:val="bottom"/>
          </w:tcPr>
          <w:p>
            <w:pPr>
              <w:jc w:val="right"/>
              <w:spacing w:after="0"/>
              <w:rPr>
                <w:sz w:val="20"/>
                <w:szCs w:val="20"/>
                <w:color w:val="auto"/>
              </w:rPr>
            </w:pPr>
            <w:r>
              <w:rPr>
                <w:rFonts w:ascii="Arial" w:cs="Arial" w:eastAsia="Arial" w:hAnsi="Arial"/>
                <w:sz w:val="16"/>
                <w:szCs w:val="16"/>
                <w:color w:val="auto"/>
              </w:rPr>
              <w:t>2,657</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3"/>
              </w:rPr>
              <w:t>(219,695)</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280"/>
              <w:spacing w:after="0"/>
              <w:rPr>
                <w:sz w:val="20"/>
                <w:szCs w:val="20"/>
                <w:color w:val="auto"/>
              </w:rPr>
            </w:pPr>
            <w:r>
              <w:rPr>
                <w:rFonts w:ascii="Arial" w:cs="Arial" w:eastAsia="Arial" w:hAnsi="Arial"/>
                <w:sz w:val="16"/>
                <w:szCs w:val="16"/>
                <w:color w:val="auto"/>
              </w:rPr>
              <w:t>Repurchased</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(2,188)</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Unvested as of March 31, 2021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609,599</w:t>
            </w:r>
          </w:p>
        </w:tc>
        <w:tc>
          <w:tcPr>
            <w:tcW w:w="4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Employee Recourse Notes</w:t>
      </w:r>
    </w:p>
    <w:p>
      <w:pPr>
        <w:spacing w:after="0" w:line="99" w:lineRule="exact"/>
        <w:rPr>
          <w:sz w:val="20"/>
          <w:szCs w:val="20"/>
          <w:color w:val="auto"/>
        </w:rPr>
      </w:pPr>
    </w:p>
    <w:p>
      <w:pPr>
        <w:ind w:left="820" w:right="200" w:firstLine="385"/>
        <w:spacing w:after="0" w:line="275" w:lineRule="auto"/>
        <w:rPr>
          <w:sz w:val="20"/>
          <w:szCs w:val="20"/>
          <w:color w:val="auto"/>
        </w:rPr>
      </w:pPr>
      <w:r>
        <w:rPr>
          <w:rFonts w:ascii="Arial" w:cs="Arial" w:eastAsia="Arial" w:hAnsi="Arial"/>
          <w:sz w:val="15"/>
          <w:szCs w:val="15"/>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90 days after employment is terminated. As of March 31, 2021, the principal and accrued interest amount of the notes was $87,000. The notes are presented in the condensed statements of convertible preferred stock and stockholders’ deficit.</w:t>
      </w:r>
    </w:p>
    <w:p>
      <w:pPr>
        <w:spacing w:after="0" w:line="9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0440"/>
          </w:cols>
          <w:pgMar w:left="320" w:top="417" w:right="1139" w:bottom="1440" w:gutter="0" w:footer="0" w:header="0"/>
        </w:sectPr>
      </w:pPr>
    </w:p>
    <w:bookmarkStart w:id="307" w:name="page308"/>
    <w:bookmarkEnd w:id="3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10. Income Taxes</w:t>
      </w:r>
    </w:p>
    <w:p>
      <w:pPr>
        <w:spacing w:after="0" w:line="103" w:lineRule="exact"/>
        <w:rPr>
          <w:sz w:val="20"/>
          <w:szCs w:val="20"/>
          <w:color w:val="auto"/>
        </w:rPr>
      </w:pPr>
    </w:p>
    <w:p>
      <w:pPr>
        <w:jc w:val="both"/>
        <w:ind w:left="820" w:right="180" w:firstLine="385"/>
        <w:spacing w:after="0" w:line="256" w:lineRule="auto"/>
        <w:rPr>
          <w:sz w:val="20"/>
          <w:szCs w:val="20"/>
          <w:color w:val="auto"/>
        </w:rPr>
      </w:pPr>
      <w:r>
        <w:rPr>
          <w:rFonts w:ascii="Arial" w:cs="Arial" w:eastAsia="Arial" w:hAnsi="Arial"/>
          <w:sz w:val="16"/>
          <w:szCs w:val="16"/>
          <w:color w:val="auto"/>
        </w:rPr>
        <w:t>For the three months ended March 31, 2020 and 2021,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11. Net Loss Per Share</w:t>
      </w:r>
    </w:p>
    <w:p>
      <w:pPr>
        <w:spacing w:after="0" w:line="103"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The following potentially dilutive securities were not included in the calculation of diluted net loss per share for the periods presented because the effect would have been anti-dilutive:</w:t>
      </w:r>
    </w:p>
    <w:p>
      <w:pPr>
        <w:spacing w:after="0" w:line="174" w:lineRule="exact"/>
        <w:rPr>
          <w:sz w:val="20"/>
          <w:szCs w:val="20"/>
          <w:color w:val="auto"/>
        </w:rPr>
      </w:pPr>
    </w:p>
    <w:tbl>
      <w:tblPr>
        <w:tblLayout w:type="fixed"/>
        <w:tblInd w:w="1540" w:type="dxa"/>
        <w:tblCellMar>
          <w:top w:w="0" w:type="dxa"/>
          <w:left w:w="0" w:type="dxa"/>
          <w:bottom w:w="0" w:type="dxa"/>
          <w:right w:w="0" w:type="dxa"/>
        </w:tblCellMar>
      </w:tblPr>
      <w:tr>
        <w:trPr>
          <w:trHeight w:val="150"/>
        </w:trPr>
        <w:tc>
          <w:tcPr>
            <w:tcW w:w="6020" w:type="dxa"/>
            <w:vAlign w:val="bottom"/>
          </w:tcPr>
          <w:p>
            <w:pPr>
              <w:spacing w:after="0"/>
              <w:rPr>
                <w:sz w:val="13"/>
                <w:szCs w:val="13"/>
                <w:color w:val="auto"/>
              </w:rPr>
            </w:pPr>
          </w:p>
        </w:tc>
        <w:tc>
          <w:tcPr>
            <w:tcW w:w="2140" w:type="dxa"/>
            <w:vAlign w:val="bottom"/>
            <w:gridSpan w:val="4"/>
          </w:tcPr>
          <w:p>
            <w:pPr>
              <w:ind w:left="180"/>
              <w:spacing w:after="0"/>
              <w:rPr>
                <w:sz w:val="20"/>
                <w:szCs w:val="20"/>
                <w:color w:val="auto"/>
              </w:rPr>
            </w:pPr>
            <w:r>
              <w:rPr>
                <w:rFonts w:ascii="Arial" w:cs="Arial" w:eastAsia="Arial" w:hAnsi="Arial"/>
                <w:sz w:val="13"/>
                <w:szCs w:val="13"/>
                <w:b w:val="1"/>
                <w:bCs w:val="1"/>
                <w:color w:val="auto"/>
              </w:rPr>
              <w:t>Three Months Ended March 31,</w:t>
            </w:r>
          </w:p>
        </w:tc>
      </w:tr>
      <w:tr>
        <w:trPr>
          <w:trHeight w:val="121"/>
        </w:trPr>
        <w:tc>
          <w:tcPr>
            <w:tcW w:w="602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266"/>
              <w:spacing w:after="0" w:line="12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284"/>
              <w:spacing w:after="0" w:line="122" w:lineRule="exact"/>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80"/>
        </w:trPr>
        <w:tc>
          <w:tcPr>
            <w:tcW w:w="60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Convertible preferred stock</w:t>
            </w: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86,937,018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156,613,818</w:t>
            </w:r>
          </w:p>
        </w:tc>
        <w:tc>
          <w:tcPr>
            <w:tcW w:w="40" w:type="dxa"/>
            <w:vAlign w:val="bottom"/>
            <w:shd w:val="clear" w:color="auto" w:fill="CCEEFF"/>
          </w:tcPr>
          <w:p>
            <w:pPr>
              <w:spacing w:after="0"/>
              <w:rPr>
                <w:sz w:val="15"/>
                <w:szCs w:val="15"/>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Series B convertible preferred stock issuable in a future closing</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18,518,509</w:t>
            </w: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Outstanding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6,259,625</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10,368,032</w:t>
            </w:r>
          </w:p>
        </w:tc>
      </w:tr>
      <w:tr>
        <w:trPr>
          <w:trHeight w:val="192"/>
        </w:trPr>
        <w:tc>
          <w:tcPr>
            <w:tcW w:w="6020" w:type="dxa"/>
            <w:vAlign w:val="bottom"/>
          </w:tcPr>
          <w:p>
            <w:pPr>
              <w:spacing w:after="0"/>
              <w:rPr>
                <w:sz w:val="20"/>
                <w:szCs w:val="20"/>
                <w:color w:val="auto"/>
              </w:rPr>
            </w:pPr>
            <w:r>
              <w:rPr>
                <w:rFonts w:ascii="Arial" w:cs="Arial" w:eastAsia="Arial" w:hAnsi="Arial"/>
                <w:sz w:val="16"/>
                <w:szCs w:val="16"/>
                <w:color w:val="auto"/>
              </w:rPr>
              <w:t>Restricted stock subject to future vesting</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1,672,830</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609,599</w:t>
            </w:r>
          </w:p>
        </w:tc>
        <w:tc>
          <w:tcPr>
            <w:tcW w:w="40" w:type="dxa"/>
            <w:vAlign w:val="bottom"/>
          </w:tcPr>
          <w:p>
            <w:pPr>
              <w:spacing w:after="0"/>
              <w:rPr>
                <w:sz w:val="16"/>
                <w:szCs w:val="16"/>
                <w:color w:val="auto"/>
              </w:rPr>
            </w:pPr>
          </w:p>
        </w:tc>
      </w:tr>
      <w:tr>
        <w:trPr>
          <w:trHeight w:val="189"/>
        </w:trPr>
        <w:tc>
          <w:tcPr>
            <w:tcW w:w="6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113,387,982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167,591,449</w:t>
            </w:r>
          </w:p>
        </w:tc>
        <w:tc>
          <w:tcPr>
            <w:tcW w:w="40" w:type="dxa"/>
            <w:vAlign w:val="bottom"/>
            <w:shd w:val="clear" w:color="auto" w:fill="CCEEFF"/>
          </w:tcPr>
          <w:p>
            <w:pPr>
              <w:spacing w:after="0"/>
              <w:rPr>
                <w:sz w:val="16"/>
                <w:szCs w:val="16"/>
                <w:color w:val="auto"/>
              </w:rPr>
            </w:pPr>
          </w:p>
        </w:tc>
      </w:tr>
      <w:tr>
        <w:trPr>
          <w:trHeight w:val="20"/>
        </w:trPr>
        <w:tc>
          <w:tcPr>
            <w:tcW w:w="6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8" w:lineRule="exact"/>
        <w:rPr>
          <w:sz w:val="20"/>
          <w:szCs w:val="20"/>
          <w:color w:val="auto"/>
        </w:rPr>
      </w:pPr>
    </w:p>
    <w:p>
      <w:pPr>
        <w:ind w:left="1200" w:right="7520" w:hanging="386"/>
        <w:spacing w:after="0" w:line="457" w:lineRule="auto"/>
        <w:tabs>
          <w:tab w:leader="none" w:pos="1051"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Related Party Transactions </w:t>
      </w:r>
      <w:r>
        <w:rPr>
          <w:rFonts w:ascii="Arial" w:cs="Arial" w:eastAsia="Arial" w:hAnsi="Arial"/>
          <w:sz w:val="13"/>
          <w:szCs w:val="13"/>
          <w:b w:val="1"/>
          <w:bCs w:val="1"/>
          <w:i w:val="1"/>
          <w:iCs w:val="1"/>
          <w:color w:val="auto"/>
        </w:rPr>
        <w:t>Scientific Founders</w:t>
      </w:r>
    </w:p>
    <w:p>
      <w:pPr>
        <w:spacing w:after="0" w:line="1"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During the three months ended March 31, 2020 and 2021, the Company recognized a total of $62,000 in each period in consulting expense paid to five of its scientific founders.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13. Subsequent Events</w:t>
      </w:r>
    </w:p>
    <w:p>
      <w:pPr>
        <w:spacing w:after="0" w:line="103"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The Company evaluated subsequent events through June 15, 2021, the date the condensed financial statements were available to be filed, for events requiring recognition or disclosure in the condensed financial statements as of and for the three months ended March 31, 2021. The Company has updated its evaluation of subsequent events for disclosures purposes only through July 9, 2021.</w:t>
      </w:r>
    </w:p>
    <w:p>
      <w:pPr>
        <w:spacing w:after="0" w:line="256"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Stock Options Grants</w:t>
      </w:r>
    </w:p>
    <w:p>
      <w:pPr>
        <w:spacing w:after="0" w:line="10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In June 2021, the Company granted 2,330,900 stock options at an exercise price of $1.56 per share. In July 2021, the Company granted 2,682,000 stock options at an exercise price of $1.76 per share. The awards generally vest over a four-year vesting schedule.</w:t>
      </w:r>
    </w:p>
    <w:p>
      <w:pPr>
        <w:spacing w:after="0" w:line="9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400"/>
          </w:cols>
          <w:pgMar w:left="320" w:top="418" w:right="1179" w:bottom="1440" w:gutter="0" w:footer="0" w:header="0"/>
        </w:sectPr>
      </w:pPr>
    </w:p>
    <w:bookmarkStart w:id="308" w:name="page309"/>
    <w:bookmarkEnd w:id="3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700"/>
        <w:spacing w:after="0"/>
        <w:rPr>
          <w:sz w:val="20"/>
          <w:szCs w:val="20"/>
          <w:color w:val="auto"/>
        </w:rPr>
      </w:pPr>
      <w:r>
        <w:rPr>
          <w:rFonts w:ascii="Arial" w:cs="Arial" w:eastAsia="Arial" w:hAnsi="Arial"/>
          <w:sz w:val="28"/>
          <w:szCs w:val="28"/>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367665</wp:posOffset>
            </wp:positionV>
            <wp:extent cx="2036445" cy="7264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036445"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60"/>
        <w:spacing w:after="0"/>
        <w:rPr>
          <w:sz w:val="20"/>
          <w:szCs w:val="20"/>
          <w:color w:val="auto"/>
        </w:rPr>
      </w:pPr>
      <w:r>
        <w:rPr>
          <w:rFonts w:ascii="Arial" w:cs="Arial" w:eastAsia="Arial" w:hAnsi="Arial"/>
          <w:sz w:val="19"/>
          <w:szCs w:val="19"/>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40"/>
        <w:spacing w:after="0"/>
        <w:rPr>
          <w:sz w:val="20"/>
          <w:szCs w:val="20"/>
          <w:color w:val="auto"/>
        </w:rPr>
      </w:pPr>
      <w:r>
        <w:rPr>
          <w:rFonts w:ascii="Arial" w:cs="Arial" w:eastAsia="Arial" w:hAnsi="Arial"/>
          <w:sz w:val="16"/>
          <w:szCs w:val="16"/>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spacing w:after="0"/>
        <w:tabs>
          <w:tab w:leader="none" w:pos="5260" w:val="left"/>
          <w:tab w:leader="none" w:pos="8840" w:val="left"/>
        </w:tabs>
        <w:rPr>
          <w:sz w:val="20"/>
          <w:szCs w:val="20"/>
          <w:color w:val="auto"/>
        </w:rPr>
      </w:pPr>
      <w:r>
        <w:rPr>
          <w:rFonts w:ascii="Arial" w:cs="Arial" w:eastAsia="Arial" w:hAnsi="Arial"/>
          <w:sz w:val="28"/>
          <w:szCs w:val="28"/>
          <w:i w:val="1"/>
          <w:iCs w:val="1"/>
          <w:color w:val="auto"/>
        </w:rPr>
        <w:t>Morgan Stanley</w:t>
      </w:r>
      <w:r>
        <w:rPr>
          <w:sz w:val="20"/>
          <w:szCs w:val="20"/>
          <w:color w:val="auto"/>
        </w:rPr>
        <w:tab/>
      </w:r>
      <w:r>
        <w:rPr>
          <w:rFonts w:ascii="Arial" w:cs="Arial" w:eastAsia="Arial" w:hAnsi="Arial"/>
          <w:sz w:val="28"/>
          <w:szCs w:val="28"/>
          <w:i w:val="1"/>
          <w:iCs w:val="1"/>
          <w:color w:val="auto"/>
        </w:rPr>
        <w:t>Cowen</w:t>
      </w:r>
      <w:r>
        <w:rPr>
          <w:sz w:val="20"/>
          <w:szCs w:val="20"/>
          <w:color w:val="auto"/>
        </w:rPr>
        <w:tab/>
      </w:r>
      <w:r>
        <w:rPr>
          <w:rFonts w:ascii="Arial" w:cs="Arial" w:eastAsia="Arial" w:hAnsi="Arial"/>
          <w:sz w:val="26"/>
          <w:szCs w:val="26"/>
          <w:i w:val="1"/>
          <w:iCs w:val="1"/>
          <w:color w:val="auto"/>
        </w:rPr>
        <w:t>Piper Sandler</w:t>
      </w:r>
    </w:p>
    <w:p>
      <w:pPr>
        <w:spacing w:after="0" w:line="91" w:lineRule="exact"/>
        <w:rPr>
          <w:sz w:val="20"/>
          <w:szCs w:val="20"/>
          <w:color w:val="auto"/>
        </w:rPr>
      </w:pPr>
    </w:p>
    <w:p>
      <w:pPr>
        <w:ind w:left="5180"/>
        <w:spacing w:after="0"/>
        <w:rPr>
          <w:sz w:val="20"/>
          <w:szCs w:val="20"/>
          <w:color w:val="auto"/>
        </w:rPr>
      </w:pPr>
      <w:r>
        <w:rPr>
          <w:rFonts w:ascii="Arial" w:cs="Arial" w:eastAsia="Arial" w:hAnsi="Arial"/>
          <w:sz w:val="28"/>
          <w:szCs w:val="28"/>
          <w:i w:val="1"/>
          <w:i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 2021</w:t>
      </w:r>
    </w:p>
    <w:p>
      <w:pPr>
        <w:sectPr>
          <w:pgSz w:w="11900" w:h="16838" w:orient="portrait"/>
          <w:cols w:equalWidth="0" w:num="1">
            <w:col w:w="10440"/>
          </w:cols>
          <w:pgMar w:left="320" w:top="418" w:right="1139" w:bottom="1440" w:gutter="0" w:footer="0" w:header="0"/>
        </w:sectPr>
      </w:pPr>
    </w:p>
    <w:bookmarkStart w:id="309" w:name="page310"/>
    <w:bookmarkEnd w:id="3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PART II</w:t>
      </w:r>
    </w:p>
    <w:p>
      <w:pPr>
        <w:spacing w:after="0" w:line="193"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INFORMATION NOT REQUIRED IN THE PROSPECTUS</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03" w:lineRule="exact"/>
        <w:rPr>
          <w:sz w:val="20"/>
          <w:szCs w:val="20"/>
          <w:color w:val="auto"/>
        </w:rPr>
      </w:pPr>
    </w:p>
    <w:p>
      <w:pPr>
        <w:ind w:left="820" w:right="260" w:firstLine="385"/>
        <w:spacing w:after="0" w:line="343" w:lineRule="auto"/>
        <w:rPr>
          <w:sz w:val="20"/>
          <w:szCs w:val="20"/>
          <w:color w:val="auto"/>
        </w:rPr>
      </w:pPr>
      <w:r>
        <w:rPr>
          <w:rFonts w:ascii="Arial" w:cs="Arial" w:eastAsia="Arial" w:hAnsi="Arial"/>
          <w:sz w:val="13"/>
          <w:szCs w:val="13"/>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 (SEC) registration fee, the Financial Industry Regulatory Authority, Inc. (FINRA) filing fee and the Nasdaq Stock Market listing fee.</w:t>
      </w:r>
    </w:p>
    <w:p>
      <w:pPr>
        <w:spacing w:after="0" w:line="11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4600" w:type="dxa"/>
            <w:vAlign w:val="bottom"/>
            <w:gridSpan w:val="3"/>
          </w:tcPr>
          <w:p>
            <w:pPr>
              <w:jc w:val="center"/>
              <w:ind w:left="3569"/>
              <w:spacing w:after="0"/>
              <w:rPr>
                <w:sz w:val="20"/>
                <w:szCs w:val="20"/>
                <w:color w:val="auto"/>
              </w:rPr>
            </w:pPr>
            <w:r>
              <w:rPr>
                <w:rFonts w:ascii="Arial" w:cs="Arial" w:eastAsia="Arial" w:hAnsi="Arial"/>
                <w:sz w:val="13"/>
                <w:szCs w:val="13"/>
                <w:b w:val="1"/>
                <w:bCs w:val="1"/>
                <w:color w:val="auto"/>
                <w:w w:val="89"/>
              </w:rPr>
              <w:t>Amount Paid</w:t>
            </w:r>
          </w:p>
        </w:tc>
      </w:tr>
      <w:tr>
        <w:trPr>
          <w:trHeight w:val="130"/>
        </w:trPr>
        <w:tc>
          <w:tcPr>
            <w:tcW w:w="50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840" w:type="dxa"/>
            <w:vAlign w:val="bottom"/>
            <w:gridSpan w:val="2"/>
          </w:tcPr>
          <w:p>
            <w:pPr>
              <w:jc w:val="center"/>
              <w:ind w:right="120"/>
              <w:spacing w:after="0" w:line="130" w:lineRule="exact"/>
              <w:rPr>
                <w:sz w:val="20"/>
                <w:szCs w:val="20"/>
                <w:color w:val="auto"/>
              </w:rPr>
            </w:pPr>
            <w:r>
              <w:rPr>
                <w:rFonts w:ascii="Arial" w:cs="Arial" w:eastAsia="Arial" w:hAnsi="Arial"/>
                <w:sz w:val="13"/>
                <w:szCs w:val="13"/>
                <w:b w:val="1"/>
                <w:bCs w:val="1"/>
                <w:color w:val="auto"/>
                <w:w w:val="91"/>
              </w:rPr>
              <w:t>or</w:t>
            </w:r>
          </w:p>
        </w:tc>
      </w:tr>
      <w:tr>
        <w:trPr>
          <w:trHeight w:val="150"/>
        </w:trPr>
        <w:tc>
          <w:tcPr>
            <w:tcW w:w="50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to Be Paid</w:t>
            </w:r>
          </w:p>
        </w:tc>
      </w:tr>
      <w:tr>
        <w:trPr>
          <w:trHeight w:val="180"/>
        </w:trPr>
        <w:tc>
          <w:tcPr>
            <w:tcW w:w="50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SEC registration fee</w:t>
            </w:r>
          </w:p>
        </w:tc>
        <w:tc>
          <w:tcPr>
            <w:tcW w:w="37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98"/>
              </w:rPr>
              <w:t>$   10,910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FINRA filing fee</w:t>
            </w:r>
          </w:p>
        </w:tc>
        <w:tc>
          <w:tcPr>
            <w:tcW w:w="4480" w:type="dxa"/>
            <w:vAlign w:val="bottom"/>
            <w:gridSpan w:val="2"/>
          </w:tcPr>
          <w:p>
            <w:pPr>
              <w:jc w:val="right"/>
              <w:spacing w:after="0"/>
              <w:rPr>
                <w:sz w:val="20"/>
                <w:szCs w:val="20"/>
                <w:color w:val="auto"/>
              </w:rPr>
            </w:pPr>
            <w:r>
              <w:rPr>
                <w:rFonts w:ascii="Arial" w:cs="Arial" w:eastAsia="Arial" w:hAnsi="Arial"/>
                <w:sz w:val="16"/>
                <w:szCs w:val="16"/>
                <w:color w:val="auto"/>
              </w:rPr>
              <w:t>15,500</w:t>
            </w:r>
          </w:p>
        </w:tc>
        <w:tc>
          <w:tcPr>
            <w:tcW w:w="120" w:type="dxa"/>
            <w:vAlign w:val="bottom"/>
          </w:tcPr>
          <w:p>
            <w:pPr>
              <w:spacing w:after="0"/>
              <w:rPr>
                <w:sz w:val="16"/>
                <w:szCs w:val="16"/>
                <w:color w:val="auto"/>
              </w:rPr>
            </w:pPr>
          </w:p>
        </w:tc>
      </w:tr>
    </w:tbl>
    <w:p>
      <w:pPr>
        <w:spacing w:after="0" w:line="5"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Exchange listing fee</w:t>
            </w:r>
          </w:p>
        </w:tc>
        <w:tc>
          <w:tcPr>
            <w:tcW w:w="3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Printing and engraving expenses</w:t>
            </w: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3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Transfer agent and registrar fees</w:t>
            </w:r>
          </w:p>
        </w:tc>
        <w:tc>
          <w:tcPr>
            <w:tcW w:w="3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Miscellaneous expenses</w:t>
            </w: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82550</wp:posOffset>
            </wp:positionV>
            <wp:extent cx="66611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44" w:lineRule="exact"/>
        <w:rPr>
          <w:sz w:val="20"/>
          <w:szCs w:val="20"/>
          <w:color w:val="auto"/>
        </w:rPr>
      </w:pPr>
    </w:p>
    <w:p>
      <w:pPr>
        <w:ind w:left="1200" w:hanging="386"/>
        <w:spacing w:after="0"/>
        <w:tabs>
          <w:tab w:leader="none" w:pos="12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03" w:lineRule="exact"/>
        <w:rPr>
          <w:sz w:val="20"/>
          <w:szCs w:val="20"/>
          <w:color w:val="auto"/>
        </w:rPr>
      </w:pPr>
    </w:p>
    <w:p>
      <w:pPr>
        <w:ind w:left="820" w:right="40" w:firstLine="385"/>
        <w:spacing w:after="0" w:line="310" w:lineRule="auto"/>
        <w:rPr>
          <w:sz w:val="20"/>
          <w:szCs w:val="20"/>
          <w:color w:val="auto"/>
        </w:rPr>
      </w:pPr>
      <w:r>
        <w:rPr>
          <w:rFonts w:ascii="Arial" w:cs="Arial" w:eastAsia="Arial" w:hAnsi="Arial"/>
          <w:sz w:val="13"/>
          <w:szCs w:val="13"/>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Delaware General Corporation Law.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324" w:lineRule="exact"/>
        <w:rPr>
          <w:sz w:val="20"/>
          <w:szCs w:val="20"/>
          <w:color w:val="auto"/>
        </w:rPr>
      </w:pPr>
    </w:p>
    <w:p>
      <w:pPr>
        <w:ind w:left="820" w:right="160" w:firstLine="385"/>
        <w:spacing w:after="0" w:line="307" w:lineRule="auto"/>
        <w:rPr>
          <w:sz w:val="20"/>
          <w:szCs w:val="20"/>
          <w:color w:val="auto"/>
        </w:rPr>
      </w:pPr>
      <w:r>
        <w:rPr>
          <w:rFonts w:ascii="Arial" w:cs="Arial" w:eastAsia="Arial" w:hAnsi="Arial"/>
          <w:sz w:val="13"/>
          <w:szCs w:val="13"/>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ind w:left="820" w:right="60" w:hanging="6"/>
        <w:spacing w:after="0" w:line="252" w:lineRule="auto"/>
        <w:tabs>
          <w:tab w:leader="none" w:pos="104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 The registrant’s certificate of incorporation to be in effect upon the completion of this offering</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0440"/>
          </w:cols>
          <w:pgMar w:left="320" w:top="418" w:right="1139" w:bottom="1440" w:gutter="0" w:footer="0" w:header="0"/>
        </w:sectPr>
      </w:pPr>
    </w:p>
    <w:bookmarkStart w:id="310" w:name="page311"/>
    <w:bookmarkEnd w:id="3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53" w:lineRule="auto"/>
        <w:rPr>
          <w:sz w:val="20"/>
          <w:szCs w:val="20"/>
          <w:color w:val="auto"/>
        </w:rPr>
      </w:pPr>
      <w:r>
        <w:rPr>
          <w:rFonts w:ascii="Arial" w:cs="Arial" w:eastAsia="Arial" w:hAnsi="Arial"/>
          <w:sz w:val="16"/>
          <w:szCs w:val="16"/>
          <w:color w:val="auto"/>
        </w:rPr>
        <w:t>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67"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0" w:lineRule="exact"/>
        <w:rPr>
          <w:sz w:val="20"/>
          <w:szCs w:val="20"/>
          <w:color w:val="auto"/>
        </w:rPr>
      </w:pPr>
    </w:p>
    <w:p>
      <w:pPr>
        <w:ind w:left="820" w:right="140" w:firstLine="385"/>
        <w:spacing w:after="0" w:line="256" w:lineRule="auto"/>
        <w:rPr>
          <w:sz w:val="20"/>
          <w:szCs w:val="20"/>
          <w:color w:val="auto"/>
        </w:rPr>
      </w:pPr>
      <w:r>
        <w:rPr>
          <w:rFonts w:ascii="Arial" w:cs="Arial" w:eastAsia="Arial" w:hAnsi="Arial"/>
          <w:sz w:val="16"/>
          <w:szCs w:val="16"/>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66"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70"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166" w:lineRule="exact"/>
        <w:rPr>
          <w:sz w:val="20"/>
          <w:szCs w:val="20"/>
          <w:color w:val="auto"/>
        </w:rPr>
      </w:pPr>
    </w:p>
    <w:p>
      <w:pPr>
        <w:ind w:left="820" w:right="120" w:firstLine="385"/>
        <w:spacing w:after="0" w:line="251" w:lineRule="auto"/>
        <w:rPr>
          <w:sz w:val="20"/>
          <w:szCs w:val="20"/>
          <w:color w:val="auto"/>
        </w:rPr>
      </w:pPr>
      <w:r>
        <w:rPr>
          <w:rFonts w:ascii="Arial" w:cs="Arial" w:eastAsia="Arial" w:hAnsi="Arial"/>
          <w:sz w:val="16"/>
          <w:szCs w:val="16"/>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 The investors’ rights agreement with certain holders of our capital stock also provides for cross-indemnification in connection with the registration of the registrant’s common stock on behalf of such holders.</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103"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66" w:lineRule="exact"/>
        <w:rPr>
          <w:sz w:val="20"/>
          <w:szCs w:val="20"/>
          <w:color w:val="auto"/>
        </w:rPr>
      </w:pPr>
    </w:p>
    <w:p>
      <w:pPr>
        <w:ind w:left="820" w:right="260" w:firstLine="378"/>
        <w:spacing w:after="0" w:line="266" w:lineRule="auto"/>
        <w:tabs>
          <w:tab w:leader="none" w:pos="141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December 2018, we issued and sold an aggregate of 19,900,000 shares of our Series A convertible preferred stock at a purchase price of $1.00 per share for an aggregate purchase price of $19.9 million.</w:t>
      </w:r>
    </w:p>
    <w:p>
      <w:pPr>
        <w:spacing w:after="0" w:line="158" w:lineRule="exact"/>
        <w:rPr>
          <w:rFonts w:ascii="Arial" w:cs="Arial" w:eastAsia="Arial" w:hAnsi="Arial"/>
          <w:sz w:val="16"/>
          <w:szCs w:val="16"/>
          <w:color w:val="auto"/>
        </w:rPr>
      </w:pPr>
    </w:p>
    <w:p>
      <w:pPr>
        <w:ind w:left="820" w:right="20" w:firstLine="378"/>
        <w:spacing w:after="0" w:line="266" w:lineRule="auto"/>
        <w:tabs>
          <w:tab w:leader="none" w:pos="142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August 2019, March 2019 and August 2020, we issued and sold 55,555,527 shares of our Series B convertible preferred stock at a purchase price of $1.656 per share for an aggregate purchase price of $92.0 million.</w:t>
      </w:r>
    </w:p>
    <w:p>
      <w:pPr>
        <w:spacing w:after="0" w:line="158" w:lineRule="exact"/>
        <w:rPr>
          <w:rFonts w:ascii="Arial" w:cs="Arial" w:eastAsia="Arial" w:hAnsi="Arial"/>
          <w:sz w:val="16"/>
          <w:szCs w:val="16"/>
          <w:color w:val="auto"/>
        </w:rPr>
      </w:pPr>
    </w:p>
    <w:p>
      <w:pPr>
        <w:ind w:left="820" w:right="240" w:firstLine="378"/>
        <w:spacing w:after="0" w:line="266" w:lineRule="auto"/>
        <w:tabs>
          <w:tab w:leader="none" w:pos="141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December 2020 and January 2021, we issued and sold an aggregate of 51,158,291 shares of our Series C convertible preferred stock at a purchase price of $2.072 per share for an aggregate purchase price of $106.0 million.</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400"/>
          </w:cols>
          <w:pgMar w:left="320" w:top="418" w:right="1179" w:bottom="1440" w:gutter="0" w:footer="0" w:header="0"/>
        </w:sectPr>
      </w:pPr>
    </w:p>
    <w:bookmarkStart w:id="311" w:name="page312"/>
    <w:bookmarkEnd w:id="3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firstLine="378"/>
        <w:spacing w:after="0" w:line="256" w:lineRule="auto"/>
        <w:tabs>
          <w:tab w:leader="none" w:pos="142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From January 2018 through July 9, 2021, we granted stock options to purchase an aggregate of 16,311,100 shares of common stock upon the exercise of options under our 2016 Plan at exercise prices per share ranging from $0.11 to $1.76, for an aggregate exercise price of approximately $13.87 million.</w:t>
      </w:r>
    </w:p>
    <w:p>
      <w:pPr>
        <w:spacing w:after="0" w:line="165" w:lineRule="exact"/>
        <w:rPr>
          <w:rFonts w:ascii="Arial" w:cs="Arial" w:eastAsia="Arial" w:hAnsi="Arial"/>
          <w:sz w:val="16"/>
          <w:szCs w:val="16"/>
          <w:color w:val="auto"/>
        </w:rPr>
      </w:pPr>
    </w:p>
    <w:p>
      <w:pPr>
        <w:ind w:left="820" w:right="100" w:firstLine="378"/>
        <w:spacing w:after="0" w:line="256" w:lineRule="auto"/>
        <w:tabs>
          <w:tab w:leader="none" w:pos="141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From January 2018 through July 9, 2021, we issued and sold to certain service providers of ours an aggregate of 1,014,402 shares of common stock upon the exercise of options under our 2016 Plan at exercise prices per share ranging from $0.11 to $0.94, for an aggregate exercise price of approximately $186,022.</w:t>
      </w:r>
    </w:p>
    <w:p>
      <w:pPr>
        <w:spacing w:after="0" w:line="166" w:lineRule="exact"/>
        <w:rPr>
          <w:sz w:val="20"/>
          <w:szCs w:val="20"/>
          <w:color w:val="auto"/>
        </w:rPr>
      </w:pPr>
    </w:p>
    <w:p>
      <w:pPr>
        <w:ind w:left="820" w:right="20" w:firstLine="385"/>
        <w:spacing w:after="0" w:line="323" w:lineRule="auto"/>
        <w:rPr>
          <w:sz w:val="20"/>
          <w:szCs w:val="20"/>
          <w:color w:val="auto"/>
        </w:rPr>
      </w:pPr>
      <w:r>
        <w:rPr>
          <w:rFonts w:ascii="Arial" w:cs="Arial" w:eastAsia="Arial" w:hAnsi="Arial"/>
          <w:sz w:val="13"/>
          <w:szCs w:val="13"/>
          <w:color w:val="auto"/>
        </w:rPr>
        <w:t>The offers, sales and issuances of the securities described in Items 15(a),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26"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The offers, sales and issuances of the securities described in Items 15(d) and 15(e) were exempt from registration under the Securities Act under either (1) Rule 701 in that the transactions were under compensatory benefit plans and contracts relating to compensation as provided under Rule 701 or</w:t>
      </w:r>
    </w:p>
    <w:p>
      <w:pPr>
        <w:spacing w:after="0" w:line="1" w:lineRule="exact"/>
        <w:rPr>
          <w:sz w:val="20"/>
          <w:szCs w:val="20"/>
          <w:color w:val="auto"/>
        </w:rPr>
      </w:pPr>
    </w:p>
    <w:p>
      <w:pPr>
        <w:ind w:left="820" w:right="40" w:hanging="6"/>
        <w:spacing w:after="0" w:line="248" w:lineRule="auto"/>
        <w:tabs>
          <w:tab w:leader="none" w:pos="104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Section 4(a)(2) of the Securities Act as transactions by an issuer not involving any public offering. The recipients of such securities were the registrant’s employees, consultants or directors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16. Exhibit and Financial Statement Schedules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 Exhibits.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See the Exhibit Index immediately preceding the signature page hereto for a list of exhibits filed as part of this registration statement on Form S-1, which Exhibit Index is incorporated herein by reference.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 Financial Statement Schedules.</w:t>
      </w:r>
    </w:p>
    <w:p>
      <w:pPr>
        <w:spacing w:after="0" w:line="99"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Schedules have been omitted because the information required to be set forth therein is not applicable or is shown in the financial statements or notes thereto.</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17. Undertakings</w:t>
      </w:r>
    </w:p>
    <w:p>
      <w:pPr>
        <w:spacing w:after="0" w:line="103" w:lineRule="exact"/>
        <w:rPr>
          <w:sz w:val="20"/>
          <w:szCs w:val="20"/>
          <w:color w:val="auto"/>
        </w:rPr>
      </w:pPr>
    </w:p>
    <w:p>
      <w:pPr>
        <w:ind w:left="820" w:right="40" w:firstLine="385"/>
        <w:spacing w:after="0" w:line="300"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5" w:lineRule="exact"/>
        <w:rPr>
          <w:sz w:val="20"/>
          <w:szCs w:val="20"/>
          <w:color w:val="auto"/>
        </w:rPr>
      </w:pPr>
    </w:p>
    <w:p>
      <w:pPr>
        <w:ind w:left="820" w:right="200" w:firstLine="385"/>
        <w:spacing w:after="0" w:line="267"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0420"/>
          </w:cols>
          <w:pgMar w:left="320" w:top="418" w:right="1159" w:bottom="1440" w:gutter="0" w:footer="0" w:header="0"/>
        </w:sectPr>
      </w:pPr>
    </w:p>
    <w:bookmarkStart w:id="312" w:name="page313"/>
    <w:bookmarkEnd w:id="3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undersigned hereby undertakes that:</w:t>
      </w:r>
    </w:p>
    <w:p>
      <w:pPr>
        <w:spacing w:after="0" w:line="99" w:lineRule="exact"/>
        <w:rPr>
          <w:sz w:val="20"/>
          <w:szCs w:val="20"/>
          <w:color w:val="auto"/>
        </w:rPr>
      </w:pPr>
    </w:p>
    <w:p>
      <w:pPr>
        <w:ind w:left="820" w:right="180" w:firstLine="378"/>
        <w:spacing w:after="0" w:line="343" w:lineRule="auto"/>
        <w:tabs>
          <w:tab w:leader="none" w:pos="1427" w:val="left"/>
        </w:tabs>
        <w:numPr>
          <w:ilvl w:val="0"/>
          <w:numId w:val="162"/>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13" w:lineRule="exact"/>
        <w:rPr>
          <w:rFonts w:ascii="Arial" w:cs="Arial" w:eastAsia="Arial" w:hAnsi="Arial"/>
          <w:sz w:val="13"/>
          <w:szCs w:val="13"/>
          <w:color w:val="auto"/>
        </w:rPr>
      </w:pPr>
    </w:p>
    <w:p>
      <w:pPr>
        <w:jc w:val="both"/>
        <w:ind w:left="820" w:firstLine="378"/>
        <w:spacing w:after="0" w:line="256" w:lineRule="auto"/>
        <w:tabs>
          <w:tab w:leader="none" w:pos="142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0320"/>
          </w:cols>
          <w:pgMar w:left="320" w:top="417" w:right="1259" w:bottom="1440" w:gutter="0" w:footer="0" w:header="0"/>
        </w:sectPr>
      </w:pPr>
    </w:p>
    <w:bookmarkStart w:id="313" w:name="page314"/>
    <w:bookmarkEnd w:id="3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20" w:type="dxa"/>
            <w:vAlign w:val="bottom"/>
            <w:gridSpan w:val="16"/>
          </w:tcPr>
          <w:p>
            <w:pPr>
              <w:ind w:left="20"/>
              <w:spacing w:after="0"/>
              <w:rPr>
                <w:sz w:val="20"/>
                <w:szCs w:val="20"/>
                <w:color w:val="auto"/>
              </w:rPr>
            </w:pPr>
            <w:r>
              <w:rPr>
                <w:rFonts w:ascii="Arial" w:cs="Arial" w:eastAsia="Arial" w:hAnsi="Arial"/>
                <w:sz w:val="16"/>
                <w:szCs w:val="16"/>
                <w:b w:val="1"/>
                <w:bCs w:val="1"/>
                <w:color w:val="auto"/>
              </w:rPr>
              <w:t>EXHIBIT INDEX</w:t>
            </w:r>
          </w:p>
        </w:tc>
      </w:tr>
      <w:tr>
        <w:trPr>
          <w:trHeight w:val="323"/>
        </w:trPr>
        <w:tc>
          <w:tcPr>
            <w:tcW w:w="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2"/>
              </w:rPr>
              <w:t>Exhibit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Number</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20" w:type="dxa"/>
            <w:vAlign w:val="bottom"/>
            <w:gridSpan w:val="15"/>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23"/>
                <w:szCs w:val="23"/>
                <w:color w:val="auto"/>
              </w:rPr>
            </w:pPr>
          </w:p>
        </w:tc>
        <w:tc>
          <w:tcPr>
            <w:tcW w:w="8440" w:type="dxa"/>
            <w:vAlign w:val="bottom"/>
            <w:gridSpan w:val="21"/>
          </w:tcPr>
          <w:p>
            <w:pPr>
              <w:spacing w:after="0"/>
              <w:rPr>
                <w:sz w:val="20"/>
                <w:szCs w:val="20"/>
                <w:color w:val="auto"/>
              </w:rPr>
            </w:pPr>
            <w:r>
              <w:rPr>
                <w:rFonts w:ascii="Arial" w:cs="Arial" w:eastAsia="Arial" w:hAnsi="Arial"/>
                <w:sz w:val="16"/>
                <w:szCs w:val="16"/>
                <w:color w:val="auto"/>
              </w:rPr>
              <w:t>Form of Underwriting Agreement.</w:t>
            </w:r>
          </w:p>
        </w:tc>
      </w:tr>
      <w:tr>
        <w:trPr>
          <w:trHeight w:val="249"/>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21"/>
                <w:szCs w:val="21"/>
                <w:color w:val="auto"/>
              </w:rPr>
            </w:pPr>
          </w:p>
        </w:tc>
        <w:tc>
          <w:tcPr>
            <w:tcW w:w="8440" w:type="dxa"/>
            <w:vAlign w:val="bottom"/>
            <w:gridSpan w:val="21"/>
          </w:tcPr>
          <w:p>
            <w:pPr>
              <w:spacing w:after="0"/>
              <w:rPr>
                <w:rFonts w:ascii="Arial" w:cs="Arial" w:eastAsia="Arial" w:hAnsi="Arial"/>
                <w:sz w:val="16"/>
                <w:szCs w:val="16"/>
                <w:color w:val="0000EE"/>
              </w:rPr>
            </w:pPr>
            <w:hyperlink w:anchor="page317">
              <w:r>
                <w:rPr>
                  <w:rFonts w:ascii="Arial" w:cs="Arial" w:eastAsia="Arial" w:hAnsi="Arial"/>
                  <w:sz w:val="16"/>
                  <w:szCs w:val="16"/>
                  <w:color w:val="0000EE"/>
                </w:rPr>
                <w:t>Amended and Restated Certificate of Incorporation of the Registrant, as currently in effect.</w:t>
              </w:r>
            </w:hyperlink>
          </w:p>
        </w:tc>
      </w:tr>
      <w:tr>
        <w:trPr>
          <w:trHeight w:val="20"/>
        </w:trPr>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22"/>
                <w:szCs w:val="22"/>
                <w:color w:val="auto"/>
              </w:rPr>
            </w:pPr>
          </w:p>
        </w:tc>
        <w:tc>
          <w:tcPr>
            <w:tcW w:w="8160" w:type="dxa"/>
            <w:vAlign w:val="bottom"/>
            <w:tcBorders>
              <w:bottom w:val="single" w:sz="8" w:color="0000EE"/>
            </w:tcBorders>
            <w:gridSpan w:val="19"/>
          </w:tcPr>
          <w:p>
            <w:pPr>
              <w:spacing w:after="0"/>
              <w:rPr>
                <w:rFonts w:ascii="Arial" w:cs="Arial" w:eastAsia="Arial" w:hAnsi="Arial"/>
                <w:sz w:val="16"/>
                <w:szCs w:val="16"/>
                <w:color w:val="0000EE"/>
                <w:w w:val="89"/>
              </w:rPr>
            </w:pPr>
            <w:hyperlink w:anchor="page334">
              <w:r>
                <w:rPr>
                  <w:rFonts w:ascii="Arial" w:cs="Arial" w:eastAsia="Arial" w:hAnsi="Arial"/>
                  <w:sz w:val="16"/>
                  <w:szCs w:val="16"/>
                  <w:color w:val="0000EE"/>
                  <w:w w:val="89"/>
                </w:rPr>
                <w:t>Form of Amended and Restated Certificate of Incorporation of the Registrant, to be in effect upon the completion of this offering.</w:t>
              </w:r>
            </w:hyperlink>
          </w:p>
        </w:tc>
        <w:tc>
          <w:tcPr>
            <w:tcW w:w="280" w:type="dxa"/>
            <w:vAlign w:val="bottom"/>
            <w:gridSpan w:val="2"/>
          </w:tcPr>
          <w:p>
            <w:pPr>
              <w:spacing w:after="0"/>
              <w:rPr>
                <w:sz w:val="22"/>
                <w:szCs w:val="22"/>
                <w:color w:val="auto"/>
              </w:rPr>
            </w:pPr>
          </w:p>
        </w:tc>
      </w:tr>
      <w:tr>
        <w:trPr>
          <w:trHeight w:val="263"/>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3.3</w:t>
            </w:r>
          </w:p>
        </w:tc>
        <w:tc>
          <w:tcPr>
            <w:tcW w:w="440" w:type="dxa"/>
            <w:vAlign w:val="bottom"/>
          </w:tcPr>
          <w:p>
            <w:pPr>
              <w:spacing w:after="0"/>
              <w:rPr>
                <w:sz w:val="22"/>
                <w:szCs w:val="22"/>
                <w:color w:val="auto"/>
              </w:rPr>
            </w:pPr>
          </w:p>
        </w:tc>
        <w:tc>
          <w:tcPr>
            <w:tcW w:w="8440" w:type="dxa"/>
            <w:vAlign w:val="bottom"/>
            <w:gridSpan w:val="21"/>
          </w:tcPr>
          <w:p>
            <w:pPr>
              <w:spacing w:after="0"/>
              <w:rPr>
                <w:rFonts w:ascii="Arial" w:cs="Arial" w:eastAsia="Arial" w:hAnsi="Arial"/>
                <w:sz w:val="16"/>
                <w:szCs w:val="16"/>
                <w:color w:val="0000EE"/>
              </w:rPr>
            </w:pPr>
            <w:hyperlink w:anchor="page340">
              <w:r>
                <w:rPr>
                  <w:rFonts w:ascii="Arial" w:cs="Arial" w:eastAsia="Arial" w:hAnsi="Arial"/>
                  <w:sz w:val="16"/>
                  <w:szCs w:val="16"/>
                  <w:color w:val="0000EE"/>
                </w:rPr>
                <w:t>Bylaws of the Registrant, as currently in effect.</w:t>
              </w:r>
            </w:hyperlink>
          </w:p>
        </w:tc>
      </w:tr>
      <w:tr>
        <w:trPr>
          <w:trHeight w:val="20"/>
        </w:trPr>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3.4</w:t>
            </w:r>
          </w:p>
        </w:tc>
        <w:tc>
          <w:tcPr>
            <w:tcW w:w="440" w:type="dxa"/>
            <w:vAlign w:val="bottom"/>
          </w:tcPr>
          <w:p>
            <w:pPr>
              <w:spacing w:after="0"/>
              <w:rPr>
                <w:sz w:val="22"/>
                <w:szCs w:val="22"/>
                <w:color w:val="auto"/>
              </w:rPr>
            </w:pPr>
          </w:p>
        </w:tc>
        <w:tc>
          <w:tcPr>
            <w:tcW w:w="6900" w:type="dxa"/>
            <w:vAlign w:val="bottom"/>
            <w:tcBorders>
              <w:bottom w:val="single" w:sz="8" w:color="0000EE"/>
            </w:tcBorders>
            <w:gridSpan w:val="18"/>
          </w:tcPr>
          <w:p>
            <w:pPr>
              <w:spacing w:after="0"/>
              <w:rPr>
                <w:rFonts w:ascii="Arial" w:cs="Arial" w:eastAsia="Arial" w:hAnsi="Arial"/>
                <w:sz w:val="16"/>
                <w:szCs w:val="16"/>
                <w:color w:val="0000EE"/>
                <w:w w:val="89"/>
              </w:rPr>
            </w:pPr>
            <w:hyperlink w:anchor="page359">
              <w:r>
                <w:rPr>
                  <w:rFonts w:ascii="Arial" w:cs="Arial" w:eastAsia="Arial" w:hAnsi="Arial"/>
                  <w:sz w:val="16"/>
                  <w:szCs w:val="16"/>
                  <w:color w:val="0000EE"/>
                  <w:w w:val="89"/>
                </w:rPr>
                <w:t>Form of Amended and Restated Bylaws of the Registrant, to be in effect upon the completion of this offering.</w:t>
              </w:r>
            </w:hyperlink>
          </w:p>
        </w:tc>
        <w:tc>
          <w:tcPr>
            <w:tcW w:w="1540" w:type="dxa"/>
            <w:vAlign w:val="bottom"/>
            <w:gridSpan w:val="3"/>
          </w:tcPr>
          <w:p>
            <w:pPr>
              <w:spacing w:after="0"/>
              <w:rPr>
                <w:sz w:val="22"/>
                <w:szCs w:val="22"/>
                <w:color w:val="auto"/>
              </w:rPr>
            </w:pPr>
          </w:p>
        </w:tc>
      </w:tr>
      <w:tr>
        <w:trPr>
          <w:trHeight w:val="263"/>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22"/>
                <w:szCs w:val="22"/>
                <w:color w:val="auto"/>
              </w:rPr>
            </w:pPr>
          </w:p>
        </w:tc>
        <w:tc>
          <w:tcPr>
            <w:tcW w:w="8440" w:type="dxa"/>
            <w:vAlign w:val="bottom"/>
            <w:gridSpan w:val="21"/>
          </w:tcPr>
          <w:p>
            <w:pPr>
              <w:spacing w:after="0"/>
              <w:rPr>
                <w:rFonts w:ascii="Arial" w:cs="Arial" w:eastAsia="Arial" w:hAnsi="Arial"/>
                <w:sz w:val="16"/>
                <w:szCs w:val="16"/>
                <w:color w:val="0000EE"/>
                <w:w w:val="88"/>
              </w:rPr>
            </w:pPr>
            <w:hyperlink w:anchor="page387">
              <w:r>
                <w:rPr>
                  <w:rFonts w:ascii="Arial" w:cs="Arial" w:eastAsia="Arial" w:hAnsi="Arial"/>
                  <w:sz w:val="16"/>
                  <w:szCs w:val="16"/>
                  <w:color w:val="0000EE"/>
                  <w:w w:val="88"/>
                </w:rPr>
                <w:t>Amended and Restated Investors’ Rights Agreement by and among the Registrant and certain of its stockholders, dated December 17,</w:t>
              </w:r>
            </w:hyperlink>
          </w:p>
        </w:tc>
      </w:tr>
      <w:tr>
        <w:trPr>
          <w:trHeight w:val="169"/>
        </w:trPr>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Borders>
              <w:top w:val="single" w:sz="8" w:color="0000EE"/>
              <w:bottom w:val="single" w:sz="8" w:color="0000EE"/>
            </w:tcBorders>
          </w:tcPr>
          <w:p>
            <w:pPr>
              <w:spacing w:after="0" w:line="168" w:lineRule="exact"/>
              <w:rPr>
                <w:rFonts w:ascii="Arial" w:cs="Arial" w:eastAsia="Arial" w:hAnsi="Arial"/>
                <w:sz w:val="16"/>
                <w:szCs w:val="16"/>
                <w:color w:val="0000EE"/>
                <w:w w:val="84"/>
              </w:rPr>
            </w:pPr>
            <w:hyperlink w:anchor="page387">
              <w:r>
                <w:rPr>
                  <w:rFonts w:ascii="Arial" w:cs="Arial" w:eastAsia="Arial" w:hAnsi="Arial"/>
                  <w:sz w:val="16"/>
                  <w:szCs w:val="16"/>
                  <w:color w:val="0000EE"/>
                  <w:w w:val="84"/>
                </w:rPr>
                <w:t>2020.</w:t>
              </w:r>
            </w:hyperlink>
          </w:p>
        </w:tc>
        <w:tc>
          <w:tcPr>
            <w:tcW w:w="22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297"/>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4.2*</w:t>
            </w:r>
          </w:p>
        </w:tc>
        <w:tc>
          <w:tcPr>
            <w:tcW w:w="440" w:type="dxa"/>
            <w:vAlign w:val="bottom"/>
          </w:tcPr>
          <w:p>
            <w:pPr>
              <w:spacing w:after="0"/>
              <w:rPr>
                <w:sz w:val="24"/>
                <w:szCs w:val="24"/>
                <w:color w:val="auto"/>
              </w:rPr>
            </w:pPr>
          </w:p>
        </w:tc>
        <w:tc>
          <w:tcPr>
            <w:tcW w:w="8440" w:type="dxa"/>
            <w:vAlign w:val="bottom"/>
            <w:gridSpan w:val="21"/>
          </w:tcPr>
          <w:p>
            <w:pPr>
              <w:spacing w:after="0"/>
              <w:rPr>
                <w:sz w:val="20"/>
                <w:szCs w:val="20"/>
                <w:color w:val="auto"/>
              </w:rPr>
            </w:pPr>
            <w:r>
              <w:rPr>
                <w:rFonts w:ascii="Arial" w:cs="Arial" w:eastAsia="Arial" w:hAnsi="Arial"/>
                <w:sz w:val="16"/>
                <w:szCs w:val="16"/>
                <w:color w:val="auto"/>
              </w:rPr>
              <w:t>Specimen common stock certificate of the Registrant.</w:t>
            </w:r>
          </w:p>
        </w:tc>
      </w:tr>
      <w:tr>
        <w:trPr>
          <w:trHeight w:val="283"/>
        </w:trPr>
        <w:tc>
          <w:tcPr>
            <w:tcW w:w="520" w:type="dxa"/>
            <w:vAlign w:val="bottom"/>
            <w:gridSpan w:val="2"/>
          </w:tcPr>
          <w:p>
            <w:pPr>
              <w:ind w:left="80"/>
              <w:spacing w:after="0"/>
              <w:rPr>
                <w:sz w:val="20"/>
                <w:szCs w:val="20"/>
                <w:color w:val="auto"/>
              </w:rPr>
            </w:pPr>
            <w:r>
              <w:rPr>
                <w:rFonts w:ascii="Arial" w:cs="Arial" w:eastAsia="Arial" w:hAnsi="Arial"/>
                <w:sz w:val="16"/>
                <w:szCs w:val="16"/>
                <w:color w:val="auto"/>
              </w:rPr>
              <w:t>5.1*</w:t>
            </w:r>
          </w:p>
        </w:tc>
        <w:tc>
          <w:tcPr>
            <w:tcW w:w="440" w:type="dxa"/>
            <w:vAlign w:val="bottom"/>
          </w:tcPr>
          <w:p>
            <w:pPr>
              <w:spacing w:after="0"/>
              <w:rPr>
                <w:sz w:val="24"/>
                <w:szCs w:val="24"/>
                <w:color w:val="auto"/>
              </w:rPr>
            </w:pPr>
          </w:p>
        </w:tc>
        <w:tc>
          <w:tcPr>
            <w:tcW w:w="8440" w:type="dxa"/>
            <w:vAlign w:val="bottom"/>
            <w:gridSpan w:val="21"/>
          </w:tcPr>
          <w:p>
            <w:pPr>
              <w:spacing w:after="0"/>
              <w:rPr>
                <w:sz w:val="20"/>
                <w:szCs w:val="20"/>
                <w:color w:val="auto"/>
              </w:rPr>
            </w:pPr>
            <w:r>
              <w:rPr>
                <w:rFonts w:ascii="Arial" w:cs="Arial" w:eastAsia="Arial" w:hAnsi="Arial"/>
                <w:sz w:val="16"/>
                <w:szCs w:val="16"/>
                <w:color w:val="auto"/>
              </w:rPr>
              <w:t>Opinion of Wilson Sonsini Goodrich &amp; Rosati, Professional Corporation.</w:t>
            </w:r>
          </w:p>
        </w:tc>
      </w:tr>
      <w:tr>
        <w:trPr>
          <w:trHeight w:val="249"/>
        </w:trPr>
        <w:tc>
          <w:tcPr>
            <w:tcW w:w="520" w:type="dxa"/>
            <w:vAlign w:val="bottom"/>
            <w:gridSpan w:val="2"/>
          </w:tcPr>
          <w:p>
            <w:pPr>
              <w:spacing w:after="0"/>
              <w:rPr>
                <w:sz w:val="20"/>
                <w:szCs w:val="20"/>
                <w:color w:val="auto"/>
              </w:rPr>
            </w:pPr>
            <w:r>
              <w:rPr>
                <w:rFonts w:ascii="Arial" w:cs="Arial" w:eastAsia="Arial" w:hAnsi="Arial"/>
                <w:sz w:val="16"/>
                <w:szCs w:val="16"/>
                <w:color w:val="auto"/>
              </w:rPr>
              <w:t>10.1+</w:t>
            </w:r>
          </w:p>
        </w:tc>
        <w:tc>
          <w:tcPr>
            <w:tcW w:w="440" w:type="dxa"/>
            <w:vAlign w:val="bottom"/>
          </w:tcPr>
          <w:p>
            <w:pPr>
              <w:spacing w:after="0"/>
              <w:rPr>
                <w:sz w:val="21"/>
                <w:szCs w:val="21"/>
                <w:color w:val="auto"/>
              </w:rPr>
            </w:pPr>
          </w:p>
        </w:tc>
        <w:tc>
          <w:tcPr>
            <w:tcW w:w="6780" w:type="dxa"/>
            <w:vAlign w:val="bottom"/>
            <w:tcBorders>
              <w:bottom w:val="single" w:sz="8" w:color="0000EE"/>
            </w:tcBorders>
            <w:gridSpan w:val="17"/>
          </w:tcPr>
          <w:p>
            <w:pPr>
              <w:spacing w:after="0"/>
              <w:rPr>
                <w:rFonts w:ascii="Arial" w:cs="Arial" w:eastAsia="Arial" w:hAnsi="Arial"/>
                <w:sz w:val="16"/>
                <w:szCs w:val="16"/>
                <w:color w:val="0000EE"/>
                <w:w w:val="89"/>
              </w:rPr>
            </w:pPr>
            <w:hyperlink w:anchor="page438">
              <w:r>
                <w:rPr>
                  <w:rFonts w:ascii="Arial" w:cs="Arial" w:eastAsia="Arial" w:hAnsi="Arial"/>
                  <w:sz w:val="16"/>
                  <w:szCs w:val="16"/>
                  <w:color w:val="0000EE"/>
                  <w:w w:val="89"/>
                </w:rPr>
                <w:t>Form of Indemnification Agreement between the Registrant and each of its directors and executive officers.</w:t>
              </w:r>
            </w:hyperlink>
          </w:p>
        </w:tc>
        <w:tc>
          <w:tcPr>
            <w:tcW w:w="1660" w:type="dxa"/>
            <w:vAlign w:val="bottom"/>
            <w:gridSpan w:val="4"/>
          </w:tcPr>
          <w:p>
            <w:pPr>
              <w:spacing w:after="0"/>
              <w:rPr>
                <w:sz w:val="21"/>
                <w:szCs w:val="21"/>
                <w:color w:val="auto"/>
              </w:rPr>
            </w:pPr>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10.2+</w:t>
            </w:r>
          </w:p>
        </w:tc>
        <w:tc>
          <w:tcPr>
            <w:tcW w:w="440" w:type="dxa"/>
            <w:vAlign w:val="bottom"/>
          </w:tcPr>
          <w:p>
            <w:pPr>
              <w:spacing w:after="0"/>
              <w:rPr>
                <w:sz w:val="22"/>
                <w:szCs w:val="22"/>
                <w:color w:val="auto"/>
              </w:rPr>
            </w:pPr>
          </w:p>
        </w:tc>
        <w:tc>
          <w:tcPr>
            <w:tcW w:w="8440" w:type="dxa"/>
            <w:vAlign w:val="bottom"/>
            <w:gridSpan w:val="21"/>
          </w:tcPr>
          <w:p>
            <w:pPr>
              <w:spacing w:after="0"/>
              <w:rPr>
                <w:rFonts w:ascii="Arial" w:cs="Arial" w:eastAsia="Arial" w:hAnsi="Arial"/>
                <w:sz w:val="16"/>
                <w:szCs w:val="16"/>
                <w:color w:val="0000EE"/>
              </w:rPr>
            </w:pPr>
            <w:hyperlink w:anchor="page452">
              <w:r>
                <w:rPr>
                  <w:rFonts w:ascii="Arial" w:cs="Arial" w:eastAsia="Arial" w:hAnsi="Arial"/>
                  <w:sz w:val="16"/>
                  <w:szCs w:val="16"/>
                  <w:color w:val="0000EE"/>
                </w:rPr>
                <w:t>Amended and Restated 2016 Equity Incentive Plan and forms of agreement thereunder.</w:t>
              </w:r>
            </w:hyperlink>
          </w:p>
        </w:tc>
      </w:tr>
      <w:tr>
        <w:trPr>
          <w:trHeight w:val="20"/>
        </w:trPr>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r>
      <w:tr>
        <w:trPr>
          <w:trHeight w:val="297"/>
        </w:trPr>
        <w:tc>
          <w:tcPr>
            <w:tcW w:w="520" w:type="dxa"/>
            <w:vAlign w:val="bottom"/>
            <w:gridSpan w:val="2"/>
          </w:tcPr>
          <w:p>
            <w:pPr>
              <w:spacing w:after="0"/>
              <w:rPr>
                <w:sz w:val="20"/>
                <w:szCs w:val="20"/>
                <w:color w:val="auto"/>
              </w:rPr>
            </w:pPr>
            <w:r>
              <w:rPr>
                <w:rFonts w:ascii="Arial" w:cs="Arial" w:eastAsia="Arial" w:hAnsi="Arial"/>
                <w:sz w:val="16"/>
                <w:szCs w:val="16"/>
                <w:color w:val="auto"/>
              </w:rPr>
              <w:t>10.3+*</w:t>
            </w:r>
          </w:p>
        </w:tc>
        <w:tc>
          <w:tcPr>
            <w:tcW w:w="440" w:type="dxa"/>
            <w:vAlign w:val="bottom"/>
          </w:tcPr>
          <w:p>
            <w:pPr>
              <w:spacing w:after="0"/>
              <w:rPr>
                <w:sz w:val="24"/>
                <w:szCs w:val="24"/>
                <w:color w:val="auto"/>
              </w:rPr>
            </w:pPr>
          </w:p>
        </w:tc>
        <w:tc>
          <w:tcPr>
            <w:tcW w:w="8440" w:type="dxa"/>
            <w:vAlign w:val="bottom"/>
            <w:gridSpan w:val="21"/>
          </w:tcPr>
          <w:p>
            <w:pPr>
              <w:spacing w:after="0"/>
              <w:rPr>
                <w:sz w:val="20"/>
                <w:szCs w:val="20"/>
                <w:color w:val="auto"/>
              </w:rPr>
            </w:pPr>
            <w:r>
              <w:rPr>
                <w:rFonts w:ascii="Arial" w:cs="Arial" w:eastAsia="Arial" w:hAnsi="Arial"/>
                <w:sz w:val="16"/>
                <w:szCs w:val="16"/>
                <w:color w:val="auto"/>
              </w:rPr>
              <w:t>2021 Equity Incentive Plan and forms of agreements thereunder, to be in effect upon the completion of this offering.</w:t>
            </w:r>
          </w:p>
        </w:tc>
      </w:tr>
      <w:tr>
        <w:trPr>
          <w:trHeight w:val="283"/>
        </w:trPr>
        <w:tc>
          <w:tcPr>
            <w:tcW w:w="520" w:type="dxa"/>
            <w:vAlign w:val="bottom"/>
            <w:gridSpan w:val="2"/>
          </w:tcPr>
          <w:p>
            <w:pPr>
              <w:spacing w:after="0"/>
              <w:rPr>
                <w:sz w:val="20"/>
                <w:szCs w:val="20"/>
                <w:color w:val="auto"/>
              </w:rPr>
            </w:pPr>
            <w:r>
              <w:rPr>
                <w:rFonts w:ascii="Arial" w:cs="Arial" w:eastAsia="Arial" w:hAnsi="Arial"/>
                <w:sz w:val="16"/>
                <w:szCs w:val="16"/>
                <w:color w:val="auto"/>
              </w:rPr>
              <w:t>10.4+*</w:t>
            </w:r>
          </w:p>
        </w:tc>
        <w:tc>
          <w:tcPr>
            <w:tcW w:w="440" w:type="dxa"/>
            <w:vAlign w:val="bottom"/>
          </w:tcPr>
          <w:p>
            <w:pPr>
              <w:spacing w:after="0"/>
              <w:rPr>
                <w:sz w:val="24"/>
                <w:szCs w:val="24"/>
                <w:color w:val="auto"/>
              </w:rPr>
            </w:pPr>
          </w:p>
        </w:tc>
        <w:tc>
          <w:tcPr>
            <w:tcW w:w="8440" w:type="dxa"/>
            <w:vAlign w:val="bottom"/>
            <w:gridSpan w:val="21"/>
          </w:tcPr>
          <w:p>
            <w:pPr>
              <w:spacing w:after="0"/>
              <w:rPr>
                <w:sz w:val="20"/>
                <w:szCs w:val="20"/>
                <w:color w:val="auto"/>
              </w:rPr>
            </w:pPr>
            <w:r>
              <w:rPr>
                <w:rFonts w:ascii="Arial" w:cs="Arial" w:eastAsia="Arial" w:hAnsi="Arial"/>
                <w:sz w:val="16"/>
                <w:szCs w:val="16"/>
                <w:color w:val="auto"/>
                <w:w w:val="94"/>
              </w:rPr>
              <w:t>2021 Employee Stock Purchase Plan and forms of agreements thereunder, to be in effect upon the completion of this offering.</w:t>
            </w:r>
          </w:p>
        </w:tc>
      </w:tr>
      <w:tr>
        <w:trPr>
          <w:trHeight w:val="249"/>
        </w:trPr>
        <w:tc>
          <w:tcPr>
            <w:tcW w:w="520" w:type="dxa"/>
            <w:vAlign w:val="bottom"/>
            <w:gridSpan w:val="2"/>
          </w:tcPr>
          <w:p>
            <w:pPr>
              <w:spacing w:after="0"/>
              <w:rPr>
                <w:sz w:val="20"/>
                <w:szCs w:val="20"/>
                <w:color w:val="auto"/>
              </w:rPr>
            </w:pPr>
            <w:r>
              <w:rPr>
                <w:rFonts w:ascii="Arial" w:cs="Arial" w:eastAsia="Arial" w:hAnsi="Arial"/>
                <w:sz w:val="16"/>
                <w:szCs w:val="16"/>
                <w:color w:val="auto"/>
              </w:rPr>
              <w:t>10.5+</w:t>
            </w:r>
          </w:p>
        </w:tc>
        <w:tc>
          <w:tcPr>
            <w:tcW w:w="440" w:type="dxa"/>
            <w:vAlign w:val="bottom"/>
          </w:tcPr>
          <w:p>
            <w:pPr>
              <w:spacing w:after="0"/>
              <w:rPr>
                <w:sz w:val="21"/>
                <w:szCs w:val="21"/>
                <w:color w:val="auto"/>
              </w:rPr>
            </w:pPr>
          </w:p>
        </w:tc>
        <w:tc>
          <w:tcPr>
            <w:tcW w:w="416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502">
              <w:r>
                <w:rPr>
                  <w:rFonts w:ascii="Arial" w:cs="Arial" w:eastAsia="Arial" w:hAnsi="Arial"/>
                  <w:sz w:val="16"/>
                  <w:szCs w:val="16"/>
                  <w:color w:val="0000EE"/>
                  <w:w w:val="90"/>
                </w:rPr>
                <w:t>Employment Letter between the Registrant and Faraz Ali, M.B.A.</w:t>
              </w:r>
            </w:hyperlink>
          </w:p>
        </w:tc>
        <w:tc>
          <w:tcPr>
            <w:tcW w:w="4280" w:type="dxa"/>
            <w:vAlign w:val="bottom"/>
            <w:gridSpan w:val="14"/>
          </w:tcPr>
          <w:p>
            <w:pPr>
              <w:spacing w:after="0"/>
              <w:rPr>
                <w:sz w:val="21"/>
                <w:szCs w:val="21"/>
                <w:color w:val="auto"/>
              </w:rPr>
            </w:pPr>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10.6+</w:t>
            </w:r>
          </w:p>
        </w:tc>
        <w:tc>
          <w:tcPr>
            <w:tcW w:w="440" w:type="dxa"/>
            <w:vAlign w:val="bottom"/>
          </w:tcPr>
          <w:p>
            <w:pPr>
              <w:spacing w:after="0"/>
              <w:rPr>
                <w:sz w:val="22"/>
                <w:szCs w:val="22"/>
                <w:color w:val="auto"/>
              </w:rPr>
            </w:pPr>
          </w:p>
        </w:tc>
        <w:tc>
          <w:tcPr>
            <w:tcW w:w="4360" w:type="dxa"/>
            <w:vAlign w:val="bottom"/>
            <w:tcBorders>
              <w:bottom w:val="single" w:sz="8" w:color="0000EE"/>
            </w:tcBorders>
            <w:gridSpan w:val="8"/>
          </w:tcPr>
          <w:p>
            <w:pPr>
              <w:spacing w:after="0"/>
              <w:rPr>
                <w:rFonts w:ascii="Arial" w:cs="Arial" w:eastAsia="Arial" w:hAnsi="Arial"/>
                <w:sz w:val="16"/>
                <w:szCs w:val="16"/>
                <w:color w:val="0000EE"/>
                <w:w w:val="89"/>
              </w:rPr>
            </w:pPr>
            <w:hyperlink w:anchor="page507">
              <w:r>
                <w:rPr>
                  <w:rFonts w:ascii="Arial" w:cs="Arial" w:eastAsia="Arial" w:hAnsi="Arial"/>
                  <w:sz w:val="16"/>
                  <w:szCs w:val="16"/>
                  <w:color w:val="0000EE"/>
                  <w:w w:val="89"/>
                </w:rPr>
                <w:t>Employment Letter between the Registrant and Timothy Hoey, Ph.D.</w:t>
              </w:r>
            </w:hyperlink>
          </w:p>
        </w:tc>
        <w:tc>
          <w:tcPr>
            <w:tcW w:w="4080" w:type="dxa"/>
            <w:vAlign w:val="bottom"/>
            <w:gridSpan w:val="13"/>
          </w:tcPr>
          <w:p>
            <w:pPr>
              <w:spacing w:after="0"/>
              <w:rPr>
                <w:sz w:val="22"/>
                <w:szCs w:val="22"/>
                <w:color w:val="auto"/>
              </w:rPr>
            </w:pPr>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10.7+</w:t>
            </w:r>
          </w:p>
        </w:tc>
        <w:tc>
          <w:tcPr>
            <w:tcW w:w="440" w:type="dxa"/>
            <w:vAlign w:val="bottom"/>
          </w:tcPr>
          <w:p>
            <w:pPr>
              <w:spacing w:after="0"/>
              <w:rPr>
                <w:sz w:val="22"/>
                <w:szCs w:val="22"/>
                <w:color w:val="auto"/>
              </w:rPr>
            </w:pPr>
          </w:p>
        </w:tc>
        <w:tc>
          <w:tcPr>
            <w:tcW w:w="4780" w:type="dxa"/>
            <w:vAlign w:val="bottom"/>
            <w:tcBorders>
              <w:bottom w:val="single" w:sz="8" w:color="0000EE"/>
            </w:tcBorders>
            <w:gridSpan w:val="10"/>
          </w:tcPr>
          <w:p>
            <w:pPr>
              <w:spacing w:after="0"/>
              <w:rPr>
                <w:rFonts w:ascii="Arial" w:cs="Arial" w:eastAsia="Arial" w:hAnsi="Arial"/>
                <w:sz w:val="16"/>
                <w:szCs w:val="16"/>
                <w:color w:val="0000EE"/>
                <w:w w:val="89"/>
              </w:rPr>
            </w:pPr>
            <w:hyperlink w:anchor="page512">
              <w:r>
                <w:rPr>
                  <w:rFonts w:ascii="Arial" w:cs="Arial" w:eastAsia="Arial" w:hAnsi="Arial"/>
                  <w:sz w:val="16"/>
                  <w:szCs w:val="16"/>
                  <w:color w:val="0000EE"/>
                  <w:w w:val="89"/>
                </w:rPr>
                <w:t>Employment Letter between the Registrant and Leone D. Patterson, M.B.A.</w:t>
              </w:r>
            </w:hyperlink>
          </w:p>
        </w:tc>
        <w:tc>
          <w:tcPr>
            <w:tcW w:w="3660" w:type="dxa"/>
            <w:vAlign w:val="bottom"/>
            <w:gridSpan w:val="11"/>
          </w:tcPr>
          <w:p>
            <w:pPr>
              <w:spacing w:after="0"/>
              <w:rPr>
                <w:sz w:val="22"/>
                <w:szCs w:val="22"/>
                <w:color w:val="auto"/>
              </w:rPr>
            </w:pPr>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10.8+</w:t>
            </w:r>
          </w:p>
        </w:tc>
        <w:tc>
          <w:tcPr>
            <w:tcW w:w="440" w:type="dxa"/>
            <w:vAlign w:val="bottom"/>
          </w:tcPr>
          <w:p>
            <w:pPr>
              <w:spacing w:after="0"/>
              <w:rPr>
                <w:sz w:val="22"/>
                <w:szCs w:val="22"/>
                <w:color w:val="auto"/>
              </w:rPr>
            </w:pPr>
          </w:p>
        </w:tc>
        <w:tc>
          <w:tcPr>
            <w:tcW w:w="558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517">
              <w:r>
                <w:rPr>
                  <w:rFonts w:ascii="Arial" w:cs="Arial" w:eastAsia="Arial" w:hAnsi="Arial"/>
                  <w:sz w:val="16"/>
                  <w:szCs w:val="16"/>
                  <w:color w:val="0000EE"/>
                  <w:w w:val="90"/>
                </w:rPr>
                <w:t>Employment Letter between the Registrant and Whittemore (Whit) Tingley, M.D., Ph.D.</w:t>
              </w:r>
            </w:hyperlink>
          </w:p>
        </w:tc>
        <w:tc>
          <w:tcPr>
            <w:tcW w:w="2860" w:type="dxa"/>
            <w:vAlign w:val="bottom"/>
            <w:gridSpan w:val="8"/>
          </w:tcPr>
          <w:p>
            <w:pPr>
              <w:spacing w:after="0"/>
              <w:rPr>
                <w:sz w:val="22"/>
                <w:szCs w:val="22"/>
                <w:color w:val="auto"/>
              </w:rPr>
            </w:pPr>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10.9#</w:t>
            </w:r>
          </w:p>
        </w:tc>
        <w:tc>
          <w:tcPr>
            <w:tcW w:w="440" w:type="dxa"/>
            <w:vAlign w:val="bottom"/>
          </w:tcPr>
          <w:p>
            <w:pPr>
              <w:spacing w:after="0"/>
              <w:rPr>
                <w:sz w:val="22"/>
                <w:szCs w:val="22"/>
                <w:color w:val="auto"/>
              </w:rPr>
            </w:pPr>
          </w:p>
        </w:tc>
        <w:tc>
          <w:tcPr>
            <w:tcW w:w="8440" w:type="dxa"/>
            <w:vAlign w:val="bottom"/>
            <w:tcBorders>
              <w:bottom w:val="single" w:sz="8" w:color="0000EE"/>
            </w:tcBorders>
            <w:gridSpan w:val="21"/>
          </w:tcPr>
          <w:p>
            <w:pPr>
              <w:spacing w:after="0"/>
              <w:rPr>
                <w:rFonts w:ascii="Arial" w:cs="Arial" w:eastAsia="Arial" w:hAnsi="Arial"/>
                <w:sz w:val="16"/>
                <w:szCs w:val="16"/>
                <w:color w:val="0000EE"/>
                <w:w w:val="87"/>
              </w:rPr>
            </w:pPr>
            <w:hyperlink w:anchor="page522">
              <w:r>
                <w:rPr>
                  <w:rFonts w:ascii="Arial" w:cs="Arial" w:eastAsia="Arial" w:hAnsi="Arial"/>
                  <w:sz w:val="16"/>
                  <w:szCs w:val="16"/>
                  <w:color w:val="0000EE"/>
                  <w:w w:val="87"/>
                </w:rPr>
                <w:t>License Agreement between the Registrant and the Board of Regents of the University of Texas System, dated as of January 10, 2020.</w:t>
              </w:r>
            </w:hyperlink>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10.10</w:t>
            </w:r>
          </w:p>
        </w:tc>
        <w:tc>
          <w:tcPr>
            <w:tcW w:w="440" w:type="dxa"/>
            <w:vAlign w:val="bottom"/>
          </w:tcPr>
          <w:p>
            <w:pPr>
              <w:spacing w:after="0"/>
              <w:rPr>
                <w:sz w:val="22"/>
                <w:szCs w:val="22"/>
                <w:color w:val="auto"/>
              </w:rPr>
            </w:pPr>
          </w:p>
        </w:tc>
        <w:tc>
          <w:tcPr>
            <w:tcW w:w="8440" w:type="dxa"/>
            <w:vAlign w:val="bottom"/>
            <w:gridSpan w:val="21"/>
          </w:tcPr>
          <w:p>
            <w:pPr>
              <w:spacing w:after="0"/>
              <w:rPr>
                <w:rFonts w:ascii="Arial" w:cs="Arial" w:eastAsia="Arial" w:hAnsi="Arial"/>
                <w:sz w:val="16"/>
                <w:szCs w:val="16"/>
                <w:color w:val="0000EE"/>
              </w:rPr>
            </w:pPr>
            <w:hyperlink w:anchor="page556">
              <w:r>
                <w:rPr>
                  <w:rFonts w:ascii="Arial" w:cs="Arial" w:eastAsia="Arial" w:hAnsi="Arial"/>
                  <w:sz w:val="16"/>
                  <w:szCs w:val="16"/>
                  <w:color w:val="0000EE"/>
                </w:rPr>
                <w:t>Lease between HCP Oyster Point III LLC and Tenaya Therapeutics, Inc. dated as of September 6, 2016.</w:t>
              </w:r>
            </w:hyperlink>
          </w:p>
        </w:tc>
      </w:tr>
      <w:tr>
        <w:trPr>
          <w:trHeight w:val="20"/>
        </w:trPr>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10.11</w:t>
            </w:r>
          </w:p>
        </w:tc>
        <w:tc>
          <w:tcPr>
            <w:tcW w:w="440" w:type="dxa"/>
            <w:vAlign w:val="bottom"/>
          </w:tcPr>
          <w:p>
            <w:pPr>
              <w:spacing w:after="0"/>
              <w:rPr>
                <w:sz w:val="22"/>
                <w:szCs w:val="22"/>
                <w:color w:val="auto"/>
              </w:rPr>
            </w:pPr>
          </w:p>
        </w:tc>
        <w:tc>
          <w:tcPr>
            <w:tcW w:w="8440" w:type="dxa"/>
            <w:vAlign w:val="bottom"/>
            <w:gridSpan w:val="21"/>
          </w:tcPr>
          <w:p>
            <w:pPr>
              <w:spacing w:after="0"/>
              <w:rPr>
                <w:rFonts w:ascii="Arial" w:cs="Arial" w:eastAsia="Arial" w:hAnsi="Arial"/>
                <w:sz w:val="16"/>
                <w:szCs w:val="16"/>
                <w:color w:val="0000EE"/>
              </w:rPr>
            </w:pPr>
            <w:hyperlink w:anchor="page690">
              <w:r>
                <w:rPr>
                  <w:rFonts w:ascii="Arial" w:cs="Arial" w:eastAsia="Arial" w:hAnsi="Arial"/>
                  <w:sz w:val="16"/>
                  <w:szCs w:val="16"/>
                  <w:color w:val="0000EE"/>
                </w:rPr>
                <w:t>Lease between Terreno Park Union City LLC and Tenaya Therapeutics, Inc. dated as of February 12, 2021.</w:t>
              </w:r>
            </w:hyperlink>
          </w:p>
        </w:tc>
      </w:tr>
      <w:tr>
        <w:trPr>
          <w:trHeight w:val="263"/>
        </w:trPr>
        <w:tc>
          <w:tcPr>
            <w:tcW w:w="520" w:type="dxa"/>
            <w:vAlign w:val="bottom"/>
            <w:gridSpan w:val="2"/>
          </w:tcPr>
          <w:p>
            <w:pPr>
              <w:spacing w:after="0"/>
              <w:rPr>
                <w:sz w:val="20"/>
                <w:szCs w:val="20"/>
                <w:color w:val="auto"/>
              </w:rPr>
            </w:pPr>
            <w:r>
              <w:rPr>
                <w:rFonts w:ascii="Arial" w:cs="Arial" w:eastAsia="Arial" w:hAnsi="Arial"/>
                <w:sz w:val="16"/>
                <w:szCs w:val="16"/>
                <w:color w:val="auto"/>
              </w:rPr>
              <w:t>10.12+</w:t>
            </w:r>
          </w:p>
        </w:tc>
        <w:tc>
          <w:tcPr>
            <w:tcW w:w="440" w:type="dxa"/>
            <w:vAlign w:val="bottom"/>
          </w:tcPr>
          <w:p>
            <w:pPr>
              <w:spacing w:after="0"/>
              <w:rPr>
                <w:sz w:val="22"/>
                <w:szCs w:val="22"/>
                <w:color w:val="auto"/>
              </w:rPr>
            </w:pPr>
          </w:p>
        </w:tc>
        <w:tc>
          <w:tcPr>
            <w:tcW w:w="314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7"/>
              </w:rPr>
            </w:pPr>
            <w:hyperlink w:anchor="page732">
              <w:r>
                <w:rPr>
                  <w:rFonts w:ascii="Arial" w:cs="Arial" w:eastAsia="Arial" w:hAnsi="Arial"/>
                  <w:sz w:val="16"/>
                  <w:szCs w:val="16"/>
                  <w:color w:val="0000EE"/>
                  <w:w w:val="87"/>
                </w:rPr>
                <w:t>Executive Change in Control and Severance Plan.</w:t>
              </w:r>
            </w:hyperlink>
          </w:p>
        </w:tc>
        <w:tc>
          <w:tcPr>
            <w:tcW w:w="3600" w:type="dxa"/>
            <w:vAlign w:val="bottom"/>
            <w:tcBorders>
              <w:top w:val="single" w:sz="8" w:color="0000EE"/>
            </w:tcBorders>
            <w:gridSpan w:val="12"/>
          </w:tcPr>
          <w:p>
            <w:pPr>
              <w:spacing w:after="0"/>
              <w:rPr>
                <w:sz w:val="22"/>
                <w:szCs w:val="22"/>
                <w:color w:val="auto"/>
              </w:rPr>
            </w:pPr>
          </w:p>
        </w:tc>
        <w:tc>
          <w:tcPr>
            <w:tcW w:w="1700" w:type="dxa"/>
            <w:vAlign w:val="bottom"/>
            <w:gridSpan w:val="5"/>
          </w:tcPr>
          <w:p>
            <w:pPr>
              <w:spacing w:after="0"/>
              <w:rPr>
                <w:sz w:val="22"/>
                <w:szCs w:val="22"/>
                <w:color w:val="auto"/>
              </w:rPr>
            </w:pPr>
          </w:p>
        </w:tc>
      </w:tr>
      <w:tr>
        <w:trPr>
          <w:trHeight w:val="275"/>
        </w:trPr>
        <w:tc>
          <w:tcPr>
            <w:tcW w:w="520" w:type="dxa"/>
            <w:vAlign w:val="bottom"/>
            <w:gridSpan w:val="2"/>
          </w:tcPr>
          <w:p>
            <w:pPr>
              <w:spacing w:after="0"/>
              <w:rPr>
                <w:sz w:val="20"/>
                <w:szCs w:val="20"/>
                <w:color w:val="auto"/>
              </w:rPr>
            </w:pPr>
            <w:r>
              <w:rPr>
                <w:rFonts w:ascii="Arial" w:cs="Arial" w:eastAsia="Arial" w:hAnsi="Arial"/>
                <w:sz w:val="16"/>
                <w:szCs w:val="16"/>
                <w:color w:val="auto"/>
              </w:rPr>
              <w:t>10.13+</w:t>
            </w:r>
          </w:p>
        </w:tc>
        <w:tc>
          <w:tcPr>
            <w:tcW w:w="440" w:type="dxa"/>
            <w:vAlign w:val="bottom"/>
          </w:tcPr>
          <w:p>
            <w:pPr>
              <w:spacing w:after="0"/>
              <w:rPr>
                <w:sz w:val="23"/>
                <w:szCs w:val="23"/>
                <w:color w:val="auto"/>
              </w:rPr>
            </w:pPr>
          </w:p>
        </w:tc>
        <w:tc>
          <w:tcPr>
            <w:tcW w:w="2560" w:type="dxa"/>
            <w:vAlign w:val="bottom"/>
            <w:tcBorders>
              <w:bottom w:val="single" w:sz="8" w:color="0000EE"/>
            </w:tcBorders>
            <w:gridSpan w:val="2"/>
          </w:tcPr>
          <w:p>
            <w:pPr>
              <w:spacing w:after="0"/>
              <w:rPr>
                <w:rFonts w:ascii="Arial" w:cs="Arial" w:eastAsia="Arial" w:hAnsi="Arial"/>
                <w:sz w:val="16"/>
                <w:szCs w:val="16"/>
                <w:color w:val="0000EE"/>
                <w:w w:val="88"/>
              </w:rPr>
            </w:pPr>
            <w:hyperlink w:anchor="page749">
              <w:r>
                <w:rPr>
                  <w:rFonts w:ascii="Arial" w:cs="Arial" w:eastAsia="Arial" w:hAnsi="Arial"/>
                  <w:sz w:val="16"/>
                  <w:szCs w:val="16"/>
                  <w:color w:val="0000EE"/>
                  <w:w w:val="88"/>
                </w:rPr>
                <w:t>Executive Incentive Compensation Plan.</w:t>
              </w:r>
            </w:hyperlink>
          </w:p>
        </w:tc>
        <w:tc>
          <w:tcPr>
            <w:tcW w:w="5880" w:type="dxa"/>
            <w:vAlign w:val="bottom"/>
            <w:gridSpan w:val="19"/>
          </w:tcPr>
          <w:p>
            <w:pPr>
              <w:spacing w:after="0"/>
              <w:rPr>
                <w:sz w:val="23"/>
                <w:szCs w:val="23"/>
                <w:color w:val="auto"/>
              </w:rPr>
            </w:pPr>
          </w:p>
        </w:tc>
      </w:tr>
      <w:tr>
        <w:trPr>
          <w:trHeight w:val="297"/>
        </w:trPr>
        <w:tc>
          <w:tcPr>
            <w:tcW w:w="520" w:type="dxa"/>
            <w:vAlign w:val="bottom"/>
            <w:gridSpan w:val="2"/>
          </w:tcPr>
          <w:p>
            <w:pPr>
              <w:spacing w:after="0"/>
              <w:rPr>
                <w:sz w:val="20"/>
                <w:szCs w:val="20"/>
                <w:color w:val="auto"/>
              </w:rPr>
            </w:pPr>
            <w:r>
              <w:rPr>
                <w:rFonts w:ascii="Arial" w:cs="Arial" w:eastAsia="Arial" w:hAnsi="Arial"/>
                <w:sz w:val="16"/>
                <w:szCs w:val="16"/>
                <w:color w:val="auto"/>
                <w:w w:val="89"/>
              </w:rPr>
              <w:t>10.14+*</w:t>
            </w:r>
          </w:p>
        </w:tc>
        <w:tc>
          <w:tcPr>
            <w:tcW w:w="440" w:type="dxa"/>
            <w:vAlign w:val="bottom"/>
          </w:tcPr>
          <w:p>
            <w:pPr>
              <w:spacing w:after="0"/>
              <w:rPr>
                <w:sz w:val="24"/>
                <w:szCs w:val="24"/>
                <w:color w:val="auto"/>
              </w:rPr>
            </w:pPr>
          </w:p>
        </w:tc>
        <w:tc>
          <w:tcPr>
            <w:tcW w:w="8440" w:type="dxa"/>
            <w:vAlign w:val="bottom"/>
            <w:gridSpan w:val="21"/>
          </w:tcPr>
          <w:p>
            <w:pPr>
              <w:spacing w:after="0"/>
              <w:rPr>
                <w:sz w:val="20"/>
                <w:szCs w:val="20"/>
                <w:color w:val="auto"/>
              </w:rPr>
            </w:pPr>
            <w:r>
              <w:rPr>
                <w:rFonts w:ascii="Arial" w:cs="Arial" w:eastAsia="Arial" w:hAnsi="Arial"/>
                <w:sz w:val="16"/>
                <w:szCs w:val="16"/>
                <w:color w:val="auto"/>
              </w:rPr>
              <w:t>Outside Director Compensation Policy.</w:t>
            </w:r>
          </w:p>
        </w:tc>
      </w:tr>
      <w:tr>
        <w:trPr>
          <w:trHeight w:val="249"/>
        </w:trPr>
        <w:tc>
          <w:tcPr>
            <w:tcW w:w="520" w:type="dxa"/>
            <w:vAlign w:val="bottom"/>
            <w:gridSpan w:val="2"/>
          </w:tcPr>
          <w:p>
            <w:pPr>
              <w:spacing w:after="0"/>
              <w:rPr>
                <w:sz w:val="20"/>
                <w:szCs w:val="20"/>
                <w:color w:val="auto"/>
              </w:rPr>
            </w:pPr>
            <w:r>
              <w:rPr>
                <w:rFonts w:ascii="Arial" w:cs="Arial" w:eastAsia="Arial" w:hAnsi="Arial"/>
                <w:sz w:val="16"/>
                <w:szCs w:val="16"/>
                <w:color w:val="auto"/>
              </w:rPr>
              <w:t>23.1</w:t>
            </w:r>
          </w:p>
        </w:tc>
        <w:tc>
          <w:tcPr>
            <w:tcW w:w="440" w:type="dxa"/>
            <w:vAlign w:val="bottom"/>
          </w:tcPr>
          <w:p>
            <w:pPr>
              <w:spacing w:after="0"/>
              <w:rPr>
                <w:sz w:val="21"/>
                <w:szCs w:val="21"/>
                <w:color w:val="auto"/>
              </w:rPr>
            </w:pPr>
          </w:p>
        </w:tc>
        <w:tc>
          <w:tcPr>
            <w:tcW w:w="5360" w:type="dxa"/>
            <w:vAlign w:val="bottom"/>
            <w:tcBorders>
              <w:bottom w:val="single" w:sz="8" w:color="0000EE"/>
            </w:tcBorders>
            <w:gridSpan w:val="11"/>
          </w:tcPr>
          <w:p>
            <w:pPr>
              <w:spacing w:after="0"/>
              <w:rPr>
                <w:rFonts w:ascii="Arial" w:cs="Arial" w:eastAsia="Arial" w:hAnsi="Arial"/>
                <w:sz w:val="16"/>
                <w:szCs w:val="16"/>
                <w:color w:val="0000EE"/>
                <w:w w:val="89"/>
              </w:rPr>
            </w:pPr>
            <w:hyperlink w:anchor="page756">
              <w:r>
                <w:rPr>
                  <w:rFonts w:ascii="Arial" w:cs="Arial" w:eastAsia="Arial" w:hAnsi="Arial"/>
                  <w:sz w:val="16"/>
                  <w:szCs w:val="16"/>
                  <w:color w:val="0000EE"/>
                  <w:w w:val="89"/>
                </w:rPr>
                <w:t>Consent of Deloitte &amp; Touche LLP, Independent Registered Public Accounting Firm.</w:t>
              </w:r>
            </w:hyperlink>
          </w:p>
        </w:tc>
        <w:tc>
          <w:tcPr>
            <w:tcW w:w="3080" w:type="dxa"/>
            <w:vAlign w:val="bottom"/>
            <w:gridSpan w:val="10"/>
          </w:tcPr>
          <w:p>
            <w:pPr>
              <w:spacing w:after="0"/>
              <w:rPr>
                <w:sz w:val="21"/>
                <w:szCs w:val="21"/>
                <w:color w:val="auto"/>
              </w:rPr>
            </w:pPr>
          </w:p>
        </w:tc>
      </w:tr>
      <w:tr>
        <w:trPr>
          <w:trHeight w:val="297"/>
        </w:trPr>
        <w:tc>
          <w:tcPr>
            <w:tcW w:w="520" w:type="dxa"/>
            <w:vAlign w:val="bottom"/>
            <w:gridSpan w:val="2"/>
          </w:tcPr>
          <w:p>
            <w:pPr>
              <w:spacing w:after="0"/>
              <w:rPr>
                <w:sz w:val="20"/>
                <w:szCs w:val="20"/>
                <w:color w:val="auto"/>
              </w:rPr>
            </w:pPr>
            <w:r>
              <w:rPr>
                <w:rFonts w:ascii="Arial" w:cs="Arial" w:eastAsia="Arial" w:hAnsi="Arial"/>
                <w:sz w:val="16"/>
                <w:szCs w:val="16"/>
                <w:color w:val="auto"/>
              </w:rPr>
              <w:t>23.2*</w:t>
            </w:r>
          </w:p>
        </w:tc>
        <w:tc>
          <w:tcPr>
            <w:tcW w:w="440" w:type="dxa"/>
            <w:vAlign w:val="bottom"/>
          </w:tcPr>
          <w:p>
            <w:pPr>
              <w:spacing w:after="0"/>
              <w:rPr>
                <w:sz w:val="24"/>
                <w:szCs w:val="24"/>
                <w:color w:val="auto"/>
              </w:rPr>
            </w:pPr>
          </w:p>
        </w:tc>
        <w:tc>
          <w:tcPr>
            <w:tcW w:w="8440" w:type="dxa"/>
            <w:vAlign w:val="bottom"/>
            <w:gridSpan w:val="21"/>
          </w:tcPr>
          <w:p>
            <w:pPr>
              <w:spacing w:after="0"/>
              <w:rPr>
                <w:sz w:val="20"/>
                <w:szCs w:val="20"/>
                <w:color w:val="auto"/>
              </w:rPr>
            </w:pPr>
            <w:r>
              <w:rPr>
                <w:rFonts w:ascii="Arial" w:cs="Arial" w:eastAsia="Arial" w:hAnsi="Arial"/>
                <w:sz w:val="16"/>
                <w:szCs w:val="16"/>
                <w:color w:val="auto"/>
              </w:rPr>
              <w:t>Consent of Wilson Sonsini Goodrich &amp; Rosati, Professional Corporation (included in Exhibit 5.1).</w:t>
            </w:r>
          </w:p>
        </w:tc>
      </w:tr>
      <w:tr>
        <w:trPr>
          <w:trHeight w:val="249"/>
        </w:trPr>
        <w:tc>
          <w:tcPr>
            <w:tcW w:w="520" w:type="dxa"/>
            <w:vAlign w:val="bottom"/>
            <w:gridSpan w:val="2"/>
          </w:tcPr>
          <w:p>
            <w:pPr>
              <w:spacing w:after="0"/>
              <w:rPr>
                <w:sz w:val="20"/>
                <w:szCs w:val="20"/>
                <w:color w:val="auto"/>
              </w:rPr>
            </w:pPr>
            <w:r>
              <w:rPr>
                <w:rFonts w:ascii="Arial" w:cs="Arial" w:eastAsia="Arial" w:hAnsi="Arial"/>
                <w:sz w:val="16"/>
                <w:szCs w:val="16"/>
                <w:color w:val="auto"/>
              </w:rPr>
              <w:t>24.1</w:t>
            </w:r>
          </w:p>
        </w:tc>
        <w:tc>
          <w:tcPr>
            <w:tcW w:w="440" w:type="dxa"/>
            <w:vAlign w:val="bottom"/>
          </w:tcPr>
          <w:p>
            <w:pPr>
              <w:spacing w:after="0"/>
              <w:rPr>
                <w:sz w:val="21"/>
                <w:szCs w:val="21"/>
                <w:color w:val="auto"/>
              </w:rPr>
            </w:pPr>
          </w:p>
        </w:tc>
        <w:tc>
          <w:tcPr>
            <w:tcW w:w="8440" w:type="dxa"/>
            <w:vAlign w:val="bottom"/>
            <w:gridSpan w:val="21"/>
          </w:tcPr>
          <w:p>
            <w:pPr>
              <w:spacing w:after="0"/>
              <w:rPr>
                <w:rFonts w:ascii="Arial" w:cs="Arial" w:eastAsia="Arial" w:hAnsi="Arial"/>
                <w:sz w:val="16"/>
                <w:szCs w:val="16"/>
                <w:color w:val="0000EE"/>
              </w:rPr>
            </w:pPr>
            <w:hyperlink w:anchor="page315">
              <w:r>
                <w:rPr>
                  <w:rFonts w:ascii="Arial" w:cs="Arial" w:eastAsia="Arial" w:hAnsi="Arial"/>
                  <w:sz w:val="16"/>
                  <w:szCs w:val="16"/>
                  <w:color w:val="0000EE"/>
                </w:rPr>
                <w:t>Power of Attorney (see page II-6 to this Form S-1).</w:t>
              </w:r>
            </w:hyperlink>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89535</wp:posOffset>
            </wp:positionV>
            <wp:extent cx="66611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56" w:lineRule="exact"/>
        <w:rPr>
          <w:sz w:val="20"/>
          <w:szCs w:val="20"/>
          <w:color w:val="auto"/>
        </w:rPr>
      </w:pPr>
    </w:p>
    <w:p>
      <w:pPr>
        <w:ind w:left="1200" w:hanging="386"/>
        <w:spacing w:after="0"/>
        <w:tabs>
          <w:tab w:leader="none" w:pos="12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6" w:lineRule="exact"/>
        <w:rPr>
          <w:sz w:val="20"/>
          <w:szCs w:val="20"/>
          <w:color w:val="auto"/>
        </w:rPr>
      </w:pPr>
    </w:p>
    <w:p>
      <w:pPr>
        <w:ind w:left="1200" w:hanging="386"/>
        <w:spacing w:after="0"/>
        <w:tabs>
          <w:tab w:leader="none" w:pos="12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Indicated management contract or compensatory plan.</w:t>
      </w:r>
    </w:p>
    <w:p>
      <w:pPr>
        <w:spacing w:after="0" w:line="5" w:lineRule="exact"/>
        <w:rPr>
          <w:sz w:val="20"/>
          <w:szCs w:val="20"/>
          <w:color w:val="auto"/>
        </w:rPr>
      </w:pPr>
    </w:p>
    <w:p>
      <w:pPr>
        <w:ind w:left="1200" w:hanging="386"/>
        <w:spacing w:after="0" w:line="284" w:lineRule="auto"/>
        <w:tabs>
          <w:tab w:leader="none" w:pos="120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0320"/>
          </w:cols>
          <w:pgMar w:left="320" w:top="418" w:right="1259" w:bottom="1440" w:gutter="0" w:footer="0" w:header="0"/>
        </w:sectPr>
      </w:pPr>
    </w:p>
    <w:bookmarkStart w:id="314" w:name="page315"/>
    <w:bookmarkEnd w:id="3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SIGNATURES</w:t>
      </w:r>
    </w:p>
    <w:p>
      <w:pPr>
        <w:spacing w:after="0" w:line="197" w:lineRule="exact"/>
        <w:rPr>
          <w:sz w:val="20"/>
          <w:szCs w:val="20"/>
          <w:color w:val="auto"/>
        </w:rPr>
      </w:pPr>
    </w:p>
    <w:p>
      <w:pPr>
        <w:ind w:left="820" w:right="160" w:firstLine="385"/>
        <w:spacing w:after="0" w:line="300"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 by the undersigned, thereunto duly authorized, in the City of South San Francisco, California, on July 9, 2021.</w:t>
      </w:r>
    </w:p>
    <w:p>
      <w:pPr>
        <w:spacing w:after="0" w:line="154"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10795</wp:posOffset>
            </wp:positionV>
            <wp:extent cx="2238375"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Faraz Ali, M.B.A.</w:t>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Chief Executive Officer</w:t>
      </w:r>
    </w:p>
    <w:p>
      <w:pPr>
        <w:spacing w:after="0" w:line="178"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POWER OF ATTORNEY</w:t>
      </w:r>
    </w:p>
    <w:p>
      <w:pPr>
        <w:spacing w:after="0" w:line="197"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Faraz Ali and Leone D. Patterson as his or her true and lawful attorney-in-fact and agent, with full power of substitution, for him or her and in his or her name, place and stead, in any and all capacities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63"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6"/>
              </w:rPr>
              <w:t>Signature</w:t>
            </w:r>
          </w:p>
        </w:tc>
        <w:tc>
          <w:tcPr>
            <w:tcW w:w="1560" w:type="dxa"/>
            <w:vAlign w:val="bottom"/>
          </w:tcPr>
          <w:p>
            <w:pPr>
              <w:spacing w:after="0"/>
              <w:rPr>
                <w:sz w:val="13"/>
                <w:szCs w:val="13"/>
                <w:color w:val="auto"/>
              </w:rPr>
            </w:pPr>
          </w:p>
        </w:tc>
        <w:tc>
          <w:tcPr>
            <w:tcW w:w="3860" w:type="dxa"/>
            <w:vAlign w:val="bottom"/>
            <w:gridSpan w:val="3"/>
          </w:tcPr>
          <w:p>
            <w:pPr>
              <w:ind w:left="2000"/>
              <w:spacing w:after="0"/>
              <w:rPr>
                <w:sz w:val="20"/>
                <w:szCs w:val="20"/>
                <w:color w:val="auto"/>
              </w:rPr>
            </w:pPr>
            <w:r>
              <w:rPr>
                <w:rFonts w:ascii="Arial" w:cs="Arial" w:eastAsia="Arial" w:hAnsi="Arial"/>
                <w:sz w:val="13"/>
                <w:szCs w:val="13"/>
                <w:b w:val="1"/>
                <w:bCs w:val="1"/>
                <w:color w:val="auto"/>
              </w:rPr>
              <w:t>Title</w:t>
            </w:r>
          </w:p>
        </w:tc>
        <w:tc>
          <w:tcPr>
            <w:tcW w:w="1660" w:type="dxa"/>
            <w:vAlign w:val="bottom"/>
            <w:gridSpan w:val="3"/>
          </w:tcPr>
          <w:p>
            <w:pPr>
              <w:jc w:val="center"/>
              <w:ind w:left="824"/>
              <w:spacing w:after="0"/>
              <w:rPr>
                <w:sz w:val="20"/>
                <w:szCs w:val="20"/>
                <w:color w:val="auto"/>
              </w:rPr>
            </w:pPr>
            <w:r>
              <w:rPr>
                <w:rFonts w:ascii="Arial" w:cs="Arial" w:eastAsia="Arial" w:hAnsi="Arial"/>
                <w:sz w:val="13"/>
                <w:szCs w:val="13"/>
                <w:b w:val="1"/>
                <w:bCs w:val="1"/>
                <w:color w:val="auto"/>
                <w:w w:val="85"/>
              </w:rPr>
              <w:t>Date</w:t>
            </w: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68"/>
        </w:trPr>
        <w:tc>
          <w:tcPr>
            <w:tcW w:w="1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Faraz Ali, M.B.A.</w:t>
            </w: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6"/>
                <w:szCs w:val="16"/>
                <w:color w:val="auto"/>
              </w:rPr>
              <w:t>Chief Executive Officer and Director</w:t>
            </w:r>
          </w:p>
        </w:tc>
        <w:tc>
          <w:tcPr>
            <w:tcW w:w="1660" w:type="dxa"/>
            <w:vAlign w:val="bottom"/>
            <w:gridSpan w:val="3"/>
          </w:tcPr>
          <w:p>
            <w:pPr>
              <w:jc w:val="center"/>
              <w:ind w:left="824"/>
              <w:spacing w:after="0"/>
              <w:rPr>
                <w:sz w:val="20"/>
                <w:szCs w:val="20"/>
                <w:color w:val="auto"/>
              </w:rPr>
            </w:pPr>
            <w:r>
              <w:rPr>
                <w:rFonts w:ascii="Arial" w:cs="Arial" w:eastAsia="Arial" w:hAnsi="Arial"/>
                <w:sz w:val="16"/>
                <w:szCs w:val="16"/>
                <w:color w:val="auto"/>
                <w:w w:val="88"/>
              </w:rPr>
              <w:t>July 9, 2021</w:t>
            </w:r>
          </w:p>
        </w:tc>
      </w:tr>
      <w:tr>
        <w:trPr>
          <w:trHeight w:val="193"/>
        </w:trPr>
        <w:tc>
          <w:tcPr>
            <w:tcW w:w="2100" w:type="dxa"/>
            <w:vAlign w:val="bottom"/>
            <w:gridSpan w:val="2"/>
          </w:tcPr>
          <w:p>
            <w:pPr>
              <w:spacing w:after="0"/>
              <w:rPr>
                <w:sz w:val="20"/>
                <w:szCs w:val="20"/>
                <w:color w:val="auto"/>
              </w:rPr>
            </w:pPr>
            <w:r>
              <w:rPr>
                <w:rFonts w:ascii="Arial" w:cs="Arial" w:eastAsia="Arial" w:hAnsi="Arial"/>
                <w:sz w:val="16"/>
                <w:szCs w:val="16"/>
                <w:color w:val="auto"/>
              </w:rPr>
              <w:t>Faraz Ali, M.B.A.</w:t>
            </w:r>
          </w:p>
        </w:tc>
        <w:tc>
          <w:tcPr>
            <w:tcW w:w="1560" w:type="dxa"/>
            <w:vAlign w:val="bottom"/>
          </w:tcPr>
          <w:p>
            <w:pPr>
              <w:spacing w:after="0"/>
              <w:rPr>
                <w:sz w:val="16"/>
                <w:szCs w:val="16"/>
                <w:color w:val="auto"/>
              </w:rPr>
            </w:pPr>
          </w:p>
        </w:tc>
        <w:tc>
          <w:tcPr>
            <w:tcW w:w="3860" w:type="dxa"/>
            <w:vAlign w:val="bottom"/>
            <w:gridSpan w:val="3"/>
          </w:tcPr>
          <w:p>
            <w:pPr>
              <w:ind w:left="100"/>
              <w:spacing w:after="0" w:line="180"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6"/>
              </w:rPr>
              <w:t>/s/ Leone D. Patterson, M.B.A.</w:t>
            </w:r>
          </w:p>
        </w:tc>
        <w:tc>
          <w:tcPr>
            <w:tcW w:w="156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6"/>
                <w:szCs w:val="16"/>
                <w:color w:val="auto"/>
              </w:rPr>
              <w:t>Chief Financial and Business Officer</w:t>
            </w:r>
          </w:p>
        </w:tc>
        <w:tc>
          <w:tcPr>
            <w:tcW w:w="1660" w:type="dxa"/>
            <w:vAlign w:val="bottom"/>
            <w:gridSpan w:val="3"/>
          </w:tcPr>
          <w:p>
            <w:pPr>
              <w:jc w:val="center"/>
              <w:ind w:left="824"/>
              <w:spacing w:after="0"/>
              <w:rPr>
                <w:sz w:val="20"/>
                <w:szCs w:val="20"/>
                <w:color w:val="auto"/>
              </w:rPr>
            </w:pPr>
            <w:r>
              <w:rPr>
                <w:rFonts w:ascii="Arial" w:cs="Arial" w:eastAsia="Arial" w:hAnsi="Arial"/>
                <w:sz w:val="16"/>
                <w:szCs w:val="16"/>
                <w:color w:val="auto"/>
                <w:w w:val="88"/>
              </w:rPr>
              <w:t>July 9, 2021</w:t>
            </w:r>
          </w:p>
        </w:tc>
      </w:tr>
      <w:tr>
        <w:trPr>
          <w:trHeight w:val="193"/>
        </w:trPr>
        <w:tc>
          <w:tcPr>
            <w:tcW w:w="2100" w:type="dxa"/>
            <w:vAlign w:val="bottom"/>
            <w:gridSpan w:val="2"/>
          </w:tcPr>
          <w:p>
            <w:pPr>
              <w:spacing w:after="0"/>
              <w:rPr>
                <w:sz w:val="20"/>
                <w:szCs w:val="20"/>
                <w:color w:val="auto"/>
              </w:rPr>
            </w:pPr>
            <w:r>
              <w:rPr>
                <w:rFonts w:ascii="Arial" w:cs="Arial" w:eastAsia="Arial" w:hAnsi="Arial"/>
                <w:sz w:val="16"/>
                <w:szCs w:val="16"/>
                <w:color w:val="auto"/>
              </w:rPr>
              <w:t>Leone D. Patterson, M.B.A.</w:t>
            </w:r>
          </w:p>
        </w:tc>
        <w:tc>
          <w:tcPr>
            <w:tcW w:w="1560" w:type="dxa"/>
            <w:vAlign w:val="bottom"/>
          </w:tcPr>
          <w:p>
            <w:pPr>
              <w:spacing w:after="0"/>
              <w:rPr>
                <w:sz w:val="16"/>
                <w:szCs w:val="16"/>
                <w:color w:val="auto"/>
              </w:rPr>
            </w:pPr>
          </w:p>
        </w:tc>
        <w:tc>
          <w:tcPr>
            <w:tcW w:w="3860" w:type="dxa"/>
            <w:vAlign w:val="bottom"/>
            <w:gridSpan w:val="3"/>
          </w:tcPr>
          <w:p>
            <w:pPr>
              <w:ind w:left="100"/>
              <w:spacing w:after="0" w:line="180"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Eli Casdin, M.B.A.</w:t>
            </w:r>
          </w:p>
        </w:tc>
        <w:tc>
          <w:tcPr>
            <w:tcW w:w="156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824"/>
              <w:spacing w:after="0"/>
              <w:rPr>
                <w:sz w:val="20"/>
                <w:szCs w:val="20"/>
                <w:color w:val="auto"/>
              </w:rPr>
            </w:pPr>
            <w:r>
              <w:rPr>
                <w:rFonts w:ascii="Arial" w:cs="Arial" w:eastAsia="Arial" w:hAnsi="Arial"/>
                <w:sz w:val="16"/>
                <w:szCs w:val="16"/>
                <w:color w:val="auto"/>
                <w:w w:val="88"/>
              </w:rPr>
              <w:t>July 9, 2021</w:t>
            </w:r>
          </w:p>
        </w:tc>
      </w:tr>
      <w:tr>
        <w:trPr>
          <w:trHeight w:val="192"/>
        </w:trPr>
        <w:tc>
          <w:tcPr>
            <w:tcW w:w="2100" w:type="dxa"/>
            <w:vAlign w:val="bottom"/>
            <w:gridSpan w:val="2"/>
          </w:tcPr>
          <w:p>
            <w:pPr>
              <w:spacing w:after="0"/>
              <w:rPr>
                <w:sz w:val="20"/>
                <w:szCs w:val="20"/>
                <w:color w:val="auto"/>
              </w:rPr>
            </w:pPr>
            <w:r>
              <w:rPr>
                <w:rFonts w:ascii="Arial" w:cs="Arial" w:eastAsia="Arial" w:hAnsi="Arial"/>
                <w:sz w:val="16"/>
                <w:szCs w:val="16"/>
                <w:color w:val="auto"/>
              </w:rPr>
              <w:t>Eli Casdin, M.B.A.</w:t>
            </w:r>
          </w:p>
        </w:tc>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Jin-Long Chen, Ph.D.</w:t>
            </w:r>
          </w:p>
        </w:tc>
        <w:tc>
          <w:tcPr>
            <w:tcW w:w="156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824"/>
              <w:spacing w:after="0"/>
              <w:rPr>
                <w:sz w:val="20"/>
                <w:szCs w:val="20"/>
                <w:color w:val="auto"/>
              </w:rPr>
            </w:pPr>
            <w:r>
              <w:rPr>
                <w:rFonts w:ascii="Arial" w:cs="Arial" w:eastAsia="Arial" w:hAnsi="Arial"/>
                <w:sz w:val="16"/>
                <w:szCs w:val="16"/>
                <w:color w:val="auto"/>
                <w:w w:val="88"/>
              </w:rPr>
              <w:t>July 9, 2021</w:t>
            </w:r>
          </w:p>
        </w:tc>
      </w:tr>
      <w:tr>
        <w:trPr>
          <w:trHeight w:val="192"/>
        </w:trPr>
        <w:tc>
          <w:tcPr>
            <w:tcW w:w="2100" w:type="dxa"/>
            <w:vAlign w:val="bottom"/>
            <w:gridSpan w:val="2"/>
          </w:tcPr>
          <w:p>
            <w:pPr>
              <w:spacing w:after="0"/>
              <w:rPr>
                <w:sz w:val="20"/>
                <w:szCs w:val="20"/>
                <w:color w:val="auto"/>
              </w:rPr>
            </w:pPr>
            <w:r>
              <w:rPr>
                <w:rFonts w:ascii="Arial" w:cs="Arial" w:eastAsia="Arial" w:hAnsi="Arial"/>
                <w:sz w:val="16"/>
                <w:szCs w:val="16"/>
                <w:color w:val="auto"/>
              </w:rPr>
              <w:t>Jin-Long Chen, Ph.D.</w:t>
            </w:r>
          </w:p>
        </w:tc>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David V. Goeddel, Ph.D.</w:t>
            </w:r>
          </w:p>
        </w:tc>
        <w:tc>
          <w:tcPr>
            <w:tcW w:w="156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824"/>
              <w:spacing w:after="0"/>
              <w:rPr>
                <w:sz w:val="20"/>
                <w:szCs w:val="20"/>
                <w:color w:val="auto"/>
              </w:rPr>
            </w:pPr>
            <w:r>
              <w:rPr>
                <w:rFonts w:ascii="Arial" w:cs="Arial" w:eastAsia="Arial" w:hAnsi="Arial"/>
                <w:sz w:val="16"/>
                <w:szCs w:val="16"/>
                <w:color w:val="auto"/>
                <w:w w:val="88"/>
              </w:rPr>
              <w:t>July 9, 2021</w:t>
            </w:r>
          </w:p>
        </w:tc>
      </w:tr>
      <w:tr>
        <w:trPr>
          <w:trHeight w:val="192"/>
        </w:trPr>
        <w:tc>
          <w:tcPr>
            <w:tcW w:w="2100" w:type="dxa"/>
            <w:vAlign w:val="bottom"/>
            <w:gridSpan w:val="2"/>
          </w:tcPr>
          <w:p>
            <w:pPr>
              <w:spacing w:after="0"/>
              <w:rPr>
                <w:sz w:val="20"/>
                <w:szCs w:val="20"/>
                <w:color w:val="auto"/>
              </w:rPr>
            </w:pPr>
            <w:r>
              <w:rPr>
                <w:rFonts w:ascii="Arial" w:cs="Arial" w:eastAsia="Arial" w:hAnsi="Arial"/>
                <w:sz w:val="16"/>
                <w:szCs w:val="16"/>
                <w:color w:val="auto"/>
              </w:rPr>
              <w:t>David V. Goeddel, Ph.D.</w:t>
            </w:r>
          </w:p>
        </w:tc>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18"/>
        </w:trPr>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60" w:type="dxa"/>
            <w:vAlign w:val="bottom"/>
            <w:gridSpan w:val="3"/>
          </w:tcPr>
          <w:p>
            <w:pPr>
              <w:ind w:left="1020"/>
              <w:spacing w:after="0"/>
              <w:rPr>
                <w:sz w:val="20"/>
                <w:szCs w:val="20"/>
                <w:color w:val="auto"/>
              </w:rPr>
            </w:pPr>
            <w:r>
              <w:rPr>
                <w:rFonts w:ascii="Arial" w:cs="Arial" w:eastAsia="Arial" w:hAnsi="Arial"/>
                <w:sz w:val="16"/>
                <w:szCs w:val="16"/>
                <w:color w:val="auto"/>
              </w:rPr>
              <w:t>II-6</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420"/>
          </w:cols>
          <w:pgMar w:left="320" w:top="418" w:right="1159" w:bottom="1440" w:gutter="0" w:footer="0" w:header="0"/>
        </w:sectPr>
      </w:pPr>
    </w:p>
    <w:bookmarkStart w:id="315" w:name="page316"/>
    <w:bookmarkEnd w:id="3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6"/>
              </w:rPr>
              <w:t>Signature</w:t>
            </w:r>
          </w:p>
        </w:tc>
        <w:tc>
          <w:tcPr>
            <w:tcW w:w="1560" w:type="dxa"/>
            <w:vAlign w:val="bottom"/>
          </w:tcPr>
          <w:p>
            <w:pPr>
              <w:spacing w:after="0"/>
              <w:rPr>
                <w:sz w:val="13"/>
                <w:szCs w:val="13"/>
                <w:color w:val="auto"/>
              </w:rPr>
            </w:pPr>
          </w:p>
        </w:tc>
        <w:tc>
          <w:tcPr>
            <w:tcW w:w="2260" w:type="dxa"/>
            <w:vAlign w:val="bottom"/>
            <w:gridSpan w:val="2"/>
          </w:tcPr>
          <w:p>
            <w:pPr>
              <w:ind w:left="2000"/>
              <w:spacing w:after="0"/>
              <w:rPr>
                <w:sz w:val="20"/>
                <w:szCs w:val="20"/>
                <w:color w:val="auto"/>
              </w:rPr>
            </w:pPr>
            <w:r>
              <w:rPr>
                <w:rFonts w:ascii="Arial" w:cs="Arial" w:eastAsia="Arial" w:hAnsi="Arial"/>
                <w:sz w:val="13"/>
                <w:szCs w:val="13"/>
                <w:b w:val="1"/>
                <w:bCs w:val="1"/>
                <w:color w:val="auto"/>
                <w:w w:val="89"/>
              </w:rPr>
              <w:t>Title</w:t>
            </w:r>
          </w:p>
        </w:tc>
        <w:tc>
          <w:tcPr>
            <w:tcW w:w="3260" w:type="dxa"/>
            <w:vAlign w:val="bottom"/>
            <w:gridSpan w:val="3"/>
          </w:tcPr>
          <w:p>
            <w:pPr>
              <w:jc w:val="center"/>
              <w:ind w:left="2424"/>
              <w:spacing w:after="0"/>
              <w:rPr>
                <w:sz w:val="20"/>
                <w:szCs w:val="20"/>
                <w:color w:val="auto"/>
              </w:rPr>
            </w:pPr>
            <w:r>
              <w:rPr>
                <w:rFonts w:ascii="Arial" w:cs="Arial" w:eastAsia="Arial" w:hAnsi="Arial"/>
                <w:sz w:val="13"/>
                <w:szCs w:val="13"/>
                <w:b w:val="1"/>
                <w:bCs w:val="1"/>
                <w:color w:val="auto"/>
                <w:w w:val="85"/>
              </w:rPr>
              <w:t>Date</w:t>
            </w: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68"/>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JeenJoo (JJ) Kang, Ph.D.</w:t>
            </w: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60" w:type="dxa"/>
            <w:vAlign w:val="bottom"/>
            <w:gridSpan w:val="3"/>
          </w:tcPr>
          <w:p>
            <w:pPr>
              <w:jc w:val="center"/>
              <w:ind w:left="2424"/>
              <w:spacing w:after="0"/>
              <w:rPr>
                <w:sz w:val="20"/>
                <w:szCs w:val="20"/>
                <w:color w:val="auto"/>
              </w:rPr>
            </w:pPr>
            <w:r>
              <w:rPr>
                <w:rFonts w:ascii="Arial" w:cs="Arial" w:eastAsia="Arial" w:hAnsi="Arial"/>
                <w:sz w:val="16"/>
                <w:szCs w:val="16"/>
                <w:color w:val="auto"/>
                <w:w w:val="88"/>
              </w:rPr>
              <w:t>July 9, 2021</w:t>
            </w:r>
          </w:p>
        </w:tc>
      </w:tr>
      <w:tr>
        <w:trPr>
          <w:trHeight w:val="192"/>
        </w:trPr>
        <w:tc>
          <w:tcPr>
            <w:tcW w:w="3660" w:type="dxa"/>
            <w:vAlign w:val="bottom"/>
            <w:gridSpan w:val="3"/>
          </w:tcPr>
          <w:p>
            <w:pPr>
              <w:spacing w:after="0"/>
              <w:rPr>
                <w:sz w:val="20"/>
                <w:szCs w:val="20"/>
                <w:color w:val="auto"/>
              </w:rPr>
            </w:pPr>
            <w:r>
              <w:rPr>
                <w:rFonts w:ascii="Arial" w:cs="Arial" w:eastAsia="Arial" w:hAnsi="Arial"/>
                <w:sz w:val="16"/>
                <w:szCs w:val="16"/>
                <w:color w:val="auto"/>
              </w:rPr>
              <w:t>JeenJoo (JJ) Kang, Ph.D.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Deepak Srivastava, M.D.</w:t>
            </w: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60" w:type="dxa"/>
            <w:vAlign w:val="bottom"/>
            <w:gridSpan w:val="3"/>
          </w:tcPr>
          <w:p>
            <w:pPr>
              <w:jc w:val="center"/>
              <w:ind w:left="2424"/>
              <w:spacing w:after="0"/>
              <w:rPr>
                <w:sz w:val="20"/>
                <w:szCs w:val="20"/>
                <w:color w:val="auto"/>
              </w:rPr>
            </w:pPr>
            <w:r>
              <w:rPr>
                <w:rFonts w:ascii="Arial" w:cs="Arial" w:eastAsia="Arial" w:hAnsi="Arial"/>
                <w:sz w:val="16"/>
                <w:szCs w:val="16"/>
                <w:color w:val="auto"/>
                <w:w w:val="88"/>
              </w:rPr>
              <w:t>July 9, 2021</w:t>
            </w:r>
          </w:p>
        </w:tc>
      </w:tr>
      <w:tr>
        <w:trPr>
          <w:trHeight w:val="192"/>
        </w:trPr>
        <w:tc>
          <w:tcPr>
            <w:tcW w:w="3660" w:type="dxa"/>
            <w:vAlign w:val="bottom"/>
            <w:gridSpan w:val="3"/>
          </w:tcPr>
          <w:p>
            <w:pPr>
              <w:spacing w:after="0"/>
              <w:rPr>
                <w:sz w:val="20"/>
                <w:szCs w:val="20"/>
                <w:color w:val="auto"/>
              </w:rPr>
            </w:pPr>
            <w:r>
              <w:rPr>
                <w:rFonts w:ascii="Arial" w:cs="Arial" w:eastAsia="Arial" w:hAnsi="Arial"/>
                <w:sz w:val="16"/>
                <w:szCs w:val="16"/>
                <w:color w:val="auto"/>
              </w:rPr>
              <w:t>Deepak Srivastava, M.D.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Catherine Stehman-Breen, M.D.</w:t>
            </w: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60" w:type="dxa"/>
            <w:vAlign w:val="bottom"/>
            <w:gridSpan w:val="3"/>
          </w:tcPr>
          <w:p>
            <w:pPr>
              <w:jc w:val="center"/>
              <w:ind w:left="2424"/>
              <w:spacing w:after="0"/>
              <w:rPr>
                <w:sz w:val="20"/>
                <w:szCs w:val="20"/>
                <w:color w:val="auto"/>
              </w:rPr>
            </w:pPr>
            <w:r>
              <w:rPr>
                <w:rFonts w:ascii="Arial" w:cs="Arial" w:eastAsia="Arial" w:hAnsi="Arial"/>
                <w:sz w:val="16"/>
                <w:szCs w:val="16"/>
                <w:color w:val="auto"/>
                <w:w w:val="88"/>
              </w:rPr>
              <w:t>July 9, 2021</w:t>
            </w:r>
          </w:p>
        </w:tc>
      </w:tr>
      <w:tr>
        <w:trPr>
          <w:trHeight w:val="192"/>
        </w:trPr>
        <w:tc>
          <w:tcPr>
            <w:tcW w:w="3660" w:type="dxa"/>
            <w:vAlign w:val="bottom"/>
            <w:gridSpan w:val="3"/>
          </w:tcPr>
          <w:p>
            <w:pPr>
              <w:spacing w:after="0"/>
              <w:rPr>
                <w:sz w:val="20"/>
                <w:szCs w:val="20"/>
                <w:color w:val="auto"/>
              </w:rPr>
            </w:pPr>
            <w:r>
              <w:rPr>
                <w:rFonts w:ascii="Arial" w:cs="Arial" w:eastAsia="Arial" w:hAnsi="Arial"/>
                <w:sz w:val="16"/>
                <w:szCs w:val="16"/>
                <w:color w:val="auto"/>
              </w:rPr>
              <w:t>Catherine Stehman-Breen, M.D.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Jeffrey T. Walsh, M.B.A.</w:t>
            </w: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60" w:type="dxa"/>
            <w:vAlign w:val="bottom"/>
            <w:gridSpan w:val="3"/>
          </w:tcPr>
          <w:p>
            <w:pPr>
              <w:jc w:val="center"/>
              <w:ind w:left="2424"/>
              <w:spacing w:after="0"/>
              <w:rPr>
                <w:sz w:val="20"/>
                <w:szCs w:val="20"/>
                <w:color w:val="auto"/>
              </w:rPr>
            </w:pPr>
            <w:r>
              <w:rPr>
                <w:rFonts w:ascii="Arial" w:cs="Arial" w:eastAsia="Arial" w:hAnsi="Arial"/>
                <w:sz w:val="16"/>
                <w:szCs w:val="16"/>
                <w:color w:val="auto"/>
                <w:w w:val="88"/>
              </w:rPr>
              <w:t>July 9, 2021</w:t>
            </w:r>
          </w:p>
        </w:tc>
      </w:tr>
      <w:tr>
        <w:trPr>
          <w:trHeight w:val="192"/>
        </w:trPr>
        <w:tc>
          <w:tcPr>
            <w:tcW w:w="3660" w:type="dxa"/>
            <w:vAlign w:val="bottom"/>
            <w:gridSpan w:val="3"/>
          </w:tcPr>
          <w:p>
            <w:pPr>
              <w:spacing w:after="0"/>
              <w:rPr>
                <w:sz w:val="20"/>
                <w:szCs w:val="20"/>
                <w:color w:val="auto"/>
              </w:rPr>
            </w:pPr>
            <w:r>
              <w:rPr>
                <w:rFonts w:ascii="Arial" w:cs="Arial" w:eastAsia="Arial" w:hAnsi="Arial"/>
                <w:sz w:val="16"/>
                <w:szCs w:val="16"/>
                <w:color w:val="auto"/>
              </w:rPr>
              <w:t>Jeffrey T. Walsh, M.B.A.</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7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R. Sanders (Sandy) Williams, M.D.</w:t>
            </w: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60" w:type="dxa"/>
            <w:vAlign w:val="bottom"/>
            <w:gridSpan w:val="3"/>
          </w:tcPr>
          <w:p>
            <w:pPr>
              <w:jc w:val="center"/>
              <w:ind w:left="2424"/>
              <w:spacing w:after="0"/>
              <w:rPr>
                <w:sz w:val="20"/>
                <w:szCs w:val="20"/>
                <w:color w:val="auto"/>
              </w:rPr>
            </w:pPr>
            <w:r>
              <w:rPr>
                <w:rFonts w:ascii="Arial" w:cs="Arial" w:eastAsia="Arial" w:hAnsi="Arial"/>
                <w:sz w:val="16"/>
                <w:szCs w:val="16"/>
                <w:color w:val="auto"/>
                <w:w w:val="88"/>
              </w:rPr>
              <w:t>July 9, 2021</w:t>
            </w:r>
          </w:p>
        </w:tc>
      </w:tr>
      <w:tr>
        <w:trPr>
          <w:trHeight w:val="192"/>
        </w:trPr>
        <w:tc>
          <w:tcPr>
            <w:tcW w:w="3660" w:type="dxa"/>
            <w:vAlign w:val="bottom"/>
            <w:gridSpan w:val="3"/>
          </w:tcPr>
          <w:p>
            <w:pPr>
              <w:spacing w:after="0"/>
              <w:rPr>
                <w:sz w:val="20"/>
                <w:szCs w:val="20"/>
                <w:color w:val="auto"/>
              </w:rPr>
            </w:pPr>
            <w:r>
              <w:rPr>
                <w:rFonts w:ascii="Arial" w:cs="Arial" w:eastAsia="Arial" w:hAnsi="Arial"/>
                <w:sz w:val="16"/>
                <w:szCs w:val="16"/>
                <w:color w:val="auto"/>
              </w:rPr>
              <w:t>R. Sanders (Sandy) Williams, M.D.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18"/>
        </w:trPr>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60" w:type="dxa"/>
            <w:vAlign w:val="bottom"/>
            <w:gridSpan w:val="2"/>
          </w:tcPr>
          <w:p>
            <w:pPr>
              <w:ind w:left="1020"/>
              <w:spacing w:after="0"/>
              <w:rPr>
                <w:sz w:val="20"/>
                <w:szCs w:val="20"/>
                <w:color w:val="auto"/>
              </w:rPr>
            </w:pPr>
            <w:r>
              <w:rPr>
                <w:rFonts w:ascii="Arial" w:cs="Arial" w:eastAsia="Arial" w:hAnsi="Arial"/>
                <w:sz w:val="16"/>
                <w:szCs w:val="16"/>
                <w:color w:val="auto"/>
              </w:rPr>
              <w:t>II-7</w:t>
            </w: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139"/>
          </w:cols>
          <w:pgMar w:left="320" w:top="418"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6"/>
          <w:szCs w:val="16"/>
          <w:b w:val="1"/>
          <w:bCs w:val="1"/>
          <w:color w:val="auto"/>
        </w:rPr>
        <w:t>Exhibit 3.1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Tenaya Therapeutics, Inc., a corporation organized and existing under the laws of the State of Delaware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 certifies that:</w:t>
      </w:r>
    </w:p>
    <w:p>
      <w:pPr>
        <w:spacing w:after="0" w:line="205" w:lineRule="exact"/>
        <w:rPr>
          <w:sz w:val="20"/>
          <w:szCs w:val="20"/>
          <w:color w:val="auto"/>
        </w:rPr>
      </w:pPr>
    </w:p>
    <w:p>
      <w:pPr>
        <w:ind w:right="540" w:firstLine="378"/>
        <w:spacing w:after="0" w:line="266" w:lineRule="auto"/>
        <w:tabs>
          <w:tab w:leader="none" w:pos="81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name of the Corporation is Tenaya Therapeutics, Inc. The Corporation’s original Certificate of Incorporation was filed with the Secretary of State of the State of Delaware on August 18, 2016.</w:t>
      </w:r>
    </w:p>
    <w:p>
      <w:pPr>
        <w:spacing w:after="0" w:line="158" w:lineRule="exact"/>
        <w:rPr>
          <w:rFonts w:ascii="Arial" w:cs="Arial" w:eastAsia="Arial" w:hAnsi="Arial"/>
          <w:sz w:val="16"/>
          <w:szCs w:val="16"/>
          <w:color w:val="auto"/>
        </w:rPr>
      </w:pPr>
    </w:p>
    <w:p>
      <w:pPr>
        <w:ind w:right="80" w:firstLine="378"/>
        <w:spacing w:after="0" w:line="266" w:lineRule="auto"/>
        <w:tabs>
          <w:tab w:leader="none" w:pos="80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 Amended and Restated Certificate of Incorporation of this corporation was filed with the Secretary of State of the State of Delaware on August 29, 2019.</w:t>
      </w:r>
    </w:p>
    <w:p>
      <w:pPr>
        <w:spacing w:after="0" w:line="158" w:lineRule="exact"/>
        <w:rPr>
          <w:rFonts w:ascii="Arial" w:cs="Arial" w:eastAsia="Arial" w:hAnsi="Arial"/>
          <w:sz w:val="16"/>
          <w:szCs w:val="16"/>
          <w:color w:val="auto"/>
        </w:rPr>
      </w:pPr>
    </w:p>
    <w:p>
      <w:pPr>
        <w:ind w:right="60" w:firstLine="378"/>
        <w:spacing w:after="0" w:line="256" w:lineRule="auto"/>
        <w:tabs>
          <w:tab w:leader="none" w:pos="81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65" w:lineRule="exact"/>
        <w:rPr>
          <w:rFonts w:ascii="Arial" w:cs="Arial" w:eastAsia="Arial" w:hAnsi="Arial"/>
          <w:sz w:val="16"/>
          <w:szCs w:val="16"/>
          <w:color w:val="auto"/>
        </w:rPr>
      </w:pPr>
    </w:p>
    <w:p>
      <w:pPr>
        <w:ind w:left="800" w:hanging="422"/>
        <w:spacing w:after="0"/>
        <w:tabs>
          <w:tab w:leader="none" w:pos="80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text of the Amended and Restated Certificate of Incorporation is amended and restated to read as set forth in EXHIBIT A attached</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hereto.</w:t>
      </w:r>
    </w:p>
    <w:p>
      <w:pPr>
        <w:spacing w:after="0" w:line="182" w:lineRule="exact"/>
        <w:rPr>
          <w:sz w:val="20"/>
          <w:szCs w:val="20"/>
          <w:color w:val="auto"/>
        </w:rPr>
      </w:pPr>
    </w:p>
    <w:p>
      <w:pPr>
        <w:ind w:right="240" w:firstLine="385"/>
        <w:spacing w:after="0" w:line="266" w:lineRule="auto"/>
        <w:rPr>
          <w:sz w:val="20"/>
          <w:szCs w:val="20"/>
          <w:color w:val="auto"/>
        </w:rPr>
      </w:pPr>
      <w:r>
        <w:rPr>
          <w:rFonts w:ascii="Arial" w:cs="Arial" w:eastAsia="Arial" w:hAnsi="Arial"/>
          <w:sz w:val="16"/>
          <w:szCs w:val="16"/>
          <w:color w:val="auto"/>
        </w:rPr>
        <w:t>IN WITNESS WHEREOF, Tenaya Therapeutics, Inc. has caused this Amended and Restated Certificate of Incorporation to be signed by Faraz Ali, a duly authorized officer of the Corporation, on December 16, 2020.</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10795</wp:posOffset>
            </wp:positionV>
            <wp:extent cx="244094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Faraz Ali</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9620"/>
          </w:cols>
          <w:pgMar w:left="1140" w:top="123" w:right="11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name of the Corporation is Tenaya Therapeutics, Inc.</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197" w:lineRule="exact"/>
        <w:rPr>
          <w:sz w:val="20"/>
          <w:szCs w:val="20"/>
          <w:color w:val="auto"/>
        </w:rPr>
      </w:pPr>
    </w:p>
    <w:p>
      <w:pPr>
        <w:ind w:right="120" w:firstLine="385"/>
        <w:spacing w:after="0" w:line="266" w:lineRule="auto"/>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General Corporation Law of Delaware.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197" w:lineRule="exact"/>
        <w:rPr>
          <w:sz w:val="20"/>
          <w:szCs w:val="20"/>
          <w:color w:val="auto"/>
        </w:rPr>
      </w:pPr>
    </w:p>
    <w:p>
      <w:pPr>
        <w:ind w:right="520" w:firstLine="385"/>
        <w:spacing w:after="0" w:line="383" w:lineRule="auto"/>
        <w:rPr>
          <w:sz w:val="20"/>
          <w:szCs w:val="20"/>
          <w:color w:val="auto"/>
        </w:rPr>
      </w:pPr>
      <w:r>
        <w:rPr>
          <w:rFonts w:ascii="Arial" w:cs="Arial" w:eastAsia="Arial" w:hAnsi="Arial"/>
          <w:sz w:val="13"/>
          <w:szCs w:val="13"/>
          <w:color w:val="auto"/>
        </w:rPr>
        <w:t>The address of the Corporation’s registered office in the State of Delaware is The Corporation Trust Company, 1209 Orange Street, City of Wilmington, County of New Castle, DE 19801. The name of the registered agent at such address is The Corporation Trust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197" w:lineRule="exact"/>
        <w:rPr>
          <w:sz w:val="20"/>
          <w:szCs w:val="20"/>
          <w:color w:val="auto"/>
        </w:rPr>
      </w:pPr>
    </w:p>
    <w:p>
      <w:pPr>
        <w:ind w:right="20" w:firstLine="385"/>
        <w:spacing w:after="0" w:line="267" w:lineRule="auto"/>
        <w:rPr>
          <w:sz w:val="20"/>
          <w:szCs w:val="20"/>
          <w:color w:val="auto"/>
        </w:rPr>
      </w:pPr>
      <w:r>
        <w:rPr>
          <w:rFonts w:ascii="Arial" w:cs="Arial" w:eastAsia="Arial" w:hAnsi="Arial"/>
          <w:sz w:val="15"/>
          <w:szCs w:val="15"/>
          <w:color w:val="auto"/>
        </w:rPr>
        <w:t>The total number of shares of stock that the Corporation shall have authority to issue is three hundred thirty eight million five hundred ninety three thousand eight hundred eighteen (338,593,818) consisting of one hundred eighty-one million nine hundred eighty thousand (181,980,000) shares of Common Stock, $0.0001 par value per share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and one hundred fifty six million six hundred thirteen thousand eight hundred eighteen (156,613,818) shares of Preferred Stock, $0.0001 par value per share. The first series of Preferred Stock shall be designated “</w:t>
      </w:r>
      <w:r>
        <w:rPr>
          <w:rFonts w:ascii="Arial" w:cs="Arial" w:eastAsia="Arial" w:hAnsi="Arial"/>
          <w:sz w:val="15"/>
          <w:szCs w:val="15"/>
          <w:b w:val="1"/>
          <w:bCs w:val="1"/>
          <w:i w:val="1"/>
          <w:iCs w:val="1"/>
          <w:color w:val="auto"/>
        </w:rPr>
        <w:t>Series A Preferred Stock</w:t>
      </w:r>
      <w:r>
        <w:rPr>
          <w:rFonts w:ascii="Arial" w:cs="Arial" w:eastAsia="Arial" w:hAnsi="Arial"/>
          <w:sz w:val="15"/>
          <w:szCs w:val="15"/>
          <w:color w:val="auto"/>
        </w:rPr>
        <w:t>” and shall consist of forty-nine million nine hundred thousand (49,900,000) shares and the second series of Preferred Stock shall be designated “</w:t>
      </w:r>
      <w:r>
        <w:rPr>
          <w:rFonts w:ascii="Arial" w:cs="Arial" w:eastAsia="Arial" w:hAnsi="Arial"/>
          <w:sz w:val="15"/>
          <w:szCs w:val="15"/>
          <w:b w:val="1"/>
          <w:bCs w:val="1"/>
          <w:i w:val="1"/>
          <w:iCs w:val="1"/>
          <w:color w:val="auto"/>
        </w:rPr>
        <w:t>Series B</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and shall consist of fifty-five million five hundred fifty-five thousand five hundred twenty-seven (55,555,527) shares. The third series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Preferred Stock shall be designated “</w:t>
      </w:r>
      <w:r>
        <w:rPr>
          <w:rFonts w:ascii="Arial" w:cs="Arial" w:eastAsia="Arial" w:hAnsi="Arial"/>
          <w:sz w:val="15"/>
          <w:szCs w:val="15"/>
          <w:b w:val="1"/>
          <w:bCs w:val="1"/>
          <w:i w:val="1"/>
          <w:iCs w:val="1"/>
          <w:color w:val="auto"/>
        </w:rPr>
        <w:t>Series C Preferred Stock</w:t>
      </w:r>
      <w:r>
        <w:rPr>
          <w:rFonts w:ascii="Arial" w:cs="Arial" w:eastAsia="Arial" w:hAnsi="Arial"/>
          <w:sz w:val="15"/>
          <w:szCs w:val="15"/>
          <w:color w:val="auto"/>
        </w:rPr>
        <w:t>” and shall consist of fifty-one million one hundred fifty-eight thousand two hundred ninety one (51,158,291) shares.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terms and provisions of the Common Stock and Preferred Stock are as follows:</w:t>
      </w:r>
    </w:p>
    <w:p>
      <w:pPr>
        <w:spacing w:after="0" w:line="189" w:lineRule="exact"/>
        <w:rPr>
          <w:sz w:val="20"/>
          <w:szCs w:val="20"/>
          <w:color w:val="auto"/>
        </w:rPr>
      </w:pPr>
    </w:p>
    <w:p>
      <w:pPr>
        <w:ind w:left="840" w:hanging="462"/>
        <w:spacing w:after="0"/>
        <w:tabs>
          <w:tab w:leader="none" w:pos="84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For purposes of this ARTICLE V, the following definitions shall apply:</w:t>
      </w:r>
    </w:p>
    <w:p>
      <w:pPr>
        <w:spacing w:after="0" w:line="197" w:lineRule="exact"/>
        <w:rPr>
          <w:rFonts w:ascii="Arial" w:cs="Arial" w:eastAsia="Arial" w:hAnsi="Arial"/>
          <w:sz w:val="16"/>
          <w:szCs w:val="16"/>
          <w:b w:val="1"/>
          <w:bCs w:val="1"/>
          <w:color w:val="auto"/>
        </w:rPr>
      </w:pPr>
    </w:p>
    <w:p>
      <w:pPr>
        <w:jc w:val="both"/>
        <w:ind w:right="220" w:firstLine="860"/>
        <w:spacing w:after="0" w:line="256" w:lineRule="auto"/>
        <w:tabs>
          <w:tab w:leader="none" w:pos="1197"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Conversion Price</w:t>
      </w:r>
      <w:r>
        <w:rPr>
          <w:rFonts w:ascii="Arial" w:cs="Arial" w:eastAsia="Arial" w:hAnsi="Arial"/>
          <w:sz w:val="16"/>
          <w:szCs w:val="16"/>
          <w:color w:val="auto"/>
        </w:rPr>
        <w:t>” shall mean $1.00 per share for the Series A Preferred Stock, $1.656 per share for the Series B Preferred Stock and $2.072 per share for the Series C Preferred Stock (in each case, subject to adjustment from time to time for Recapitalizations and as otherwise set forth elsewhere herein).</w:t>
      </w:r>
    </w:p>
    <w:p>
      <w:pPr>
        <w:spacing w:after="0" w:line="165" w:lineRule="exact"/>
        <w:rPr>
          <w:rFonts w:ascii="Arial" w:cs="Arial" w:eastAsia="Arial" w:hAnsi="Arial"/>
          <w:sz w:val="16"/>
          <w:szCs w:val="16"/>
          <w:color w:val="auto"/>
        </w:rPr>
      </w:pPr>
    </w:p>
    <w:p>
      <w:pPr>
        <w:ind w:right="40" w:firstLine="860"/>
        <w:spacing w:after="0" w:line="266" w:lineRule="auto"/>
        <w:tabs>
          <w:tab w:leader="none" w:pos="1206"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Convertible Securities</w:t>
      </w:r>
      <w:r>
        <w:rPr>
          <w:rFonts w:ascii="Arial" w:cs="Arial" w:eastAsia="Arial" w:hAnsi="Arial"/>
          <w:sz w:val="16"/>
          <w:szCs w:val="16"/>
          <w:color w:val="auto"/>
        </w:rPr>
        <w:t>” shall mean any evidences of indebtedness, shares, including, Preferred Stock, or other securities convertible into or exchangeable for Common Stock.</w:t>
      </w:r>
    </w:p>
    <w:p>
      <w:pPr>
        <w:spacing w:after="0" w:line="158" w:lineRule="exact"/>
        <w:rPr>
          <w:rFonts w:ascii="Arial" w:cs="Arial" w:eastAsia="Arial" w:hAnsi="Arial"/>
          <w:sz w:val="16"/>
          <w:szCs w:val="16"/>
          <w:color w:val="auto"/>
        </w:rPr>
      </w:pPr>
    </w:p>
    <w:p>
      <w:pPr>
        <w:ind w:left="1200" w:hanging="340"/>
        <w:spacing w:after="0"/>
        <w:tabs>
          <w:tab w:leader="none" w:pos="12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mean Tenaya Therapeutics, Inc.</w:t>
      </w:r>
    </w:p>
    <w:p>
      <w:pPr>
        <w:spacing w:after="0" w:line="193" w:lineRule="exact"/>
        <w:rPr>
          <w:rFonts w:ascii="Arial" w:cs="Arial" w:eastAsia="Arial" w:hAnsi="Arial"/>
          <w:sz w:val="16"/>
          <w:szCs w:val="16"/>
          <w:color w:val="auto"/>
        </w:rPr>
      </w:pPr>
    </w:p>
    <w:p>
      <w:pPr>
        <w:ind w:firstLine="860"/>
        <w:spacing w:after="0" w:line="281" w:lineRule="auto"/>
        <w:tabs>
          <w:tab w:leader="none" w:pos="1206" w:val="left"/>
        </w:tabs>
        <w:numPr>
          <w:ilvl w:val="1"/>
          <w:numId w:val="16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 shall mean the transfer of cash or other property without consideration whether by way of dividend or otherwise, other than dividends on Common Stock payable in Common Stock, or the purchase or redemption of shares of the Corporation by the Corporation for cash or property other than: (i) repurchases of Common Stock issued to or held by employees, officers, directors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20"/>
          </w:cols>
          <w:pgMar w:left="1140" w:top="253" w:right="1139" w:bottom="1440" w:gutter="0" w:footer="0" w:header="0"/>
        </w:sectPr>
      </w:pPr>
    </w:p>
    <w:bookmarkStart w:id="318" w:name="page319"/>
    <w:bookmarkEnd w:id="318"/>
    <w:p>
      <w:pPr>
        <w:spacing w:after="0" w:line="31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 consultants of the Corporation or its subsidiaries upon termination of their employment or services pursuant to agreements providing for the right of said repurchase, (ii) repurchases of Common Stock issued to or held by employees, officers, directors or consultants of the Corporation or its subsidiaries pursuant to rights of first refusal contained in agreements providing for such right, (iii) repurchases of capital stock of the Corporation in connection with the settlement of disputes with any stockholder approved by the Corporation’s Board of Directors (the “</w:t>
      </w:r>
      <w:r>
        <w:rPr>
          <w:rFonts w:ascii="Arial" w:cs="Arial" w:eastAsia="Arial" w:hAnsi="Arial"/>
          <w:sz w:val="13"/>
          <w:szCs w:val="13"/>
          <w:b w:val="1"/>
          <w:bCs w:val="1"/>
          <w:i w:val="1"/>
          <w:iCs w:val="1"/>
          <w:color w:val="auto"/>
        </w:rPr>
        <w:t>Board of Directors</w:t>
      </w:r>
      <w:r>
        <w:rPr>
          <w:rFonts w:ascii="Arial" w:cs="Arial" w:eastAsia="Arial" w:hAnsi="Arial"/>
          <w:sz w:val="13"/>
          <w:szCs w:val="13"/>
          <w:color w:val="auto"/>
        </w:rPr>
        <w:t>”), which approval must include a majority of the then-serving Preferred Directors, and (iv) any other repurchase or redemption of capital stock of the Corporation approved by the holders of the Common Stock and Preferred Stock of the Corporation voting as separate classes.</w:t>
      </w:r>
    </w:p>
    <w:p>
      <w:pPr>
        <w:spacing w:after="0" w:line="128" w:lineRule="exact"/>
        <w:rPr>
          <w:sz w:val="20"/>
          <w:szCs w:val="20"/>
          <w:color w:val="auto"/>
        </w:rPr>
      </w:pPr>
    </w:p>
    <w:p>
      <w:pPr>
        <w:ind w:right="80" w:firstLine="860"/>
        <w:spacing w:after="0" w:line="256" w:lineRule="auto"/>
        <w:tabs>
          <w:tab w:leader="none" w:pos="1197"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Dividend Rate</w:t>
      </w:r>
      <w:r>
        <w:rPr>
          <w:rFonts w:ascii="Arial" w:cs="Arial" w:eastAsia="Arial" w:hAnsi="Arial"/>
          <w:sz w:val="16"/>
          <w:szCs w:val="16"/>
          <w:color w:val="auto"/>
        </w:rPr>
        <w:t>” shall mean an annual rate of $0.08 per share for the Series A Preferred Stock, $0.132 per share for the Series B Preferred Stock and $0.166 per share for the Series C Preferred Stock (in each case, subject to adjustment from time to time for Recapitalizations as set forth elsewhere herein).</w:t>
      </w:r>
    </w:p>
    <w:p>
      <w:pPr>
        <w:spacing w:after="0" w:line="165" w:lineRule="exact"/>
        <w:rPr>
          <w:rFonts w:ascii="Arial" w:cs="Arial" w:eastAsia="Arial" w:hAnsi="Arial"/>
          <w:sz w:val="16"/>
          <w:szCs w:val="16"/>
          <w:color w:val="auto"/>
        </w:rPr>
      </w:pPr>
    </w:p>
    <w:p>
      <w:pPr>
        <w:ind w:right="220" w:firstLine="860"/>
        <w:spacing w:after="0" w:line="256" w:lineRule="auto"/>
        <w:tabs>
          <w:tab w:leader="none" w:pos="118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Liquidation Preference</w:t>
      </w:r>
      <w:r>
        <w:rPr>
          <w:rFonts w:ascii="Arial" w:cs="Arial" w:eastAsia="Arial" w:hAnsi="Arial"/>
          <w:sz w:val="16"/>
          <w:szCs w:val="16"/>
          <w:color w:val="auto"/>
        </w:rPr>
        <w:t>” shall mean $1.00 per share for the Series A Preferred Stock, $1.656 per share for the Series B Preferred Stock and $2.072 per share for the Series C Preferred Stock (in each case, subject to adjustment from time to time for Recapitalizations as set forth elsewhere herein).</w:t>
      </w:r>
    </w:p>
    <w:p>
      <w:pPr>
        <w:spacing w:after="0" w:line="165" w:lineRule="exact"/>
        <w:rPr>
          <w:rFonts w:ascii="Arial" w:cs="Arial" w:eastAsia="Arial" w:hAnsi="Arial"/>
          <w:sz w:val="16"/>
          <w:szCs w:val="16"/>
          <w:color w:val="auto"/>
        </w:rPr>
      </w:pPr>
    </w:p>
    <w:p>
      <w:pPr>
        <w:ind w:left="1200" w:hanging="340"/>
        <w:spacing w:after="0"/>
        <w:tabs>
          <w:tab w:leader="none" w:pos="1200" w:val="left"/>
        </w:tabs>
        <w:numPr>
          <w:ilvl w:val="1"/>
          <w:numId w:val="1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Options</w:t>
      </w:r>
      <w:r>
        <w:rPr>
          <w:rFonts w:ascii="Arial" w:cs="Arial" w:eastAsia="Arial" w:hAnsi="Arial"/>
          <w:sz w:val="13"/>
          <w:szCs w:val="13"/>
          <w:color w:val="auto"/>
        </w:rPr>
        <w:t>” shall mean rights, options or warrants to subscribe for, purchase or otherwise acquire Common Stock or Convertible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Securities.</w:t>
      </w:r>
    </w:p>
    <w:p>
      <w:pPr>
        <w:spacing w:after="0" w:line="181" w:lineRule="exact"/>
        <w:rPr>
          <w:rFonts w:ascii="Arial" w:cs="Arial" w:eastAsia="Arial" w:hAnsi="Arial"/>
          <w:sz w:val="13"/>
          <w:szCs w:val="13"/>
          <w:color w:val="auto"/>
        </w:rPr>
      </w:pPr>
    </w:p>
    <w:p>
      <w:pPr>
        <w:ind w:firstLine="860"/>
        <w:spacing w:after="0" w:line="256" w:lineRule="auto"/>
        <w:tabs>
          <w:tab w:leader="none" w:pos="1206"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shall mean $1.00 per share for the Series A Preferred Stock, $1.656 per share for the Series B Preferred Stock and $2.072 per share for the Series C Preferred Stock (in each case, subject to adjustment from time to time for Recapitalizations as set forth elsewhere herein).</w:t>
      </w:r>
    </w:p>
    <w:p>
      <w:pPr>
        <w:spacing w:after="0" w:line="165" w:lineRule="exact"/>
        <w:rPr>
          <w:rFonts w:ascii="Arial" w:cs="Arial" w:eastAsia="Arial" w:hAnsi="Arial"/>
          <w:sz w:val="16"/>
          <w:szCs w:val="16"/>
          <w:color w:val="auto"/>
        </w:rPr>
      </w:pPr>
    </w:p>
    <w:p>
      <w:pPr>
        <w:ind w:left="1160" w:hanging="300"/>
        <w:spacing w:after="0"/>
        <w:tabs>
          <w:tab w:leader="none" w:pos="116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shall mean the Series A Preferred Stock, the Series B Preferred Stock and the Series C Preferred Stock.</w:t>
      </w:r>
    </w:p>
    <w:p>
      <w:pPr>
        <w:spacing w:after="0" w:line="204" w:lineRule="exact"/>
        <w:rPr>
          <w:rFonts w:ascii="Arial" w:cs="Arial" w:eastAsia="Arial" w:hAnsi="Arial"/>
          <w:sz w:val="15"/>
          <w:szCs w:val="15"/>
          <w:color w:val="auto"/>
        </w:rPr>
      </w:pPr>
    </w:p>
    <w:p>
      <w:pPr>
        <w:ind w:right="40" w:firstLine="860"/>
        <w:spacing w:after="0" w:line="266" w:lineRule="auto"/>
        <w:tabs>
          <w:tab w:leader="none" w:pos="117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shall mean any stock dividend, stock split, combination of shares, reorganization, recapitalization, reclassification or other similar event.</w:t>
      </w:r>
    </w:p>
    <w:p>
      <w:pPr>
        <w:spacing w:after="0" w:line="248" w:lineRule="exact"/>
        <w:rPr>
          <w:rFonts w:ascii="Arial" w:cs="Arial" w:eastAsia="Arial" w:hAnsi="Arial"/>
          <w:sz w:val="16"/>
          <w:szCs w:val="16"/>
          <w:color w:val="auto"/>
        </w:rPr>
      </w:pPr>
    </w:p>
    <w:p>
      <w:pPr>
        <w:ind w:left="840" w:hanging="462"/>
        <w:spacing w:after="0"/>
        <w:tabs>
          <w:tab w:leader="none" w:pos="840"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p>
    <w:p>
      <w:pPr>
        <w:spacing w:after="0" w:line="102" w:lineRule="exact"/>
        <w:rPr>
          <w:rFonts w:ascii="Arial" w:cs="Arial" w:eastAsia="Arial" w:hAnsi="Arial"/>
          <w:sz w:val="16"/>
          <w:szCs w:val="16"/>
          <w:b w:val="1"/>
          <w:bCs w:val="1"/>
          <w:color w:val="auto"/>
        </w:rPr>
      </w:pPr>
    </w:p>
    <w:p>
      <w:pPr>
        <w:ind w:right="40" w:firstLine="860"/>
        <w:spacing w:after="0" w:line="314" w:lineRule="auto"/>
        <w:tabs>
          <w:tab w:leader="none" w:pos="1197" w:val="left"/>
        </w:tabs>
        <w:numPr>
          <w:ilvl w:val="1"/>
          <w:numId w:val="16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Preferred Stock. </w:t>
      </w:r>
      <w:r>
        <w:rPr>
          <w:rFonts w:ascii="Arial" w:cs="Arial" w:eastAsia="Arial" w:hAnsi="Arial"/>
          <w:sz w:val="13"/>
          <w:szCs w:val="13"/>
          <w:color w:val="auto"/>
        </w:rPr>
        <w:t>In any calendar year, the holders of outstanding shares of Preferred Stock shall be entitled to receive dividends,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when, as and if declared by the Board of Directors, out of any assets at the time legally available therefor, at the Dividend Rate specified for such series of Preferred Stock payable in preference and priority to any declaration or payment of any Distribution on Common Stock of the Corporation in such calendar year. No Distributions shall be made with respect to the Common Stock unless dividends on the Preferred Stock have been declared in accordance with the preferences stated herein and all declared dividends on the Preferred Stock have been paid or set aside for payment to the Preferred Stockholders. The right to receive dividends on shares of Preferred Stock shall not be cumulative, and no right to dividends shall accrue to holders of Preferred Stock by reason of the fact that dividends on said shares are not declared or paid. Payment of any dividends to the holders of Preferred Stock shall be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basis in proportion to the Dividend Rates for each series of Preferred Stock.</w:t>
      </w:r>
    </w:p>
    <w:p>
      <w:pPr>
        <w:spacing w:after="0" w:line="133" w:lineRule="exact"/>
        <w:rPr>
          <w:rFonts w:ascii="Arial" w:cs="Arial" w:eastAsia="Arial" w:hAnsi="Arial"/>
          <w:sz w:val="13"/>
          <w:szCs w:val="13"/>
          <w:color w:val="auto"/>
        </w:rPr>
      </w:pPr>
    </w:p>
    <w:p>
      <w:pPr>
        <w:ind w:right="140" w:firstLine="860"/>
        <w:spacing w:after="0" w:line="256" w:lineRule="auto"/>
        <w:tabs>
          <w:tab w:leader="none" w:pos="1206" w:val="left"/>
        </w:tabs>
        <w:numPr>
          <w:ilvl w:val="1"/>
          <w:numId w:val="1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Dividends. </w:t>
      </w:r>
      <w:r>
        <w:rPr>
          <w:rFonts w:ascii="Arial" w:cs="Arial" w:eastAsia="Arial" w:hAnsi="Arial"/>
          <w:sz w:val="16"/>
          <w:szCs w:val="16"/>
          <w:color w:val="auto"/>
        </w:rPr>
        <w:t>After the payment or setting aside for payment of the dividends described in Section 2(a), any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(including, dividends on Common Stock payable solely in Common Stock (unless the applicable conversion rate of the applicable Preferred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580"/>
          </w:cols>
          <w:pgMar w:left="1140" w:top="256" w:right="1179" w:bottom="1440" w:gutter="0" w:footer="0" w:header="0"/>
        </w:sectPr>
      </w:pPr>
    </w:p>
    <w:bookmarkStart w:id="319" w:name="page320"/>
    <w:bookmarkEnd w:id="319"/>
    <w:p>
      <w:pPr>
        <w:ind w:left="6" w:right="18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is fully adjusted pursuant to Section 4(e), (f), or (g))) set aside or paid in any fiscal year shall be set aside or paid among the holders of the Preferred Stock and Common Stock then outstanding in proportion to the greatest whole number of shares of Common Stock which would be held by each such holder if all shares of Preferred Stock were converted at the then-effective Conversion Rate (as defined in Section 4).</w:t>
      </w:r>
    </w:p>
    <w:p>
      <w:pPr>
        <w:spacing w:after="0" w:line="149" w:lineRule="exact"/>
        <w:rPr>
          <w:sz w:val="20"/>
          <w:szCs w:val="20"/>
          <w:color w:val="auto"/>
        </w:rPr>
      </w:pPr>
    </w:p>
    <w:p>
      <w:pPr>
        <w:ind w:left="6" w:right="320" w:firstLine="860"/>
        <w:spacing w:after="0" w:line="383" w:lineRule="auto"/>
        <w:tabs>
          <w:tab w:leader="none" w:pos="1203" w:val="left"/>
        </w:tabs>
        <w:numPr>
          <w:ilvl w:val="2"/>
          <w:numId w:val="1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Non-Cash Distributions. </w:t>
      </w:r>
      <w:r>
        <w:rPr>
          <w:rFonts w:ascii="Arial" w:cs="Arial" w:eastAsia="Arial" w:hAnsi="Arial"/>
          <w:sz w:val="13"/>
          <w:szCs w:val="13"/>
          <w:color w:val="auto"/>
        </w:rPr>
        <w:t>Whenever a Distribution provided for in this Section 2 shall be payable in property other than cash,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value of such Distribution shall be deemed to be the fair market value of such property as determined in good faith by the Board of Directors.</w:t>
      </w:r>
    </w:p>
    <w:p>
      <w:pPr>
        <w:spacing w:after="0" w:line="88" w:lineRule="exact"/>
        <w:rPr>
          <w:rFonts w:ascii="Arial" w:cs="Arial" w:eastAsia="Arial" w:hAnsi="Arial"/>
          <w:sz w:val="13"/>
          <w:szCs w:val="13"/>
          <w:color w:val="auto"/>
        </w:rPr>
      </w:pPr>
    </w:p>
    <w:p>
      <w:pPr>
        <w:ind w:left="6" w:right="240" w:firstLine="860"/>
        <w:spacing w:after="0" w:line="307" w:lineRule="auto"/>
        <w:tabs>
          <w:tab w:leader="none" w:pos="1212" w:val="left"/>
        </w:tabs>
        <w:numPr>
          <w:ilvl w:val="2"/>
          <w:numId w:val="1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Consent to Certain Distributions. </w:t>
      </w:r>
      <w:r>
        <w:rPr>
          <w:rFonts w:ascii="Arial" w:cs="Arial" w:eastAsia="Arial" w:hAnsi="Arial"/>
          <w:sz w:val="13"/>
          <w:szCs w:val="13"/>
          <w:color w:val="auto"/>
        </w:rPr>
        <w:t>In accordance with Section 500 of the California Corporations Code a distribution can be made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without regard to any preferential dividends arrears amount or any preferential rights amount (each as defined in Section 500 of the California Corporations Code) in connection with (i) repurchases of Common Stock issued to or held by employees, officers, directors or consultants of the Corporation or its subsidiaries upon termination of their employment or services pursuant to agreements providing for the right of said repurchase,</w:t>
      </w:r>
    </w:p>
    <w:p>
      <w:pPr>
        <w:spacing w:after="0" w:line="1" w:lineRule="exact"/>
        <w:rPr>
          <w:rFonts w:ascii="Arial" w:cs="Arial" w:eastAsia="Arial" w:hAnsi="Arial"/>
          <w:sz w:val="13"/>
          <w:szCs w:val="13"/>
          <w:color w:val="auto"/>
        </w:rPr>
      </w:pPr>
    </w:p>
    <w:p>
      <w:pPr>
        <w:jc w:val="both"/>
        <w:ind w:left="6" w:right="300" w:hanging="6"/>
        <w:spacing w:after="0" w:line="302" w:lineRule="auto"/>
        <w:tabs>
          <w:tab w:leader="none" w:pos="237" w:val="left"/>
        </w:tabs>
        <w:numPr>
          <w:ilvl w:val="0"/>
          <w:numId w:val="171"/>
        </w:numPr>
        <w:rPr>
          <w:rFonts w:ascii="Arial" w:cs="Arial" w:eastAsia="Arial" w:hAnsi="Arial"/>
          <w:sz w:val="13"/>
          <w:szCs w:val="13"/>
          <w:color w:val="auto"/>
        </w:rPr>
      </w:pPr>
      <w:r>
        <w:rPr>
          <w:rFonts w:ascii="Arial" w:cs="Arial" w:eastAsia="Arial" w:hAnsi="Arial"/>
          <w:sz w:val="13"/>
          <w:szCs w:val="13"/>
          <w:color w:val="auto"/>
        </w:rPr>
        <w:t>repurchases of Common Stock issued to or held by employees, officers, directors or consultants of the Corporation or its subsidiaries pursuant to rights of first refusal contained in agreements providing for such right, (iii) repurchases of Common Stock or Preferred Stock in connection with the settlement of disputes with any stockholder approved by the Board of Directors (including a majority of the then-serving Preferred Directors), or</w:t>
      </w:r>
    </w:p>
    <w:p>
      <w:pPr>
        <w:spacing w:after="0" w:line="1" w:lineRule="exact"/>
        <w:rPr>
          <w:rFonts w:ascii="Arial" w:cs="Arial" w:eastAsia="Arial" w:hAnsi="Arial"/>
          <w:sz w:val="13"/>
          <w:szCs w:val="13"/>
          <w:color w:val="auto"/>
        </w:rPr>
      </w:pPr>
    </w:p>
    <w:p>
      <w:pPr>
        <w:ind w:left="266" w:hanging="266"/>
        <w:spacing w:after="0"/>
        <w:tabs>
          <w:tab w:leader="none" w:pos="266"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any other repurchase or redemption of Common Stock or Preferred Stock approved by the holders of Preferred Stock of the Corporation.</w:t>
      </w:r>
    </w:p>
    <w:p>
      <w:pPr>
        <w:spacing w:after="0" w:line="283" w:lineRule="exact"/>
        <w:rPr>
          <w:rFonts w:ascii="Arial" w:cs="Arial" w:eastAsia="Arial" w:hAnsi="Arial"/>
          <w:sz w:val="15"/>
          <w:szCs w:val="15"/>
          <w:color w:val="auto"/>
        </w:rPr>
      </w:pPr>
    </w:p>
    <w:p>
      <w:pPr>
        <w:ind w:left="846" w:hanging="462"/>
        <w:spacing w:after="0"/>
        <w:tabs>
          <w:tab w:leader="none" w:pos="846" w:val="left"/>
        </w:tabs>
        <w:numPr>
          <w:ilvl w:val="1"/>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Liquidation Rights.</w:t>
      </w:r>
    </w:p>
    <w:p>
      <w:pPr>
        <w:spacing w:after="0" w:line="102" w:lineRule="exact"/>
        <w:rPr>
          <w:rFonts w:ascii="Arial" w:cs="Arial" w:eastAsia="Arial" w:hAnsi="Arial"/>
          <w:sz w:val="16"/>
          <w:szCs w:val="16"/>
          <w:b w:val="1"/>
          <w:bCs w:val="1"/>
          <w:color w:val="auto"/>
        </w:rPr>
      </w:pPr>
    </w:p>
    <w:p>
      <w:pPr>
        <w:ind w:left="6" w:right="20" w:firstLine="860"/>
        <w:spacing w:after="0" w:line="308" w:lineRule="auto"/>
        <w:tabs>
          <w:tab w:leader="none" w:pos="1203" w:val="left"/>
        </w:tabs>
        <w:numPr>
          <w:ilvl w:val="2"/>
          <w:numId w:val="1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Liquidation Preference. </w:t>
      </w:r>
      <w:r>
        <w:rPr>
          <w:rFonts w:ascii="Arial" w:cs="Arial" w:eastAsia="Arial" w:hAnsi="Arial"/>
          <w:sz w:val="13"/>
          <w:szCs w:val="13"/>
          <w:color w:val="auto"/>
        </w:rPr>
        <w:t>In the event of any liquidation, dissolution or winding up of the Corporation, either voluntary or involuntary,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holders of the Preferred Stock shall be entitled to receive, prior and in preference to any Distribution of any of the assets of the Corporation to the holders of the Common Stock by reason of their ownership of such stock, an amount per each share of Preferred Stock held by them equal to the sum of</w:t>
      </w:r>
    </w:p>
    <w:p>
      <w:pPr>
        <w:spacing w:after="0" w:line="1" w:lineRule="exact"/>
        <w:rPr>
          <w:rFonts w:ascii="Arial" w:cs="Arial" w:eastAsia="Arial" w:hAnsi="Arial"/>
          <w:sz w:val="13"/>
          <w:szCs w:val="13"/>
          <w:color w:val="auto"/>
        </w:rPr>
      </w:pPr>
    </w:p>
    <w:p>
      <w:pPr>
        <w:ind w:left="6" w:right="60" w:hanging="6"/>
        <w:spacing w:after="0" w:line="268" w:lineRule="auto"/>
        <w:tabs>
          <w:tab w:leader="none" w:pos="194"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the Liquidation Preference specified for such series of Preferred Stock and (ii) all declared but unpaid dividends (if any) on such series of Preferred Stock. If upon the liquidation, dissolution or winding up of the Corporation, the assets of the Corporation legally available for distribution to the holders of the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among the holders of the Preferred Stock in proportion to the full amounts they would otherwise be entitled to receive pursuant to this Section 3(a).</w:t>
      </w:r>
    </w:p>
    <w:p>
      <w:pPr>
        <w:spacing w:after="0" w:line="157" w:lineRule="exact"/>
        <w:rPr>
          <w:rFonts w:ascii="Arial" w:cs="Arial" w:eastAsia="Arial" w:hAnsi="Arial"/>
          <w:sz w:val="15"/>
          <w:szCs w:val="15"/>
          <w:color w:val="auto"/>
        </w:rPr>
      </w:pPr>
    </w:p>
    <w:p>
      <w:pPr>
        <w:ind w:left="6" w:firstLine="860"/>
        <w:spacing w:after="0" w:line="256" w:lineRule="auto"/>
        <w:tabs>
          <w:tab w:leader="none" w:pos="1212" w:val="left"/>
        </w:tabs>
        <w:numPr>
          <w:ilvl w:val="2"/>
          <w:numId w:val="1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Remaining Assets. </w:t>
      </w:r>
      <w:r>
        <w:rPr>
          <w:rFonts w:ascii="Arial" w:cs="Arial" w:eastAsia="Arial" w:hAnsi="Arial"/>
          <w:sz w:val="16"/>
          <w:szCs w:val="16"/>
          <w:color w:val="auto"/>
        </w:rPr>
        <w:t>After the payment or setting aside for payment to the holders of the Preferred Stock of the full amounts specified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Section 3(a), the remaining assets of the Corporation legally available for distribution shall be distributed with equal priority and ratably to the holders of the Common Stock in proportion to the number of shares of Common Stock held by them.</w:t>
      </w:r>
    </w:p>
    <w:p>
      <w:pPr>
        <w:spacing w:after="0" w:line="165" w:lineRule="exact"/>
        <w:rPr>
          <w:rFonts w:ascii="Arial" w:cs="Arial" w:eastAsia="Arial" w:hAnsi="Arial"/>
          <w:sz w:val="16"/>
          <w:szCs w:val="16"/>
          <w:color w:val="auto"/>
        </w:rPr>
      </w:pPr>
    </w:p>
    <w:p>
      <w:pPr>
        <w:ind w:left="6" w:right="320" w:firstLine="860"/>
        <w:spacing w:after="0" w:line="267" w:lineRule="auto"/>
        <w:tabs>
          <w:tab w:leader="none" w:pos="1203" w:val="left"/>
        </w:tabs>
        <w:numPr>
          <w:ilvl w:val="2"/>
          <w:numId w:val="17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Reorganization. </w:t>
      </w:r>
      <w:r>
        <w:rPr>
          <w:rFonts w:ascii="Arial" w:cs="Arial" w:eastAsia="Arial" w:hAnsi="Arial"/>
          <w:sz w:val="15"/>
          <w:szCs w:val="15"/>
          <w:color w:val="auto"/>
        </w:rPr>
        <w:t>For purposes of this Section 3, a liquidation, dissolution or winding up of the Corporation shall be deemed to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occasioned by, or to include, (i) the acquisition of the Corporation by another entity, or the acquisition by the Corporation or a subsidiary of the Corporation of another entity, by means of any transaction or series of related transactions to which the Corporation is party (including, without limitation, any stock acquisition, reorganization, merger or consolidation but excluding any sale of stock for capital raising purposes) other than a transaction or series of related transactions in which the holders of the voting securities of the Corporation outstanding immediately prior to such transaction or series of transactions retain (either by such voting securities remaining outstanding or by such voting securities being converted into voting securities of the surviving entity), immediately after such transaction or series of transactions, as a result of shares in the Corporation held by such holders</w:t>
      </w:r>
    </w:p>
    <w:p>
      <w:pPr>
        <w:spacing w:after="0" w:line="10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26"/>
          </w:cols>
          <w:pgMar w:left="1134" w:top="256" w:right="1139" w:bottom="1440" w:gutter="0" w:footer="0" w:header="0"/>
        </w:sectPr>
      </w:pPr>
    </w:p>
    <w:bookmarkStart w:id="320" w:name="page321"/>
    <w:bookmarkEnd w:id="320"/>
    <w:p>
      <w:pPr>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prior to such transaction or series of transactions, a majority of the total voting power represented by the outstanding voting securities of the Corporation or such other surviving or resulting entity (or if the Corporation or such other surviving or resulting entity is a wholly-owned subsidiary immediately following such acquisition, its parent); (ii) a sale, lease, exclusive license or other disposition or conveyance of all or substantially all of the assets (including intellectual property) of the Corporation and its subsidiaries taken as a whole by means of any transaction or series of related transactions, except where such sale, lease or other disposition is to a wholly-owned subsidiary of the Corporation (clauses (i) and (ii), a “</w:t>
      </w:r>
      <w:r>
        <w:rPr>
          <w:rFonts w:ascii="Arial" w:cs="Arial" w:eastAsia="Arial" w:hAnsi="Arial"/>
          <w:sz w:val="15"/>
          <w:szCs w:val="15"/>
          <w:b w:val="1"/>
          <w:bCs w:val="1"/>
          <w:i w:val="1"/>
          <w:iCs w:val="1"/>
          <w:color w:val="auto"/>
        </w:rPr>
        <w:t>Deemed Liquidation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Event</w:t>
      </w:r>
      <w:r>
        <w:rPr>
          <w:rFonts w:ascii="Arial" w:cs="Arial" w:eastAsia="Arial" w:hAnsi="Arial"/>
          <w:sz w:val="15"/>
          <w:szCs w:val="15"/>
          <w:color w:val="auto"/>
        </w:rPr>
        <w:t>” and clause (i), an “</w:t>
      </w:r>
      <w:r>
        <w:rPr>
          <w:rFonts w:ascii="Arial" w:cs="Arial" w:eastAsia="Arial" w:hAnsi="Arial"/>
          <w:sz w:val="15"/>
          <w:szCs w:val="15"/>
          <w:b w:val="1"/>
          <w:bCs w:val="1"/>
          <w:i w:val="1"/>
          <w:iCs w:val="1"/>
          <w:color w:val="auto"/>
        </w:rPr>
        <w:t>Acquisition</w:t>
      </w:r>
      <w:r>
        <w:rPr>
          <w:rFonts w:ascii="Arial" w:cs="Arial" w:eastAsia="Arial" w:hAnsi="Arial"/>
          <w:sz w:val="15"/>
          <w:szCs w:val="15"/>
          <w:color w:val="auto"/>
        </w:rPr>
        <w:t>”); or (iii) any liquidation, dissolution or winding up of the Corporation, whether voluntary or involuntary.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treatment of any transaction or series of related transactions as a liquidation, dissolution or winding up pursuant to clause (i) or (ii) of the preceding sentence may be waived by the consent or vote of the holders of a majority of the outstanding Preferred Stock, voting together as a single class and on an as-converted basis.</w:t>
      </w:r>
    </w:p>
    <w:p>
      <w:pPr>
        <w:spacing w:after="0" w:line="159" w:lineRule="exact"/>
        <w:rPr>
          <w:sz w:val="20"/>
          <w:szCs w:val="20"/>
          <w:color w:val="auto"/>
        </w:rPr>
      </w:pPr>
    </w:p>
    <w:p>
      <w:pPr>
        <w:ind w:right="40" w:firstLine="860"/>
        <w:spacing w:after="0" w:line="253" w:lineRule="auto"/>
        <w:tabs>
          <w:tab w:leader="none" w:pos="1245" w:val="left"/>
        </w:tabs>
        <w:numPr>
          <w:ilvl w:val="0"/>
          <w:numId w:val="1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Valuation of Non-Cash Consideration. </w:t>
      </w:r>
      <w:r>
        <w:rPr>
          <w:rFonts w:ascii="Arial" w:cs="Arial" w:eastAsia="Arial" w:hAnsi="Arial"/>
          <w:sz w:val="16"/>
          <w:szCs w:val="16"/>
          <w:color w:val="auto"/>
        </w:rPr>
        <w:t>If any assets of the Corporation distributed to stockholders in connection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liquidation, dissolution, or winding up of the Corporation are other than cash, then the value of such assets shall be their fair market value as determined in good faith by the Board of Directors,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any publicly-traded securities to be distributed to stockholders in a liquidation, dissolution, or winding up of the Corporation shall be valued as follows:</w:t>
      </w:r>
    </w:p>
    <w:p>
      <w:pPr>
        <w:spacing w:after="0" w:line="167" w:lineRule="exact"/>
        <w:rPr>
          <w:rFonts w:ascii="Arial" w:cs="Arial" w:eastAsia="Arial" w:hAnsi="Arial"/>
          <w:sz w:val="16"/>
          <w:szCs w:val="16"/>
          <w:color w:val="auto"/>
        </w:rPr>
      </w:pPr>
    </w:p>
    <w:p>
      <w:pPr>
        <w:ind w:right="340" w:firstLine="1244"/>
        <w:spacing w:after="0" w:line="256" w:lineRule="auto"/>
        <w:tabs>
          <w:tab w:leader="none" w:pos="1595"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 and</w:t>
      </w:r>
    </w:p>
    <w:p>
      <w:pPr>
        <w:spacing w:after="0" w:line="165" w:lineRule="exact"/>
        <w:rPr>
          <w:rFonts w:ascii="Arial" w:cs="Arial" w:eastAsia="Arial" w:hAnsi="Arial"/>
          <w:sz w:val="16"/>
          <w:szCs w:val="16"/>
          <w:color w:val="auto"/>
        </w:rPr>
      </w:pPr>
    </w:p>
    <w:p>
      <w:pPr>
        <w:ind w:right="220" w:firstLine="1244"/>
        <w:spacing w:after="0" w:line="300" w:lineRule="auto"/>
        <w:tabs>
          <w:tab w:leader="none" w:pos="160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if the securities are actively traded over-the-counter, then the value of the securities shall be deemed to be the average of the closing bid prices of the securities over the ten (10) trading day period ending five (5) trading days prior to the Distribution.</w:t>
      </w:r>
    </w:p>
    <w:p>
      <w:pPr>
        <w:spacing w:after="0" w:line="135" w:lineRule="exact"/>
        <w:rPr>
          <w:sz w:val="20"/>
          <w:szCs w:val="20"/>
          <w:color w:val="auto"/>
        </w:rPr>
      </w:pPr>
    </w:p>
    <w:p>
      <w:pPr>
        <w:ind w:right="540" w:firstLine="385"/>
        <w:spacing w:after="0" w:line="266" w:lineRule="auto"/>
        <w:rPr>
          <w:sz w:val="20"/>
          <w:szCs w:val="20"/>
          <w:color w:val="auto"/>
        </w:rPr>
      </w:pPr>
      <w:r>
        <w:rPr>
          <w:rFonts w:ascii="Arial" w:cs="Arial" w:eastAsia="Arial" w:hAnsi="Arial"/>
          <w:sz w:val="16"/>
          <w:szCs w:val="16"/>
          <w:color w:val="auto"/>
        </w:rPr>
        <w:t>In the event of a merger or other acquisition of the Corporation by another entity, the Distribution date shall be deemed to be the date such transaction closes.</w:t>
      </w:r>
    </w:p>
    <w:p>
      <w:pPr>
        <w:spacing w:after="0" w:line="158" w:lineRule="exact"/>
        <w:rPr>
          <w:sz w:val="20"/>
          <w:szCs w:val="20"/>
          <w:color w:val="auto"/>
        </w:rPr>
      </w:pPr>
    </w:p>
    <w:p>
      <w:pPr>
        <w:ind w:right="60" w:firstLine="385"/>
        <w:spacing w:after="0" w:line="268" w:lineRule="auto"/>
        <w:rPr>
          <w:sz w:val="20"/>
          <w:szCs w:val="20"/>
          <w:color w:val="auto"/>
        </w:rPr>
      </w:pPr>
      <w:r>
        <w:rPr>
          <w:rFonts w:ascii="Arial" w:cs="Arial" w:eastAsia="Arial" w:hAnsi="Arial"/>
          <w:sz w:val="15"/>
          <w:szCs w:val="15"/>
          <w:color w:val="auto"/>
        </w:rPr>
        <w:t>For the purposes of this subsection 3(d), “</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shall mean any day which the exchange or system on which the securities to be distributed are traded is open and “</w:t>
      </w:r>
      <w:r>
        <w:rPr>
          <w:rFonts w:ascii="Arial" w:cs="Arial" w:eastAsia="Arial" w:hAnsi="Arial"/>
          <w:sz w:val="15"/>
          <w:szCs w:val="15"/>
          <w:b w:val="1"/>
          <w:bCs w:val="1"/>
          <w:i w:val="1"/>
          <w:iCs w:val="1"/>
          <w:color w:val="auto"/>
        </w:rPr>
        <w:t>closing prices</w:t>
      </w:r>
      <w:r>
        <w:rPr>
          <w:rFonts w:ascii="Arial" w:cs="Arial" w:eastAsia="Arial" w:hAnsi="Arial"/>
          <w:sz w:val="15"/>
          <w:szCs w:val="15"/>
          <w:color w:val="auto"/>
        </w:rPr>
        <w:t>” or “</w:t>
      </w:r>
      <w:r>
        <w:rPr>
          <w:rFonts w:ascii="Arial" w:cs="Arial" w:eastAsia="Arial" w:hAnsi="Arial"/>
          <w:sz w:val="15"/>
          <w:szCs w:val="15"/>
          <w:b w:val="1"/>
          <w:bCs w:val="1"/>
          <w:i w:val="1"/>
          <w:iCs w:val="1"/>
          <w:color w:val="auto"/>
        </w:rPr>
        <w:t>closing bid prices</w:t>
      </w:r>
      <w:r>
        <w:rPr>
          <w:rFonts w:ascii="Arial" w:cs="Arial" w:eastAsia="Arial" w:hAnsi="Arial"/>
          <w:sz w:val="15"/>
          <w:szCs w:val="15"/>
          <w:color w:val="auto"/>
        </w:rPr>
        <w:t>” shall be deemed to be: (i) for securities traded primarily on the New York Stock Exchange, the NYSE American or a Nasdaq Stock Market,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61" w:lineRule="exact"/>
        <w:rPr>
          <w:sz w:val="20"/>
          <w:szCs w:val="20"/>
          <w:color w:val="auto"/>
        </w:rPr>
      </w:pPr>
    </w:p>
    <w:p>
      <w:pPr>
        <w:ind w:right="120" w:firstLine="860"/>
        <w:spacing w:after="0" w:line="316" w:lineRule="auto"/>
        <w:tabs>
          <w:tab w:leader="none" w:pos="1236" w:val="left"/>
        </w:tabs>
        <w:numPr>
          <w:ilvl w:val="0"/>
          <w:numId w:val="175"/>
        </w:numPr>
        <w:rPr>
          <w:rFonts w:ascii="Arial" w:cs="Arial" w:eastAsia="Arial" w:hAnsi="Arial"/>
          <w:sz w:val="13"/>
          <w:szCs w:val="13"/>
          <w:color w:val="auto"/>
        </w:rPr>
      </w:pPr>
      <w:r>
        <w:rPr>
          <w:rFonts w:ascii="Arial" w:cs="Arial" w:eastAsia="Arial" w:hAnsi="Arial"/>
          <w:sz w:val="13"/>
          <w:szCs w:val="13"/>
          <w:b w:val="1"/>
          <w:bCs w:val="1"/>
          <w:i w:val="1"/>
          <w:iCs w:val="1"/>
          <w:color w:val="auto"/>
        </w:rPr>
        <w:t>Allocation of Escrow and Contingent Consideration</w:t>
      </w:r>
      <w:r>
        <w:rPr>
          <w:rFonts w:ascii="Arial" w:cs="Arial" w:eastAsia="Arial" w:hAnsi="Arial"/>
          <w:sz w:val="13"/>
          <w:szCs w:val="13"/>
          <w:color w:val="auto"/>
        </w:rPr>
        <w:t>. In the event of a Deemed Liquidation Event, if any portion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consideration payable to the stockholders of the Corporation is placed into escrow and/or is payable to the stockholders of the Corporation subject to contingencies, including but not limited to contingent payments, earn-outs or escrows (the “</w:t>
      </w:r>
      <w:r>
        <w:rPr>
          <w:rFonts w:ascii="Arial" w:cs="Arial" w:eastAsia="Arial" w:hAnsi="Arial"/>
          <w:sz w:val="13"/>
          <w:szCs w:val="13"/>
          <w:b w:val="1"/>
          <w:bCs w:val="1"/>
          <w:i w:val="1"/>
          <w:iCs w:val="1"/>
          <w:color w:val="auto"/>
        </w:rPr>
        <w:t>Additional Consideration</w:t>
      </w:r>
      <w:r>
        <w:rPr>
          <w:rFonts w:ascii="Arial" w:cs="Arial" w:eastAsia="Arial" w:hAnsi="Arial"/>
          <w:sz w:val="13"/>
          <w:szCs w:val="13"/>
          <w:color w:val="auto"/>
        </w:rPr>
        <w:t>”), the agreement governing the Deemed Liquidation Event shall provide that (i) the portion of such consideration that is actually paid to stockholders and not placed in escrow and not subject to any contingencies (the “</w:t>
      </w:r>
      <w:r>
        <w:rPr>
          <w:rFonts w:ascii="Arial" w:cs="Arial" w:eastAsia="Arial" w:hAnsi="Arial"/>
          <w:sz w:val="13"/>
          <w:szCs w:val="13"/>
          <w:b w:val="1"/>
          <w:bCs w:val="1"/>
          <w:i w:val="1"/>
          <w:iCs w:val="1"/>
          <w:color w:val="auto"/>
        </w:rPr>
        <w:t>Initial Consideration</w:t>
      </w:r>
      <w:r>
        <w:rPr>
          <w:rFonts w:ascii="Arial" w:cs="Arial" w:eastAsia="Arial" w:hAnsi="Arial"/>
          <w:sz w:val="13"/>
          <w:szCs w:val="13"/>
          <w:color w:val="auto"/>
        </w:rPr>
        <w:t>”) shall be allocated among the holders of capital stock of the Corporation in accordance with Section 3 hereof as if the Initial Consideration were the only consideration payable in connection with such Deemed Liquidation Event and (ii) any Additional Consideration that becomes payable to the stockholders of the Corporation upon release from escrow or satisfaction of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00"/>
          </w:cols>
          <w:pgMar w:left="1140" w:top="256" w:right="1159" w:bottom="1440" w:gutter="0" w:footer="0" w:header="0"/>
        </w:sectPr>
      </w:pPr>
    </w:p>
    <w:bookmarkStart w:id="321" w:name="page322"/>
    <w:bookmarkEnd w:id="321"/>
    <w:p>
      <w:pPr>
        <w:ind w:right="2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such contingencies shall be allocated among the holders of capital stock of the Corporation in accordance with Section 3 hereof, after taking into account the previous payment of the Initial Consideration as part of the same transaction, with such calculation being performed each time Additional Consideration is paid in connection with such Deemed Liquidation Event. For purposes of this Section 3(e), consideration placed into escrow or retained as a holdback to be available for satisfaction of indemnification or similar obligations in connection with such Deemed Liquidation Event shall be deemed to be Additional Consideration.</w:t>
      </w:r>
    </w:p>
    <w:p>
      <w:pPr>
        <w:spacing w:after="0" w:line="170" w:lineRule="exact"/>
        <w:rPr>
          <w:sz w:val="20"/>
          <w:szCs w:val="20"/>
          <w:color w:val="auto"/>
        </w:rPr>
      </w:pPr>
    </w:p>
    <w:p>
      <w:pPr>
        <w:ind w:right="60" w:firstLine="860"/>
        <w:spacing w:after="0" w:line="319" w:lineRule="auto"/>
        <w:tabs>
          <w:tab w:leader="none" w:pos="118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3, upon any liquidation, dissolution or winding up (including a Deemed Liquidation Event), then each holder of Preferred Stock shall be entitled to receive, for each share of each series of Preferred Stock then held, out of the proceeds available for distribution, the greater of (i) the amount of cash, securities or other property to which such holder would be entitled to receive with respect to such shares pursuant to Section 3(a) (without giving effect to this Section 3(f)) and (ii) the amount of cash, securities or other property to which such holder would be entitled to receive with respect to such shares if such shares had been converted to Common Stock immediately prior to such liquidation, dissolution or winding up, giving effect to this Section 3(f) with respect to all series of Preferred Stock simultaneously.</w:t>
      </w:r>
    </w:p>
    <w:p>
      <w:pPr>
        <w:spacing w:after="0" w:line="218" w:lineRule="exact"/>
        <w:rPr>
          <w:rFonts w:ascii="Arial" w:cs="Arial" w:eastAsia="Arial" w:hAnsi="Arial"/>
          <w:sz w:val="13"/>
          <w:szCs w:val="13"/>
          <w:color w:val="auto"/>
        </w:rPr>
      </w:pPr>
    </w:p>
    <w:p>
      <w:pPr>
        <w:ind w:left="840" w:hanging="462"/>
        <w:spacing w:after="0"/>
        <w:tabs>
          <w:tab w:leader="none" w:pos="84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The holders of the Preferred Stock shall have conversion rights as follows:</w:t>
      </w:r>
    </w:p>
    <w:p>
      <w:pPr>
        <w:spacing w:after="0" w:line="102" w:lineRule="exact"/>
        <w:rPr>
          <w:rFonts w:ascii="Arial" w:cs="Arial" w:eastAsia="Arial" w:hAnsi="Arial"/>
          <w:sz w:val="16"/>
          <w:szCs w:val="16"/>
          <w:b w:val="1"/>
          <w:bCs w:val="1"/>
          <w:color w:val="auto"/>
        </w:rPr>
      </w:pPr>
    </w:p>
    <w:p>
      <w:pPr>
        <w:ind w:right="20" w:firstLine="860"/>
        <w:spacing w:after="0" w:line="319" w:lineRule="auto"/>
        <w:tabs>
          <w:tab w:leader="none" w:pos="1197" w:val="left"/>
        </w:tabs>
        <w:numPr>
          <w:ilvl w:val="1"/>
          <w:numId w:val="17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Right to Convert. </w:t>
      </w:r>
      <w:r>
        <w:rPr>
          <w:rFonts w:ascii="Arial" w:cs="Arial" w:eastAsia="Arial" w:hAnsi="Arial"/>
          <w:sz w:val="13"/>
          <w:szCs w:val="13"/>
          <w:color w:val="auto"/>
        </w:rPr>
        <w:t>Each share of Preferred Stock shall be convertible, at the option of the holder thereof, at any time after the date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issuance of such share at the office of the Corporation or any transfer agent for the Preferred Stock, into that number of fully-paid, nonassessable shares of Common Stock determined by dividing the Original Issue Price for the relevant series of Preferred Stock by the Conversion Price for such series of Preferred Stock. The number of shares of Common Stock into which each share of Preferred Stock of a series may be converted is hereinafter referred to as the “</w:t>
      </w:r>
      <w:r>
        <w:rPr>
          <w:rFonts w:ascii="Arial" w:cs="Arial" w:eastAsia="Arial" w:hAnsi="Arial"/>
          <w:sz w:val="13"/>
          <w:szCs w:val="13"/>
          <w:b w:val="1"/>
          <w:bCs w:val="1"/>
          <w:i w:val="1"/>
          <w:iCs w:val="1"/>
          <w:color w:val="auto"/>
        </w:rPr>
        <w:t>Conversion Rate</w:t>
      </w:r>
      <w:r>
        <w:rPr>
          <w:rFonts w:ascii="Arial" w:cs="Arial" w:eastAsia="Arial" w:hAnsi="Arial"/>
          <w:sz w:val="13"/>
          <w:szCs w:val="13"/>
          <w:color w:val="auto"/>
        </w:rPr>
        <w:t>” for each such series of Preferred Stock. Upon any decrease or increase in the Conversion Price for any series of Preferred Stock, as described in this Section 4, the Conversion Rate for such series of Preferred Stock shall be appropriately increased or decreased.</w:t>
      </w:r>
    </w:p>
    <w:p>
      <w:pPr>
        <w:spacing w:after="0" w:line="128" w:lineRule="exact"/>
        <w:rPr>
          <w:rFonts w:ascii="Arial" w:cs="Arial" w:eastAsia="Arial" w:hAnsi="Arial"/>
          <w:sz w:val="13"/>
          <w:szCs w:val="13"/>
          <w:color w:val="auto"/>
        </w:rPr>
      </w:pPr>
    </w:p>
    <w:p>
      <w:pPr>
        <w:ind w:firstLine="860"/>
        <w:spacing w:after="0" w:line="310" w:lineRule="auto"/>
        <w:tabs>
          <w:tab w:leader="none" w:pos="1206" w:val="left"/>
        </w:tabs>
        <w:numPr>
          <w:ilvl w:val="1"/>
          <w:numId w:val="17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Automatic Conversion. </w:t>
      </w:r>
      <w:r>
        <w:rPr>
          <w:rFonts w:ascii="Arial" w:cs="Arial" w:eastAsia="Arial" w:hAnsi="Arial"/>
          <w:sz w:val="13"/>
          <w:szCs w:val="13"/>
          <w:color w:val="auto"/>
        </w:rPr>
        <w:t>Each share of Preferred Stock shall automatically be converted into fully-paid, non-assessable shares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Common Stock at the then effective Conversion Rate for such share (i) immediately prior to the closing of a firm commitment underwritten initial public offering pursuant to an effective registration statement filed under the Securities Act of 1933, as amended (the “</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xml:space="preserve">”), covering the offer and sale of the Common Stock,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aggregate gross proceeds to the Corporation are not less than $75,000,000 (a “</w:t>
      </w:r>
      <w:r>
        <w:rPr>
          <w:rFonts w:ascii="Arial" w:cs="Arial" w:eastAsia="Arial" w:hAnsi="Arial"/>
          <w:sz w:val="13"/>
          <w:szCs w:val="13"/>
          <w:b w:val="1"/>
          <w:bCs w:val="1"/>
          <w:i w:val="1"/>
          <w:iCs w:val="1"/>
          <w:color w:val="auto"/>
        </w:rPr>
        <w:t>Qualified IPO</w:t>
      </w:r>
      <w:r>
        <w:rPr>
          <w:rFonts w:ascii="Arial" w:cs="Arial" w:eastAsia="Arial" w:hAnsi="Arial"/>
          <w:sz w:val="13"/>
          <w:szCs w:val="13"/>
          <w:color w:val="auto"/>
        </w:rPr>
        <w:t xml:space="preserve">”), and </w:t>
      </w:r>
      <w:r>
        <w:rPr>
          <w:rFonts w:ascii="Arial" w:cs="Arial" w:eastAsia="Arial" w:hAnsi="Arial"/>
          <w:sz w:val="13"/>
          <w:szCs w:val="13"/>
          <w:i w:val="1"/>
          <w:iCs w:val="1"/>
          <w:color w:val="auto"/>
        </w:rPr>
        <w:t xml:space="preserve">provided further </w:t>
      </w:r>
      <w:r>
        <w:rPr>
          <w:rFonts w:ascii="Arial" w:cs="Arial" w:eastAsia="Arial" w:hAnsi="Arial"/>
          <w:sz w:val="13"/>
          <w:szCs w:val="13"/>
          <w:color w:val="auto"/>
        </w:rPr>
        <w:t>that, with respect to a Qualified IPO at which the price per share to the public of the Common Stock is less than $2.59 (subject to</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 from time to time for Recapitalizations as set forth elsewhere herein), shall also require the written consent of the holders of a majority of the Series C Preferred Stock then outstanding, voting as a separate class; or (ii) upon the receipt by the Corporation of a written request for such conversion from the holders of a majority of the Preferred Stock then outstanding, voting together as a single class on an as-converted basis, or, if later, the effective date for conversion specified in such requests (each of the events referred to in (i) and (ii) are referred to herein as an “</w:t>
      </w:r>
      <w:r>
        <w:rPr>
          <w:rFonts w:ascii="Arial" w:cs="Arial" w:eastAsia="Arial" w:hAnsi="Arial"/>
          <w:sz w:val="13"/>
          <w:szCs w:val="13"/>
          <w:b w:val="1"/>
          <w:bCs w:val="1"/>
          <w:i w:val="1"/>
          <w:iCs w:val="1"/>
          <w:color w:val="auto"/>
        </w:rPr>
        <w:t>Automatic Conversion Event</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 however</w:t>
      </w:r>
      <w:r>
        <w:rPr>
          <w:rFonts w:ascii="Arial" w:cs="Arial" w:eastAsia="Arial" w:hAnsi="Arial"/>
          <w:sz w:val="13"/>
          <w:szCs w:val="13"/>
          <w:color w:val="auto"/>
        </w:rPr>
        <w:t>, that with respect to subclause (ii), in the event that such consent to conversion is in connection with a firm commitment underwritten</w:t>
      </w:r>
      <w:r>
        <w:rPr>
          <w:rFonts w:ascii="Arial" w:cs="Arial" w:eastAsia="Arial" w:hAnsi="Arial"/>
          <w:sz w:val="13"/>
          <w:szCs w:val="13"/>
          <w:i w:val="1"/>
          <w:iCs w:val="1"/>
          <w:color w:val="auto"/>
        </w:rPr>
        <w:t xml:space="preserve"> </w:t>
      </w:r>
      <w:r>
        <w:rPr>
          <w:rFonts w:ascii="Arial" w:cs="Arial" w:eastAsia="Arial" w:hAnsi="Arial"/>
          <w:sz w:val="13"/>
          <w:szCs w:val="13"/>
          <w:color w:val="auto"/>
        </w:rPr>
        <w:t>initial public offering pursuant to an effective registration statement filed under the Securities Act, the consent of the holders of at least 75% of the shares of Preferred Stock then outstanding, voting together as a single class on an as-converted basis, shall also be required.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20"/>
          </w:cols>
          <w:pgMar w:left="1140" w:top="256" w:right="1139" w:bottom="1440" w:gutter="0" w:footer="0" w:header="0"/>
        </w:sectPr>
      </w:pPr>
    </w:p>
    <w:bookmarkStart w:id="322" w:name="page323"/>
    <w:bookmarkEnd w:id="322"/>
    <w:p>
      <w:pPr>
        <w:ind w:left="1240" w:hanging="380"/>
        <w:spacing w:after="0"/>
        <w:tabs>
          <w:tab w:leader="none" w:pos="1240" w:val="left"/>
        </w:tabs>
        <w:numPr>
          <w:ilvl w:val="0"/>
          <w:numId w:val="178"/>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Mechanics of Conversion.</w:t>
      </w:r>
    </w:p>
    <w:p>
      <w:pPr>
        <w:spacing w:after="0" w:line="98" w:lineRule="exact"/>
        <w:rPr>
          <w:rFonts w:ascii="Arial" w:cs="Arial" w:eastAsia="Arial" w:hAnsi="Arial"/>
          <w:sz w:val="16"/>
          <w:szCs w:val="16"/>
          <w:color w:val="auto"/>
        </w:rPr>
      </w:pPr>
    </w:p>
    <w:p>
      <w:pPr>
        <w:ind w:right="20" w:firstLine="1244"/>
        <w:spacing w:after="0" w:line="275" w:lineRule="auto"/>
        <w:tabs>
          <w:tab w:leader="none" w:pos="1635" w:val="left"/>
        </w:tabs>
        <w:numPr>
          <w:ilvl w:val="1"/>
          <w:numId w:val="178"/>
        </w:numPr>
        <w:rPr>
          <w:rFonts w:ascii="Arial" w:cs="Arial" w:eastAsia="Arial" w:hAnsi="Arial"/>
          <w:sz w:val="15"/>
          <w:szCs w:val="15"/>
          <w:color w:val="auto"/>
        </w:rPr>
      </w:pPr>
      <w:r>
        <w:rPr>
          <w:rFonts w:ascii="Arial" w:cs="Arial" w:eastAsia="Arial" w:hAnsi="Arial"/>
          <w:sz w:val="15"/>
          <w:szCs w:val="15"/>
          <w:color w:val="auto"/>
        </w:rPr>
        <w:t>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w:t>
      </w:r>
    </w:p>
    <w:p>
      <w:pPr>
        <w:spacing w:after="0" w:line="152" w:lineRule="exact"/>
        <w:rPr>
          <w:rFonts w:ascii="Arial" w:cs="Arial" w:eastAsia="Arial" w:hAnsi="Arial"/>
          <w:sz w:val="15"/>
          <w:szCs w:val="15"/>
          <w:color w:val="auto"/>
        </w:rPr>
      </w:pPr>
    </w:p>
    <w:p>
      <w:pPr>
        <w:ind w:firstLine="1244"/>
        <w:spacing w:after="0" w:line="306" w:lineRule="auto"/>
        <w:tabs>
          <w:tab w:leader="none" w:pos="1639"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Before any holder of Preferred Stock shall be entitled to convert the same into full shares of Common Stock, and to receive certificates therefor, the holder shall either (A) surrender the certificate or certificates therefor, duly endorsed, at the office of the Corporation or of any transfer agent for the Preferred Stock or (B) notify the Corporation or its transfer agent that such certificates have been lost, stolen or destroyed and execute an agreement satisfactory to the Corporation to indemnify the Corporation from any loss incurred by it in connection with such certificates, and shall give written notice to the Corporation at such office that the holder elects to convert the same;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on the date of an Automatic Conversion Event, the outstanding shares of Preferred Stock convertible into Common Stock in connection therewith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The Corporation shall, as soon as practicable after such delivery, or after such agreement and indemnification, issue and deliver at such office to such holder of Preferred Stock, (i) a certificate or certificates for the number of shares of Common Stock to which the holder shall be entitled as aforesaid, (ii) a certificate for the number (if any) of the shares of Preferred Stock represented by the surrendered certificate that were not converted into Common Stock and (iii)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if the conversion is in connection with an underwritten offer of securities registered pursuant to the Securities Act or a merger, sale, financing, or liquidation of the Corporation or other event, the conversion may, at the option of any holder tendering Preferred Stock for conversion, be conditioned upon the closing of such transaction or upon the occurrence of such event, in which case the person(s) entitled to receive the Common Stock issuable upon such conversion of the Preferred Stock shall not be deemed to have converted such Preferred Stock until immediately prior to the closing of such transaction or the occurrence of such event.</w:t>
      </w:r>
    </w:p>
    <w:p>
      <w:pPr>
        <w:spacing w:after="0" w:line="200" w:lineRule="exact"/>
        <w:rPr>
          <w:rFonts w:ascii="Arial" w:cs="Arial" w:eastAsia="Arial" w:hAnsi="Arial"/>
          <w:sz w:val="13"/>
          <w:szCs w:val="13"/>
          <w:color w:val="auto"/>
        </w:rPr>
      </w:pPr>
    </w:p>
    <w:p>
      <w:pPr>
        <w:spacing w:after="0" w:line="324" w:lineRule="exact"/>
        <w:rPr>
          <w:rFonts w:ascii="Arial" w:cs="Arial" w:eastAsia="Arial" w:hAnsi="Arial"/>
          <w:sz w:val="13"/>
          <w:szCs w:val="13"/>
          <w:color w:val="auto"/>
        </w:rPr>
      </w:pPr>
    </w:p>
    <w:p>
      <w:pPr>
        <w:ind w:right="160" w:firstLine="1244"/>
        <w:spacing w:after="0" w:line="272" w:lineRule="auto"/>
        <w:tabs>
          <w:tab w:leader="none" w:pos="1643" w:val="left"/>
        </w:tabs>
        <w:numPr>
          <w:ilvl w:val="1"/>
          <w:numId w:val="178"/>
        </w:numPr>
        <w:rPr>
          <w:rFonts w:ascii="Arial" w:cs="Arial" w:eastAsia="Arial" w:hAnsi="Arial"/>
          <w:sz w:val="15"/>
          <w:szCs w:val="15"/>
          <w:color w:val="auto"/>
        </w:rPr>
      </w:pPr>
      <w:r>
        <w:rPr>
          <w:rFonts w:ascii="Arial" w:cs="Arial" w:eastAsia="Arial" w:hAnsi="Arial"/>
          <w:sz w:val="15"/>
          <w:szCs w:val="15"/>
          <w:color w:val="auto"/>
        </w:rPr>
        <w:t>On the date of the occurrence of an Automatic Conversion Event, each holder of record of shares of Preferred Stock convertible into Common Stock in connection therewith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00"/>
          </w:cols>
          <w:pgMar w:left="1140" w:top="256" w:right="1159" w:bottom="1440" w:gutter="0" w:footer="0" w:header="0"/>
        </w:sectPr>
      </w:pPr>
    </w:p>
    <w:bookmarkStart w:id="323" w:name="page324"/>
    <w:bookmarkEnd w:id="323"/>
    <w:p>
      <w:pPr>
        <w:ind w:left="1180" w:hanging="340"/>
        <w:spacing w:after="0"/>
        <w:tabs>
          <w:tab w:leader="none" w:pos="1180" w:val="left"/>
        </w:tabs>
        <w:numPr>
          <w:ilvl w:val="0"/>
          <w:numId w:val="179"/>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Adjustments to Conversion Price for Diluting Issues.</w:t>
      </w:r>
    </w:p>
    <w:p>
      <w:pPr>
        <w:spacing w:after="0" w:line="98" w:lineRule="exact"/>
        <w:rPr>
          <w:rFonts w:ascii="Arial" w:cs="Arial" w:eastAsia="Arial" w:hAnsi="Arial"/>
          <w:sz w:val="16"/>
          <w:szCs w:val="16"/>
          <w:color w:val="auto"/>
        </w:rPr>
      </w:pPr>
    </w:p>
    <w:p>
      <w:pPr>
        <w:jc w:val="both"/>
        <w:ind w:left="-20" w:right="240" w:firstLine="1244"/>
        <w:spacing w:after="0" w:line="256" w:lineRule="auto"/>
        <w:tabs>
          <w:tab w:leader="none" w:pos="1536" w:val="left"/>
        </w:tabs>
        <w:numPr>
          <w:ilvl w:val="1"/>
          <w:numId w:val="1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Definition. </w:t>
      </w:r>
      <w:r>
        <w:rPr>
          <w:rFonts w:ascii="Arial" w:cs="Arial" w:eastAsia="Arial" w:hAnsi="Arial"/>
          <w:sz w:val="16"/>
          <w:szCs w:val="16"/>
          <w:color w:val="auto"/>
        </w:rPr>
        <w:t>For purposes of this paragraph 4(d), “</w:t>
      </w:r>
      <w:r>
        <w:rPr>
          <w:rFonts w:ascii="Arial" w:cs="Arial" w:eastAsia="Arial" w:hAnsi="Arial"/>
          <w:sz w:val="16"/>
          <w:szCs w:val="16"/>
          <w:b w:val="1"/>
          <w:bCs w:val="1"/>
          <w:i w:val="1"/>
          <w:iCs w:val="1"/>
          <w:color w:val="auto"/>
        </w:rPr>
        <w:t>Additional Shares of Common</w:t>
      </w:r>
      <w:r>
        <w:rPr>
          <w:rFonts w:ascii="Arial" w:cs="Arial" w:eastAsia="Arial" w:hAnsi="Arial"/>
          <w:sz w:val="16"/>
          <w:szCs w:val="16"/>
          <w:color w:val="auto"/>
        </w:rPr>
        <w:t>” shall mean all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issued (or, pursuant to paragraph 4(d)(iii), deemed to be issued) by the Corporation after the filing of this Amended and Restated Certificate of Incorporation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other than issuances or deemed issuances of:</w:t>
      </w:r>
    </w:p>
    <w:p>
      <w:pPr>
        <w:spacing w:after="0" w:line="165" w:lineRule="exact"/>
        <w:rPr>
          <w:rFonts w:ascii="Arial" w:cs="Arial" w:eastAsia="Arial" w:hAnsi="Arial"/>
          <w:sz w:val="16"/>
          <w:szCs w:val="16"/>
          <w:color w:val="auto"/>
        </w:rPr>
      </w:pPr>
    </w:p>
    <w:p>
      <w:pPr>
        <w:ind w:left="1860" w:hanging="347"/>
        <w:spacing w:after="0"/>
        <w:tabs>
          <w:tab w:leader="none" w:pos="1860" w:val="left"/>
        </w:tabs>
        <w:numPr>
          <w:ilvl w:val="2"/>
          <w:numId w:val="179"/>
        </w:numPr>
        <w:rPr>
          <w:rFonts w:ascii="Arial" w:cs="Arial" w:eastAsia="Arial" w:hAnsi="Arial"/>
          <w:sz w:val="16"/>
          <w:szCs w:val="16"/>
          <w:color w:val="auto"/>
        </w:rPr>
      </w:pPr>
      <w:r>
        <w:rPr>
          <w:rFonts w:ascii="Arial" w:cs="Arial" w:eastAsia="Arial" w:hAnsi="Arial"/>
          <w:sz w:val="16"/>
          <w:szCs w:val="16"/>
          <w:color w:val="auto"/>
        </w:rPr>
        <w:t>shares of Common Stock upon the conversion of the Preferred Stock;</w:t>
      </w:r>
    </w:p>
    <w:p>
      <w:pPr>
        <w:spacing w:after="0" w:line="193" w:lineRule="exact"/>
        <w:rPr>
          <w:rFonts w:ascii="Arial" w:cs="Arial" w:eastAsia="Arial" w:hAnsi="Arial"/>
          <w:sz w:val="16"/>
          <w:szCs w:val="16"/>
          <w:color w:val="auto"/>
        </w:rPr>
      </w:pPr>
    </w:p>
    <w:p>
      <w:pPr>
        <w:ind w:left="-20" w:firstLine="1533"/>
        <w:spacing w:after="0" w:line="253" w:lineRule="auto"/>
        <w:tabs>
          <w:tab w:leader="none" w:pos="185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shares of Common Stock and options, warrants or other rights to purchase Common Stock issued or issuable to employees, officers or directors of, or consultants or advisors to the Corporation or any subsidiary pursuant to stock grants, restricted stock purchase agreements, option plans, purchase plans or other equity incentive programs or arrangements approved by the Board of Directors, including the approval of a majority of the then-serving Preferred Directors;</w:t>
      </w:r>
    </w:p>
    <w:p>
      <w:pPr>
        <w:spacing w:after="0" w:line="167" w:lineRule="exact"/>
        <w:rPr>
          <w:rFonts w:ascii="Arial" w:cs="Arial" w:eastAsia="Arial" w:hAnsi="Arial"/>
          <w:sz w:val="16"/>
          <w:szCs w:val="16"/>
          <w:color w:val="auto"/>
        </w:rPr>
      </w:pPr>
    </w:p>
    <w:p>
      <w:pPr>
        <w:ind w:left="-20" w:right="140" w:firstLine="1533"/>
        <w:spacing w:after="0" w:line="266" w:lineRule="auto"/>
        <w:tabs>
          <w:tab w:leader="none" w:pos="185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shares of Common Stock upon the exercise or conversion of Options or Convertible Securities outstanding as of the date of the filing of this Certificate of Incorporation;</w:t>
      </w:r>
    </w:p>
    <w:p>
      <w:pPr>
        <w:spacing w:after="0" w:line="158" w:lineRule="exact"/>
        <w:rPr>
          <w:rFonts w:ascii="Arial" w:cs="Arial" w:eastAsia="Arial" w:hAnsi="Arial"/>
          <w:sz w:val="16"/>
          <w:szCs w:val="16"/>
          <w:color w:val="auto"/>
        </w:rPr>
      </w:pPr>
    </w:p>
    <w:p>
      <w:pPr>
        <w:ind w:left="-20" w:right="200" w:firstLine="1533"/>
        <w:spacing w:after="0" w:line="266" w:lineRule="auto"/>
        <w:tabs>
          <w:tab w:leader="none" w:pos="185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shares of Common Stock issued or issuable as a dividend or distribution on Preferred Stock or pursuant to any event for which adjustment is made pursuant to Section 4(e), 4(f) or 4(g) hereof;</w:t>
      </w:r>
    </w:p>
    <w:p>
      <w:pPr>
        <w:spacing w:after="0" w:line="158" w:lineRule="exact"/>
        <w:rPr>
          <w:rFonts w:ascii="Arial" w:cs="Arial" w:eastAsia="Arial" w:hAnsi="Arial"/>
          <w:sz w:val="16"/>
          <w:szCs w:val="16"/>
          <w:color w:val="auto"/>
        </w:rPr>
      </w:pPr>
    </w:p>
    <w:p>
      <w:pPr>
        <w:ind w:left="-20" w:right="180" w:firstLine="1533"/>
        <w:spacing w:after="0" w:line="256" w:lineRule="auto"/>
        <w:tabs>
          <w:tab w:leader="none" w:pos="185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shares of Common Stock issued or issuable in an initial public offering of the Common Stock pursuant to an effective registration statement filed under the Securities Act prior to or in connection with which all outstanding shares of Preferred Stock will be converted to Common Stock;</w:t>
      </w:r>
    </w:p>
    <w:p>
      <w:pPr>
        <w:spacing w:after="0" w:line="165" w:lineRule="exact"/>
        <w:rPr>
          <w:rFonts w:ascii="Arial" w:cs="Arial" w:eastAsia="Arial" w:hAnsi="Arial"/>
          <w:sz w:val="16"/>
          <w:szCs w:val="16"/>
          <w:color w:val="auto"/>
        </w:rPr>
      </w:pPr>
    </w:p>
    <w:p>
      <w:pPr>
        <w:ind w:left="-20" w:right="360" w:firstLine="1533"/>
        <w:spacing w:after="0" w:line="343" w:lineRule="auto"/>
        <w:tabs>
          <w:tab w:leader="none" w:pos="1859" w:val="left"/>
        </w:tabs>
        <w:numPr>
          <w:ilvl w:val="2"/>
          <w:numId w:val="179"/>
        </w:numPr>
        <w:rPr>
          <w:rFonts w:ascii="Arial" w:cs="Arial" w:eastAsia="Arial" w:hAnsi="Arial"/>
          <w:sz w:val="13"/>
          <w:szCs w:val="13"/>
          <w:color w:val="auto"/>
        </w:rPr>
      </w:pPr>
      <w:r>
        <w:rPr>
          <w:rFonts w:ascii="Arial" w:cs="Arial" w:eastAsia="Arial" w:hAnsi="Arial"/>
          <w:sz w:val="13"/>
          <w:szCs w:val="13"/>
          <w:color w:val="auto"/>
        </w:rPr>
        <w:t xml:space="preserve">shares of Common Stock issued or issuable pursuant to the acquisition of another corporation by the Corporation by merger, purchase of substantially all of the assets or other reorganization or pursuant to a joint venture agreement, </w:t>
      </w:r>
      <w:r>
        <w:rPr>
          <w:rFonts w:ascii="Arial" w:cs="Arial" w:eastAsia="Arial" w:hAnsi="Arial"/>
          <w:sz w:val="13"/>
          <w:szCs w:val="13"/>
          <w:i w:val="1"/>
          <w:iCs w:val="1"/>
          <w:color w:val="auto"/>
        </w:rPr>
        <w:t>provided</w:t>
      </w:r>
      <w:r>
        <w:rPr>
          <w:rFonts w:ascii="Arial" w:cs="Arial" w:eastAsia="Arial" w:hAnsi="Arial"/>
          <w:sz w:val="13"/>
          <w:szCs w:val="13"/>
          <w:color w:val="auto"/>
        </w:rPr>
        <w:t>, that such issuances are approved by the Board of Directors, including the approval of a majority of the then-serving Preferred Directors;</w:t>
      </w:r>
    </w:p>
    <w:p>
      <w:pPr>
        <w:spacing w:after="0" w:line="113" w:lineRule="exact"/>
        <w:rPr>
          <w:rFonts w:ascii="Arial" w:cs="Arial" w:eastAsia="Arial" w:hAnsi="Arial"/>
          <w:sz w:val="13"/>
          <w:szCs w:val="13"/>
          <w:color w:val="auto"/>
        </w:rPr>
      </w:pPr>
    </w:p>
    <w:p>
      <w:pPr>
        <w:jc w:val="both"/>
        <w:ind w:left="-20" w:right="200" w:firstLine="1533"/>
        <w:spacing w:after="0" w:line="275" w:lineRule="auto"/>
        <w:tabs>
          <w:tab w:leader="none" w:pos="1859" w:val="left"/>
        </w:tabs>
        <w:numPr>
          <w:ilvl w:val="2"/>
          <w:numId w:val="179"/>
        </w:numPr>
        <w:rPr>
          <w:rFonts w:ascii="Arial" w:cs="Arial" w:eastAsia="Arial" w:hAnsi="Arial"/>
          <w:sz w:val="15"/>
          <w:szCs w:val="15"/>
          <w:color w:val="auto"/>
        </w:rPr>
      </w:pPr>
      <w:r>
        <w:rPr>
          <w:rFonts w:ascii="Arial" w:cs="Arial" w:eastAsia="Arial" w:hAnsi="Arial"/>
          <w:sz w:val="15"/>
          <w:szCs w:val="15"/>
          <w:color w:val="auto"/>
        </w:rPr>
        <w:t>shares of Common Stock issued or issuable to financial institutions, equipment lessors, real property lessors, brokers or similar entities in connection with commercial credit arrangements, equipment financings, commercial leasing or real property leasing transactions or similar transactions, approved by the Board of Directors, including the approval of a majority of the then-serving Preferred Directors, the principal purpose of which is other than the raising of capital through the sale of equity securities of the Corporation;</w:t>
      </w:r>
    </w:p>
    <w:p>
      <w:pPr>
        <w:spacing w:after="0" w:line="152" w:lineRule="exact"/>
        <w:rPr>
          <w:rFonts w:ascii="Arial" w:cs="Arial" w:eastAsia="Arial" w:hAnsi="Arial"/>
          <w:sz w:val="15"/>
          <w:szCs w:val="15"/>
          <w:color w:val="auto"/>
        </w:rPr>
      </w:pPr>
    </w:p>
    <w:p>
      <w:pPr>
        <w:jc w:val="both"/>
        <w:ind w:left="-20" w:right="20" w:firstLine="1533"/>
        <w:spacing w:after="0" w:line="253" w:lineRule="auto"/>
        <w:tabs>
          <w:tab w:leader="none" w:pos="185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shares of Common Stock issued or issuable in connection with sponsored research, collaboration, technology license, development, OEM, marketing or other similar agreements or strategic partnerships approved by the Board of Directors, including the approval of a majority of the then-serving Preferred Directors, the principal purpose of which is other than the raising of capital through the sale of equity securities of the Corporation; and</w:t>
      </w:r>
    </w:p>
    <w:p>
      <w:pPr>
        <w:spacing w:after="0" w:line="167" w:lineRule="exact"/>
        <w:rPr>
          <w:rFonts w:ascii="Arial" w:cs="Arial" w:eastAsia="Arial" w:hAnsi="Arial"/>
          <w:sz w:val="16"/>
          <w:szCs w:val="16"/>
          <w:color w:val="auto"/>
        </w:rPr>
      </w:pPr>
    </w:p>
    <w:p>
      <w:pPr>
        <w:ind w:left="-20" w:right="640" w:firstLine="1533"/>
        <w:spacing w:after="0" w:line="266" w:lineRule="auto"/>
        <w:tabs>
          <w:tab w:leader="none" w:pos="185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any right, option or warrant to acquire any security convertible into the securities excluded from the definition of Additional Shares of Common Stock pursuant to subsections (1) through (8)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580"/>
          </w:cols>
          <w:pgMar w:left="1160" w:top="256" w:right="1159" w:bottom="1440" w:gutter="0" w:footer="0" w:header="0"/>
        </w:sectPr>
      </w:pPr>
    </w:p>
    <w:bookmarkStart w:id="324" w:name="page325"/>
    <w:bookmarkEnd w:id="324"/>
    <w:p>
      <w:pPr>
        <w:ind w:left="-40" w:firstLine="1244"/>
        <w:spacing w:after="0" w:line="253" w:lineRule="auto"/>
        <w:tabs>
          <w:tab w:leader="none" w:pos="1677" w:val="left"/>
        </w:tabs>
        <w:numPr>
          <w:ilvl w:val="0"/>
          <w:numId w:val="18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No Adjustment of Conversion Price. </w:t>
      </w:r>
      <w:r>
        <w:rPr>
          <w:rFonts w:ascii="Arial" w:cs="Arial" w:eastAsia="Arial" w:hAnsi="Arial"/>
          <w:sz w:val="16"/>
          <w:szCs w:val="16"/>
          <w:color w:val="auto"/>
        </w:rPr>
        <w:t>No adjustment in the Conversion Price of a particular series of Preferred Stock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in respect of the issuance of Additional Shares of Common unless the consideration per share (as determined pursuant to Section 4(d)(v)) for an Additional Share of Common issued or deemed to be issued by the Corporation is less than the Conversion Price in effect on the date of, and immediately prior to, such issue for such series of Preferred Stock.</w:t>
      </w:r>
    </w:p>
    <w:p>
      <w:pPr>
        <w:spacing w:after="0" w:line="167" w:lineRule="exact"/>
        <w:rPr>
          <w:rFonts w:ascii="Arial" w:cs="Arial" w:eastAsia="Arial" w:hAnsi="Arial"/>
          <w:sz w:val="16"/>
          <w:szCs w:val="16"/>
          <w:color w:val="auto"/>
        </w:rPr>
      </w:pPr>
    </w:p>
    <w:p>
      <w:pPr>
        <w:ind w:left="-40" w:firstLine="1244"/>
        <w:spacing w:after="0" w:line="314" w:lineRule="auto"/>
        <w:tabs>
          <w:tab w:leader="none" w:pos="1682" w:val="left"/>
        </w:tabs>
        <w:numPr>
          <w:ilvl w:val="0"/>
          <w:numId w:val="18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Deemed Issue of Additional Shares of Common. </w:t>
      </w:r>
      <w:r>
        <w:rPr>
          <w:rFonts w:ascii="Arial" w:cs="Arial" w:eastAsia="Arial" w:hAnsi="Arial"/>
          <w:sz w:val="13"/>
          <w:szCs w:val="13"/>
          <w:color w:val="auto"/>
        </w:rPr>
        <w:t>In the event the Corporation at any time or from time to time after the date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of the filing of this Certificate of Incorporation shall issue any shares of Common Stock through a dividend or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any such case in which shares are deemed to be issued:</w:t>
      </w:r>
    </w:p>
    <w:p>
      <w:pPr>
        <w:spacing w:after="0" w:line="133" w:lineRule="exact"/>
        <w:rPr>
          <w:rFonts w:ascii="Arial" w:cs="Arial" w:eastAsia="Arial" w:hAnsi="Arial"/>
          <w:sz w:val="13"/>
          <w:szCs w:val="13"/>
          <w:color w:val="auto"/>
        </w:rPr>
      </w:pPr>
    </w:p>
    <w:p>
      <w:pPr>
        <w:ind w:left="-40" w:right="20" w:firstLine="1725"/>
        <w:spacing w:after="0" w:line="256" w:lineRule="auto"/>
        <w:tabs>
          <w:tab w:leader="none" w:pos="203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no further adjustment in the Conversion Price of any series of Preferred Stock shall be made upon the subsequent issue of Convertible Securities or shares of Common Stock in connection with the exercise of such Options or conversion or exchange of such Convertible Securities;</w:t>
      </w:r>
    </w:p>
    <w:p>
      <w:pPr>
        <w:spacing w:after="0" w:line="165" w:lineRule="exact"/>
        <w:rPr>
          <w:rFonts w:ascii="Arial" w:cs="Arial" w:eastAsia="Arial" w:hAnsi="Arial"/>
          <w:sz w:val="16"/>
          <w:szCs w:val="16"/>
          <w:color w:val="auto"/>
        </w:rPr>
      </w:pPr>
    </w:p>
    <w:p>
      <w:pPr>
        <w:ind w:left="-40" w:firstLine="1725"/>
        <w:spacing w:after="0" w:line="270" w:lineRule="auto"/>
        <w:tabs>
          <w:tab w:leader="none" w:pos="2032" w:val="left"/>
        </w:tabs>
        <w:numPr>
          <w:ilvl w:val="1"/>
          <w:numId w:val="180"/>
        </w:numPr>
        <w:rPr>
          <w:rFonts w:ascii="Arial" w:cs="Arial" w:eastAsia="Arial" w:hAnsi="Arial"/>
          <w:sz w:val="15"/>
          <w:szCs w:val="15"/>
          <w:color w:val="auto"/>
        </w:rPr>
      </w:pPr>
      <w:r>
        <w:rPr>
          <w:rFonts w:ascii="Arial" w:cs="Arial" w:eastAsia="Arial" w:hAnsi="Arial"/>
          <w:sz w:val="15"/>
          <w:szCs w:val="15"/>
          <w:color w:val="auto"/>
        </w:rPr>
        <w:t>if such Options or Convertible Securities by their terms provide, with the passage of time or otherwise, for any change in the consideration payable to the Corporation or in the number of shares of Common Stock issuable upon the exercise, conversion or exchange thereof (other than a change pursuant to the anti-dilution provisions of such Options or Convertible Securities such as this Section 4(d) or pursuant to Recapitalization provisions of such Options or Convertible Securities such as Sections 4(e), 4(f) and 4(g) hereof), the Conversion Price of each series of Preferred Stock and any subsequent adjustments based thereon shall be recomputed to reflect such change as if such change had been in effect as of the original issue thereof (or upon the occurrence of the record date with respect thereto);</w:t>
      </w:r>
    </w:p>
    <w:p>
      <w:pPr>
        <w:spacing w:after="0" w:line="156" w:lineRule="exact"/>
        <w:rPr>
          <w:rFonts w:ascii="Arial" w:cs="Arial" w:eastAsia="Arial" w:hAnsi="Arial"/>
          <w:sz w:val="15"/>
          <w:szCs w:val="15"/>
          <w:color w:val="auto"/>
        </w:rPr>
      </w:pPr>
    </w:p>
    <w:p>
      <w:pPr>
        <w:ind w:left="-40" w:right="100" w:firstLine="1725"/>
        <w:spacing w:after="0" w:line="256" w:lineRule="auto"/>
        <w:tabs>
          <w:tab w:leader="none" w:pos="203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no readjustment pursuant to clause (2) above shall have the effect of increasing the Conversion Price of a series of Preferred Stock to an amount above the Conversion Price that would have resulted from any other issuances of Additional Shares of Common and any other adjustments provided for herein between the original adjustment date and such readjustment date;</w:t>
      </w:r>
    </w:p>
    <w:p>
      <w:pPr>
        <w:spacing w:after="0" w:line="165" w:lineRule="exact"/>
        <w:rPr>
          <w:rFonts w:ascii="Arial" w:cs="Arial" w:eastAsia="Arial" w:hAnsi="Arial"/>
          <w:sz w:val="16"/>
          <w:szCs w:val="16"/>
          <w:color w:val="auto"/>
        </w:rPr>
      </w:pPr>
    </w:p>
    <w:p>
      <w:pPr>
        <w:ind w:left="-40" w:right="280" w:firstLine="1725"/>
        <w:spacing w:after="0" w:line="343" w:lineRule="auto"/>
        <w:tabs>
          <w:tab w:leader="none" w:pos="2032" w:val="left"/>
        </w:tabs>
        <w:numPr>
          <w:ilvl w:val="1"/>
          <w:numId w:val="180"/>
        </w:numPr>
        <w:rPr>
          <w:rFonts w:ascii="Arial" w:cs="Arial" w:eastAsia="Arial" w:hAnsi="Arial"/>
          <w:sz w:val="13"/>
          <w:szCs w:val="13"/>
          <w:color w:val="auto"/>
        </w:rPr>
      </w:pPr>
      <w:r>
        <w:rPr>
          <w:rFonts w:ascii="Arial" w:cs="Arial" w:eastAsia="Arial" w:hAnsi="Arial"/>
          <w:sz w:val="13"/>
          <w:szCs w:val="13"/>
          <w:color w:val="auto"/>
        </w:rPr>
        <w:t>upon the expiration of any such Options or any rights of conversion or exchange under such Convertible Securities which shall not have been exercised, the Conversion Price of each series of Preferred Stock computed upon the original issue thereof (or upon the occurrence of a record date with respect thereto) and any subsequent adjustments based thereon shall, upon such expiration, be recomputed as if:</w:t>
      </w:r>
    </w:p>
    <w:p>
      <w:pPr>
        <w:spacing w:after="0" w:line="113" w:lineRule="exact"/>
        <w:rPr>
          <w:rFonts w:ascii="Arial" w:cs="Arial" w:eastAsia="Arial" w:hAnsi="Arial"/>
          <w:sz w:val="13"/>
          <w:szCs w:val="13"/>
          <w:color w:val="auto"/>
        </w:rPr>
      </w:pPr>
    </w:p>
    <w:p>
      <w:pPr>
        <w:ind w:left="-40" w:right="160" w:firstLine="2110"/>
        <w:spacing w:after="0" w:line="323" w:lineRule="auto"/>
        <w:tabs>
          <w:tab w:leader="none" w:pos="2408" w:val="left"/>
        </w:tabs>
        <w:numPr>
          <w:ilvl w:val="2"/>
          <w:numId w:val="180"/>
        </w:numPr>
        <w:rPr>
          <w:rFonts w:ascii="Arial" w:cs="Arial" w:eastAsia="Arial" w:hAnsi="Arial"/>
          <w:sz w:val="13"/>
          <w:szCs w:val="13"/>
          <w:color w:val="auto"/>
        </w:rPr>
      </w:pPr>
      <w:r>
        <w:rPr>
          <w:rFonts w:ascii="Arial" w:cs="Arial" w:eastAsia="Arial" w:hAnsi="Arial"/>
          <w:sz w:val="13"/>
          <w:szCs w:val="13"/>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520"/>
          </w:cols>
          <w:pgMar w:left="1180" w:top="257" w:right="1199" w:bottom="1440" w:gutter="0" w:footer="0" w:header="0"/>
        </w:sectPr>
      </w:pPr>
    </w:p>
    <w:bookmarkStart w:id="325" w:name="page326"/>
    <w:bookmarkEnd w:id="325"/>
    <w:p>
      <w:pPr>
        <w:ind w:left="-60" w:right="20" w:firstLine="2110"/>
        <w:spacing w:after="0" w:line="251" w:lineRule="auto"/>
        <w:tabs>
          <w:tab w:leader="none" w:pos="2397" w:val="left"/>
        </w:tabs>
        <w:numPr>
          <w:ilvl w:val="2"/>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90105" cy="34290"/>
                    </a:xfrm>
                    <a:prstGeom prst="rect">
                      <a:avLst/>
                    </a:prstGeom>
                    <a:noFill/>
                  </pic:spPr>
                </pic:pic>
              </a:graphicData>
            </a:graphic>
          </wp:anchor>
        </w:drawing>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 upon the issue of the Convertible Securities with respect to which such Options were actually exercised; and</w:t>
      </w:r>
    </w:p>
    <w:p>
      <w:pPr>
        <w:spacing w:after="0" w:line="169" w:lineRule="exact"/>
        <w:rPr>
          <w:rFonts w:ascii="Arial" w:cs="Arial" w:eastAsia="Arial" w:hAnsi="Arial"/>
          <w:sz w:val="16"/>
          <w:szCs w:val="16"/>
          <w:color w:val="auto"/>
        </w:rPr>
      </w:pPr>
    </w:p>
    <w:p>
      <w:pPr>
        <w:ind w:left="-60" w:right="220" w:firstLine="1725"/>
        <w:spacing w:after="0" w:line="253" w:lineRule="auto"/>
        <w:tabs>
          <w:tab w:leader="none" w:pos="2012"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4(d)(iii) as of the actual date of their issuance.</w:t>
      </w:r>
    </w:p>
    <w:p>
      <w:pPr>
        <w:spacing w:after="0" w:line="167" w:lineRule="exact"/>
        <w:rPr>
          <w:rFonts w:ascii="Arial" w:cs="Arial" w:eastAsia="Arial" w:hAnsi="Arial"/>
          <w:sz w:val="16"/>
          <w:szCs w:val="16"/>
          <w:color w:val="auto"/>
        </w:rPr>
      </w:pPr>
    </w:p>
    <w:p>
      <w:pPr>
        <w:ind w:left="-60" w:firstLine="1244"/>
        <w:spacing w:after="0" w:line="265" w:lineRule="auto"/>
        <w:tabs>
          <w:tab w:leader="none" w:pos="1692" w:val="left"/>
        </w:tabs>
        <w:numPr>
          <w:ilvl w:val="0"/>
          <w:numId w:val="18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Adjustment of Conversion Price Upon Issuance of Additional Shares of Common. </w:t>
      </w:r>
      <w:r>
        <w:rPr>
          <w:rFonts w:ascii="Arial" w:cs="Arial" w:eastAsia="Arial" w:hAnsi="Arial"/>
          <w:sz w:val="15"/>
          <w:szCs w:val="15"/>
          <w:color w:val="auto"/>
        </w:rPr>
        <w:t>In the event this Corporation at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time or from time to time after the date of the filing of this Certificate of Incorporation shall issue Additional Shares of Common (including 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Notwithstanding the foregoing, the Conversion Price shall not be reduced at such time if the amount of such reduction would be less than $0.01, but any such amount shall be carried forward, and a reduction will be made with respect to such amount at the time of, and together with, any subsequent reduction which, together with such amount and any other amounts so carried forward, equal $0.01 or more in the aggregate, provided that any adjustments carried forward and not yet applied shall be applied at the time such conversion takes place. For the purposes of this Subsection 4(d)(iv), all shares of Common Stock issuable upon conversion of all outstanding shares of Preferred Stock and the exercise and/or conversion of any other outstanding Convertible Securities and all outstanding Options shall be deemed to be outstanding.</w:t>
      </w:r>
    </w:p>
    <w:p>
      <w:pPr>
        <w:spacing w:after="0" w:line="161" w:lineRule="exact"/>
        <w:rPr>
          <w:rFonts w:ascii="Arial" w:cs="Arial" w:eastAsia="Arial" w:hAnsi="Arial"/>
          <w:sz w:val="15"/>
          <w:szCs w:val="15"/>
          <w:color w:val="auto"/>
        </w:rPr>
      </w:pPr>
    </w:p>
    <w:p>
      <w:pPr>
        <w:ind w:left="-60" w:firstLine="1244"/>
        <w:spacing w:after="0" w:line="266" w:lineRule="auto"/>
        <w:tabs>
          <w:tab w:leader="none" w:pos="1688" w:val="left"/>
        </w:tabs>
        <w:numPr>
          <w:ilvl w:val="0"/>
          <w:numId w:val="1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Determination of Consideration. </w:t>
      </w:r>
      <w:r>
        <w:rPr>
          <w:rFonts w:ascii="Arial" w:cs="Arial" w:eastAsia="Arial" w:hAnsi="Arial"/>
          <w:sz w:val="16"/>
          <w:szCs w:val="16"/>
          <w:color w:val="auto"/>
        </w:rPr>
        <w:t>For purposes of this subsection 4(d), the consideration received by the Corporation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(or deemed issue) of any Additional Shares of Common shall be computed as follows:</w:t>
      </w:r>
    </w:p>
    <w:p>
      <w:pPr>
        <w:spacing w:after="0" w:line="158" w:lineRule="exact"/>
        <w:rPr>
          <w:rFonts w:ascii="Arial" w:cs="Arial" w:eastAsia="Arial" w:hAnsi="Arial"/>
          <w:sz w:val="16"/>
          <w:szCs w:val="16"/>
          <w:color w:val="auto"/>
        </w:rPr>
      </w:pPr>
    </w:p>
    <w:p>
      <w:pPr>
        <w:ind w:left="2000" w:hanging="335"/>
        <w:spacing w:after="0"/>
        <w:tabs>
          <w:tab w:leader="none" w:pos="2000" w:val="left"/>
        </w:tabs>
        <w:numPr>
          <w:ilvl w:val="1"/>
          <w:numId w:val="1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and Property. </w:t>
      </w:r>
      <w:r>
        <w:rPr>
          <w:rFonts w:ascii="Arial" w:cs="Arial" w:eastAsia="Arial" w:hAnsi="Arial"/>
          <w:sz w:val="16"/>
          <w:szCs w:val="16"/>
          <w:color w:val="auto"/>
        </w:rPr>
        <w:t>Such consideration shall:</w:t>
      </w:r>
    </w:p>
    <w:p>
      <w:pPr>
        <w:spacing w:after="0" w:line="193" w:lineRule="exact"/>
        <w:rPr>
          <w:rFonts w:ascii="Arial" w:cs="Arial" w:eastAsia="Arial" w:hAnsi="Arial"/>
          <w:sz w:val="16"/>
          <w:szCs w:val="16"/>
          <w:color w:val="auto"/>
        </w:rPr>
      </w:pPr>
    </w:p>
    <w:p>
      <w:pPr>
        <w:ind w:left="-60" w:right="140" w:firstLine="2110"/>
        <w:spacing w:after="0" w:line="256" w:lineRule="auto"/>
        <w:tabs>
          <w:tab w:leader="none" w:pos="2388" w:val="left"/>
        </w:tabs>
        <w:numPr>
          <w:ilvl w:val="2"/>
          <w:numId w:val="183"/>
        </w:numPr>
        <w:rPr>
          <w:rFonts w:ascii="Arial" w:cs="Arial" w:eastAsia="Arial" w:hAnsi="Arial"/>
          <w:sz w:val="16"/>
          <w:szCs w:val="16"/>
          <w:color w:val="auto"/>
        </w:rPr>
      </w:pPr>
      <w:r>
        <w:rPr>
          <w:rFonts w:ascii="Arial" w:cs="Arial" w:eastAsia="Arial" w:hAnsi="Arial"/>
          <w:sz w:val="16"/>
          <w:szCs w:val="16"/>
          <w:color w:val="auto"/>
        </w:rPr>
        <w:t>insofar as it consists of cash, be computed at the aggregate amount of cash received by the Corporation before deducting any reasonable discounts, commissions or other expenses allowed, paid or incurred by the Corporation for any underwriting or otherwise in connection with such issuance;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500"/>
          </w:cols>
          <w:pgMar w:left="1200" w:top="256" w:right="1199" w:bottom="1440" w:gutter="0" w:footer="0" w:header="0"/>
        </w:sectPr>
      </w:pPr>
    </w:p>
    <w:bookmarkStart w:id="326" w:name="page327"/>
    <w:bookmarkEnd w:id="326"/>
    <w:p>
      <w:pPr>
        <w:ind w:left="6" w:right="100" w:firstLine="2110"/>
        <w:spacing w:after="0" w:line="266" w:lineRule="auto"/>
        <w:tabs>
          <w:tab w:leader="none" w:pos="2463" w:val="left"/>
        </w:tabs>
        <w:numPr>
          <w:ilvl w:val="3"/>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and</w:t>
      </w:r>
    </w:p>
    <w:p>
      <w:pPr>
        <w:spacing w:after="0" w:line="158" w:lineRule="exact"/>
        <w:rPr>
          <w:rFonts w:ascii="Arial" w:cs="Arial" w:eastAsia="Arial" w:hAnsi="Arial"/>
          <w:sz w:val="16"/>
          <w:szCs w:val="16"/>
          <w:color w:val="auto"/>
        </w:rPr>
      </w:pPr>
    </w:p>
    <w:p>
      <w:pPr>
        <w:ind w:left="6" w:firstLine="2110"/>
        <w:spacing w:after="0" w:line="311" w:lineRule="auto"/>
        <w:tabs>
          <w:tab w:leader="none" w:pos="2454" w:val="left"/>
        </w:tabs>
        <w:numPr>
          <w:ilvl w:val="3"/>
          <w:numId w:val="184"/>
        </w:numPr>
        <w:rPr>
          <w:rFonts w:ascii="Arial" w:cs="Arial" w:eastAsia="Arial" w:hAnsi="Arial"/>
          <w:sz w:val="13"/>
          <w:szCs w:val="13"/>
          <w:color w:val="auto"/>
        </w:rPr>
      </w:pPr>
      <w:r>
        <w:rPr>
          <w:rFonts w:ascii="Arial" w:cs="Arial" w:eastAsia="Arial" w:hAnsi="Arial"/>
          <w:sz w:val="13"/>
          <w:szCs w:val="13"/>
          <w:color w:val="auto"/>
        </w:rPr>
        <w:t>in the event Additional Shares of Common are issued together with other shares or securities or other assets of the Corporation for consideration which covers both, be the proportion of such consideration so received, computed as provided in clauses (a) and</w:t>
      </w:r>
    </w:p>
    <w:p>
      <w:pPr>
        <w:spacing w:after="0" w:line="1" w:lineRule="exact"/>
        <w:rPr>
          <w:rFonts w:ascii="Arial" w:cs="Arial" w:eastAsia="Arial" w:hAnsi="Arial"/>
          <w:sz w:val="13"/>
          <w:szCs w:val="13"/>
          <w:color w:val="auto"/>
        </w:rPr>
      </w:pPr>
    </w:p>
    <w:p>
      <w:pPr>
        <w:ind w:left="226" w:hanging="226"/>
        <w:spacing w:after="0"/>
        <w:tabs>
          <w:tab w:leader="none" w:pos="22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above, as reasonably determined in good faith by the Board of Directors.</w:t>
      </w:r>
    </w:p>
    <w:p>
      <w:pPr>
        <w:spacing w:after="0" w:line="181" w:lineRule="exact"/>
        <w:rPr>
          <w:rFonts w:ascii="Arial" w:cs="Arial" w:eastAsia="Arial" w:hAnsi="Arial"/>
          <w:sz w:val="16"/>
          <w:szCs w:val="16"/>
          <w:color w:val="auto"/>
        </w:rPr>
      </w:pPr>
    </w:p>
    <w:p>
      <w:pPr>
        <w:ind w:left="6" w:right="120" w:firstLine="1725"/>
        <w:spacing w:after="0" w:line="266" w:lineRule="auto"/>
        <w:tabs>
          <w:tab w:leader="none" w:pos="2078" w:val="left"/>
        </w:tabs>
        <w:numPr>
          <w:ilvl w:val="2"/>
          <w:numId w:val="1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Options and Convertible Securities. </w:t>
      </w:r>
      <w:r>
        <w:rPr>
          <w:rFonts w:ascii="Arial" w:cs="Arial" w:eastAsia="Arial" w:hAnsi="Arial"/>
          <w:sz w:val="16"/>
          <w:szCs w:val="16"/>
          <w:color w:val="auto"/>
        </w:rPr>
        <w:t>The consideration per share received by the Corporation for Additional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deemed to have been issued pursuant to paragraph 4(d)(iii) shall be determined by dividing:</w:t>
      </w:r>
    </w:p>
    <w:p>
      <w:pPr>
        <w:spacing w:after="0" w:line="158" w:lineRule="exact"/>
        <w:rPr>
          <w:rFonts w:ascii="Arial" w:cs="Arial" w:eastAsia="Arial" w:hAnsi="Arial"/>
          <w:sz w:val="16"/>
          <w:szCs w:val="16"/>
          <w:color w:val="auto"/>
        </w:rPr>
      </w:pPr>
    </w:p>
    <w:p>
      <w:pPr>
        <w:ind w:left="6" w:firstLine="2110"/>
        <w:spacing w:after="0" w:line="323" w:lineRule="auto"/>
        <w:tabs>
          <w:tab w:leader="none" w:pos="2463" w:val="left"/>
        </w:tabs>
        <w:numPr>
          <w:ilvl w:val="3"/>
          <w:numId w:val="185"/>
        </w:numPr>
        <w:rPr>
          <w:rFonts w:ascii="Arial" w:cs="Arial" w:eastAsia="Arial" w:hAnsi="Arial"/>
          <w:sz w:val="13"/>
          <w:szCs w:val="13"/>
          <w:color w:val="auto"/>
        </w:rPr>
      </w:pPr>
      <w:r>
        <w:rPr>
          <w:rFonts w:ascii="Arial" w:cs="Arial" w:eastAsia="Arial" w:hAnsi="Arial"/>
          <w:sz w:val="13"/>
          <w:szCs w:val="13"/>
          <w:color w:val="auto"/>
        </w:rPr>
        <w:t>the total amount, if any, received or receivable by the Corporation as consideration for the issue of such Options or Convertible Securities, including pursuant to Section 4(d)(v)(1)(c),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5" w:lineRule="exact"/>
        <w:rPr>
          <w:rFonts w:ascii="Arial" w:cs="Arial" w:eastAsia="Arial" w:hAnsi="Arial"/>
          <w:sz w:val="13"/>
          <w:szCs w:val="13"/>
          <w:color w:val="auto"/>
        </w:rPr>
      </w:pPr>
    </w:p>
    <w:p>
      <w:pPr>
        <w:ind w:left="6" w:right="40" w:firstLine="2110"/>
        <w:spacing w:after="0" w:line="256" w:lineRule="auto"/>
        <w:tabs>
          <w:tab w:leader="none" w:pos="2463" w:val="left"/>
        </w:tabs>
        <w:numPr>
          <w:ilvl w:val="3"/>
          <w:numId w:val="185"/>
        </w:numPr>
        <w:rPr>
          <w:rFonts w:ascii="Arial" w:cs="Arial" w:eastAsia="Arial" w:hAnsi="Arial"/>
          <w:sz w:val="16"/>
          <w:szCs w:val="16"/>
          <w:color w:val="auto"/>
        </w:rPr>
      </w:pPr>
      <w:r>
        <w:rPr>
          <w:rFonts w:ascii="Arial" w:cs="Arial" w:eastAsia="Arial" w:hAnsi="Arial"/>
          <w:sz w:val="16"/>
          <w:szCs w:val="16"/>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65" w:lineRule="exact"/>
        <w:rPr>
          <w:rFonts w:ascii="Arial" w:cs="Arial" w:eastAsia="Arial" w:hAnsi="Arial"/>
          <w:sz w:val="16"/>
          <w:szCs w:val="16"/>
          <w:color w:val="auto"/>
        </w:rPr>
      </w:pPr>
    </w:p>
    <w:p>
      <w:pPr>
        <w:ind w:left="6" w:right="80" w:firstLine="860"/>
        <w:spacing w:after="0" w:line="270" w:lineRule="auto"/>
        <w:tabs>
          <w:tab w:leader="none" w:pos="1203" w:val="left"/>
        </w:tabs>
        <w:numPr>
          <w:ilvl w:val="1"/>
          <w:numId w:val="18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Adjustments for Subdivisions or Combinations of Common Stock. </w:t>
      </w:r>
      <w:r>
        <w:rPr>
          <w:rFonts w:ascii="Arial" w:cs="Arial" w:eastAsia="Arial" w:hAnsi="Arial"/>
          <w:sz w:val="15"/>
          <w:szCs w:val="15"/>
          <w:color w:val="auto"/>
        </w:rPr>
        <w:t>In the event the outstanding shares of Common Stock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156" w:lineRule="exact"/>
        <w:rPr>
          <w:rFonts w:ascii="Arial" w:cs="Arial" w:eastAsia="Arial" w:hAnsi="Arial"/>
          <w:sz w:val="15"/>
          <w:szCs w:val="15"/>
          <w:color w:val="auto"/>
        </w:rPr>
      </w:pPr>
    </w:p>
    <w:p>
      <w:pPr>
        <w:ind w:left="6" w:right="80" w:firstLine="860"/>
        <w:spacing w:after="0" w:line="316" w:lineRule="auto"/>
        <w:tabs>
          <w:tab w:leader="none" w:pos="1186" w:val="left"/>
        </w:tabs>
        <w:numPr>
          <w:ilvl w:val="1"/>
          <w:numId w:val="18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Adjustments for Subdivisions or Combinations of Preferred Stock. </w:t>
      </w:r>
      <w:r>
        <w:rPr>
          <w:rFonts w:ascii="Arial" w:cs="Arial" w:eastAsia="Arial" w:hAnsi="Arial"/>
          <w:sz w:val="13"/>
          <w:szCs w:val="13"/>
          <w:color w:val="auto"/>
        </w:rPr>
        <w:t>In the event the outstanding shares of Preferred Stock or a series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131" w:lineRule="exact"/>
        <w:rPr>
          <w:rFonts w:ascii="Arial" w:cs="Arial" w:eastAsia="Arial" w:hAnsi="Arial"/>
          <w:sz w:val="13"/>
          <w:szCs w:val="13"/>
          <w:color w:val="auto"/>
        </w:rPr>
      </w:pPr>
    </w:p>
    <w:p>
      <w:pPr>
        <w:ind w:left="6" w:right="200" w:firstLine="860"/>
        <w:spacing w:after="0" w:line="281" w:lineRule="auto"/>
        <w:tabs>
          <w:tab w:leader="none" w:pos="1212" w:val="left"/>
        </w:tabs>
        <w:numPr>
          <w:ilvl w:val="1"/>
          <w:numId w:val="18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Adjustments for Reclassification, Exchange and Substitution. </w:t>
      </w:r>
      <w:r>
        <w:rPr>
          <w:rFonts w:ascii="Arial" w:cs="Arial" w:eastAsia="Arial" w:hAnsi="Arial"/>
          <w:sz w:val="15"/>
          <w:szCs w:val="15"/>
          <w:color w:val="auto"/>
        </w:rPr>
        <w:t>Subject to Section 3 (“</w:t>
      </w:r>
      <w:r>
        <w:rPr>
          <w:rFonts w:ascii="Arial" w:cs="Arial" w:eastAsia="Arial" w:hAnsi="Arial"/>
          <w:sz w:val="15"/>
          <w:szCs w:val="15"/>
          <w:b w:val="1"/>
          <w:bCs w:val="1"/>
          <w:i w:val="1"/>
          <w:iCs w:val="1"/>
          <w:color w:val="auto"/>
        </w:rPr>
        <w:t>Liquidation Rights</w:t>
      </w:r>
      <w:r>
        <w:rPr>
          <w:rFonts w:ascii="Arial" w:cs="Arial" w:eastAsia="Arial" w:hAnsi="Arial"/>
          <w:sz w:val="15"/>
          <w:szCs w:val="15"/>
          <w:color w:val="auto"/>
        </w:rPr>
        <w:t>”), if the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issuable upon conversion of the Preferred Stock shall be changed into the same or a different number of shares of any other class or classes of stock, whether by capital reorganization, reclassification or otherwise (other than a subdivision or combination of shares</w:t>
      </w:r>
    </w:p>
    <w:p>
      <w:pPr>
        <w:spacing w:after="0" w:line="9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626"/>
          </w:cols>
          <w:pgMar w:left="1134" w:top="256" w:right="1139" w:bottom="1440" w:gutter="0" w:footer="0" w:header="0"/>
        </w:sectPr>
      </w:pPr>
    </w:p>
    <w:bookmarkStart w:id="327" w:name="page328"/>
    <w:bookmarkEnd w:id="327"/>
    <w:p>
      <w:pPr>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70" w:lineRule="exact"/>
        <w:rPr>
          <w:sz w:val="20"/>
          <w:szCs w:val="20"/>
          <w:color w:val="auto"/>
        </w:rPr>
      </w:pPr>
    </w:p>
    <w:p>
      <w:pPr>
        <w:ind w:right="100" w:firstLine="860"/>
        <w:spacing w:after="0" w:line="319" w:lineRule="auto"/>
        <w:tabs>
          <w:tab w:leader="none" w:pos="1245" w:val="left"/>
        </w:tabs>
        <w:numPr>
          <w:ilvl w:val="0"/>
          <w:numId w:val="18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Certificate as to Adjustments. </w:t>
      </w:r>
      <w:r>
        <w:rPr>
          <w:rFonts w:ascii="Arial" w:cs="Arial" w:eastAsia="Arial" w:hAnsi="Arial"/>
          <w:sz w:val="13"/>
          <w:szCs w:val="13"/>
          <w:color w:val="auto"/>
        </w:rPr>
        <w:t>Upon the occurrence of each adjustment or readjustment of the Conversion Price pursuant to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128" w:lineRule="exact"/>
        <w:rPr>
          <w:rFonts w:ascii="Arial" w:cs="Arial" w:eastAsia="Arial" w:hAnsi="Arial"/>
          <w:sz w:val="13"/>
          <w:szCs w:val="13"/>
          <w:color w:val="auto"/>
        </w:rPr>
      </w:pPr>
    </w:p>
    <w:p>
      <w:pPr>
        <w:ind w:right="240" w:firstLine="860"/>
        <w:spacing w:after="0" w:line="253" w:lineRule="auto"/>
        <w:tabs>
          <w:tab w:leader="none" w:pos="1250" w:val="left"/>
        </w:tabs>
        <w:numPr>
          <w:ilvl w:val="0"/>
          <w:numId w:val="1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Waiver of Adjustment of Conversion Price. </w:t>
      </w:r>
      <w:r>
        <w:rPr>
          <w:rFonts w:ascii="Arial" w:cs="Arial" w:eastAsia="Arial" w:hAnsi="Arial"/>
          <w:sz w:val="16"/>
          <w:szCs w:val="16"/>
          <w:color w:val="auto"/>
        </w:rPr>
        <w:t>Notwithstanding anything herein to the contrary, any downward adjustment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Price of any series of Preferred Stock may be waived by the consent or vote of the holders of a majority of the outstanding shares of such series, voting as a separate class, either before or after the issuance causing the adjustment. Any such waiver will bind all future holders of shares of such series of Preferred Stock.</w:t>
      </w:r>
    </w:p>
    <w:p>
      <w:pPr>
        <w:spacing w:after="0" w:line="167" w:lineRule="exact"/>
        <w:rPr>
          <w:rFonts w:ascii="Arial" w:cs="Arial" w:eastAsia="Arial" w:hAnsi="Arial"/>
          <w:sz w:val="16"/>
          <w:szCs w:val="16"/>
          <w:color w:val="auto"/>
        </w:rPr>
      </w:pPr>
    </w:p>
    <w:p>
      <w:pPr>
        <w:ind w:left="1240" w:hanging="380"/>
        <w:spacing w:after="0"/>
        <w:tabs>
          <w:tab w:leader="none" w:pos="1240" w:val="left"/>
        </w:tabs>
        <w:numPr>
          <w:ilvl w:val="0"/>
          <w:numId w:val="1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Notices of Record Date. </w:t>
      </w:r>
      <w:r>
        <w:rPr>
          <w:rFonts w:ascii="Arial" w:cs="Arial" w:eastAsia="Arial" w:hAnsi="Arial"/>
          <w:sz w:val="16"/>
          <w:szCs w:val="16"/>
          <w:color w:val="auto"/>
        </w:rPr>
        <w:t>In the event that this Corporation shall propose at any time:</w:t>
      </w:r>
    </w:p>
    <w:p>
      <w:pPr>
        <w:spacing w:after="0" w:line="193" w:lineRule="exact"/>
        <w:rPr>
          <w:rFonts w:ascii="Arial" w:cs="Arial" w:eastAsia="Arial" w:hAnsi="Arial"/>
          <w:sz w:val="16"/>
          <w:szCs w:val="16"/>
          <w:color w:val="auto"/>
        </w:rPr>
      </w:pPr>
    </w:p>
    <w:p>
      <w:pPr>
        <w:ind w:right="400" w:firstLine="1244"/>
        <w:spacing w:after="0" w:line="266" w:lineRule="auto"/>
        <w:tabs>
          <w:tab w:leader="none" w:pos="1635"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to declare any Distribution upon its Common Stock, whether in cash, property, stock or other securities, whether or not a regular cash dividend and whether or not out of earnings or earned surplus;</w:t>
      </w:r>
    </w:p>
    <w:p>
      <w:pPr>
        <w:spacing w:after="0" w:line="158" w:lineRule="exact"/>
        <w:rPr>
          <w:rFonts w:ascii="Arial" w:cs="Arial" w:eastAsia="Arial" w:hAnsi="Arial"/>
          <w:sz w:val="16"/>
          <w:szCs w:val="16"/>
          <w:color w:val="auto"/>
        </w:rPr>
      </w:pPr>
    </w:p>
    <w:p>
      <w:pPr>
        <w:ind w:left="1640" w:hanging="396"/>
        <w:spacing w:after="0"/>
        <w:tabs>
          <w:tab w:leader="none" w:pos="1640" w:val="left"/>
        </w:tabs>
        <w:numPr>
          <w:ilvl w:val="1"/>
          <w:numId w:val="186"/>
        </w:numPr>
        <w:rPr>
          <w:rFonts w:ascii="Arial" w:cs="Arial" w:eastAsia="Arial" w:hAnsi="Arial"/>
          <w:sz w:val="13"/>
          <w:szCs w:val="13"/>
          <w:color w:val="auto"/>
        </w:rPr>
      </w:pPr>
      <w:r>
        <w:rPr>
          <w:rFonts w:ascii="Arial" w:cs="Arial" w:eastAsia="Arial" w:hAnsi="Arial"/>
          <w:sz w:val="13"/>
          <w:szCs w:val="13"/>
          <w:color w:val="auto"/>
        </w:rPr>
        <w:t>to effect any reclassification or recapitalization of its Common Stock outstanding involving a change in the Common Stock; or</w:t>
      </w:r>
    </w:p>
    <w:p>
      <w:pPr>
        <w:spacing w:after="0" w:line="227" w:lineRule="exact"/>
        <w:rPr>
          <w:rFonts w:ascii="Arial" w:cs="Arial" w:eastAsia="Arial" w:hAnsi="Arial"/>
          <w:sz w:val="13"/>
          <w:szCs w:val="13"/>
          <w:color w:val="auto"/>
        </w:rPr>
      </w:pPr>
    </w:p>
    <w:p>
      <w:pPr>
        <w:ind w:right="60" w:firstLine="1244"/>
        <w:spacing w:after="0" w:line="266" w:lineRule="auto"/>
        <w:tabs>
          <w:tab w:leader="none" w:pos="164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to voluntarily liquidate or dissolve or to enter into any transaction deemed to be a liquidation, dissolution or winding up of the corporation pursuant to Section 3(c);</w:t>
      </w:r>
    </w:p>
    <w:p>
      <w:pPr>
        <w:spacing w:after="0" w:line="158" w:lineRule="exact"/>
        <w:rPr>
          <w:sz w:val="20"/>
          <w:szCs w:val="20"/>
          <w:color w:val="auto"/>
        </w:rPr>
      </w:pPr>
    </w:p>
    <w:p>
      <w:pPr>
        <w:ind w:right="40"/>
        <w:spacing w:after="0" w:line="343" w:lineRule="auto"/>
        <w:rPr>
          <w:sz w:val="20"/>
          <w:szCs w:val="20"/>
          <w:color w:val="auto"/>
        </w:rPr>
      </w:pPr>
      <w:r>
        <w:rPr>
          <w:rFonts w:ascii="Arial" w:cs="Arial" w:eastAsia="Arial" w:hAnsi="Arial"/>
          <w:sz w:val="13"/>
          <w:szCs w:val="13"/>
          <w:color w:val="auto"/>
        </w:rPr>
        <w:t>then, in connection with each such event, this Corporation shall send to the holders of the Preferred Stock at least 10 days’ prior written notice of the date on which a record shall be taken for such Distribution (and specifying the date on which the holders of Common Stock shall be entitled thereto and, if applicable, the amount and character of such Distribution) or for determining rights to vote in respect of the matters referred to in (ii) and (iii) above.</w:t>
      </w:r>
    </w:p>
    <w:p>
      <w:pPr>
        <w:spacing w:after="0" w:line="114" w:lineRule="exact"/>
        <w:rPr>
          <w:sz w:val="20"/>
          <w:szCs w:val="20"/>
          <w:color w:val="auto"/>
        </w:rPr>
      </w:pPr>
    </w:p>
    <w:p>
      <w:pPr>
        <w:ind w:right="440" w:firstLine="385"/>
        <w:spacing w:after="0" w:line="383" w:lineRule="auto"/>
        <w:rPr>
          <w:sz w:val="20"/>
          <w:szCs w:val="20"/>
          <w:color w:val="auto"/>
        </w:rPr>
      </w:pPr>
      <w:r>
        <w:rPr>
          <w:rFonts w:ascii="Arial" w:cs="Arial" w:eastAsia="Arial" w:hAnsi="Arial"/>
          <w:sz w:val="13"/>
          <w:szCs w:val="13"/>
          <w:color w:val="auto"/>
        </w:rPr>
        <w:t>Such written notice shall be given by first class mail (or express courier), postage prepaid, addressed to the holders of Preferred Stock at the address for each such holder as shown on the books of the Corporation and shall be deemed given on the date such notice is mailed.</w:t>
      </w:r>
    </w:p>
    <w:p>
      <w:pPr>
        <w:spacing w:after="0" w:line="89" w:lineRule="exact"/>
        <w:rPr>
          <w:sz w:val="20"/>
          <w:szCs w:val="20"/>
          <w:color w:val="auto"/>
        </w:rPr>
      </w:pPr>
    </w:p>
    <w:p>
      <w:pPr>
        <w:ind w:right="60" w:firstLine="385"/>
        <w:spacing w:after="0" w:line="266" w:lineRule="auto"/>
        <w:rPr>
          <w:sz w:val="20"/>
          <w:szCs w:val="20"/>
          <w:color w:val="auto"/>
        </w:rPr>
      </w:pPr>
      <w:r>
        <w:rPr>
          <w:rFonts w:ascii="Arial" w:cs="Arial" w:eastAsia="Arial" w:hAnsi="Arial"/>
          <w:sz w:val="16"/>
          <w:szCs w:val="16"/>
          <w:color w:val="auto"/>
        </w:rPr>
        <w:t>The notice provisions set forth in this section may be shortened or waived prospectively or retrospectively by the consent or vote of the holders of a majority of the outstanding shares of Preferred Stock, voting together as a single class on an as-converted basis.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20"/>
          </w:cols>
          <w:pgMar w:left="1140" w:top="256" w:right="1139" w:bottom="1440" w:gutter="0" w:footer="0" w:header="0"/>
        </w:sectPr>
      </w:pPr>
    </w:p>
    <w:bookmarkStart w:id="328" w:name="page329"/>
    <w:bookmarkEnd w:id="328"/>
    <w:p>
      <w:pPr>
        <w:ind w:firstLine="860"/>
        <w:spacing w:after="0" w:line="319" w:lineRule="auto"/>
        <w:tabs>
          <w:tab w:leader="none" w:pos="1206" w:val="left"/>
        </w:tabs>
        <w:numPr>
          <w:ilvl w:val="1"/>
          <w:numId w:val="187"/>
        </w:numPr>
        <w:rPr>
          <w:rFonts w:ascii="Arial" w:cs="Arial" w:eastAsia="Arial" w:hAnsi="Arial"/>
          <w:sz w:val="13"/>
          <w:szCs w:val="13"/>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Reservation of Stock Issuable Upon Conversion. </w:t>
      </w:r>
      <w:r>
        <w:rPr>
          <w:rFonts w:ascii="Arial" w:cs="Arial" w:eastAsia="Arial" w:hAnsi="Arial"/>
          <w:sz w:val="13"/>
          <w:szCs w:val="13"/>
          <w:color w:val="auto"/>
        </w:rPr>
        <w:t>The Corporation shall at all times reserve and keep available out of its authorized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but 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218" w:lineRule="exact"/>
        <w:rPr>
          <w:rFonts w:ascii="Arial" w:cs="Arial" w:eastAsia="Arial" w:hAnsi="Arial"/>
          <w:sz w:val="13"/>
          <w:szCs w:val="13"/>
          <w:color w:val="auto"/>
        </w:rPr>
      </w:pPr>
    </w:p>
    <w:p>
      <w:pPr>
        <w:ind w:left="840" w:hanging="462"/>
        <w:spacing w:after="0"/>
        <w:tabs>
          <w:tab w:leader="none" w:pos="84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Voting.</w:t>
      </w:r>
    </w:p>
    <w:p>
      <w:pPr>
        <w:spacing w:after="0" w:line="102" w:lineRule="exact"/>
        <w:rPr>
          <w:rFonts w:ascii="Arial" w:cs="Arial" w:eastAsia="Arial" w:hAnsi="Arial"/>
          <w:sz w:val="16"/>
          <w:szCs w:val="16"/>
          <w:b w:val="1"/>
          <w:bCs w:val="1"/>
          <w:color w:val="auto"/>
        </w:rPr>
      </w:pPr>
    </w:p>
    <w:p>
      <w:pPr>
        <w:ind w:right="120" w:firstLine="860"/>
        <w:spacing w:after="0" w:line="266" w:lineRule="auto"/>
        <w:tabs>
          <w:tab w:leader="none" w:pos="1197" w:val="left"/>
        </w:tabs>
        <w:numPr>
          <w:ilvl w:val="1"/>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Class Voting. </w:t>
      </w:r>
      <w:r>
        <w:rPr>
          <w:rFonts w:ascii="Arial" w:cs="Arial" w:eastAsia="Arial" w:hAnsi="Arial"/>
          <w:sz w:val="16"/>
          <w:szCs w:val="16"/>
          <w:color w:val="auto"/>
        </w:rPr>
        <w:t>Except as otherwise expressly provided herein or as required by law, the holders of Preferred Stock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Common Stock shall vote together and not as separate classes.</w:t>
      </w:r>
    </w:p>
    <w:p>
      <w:pPr>
        <w:spacing w:after="0" w:line="158" w:lineRule="exact"/>
        <w:rPr>
          <w:rFonts w:ascii="Arial" w:cs="Arial" w:eastAsia="Arial" w:hAnsi="Arial"/>
          <w:sz w:val="16"/>
          <w:szCs w:val="16"/>
          <w:color w:val="auto"/>
        </w:rPr>
      </w:pPr>
    </w:p>
    <w:p>
      <w:pPr>
        <w:ind w:left="1200" w:hanging="340"/>
        <w:spacing w:after="0"/>
        <w:tabs>
          <w:tab w:leader="none" w:pos="1200" w:val="left"/>
        </w:tabs>
        <w:numPr>
          <w:ilvl w:val="1"/>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Series Voting. </w:t>
      </w:r>
      <w:r>
        <w:rPr>
          <w:rFonts w:ascii="Arial" w:cs="Arial" w:eastAsia="Arial" w:hAnsi="Arial"/>
          <w:sz w:val="16"/>
          <w:szCs w:val="16"/>
          <w:color w:val="auto"/>
        </w:rPr>
        <w:t>Other than as provided herein or required by law, there shall be no series voting.</w:t>
      </w:r>
    </w:p>
    <w:p>
      <w:pPr>
        <w:spacing w:after="0" w:line="193" w:lineRule="exact"/>
        <w:rPr>
          <w:rFonts w:ascii="Arial" w:cs="Arial" w:eastAsia="Arial" w:hAnsi="Arial"/>
          <w:sz w:val="16"/>
          <w:szCs w:val="16"/>
          <w:color w:val="auto"/>
        </w:rPr>
      </w:pPr>
    </w:p>
    <w:p>
      <w:pPr>
        <w:ind w:right="20" w:firstLine="860"/>
        <w:spacing w:after="0" w:line="270" w:lineRule="auto"/>
        <w:tabs>
          <w:tab w:leader="none" w:pos="1197" w:val="left"/>
        </w:tabs>
        <w:numPr>
          <w:ilvl w:val="1"/>
          <w:numId w:val="18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Preferred Stock. </w:t>
      </w:r>
      <w:r>
        <w:rPr>
          <w:rFonts w:ascii="Arial" w:cs="Arial" w:eastAsia="Arial" w:hAnsi="Arial"/>
          <w:sz w:val="15"/>
          <w:szCs w:val="15"/>
          <w:color w:val="auto"/>
        </w:rPr>
        <w:t>Each holder of Preferred Stock shall be entitled to the number of votes equal to the number of shares of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into which the shares of Preferred Stock held by such holder could be converted as of the record date. Fractional votes shall not be permitted and any fractional voting rights resulting from the above formula (after aggregating all shares into which shares of Preferred Stock held by each holder could be converted) shall be disregarded. Except as otherwise expressly provided herein or as required by law, the holders of shares of the Preferred Stock shall be entitled to vote on all matters on which the Common Stock shall be entitled to vote. Holders of Preferred Stock shall be entitled to notice of any stockholders’ meeting in accordance with the Bylaws of the Corporation.</w:t>
      </w:r>
    </w:p>
    <w:p>
      <w:pPr>
        <w:spacing w:after="0" w:line="156" w:lineRule="exact"/>
        <w:rPr>
          <w:rFonts w:ascii="Arial" w:cs="Arial" w:eastAsia="Arial" w:hAnsi="Arial"/>
          <w:sz w:val="15"/>
          <w:szCs w:val="15"/>
          <w:color w:val="auto"/>
        </w:rPr>
      </w:pPr>
    </w:p>
    <w:p>
      <w:pPr>
        <w:ind w:right="40" w:firstLine="860"/>
        <w:spacing w:after="0" w:line="323" w:lineRule="auto"/>
        <w:tabs>
          <w:tab w:leader="none" w:pos="1206" w:val="left"/>
        </w:tabs>
        <w:numPr>
          <w:ilvl w:val="1"/>
          <w:numId w:val="18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Election of Directors. </w:t>
      </w:r>
      <w:r>
        <w:rPr>
          <w:rFonts w:ascii="Arial" w:cs="Arial" w:eastAsia="Arial" w:hAnsi="Arial"/>
          <w:sz w:val="13"/>
          <w:szCs w:val="13"/>
          <w:color w:val="auto"/>
        </w:rPr>
        <w:t>The holders of Preferred Stock, voting together as a single class on an as converted basis, shall be entitled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elect three members of the Board of Directors (the “</w:t>
      </w:r>
      <w:r>
        <w:rPr>
          <w:rFonts w:ascii="Arial" w:cs="Arial" w:eastAsia="Arial" w:hAnsi="Arial"/>
          <w:sz w:val="13"/>
          <w:szCs w:val="13"/>
          <w:b w:val="1"/>
          <w:bCs w:val="1"/>
          <w:i w:val="1"/>
          <w:iCs w:val="1"/>
          <w:color w:val="auto"/>
        </w:rPr>
        <w:t>Preferred Directors</w:t>
      </w:r>
      <w:r>
        <w:rPr>
          <w:rFonts w:ascii="Arial" w:cs="Arial" w:eastAsia="Arial" w:hAnsi="Arial"/>
          <w:sz w:val="13"/>
          <w:szCs w:val="13"/>
          <w:color w:val="auto"/>
        </w:rPr>
        <w:t>”) at each meeting or pursuant to each consent of the Corporation’s stockholders for the election of directors. The holders of Common Stock, voting as a separate class, shall be entitled to elect one member of the Board of Directors at each meeting or pursuant to each consent of the Corporation’s stockholders for the election of directors. Any additional members of the Corporation’s Board of Directors shall be elected by the holders of Common Stock and Preferred Stock, voting together as a single class on an as converted basis.</w:t>
      </w:r>
    </w:p>
    <w:p>
      <w:pPr>
        <w:spacing w:after="0" w:line="125" w:lineRule="exact"/>
        <w:rPr>
          <w:rFonts w:ascii="Arial" w:cs="Arial" w:eastAsia="Arial" w:hAnsi="Arial"/>
          <w:sz w:val="13"/>
          <w:szCs w:val="13"/>
          <w:color w:val="auto"/>
        </w:rPr>
      </w:pPr>
    </w:p>
    <w:p>
      <w:pPr>
        <w:ind w:right="140" w:firstLine="860"/>
        <w:spacing w:after="0" w:line="256" w:lineRule="auto"/>
        <w:tabs>
          <w:tab w:leader="none" w:pos="1197" w:val="left"/>
        </w:tabs>
        <w:numPr>
          <w:ilvl w:val="1"/>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 in Authorized Common Stock. </w:t>
      </w:r>
      <w:r>
        <w:rPr>
          <w:rFonts w:ascii="Arial" w:cs="Arial" w:eastAsia="Arial" w:hAnsi="Arial"/>
          <w:sz w:val="16"/>
          <w:szCs w:val="16"/>
          <w:color w:val="auto"/>
        </w:rPr>
        <w:t>The number of authorized shares of Common Stock may be increased or decreased (but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below the number of shares of Common Stock then outstanding) by an affirmative vote of the holders of a majority of the capital stock of the Corporation, voting together as a single class on an as converted basis.</w:t>
      </w:r>
    </w:p>
    <w:p>
      <w:pPr>
        <w:spacing w:after="0" w:line="165" w:lineRule="exact"/>
        <w:rPr>
          <w:rFonts w:ascii="Arial" w:cs="Arial" w:eastAsia="Arial" w:hAnsi="Arial"/>
          <w:sz w:val="16"/>
          <w:szCs w:val="16"/>
          <w:color w:val="auto"/>
        </w:rPr>
      </w:pPr>
    </w:p>
    <w:p>
      <w:pPr>
        <w:ind w:left="1180" w:hanging="320"/>
        <w:spacing w:after="0"/>
        <w:tabs>
          <w:tab w:leader="none" w:pos="1180" w:val="left"/>
        </w:tabs>
        <w:numPr>
          <w:ilvl w:val="1"/>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Each holder of shares of Common Stock shall be entitled to one vote for each share thereof held.</w:t>
      </w:r>
    </w:p>
    <w:p>
      <w:pPr>
        <w:spacing w:after="0" w:line="189" w:lineRule="exact"/>
        <w:rPr>
          <w:rFonts w:ascii="Arial" w:cs="Arial" w:eastAsia="Arial" w:hAnsi="Arial"/>
          <w:sz w:val="16"/>
          <w:szCs w:val="16"/>
          <w:color w:val="auto"/>
        </w:rPr>
      </w:pPr>
    </w:p>
    <w:p>
      <w:pPr>
        <w:ind w:right="20" w:firstLine="378"/>
        <w:spacing w:after="0" w:line="254" w:lineRule="auto"/>
        <w:tabs>
          <w:tab w:leader="none" w:pos="856"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and Changes. </w:t>
      </w:r>
      <w:r>
        <w:rPr>
          <w:rFonts w:ascii="Arial" w:cs="Arial" w:eastAsia="Arial" w:hAnsi="Arial"/>
          <w:sz w:val="16"/>
          <w:szCs w:val="16"/>
          <w:color w:val="auto"/>
        </w:rPr>
        <w:t>As long as any shares of Preferred Stock are issued and outstanding, the Corporation shall not (whether by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this Certificate of Incorporation, by merger or consolidation, or otherwise), without first obtaining the approval (by vote or written consent as provided by law) of the holders of a majority of the outstanding shares of Preferred Stock, voting together as a single class on an as-converted basis: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620"/>
          </w:cols>
          <w:pgMar w:left="1140" w:top="256" w:right="1139" w:bottom="1440" w:gutter="0" w:footer="0" w:header="0"/>
        </w:sectPr>
      </w:pPr>
    </w:p>
    <w:bookmarkStart w:id="329" w:name="page330"/>
    <w:bookmarkEnd w:id="329"/>
    <w:p>
      <w:pPr>
        <w:ind w:right="60" w:firstLine="860"/>
        <w:spacing w:after="0" w:line="256" w:lineRule="auto"/>
        <w:tabs>
          <w:tab w:leader="none" w:pos="1197" w:val="left"/>
        </w:tabs>
        <w:numPr>
          <w:ilvl w:val="0"/>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amend, alter or repeal any provision of the Certificate of Incorporation or bylaws of the Corporation if such action would adversely alter the rights, preferences, privileges or powers of, or restrictions provided for the benefit of, or the obligation in respect of, the Preferred Stock or any series thereof;</w:t>
      </w:r>
    </w:p>
    <w:p>
      <w:pPr>
        <w:spacing w:after="0" w:line="165" w:lineRule="exact"/>
        <w:rPr>
          <w:rFonts w:ascii="Arial" w:cs="Arial" w:eastAsia="Arial" w:hAnsi="Arial"/>
          <w:sz w:val="16"/>
          <w:szCs w:val="16"/>
          <w:color w:val="auto"/>
        </w:rPr>
      </w:pPr>
    </w:p>
    <w:p>
      <w:pPr>
        <w:ind w:right="120" w:firstLine="860"/>
        <w:spacing w:after="0" w:line="266" w:lineRule="auto"/>
        <w:tabs>
          <w:tab w:leader="none" w:pos="120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take any action that would alter or change the rights, preferences, privileges or powers of, or restrictions provided for the benefit of, or the obligation in respect of, the Preferred Stock so as to adversely affect the Preferred Stock;</w:t>
      </w:r>
    </w:p>
    <w:p>
      <w:pPr>
        <w:spacing w:after="0" w:line="158" w:lineRule="exact"/>
        <w:rPr>
          <w:rFonts w:ascii="Arial" w:cs="Arial" w:eastAsia="Arial" w:hAnsi="Arial"/>
          <w:sz w:val="16"/>
          <w:szCs w:val="16"/>
          <w:color w:val="auto"/>
        </w:rPr>
      </w:pPr>
    </w:p>
    <w:p>
      <w:pPr>
        <w:ind w:right="200" w:firstLine="860"/>
        <w:spacing w:after="0" w:line="266" w:lineRule="auto"/>
        <w:tabs>
          <w:tab w:leader="none" w:pos="119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increase or decrease (other than for decreases resulting from conversion of the Preferred Stock) the authorized number of shares of Common Stock or Preferred Stock or any series thereof;</w:t>
      </w:r>
    </w:p>
    <w:p>
      <w:pPr>
        <w:spacing w:after="0" w:line="158" w:lineRule="exact"/>
        <w:rPr>
          <w:rFonts w:ascii="Arial" w:cs="Arial" w:eastAsia="Arial" w:hAnsi="Arial"/>
          <w:sz w:val="16"/>
          <w:szCs w:val="16"/>
          <w:color w:val="auto"/>
        </w:rPr>
      </w:pPr>
    </w:p>
    <w:p>
      <w:pPr>
        <w:ind w:right="140" w:firstLine="860"/>
        <w:spacing w:after="0" w:line="266" w:lineRule="auto"/>
        <w:tabs>
          <w:tab w:leader="none" w:pos="120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authorize or create (by reclassification, merger or otherwise) any new class or series of equity security having rights, preferences or privileges senior to or on a parity with any series of Preferred Stock;</w:t>
      </w:r>
    </w:p>
    <w:p>
      <w:pPr>
        <w:spacing w:after="0" w:line="158" w:lineRule="exact"/>
        <w:rPr>
          <w:rFonts w:ascii="Arial" w:cs="Arial" w:eastAsia="Arial" w:hAnsi="Arial"/>
          <w:sz w:val="16"/>
          <w:szCs w:val="16"/>
          <w:color w:val="auto"/>
        </w:rPr>
      </w:pPr>
    </w:p>
    <w:p>
      <w:pPr>
        <w:ind w:right="220" w:firstLine="860"/>
        <w:spacing w:after="0" w:line="266" w:lineRule="auto"/>
        <w:tabs>
          <w:tab w:leader="none" w:pos="119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enter into any transaction or series of related transactions that is, or is deemed to be, a liquidation, dissolution or winding up of the Corporation pursuant to Section 3(c);</w:t>
      </w:r>
    </w:p>
    <w:p>
      <w:pPr>
        <w:spacing w:after="0" w:line="158" w:lineRule="exact"/>
        <w:rPr>
          <w:rFonts w:ascii="Arial" w:cs="Arial" w:eastAsia="Arial" w:hAnsi="Arial"/>
          <w:sz w:val="16"/>
          <w:szCs w:val="16"/>
          <w:color w:val="auto"/>
        </w:rPr>
      </w:pPr>
    </w:p>
    <w:p>
      <w:pPr>
        <w:ind w:left="1180" w:hanging="320"/>
        <w:spacing w:after="0"/>
        <w:tabs>
          <w:tab w:leader="none" w:pos="11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increase or decrease the authorized size of the Board of Directors;</w:t>
      </w:r>
    </w:p>
    <w:p>
      <w:pPr>
        <w:spacing w:after="0" w:line="193" w:lineRule="exact"/>
        <w:rPr>
          <w:rFonts w:ascii="Arial" w:cs="Arial" w:eastAsia="Arial" w:hAnsi="Arial"/>
          <w:sz w:val="16"/>
          <w:szCs w:val="16"/>
          <w:color w:val="auto"/>
        </w:rPr>
      </w:pPr>
    </w:p>
    <w:p>
      <w:pPr>
        <w:ind w:firstLine="860"/>
        <w:spacing w:after="0" w:line="266" w:lineRule="auto"/>
        <w:tabs>
          <w:tab w:leader="none" w:pos="120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declare or pay a dividend or otherwise make any Distribution with respect to the Common Stock (other than as expressly permitted in the Certificate of Incorporation);</w:t>
      </w:r>
    </w:p>
    <w:p>
      <w:pPr>
        <w:spacing w:after="0" w:line="158" w:lineRule="exact"/>
        <w:rPr>
          <w:rFonts w:ascii="Arial" w:cs="Arial" w:eastAsia="Arial" w:hAnsi="Arial"/>
          <w:sz w:val="16"/>
          <w:szCs w:val="16"/>
          <w:color w:val="auto"/>
        </w:rPr>
      </w:pPr>
    </w:p>
    <w:p>
      <w:pPr>
        <w:jc w:val="both"/>
        <w:ind w:right="80" w:firstLine="860"/>
        <w:spacing w:after="0" w:line="256" w:lineRule="auto"/>
        <w:tabs>
          <w:tab w:leader="none" w:pos="120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encumber or grant a security interest in all or substantially all of the assets of the Corporation or assign or grant an exclusive license to any material intellectual property asset of the Corporation or its subsidiaries, unless the same has been approved by the Board of Directors, including the approval of a majority of the then-serving Preferred Directors;</w:t>
      </w:r>
    </w:p>
    <w:p>
      <w:pPr>
        <w:spacing w:after="0" w:line="165" w:lineRule="exact"/>
        <w:rPr>
          <w:rFonts w:ascii="Arial" w:cs="Arial" w:eastAsia="Arial" w:hAnsi="Arial"/>
          <w:sz w:val="16"/>
          <w:szCs w:val="16"/>
          <w:color w:val="auto"/>
        </w:rPr>
      </w:pPr>
    </w:p>
    <w:p>
      <w:pPr>
        <w:ind w:right="320" w:firstLine="860"/>
        <w:spacing w:after="0" w:line="266" w:lineRule="auto"/>
        <w:tabs>
          <w:tab w:leader="none" w:pos="117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incur any indebtedness for borrowed money in excess of $1,000,000 in the aggregate, unless approved by the Board of Directors, including the approval of a majority of the then-serving Preferred Directors;</w:t>
      </w:r>
    </w:p>
    <w:p>
      <w:pPr>
        <w:spacing w:after="0" w:line="158" w:lineRule="exact"/>
        <w:rPr>
          <w:rFonts w:ascii="Arial" w:cs="Arial" w:eastAsia="Arial" w:hAnsi="Arial"/>
          <w:sz w:val="16"/>
          <w:szCs w:val="16"/>
          <w:color w:val="auto"/>
        </w:rPr>
      </w:pPr>
    </w:p>
    <w:p>
      <w:pPr>
        <w:ind w:right="280" w:firstLine="860"/>
        <w:spacing w:after="0" w:line="256" w:lineRule="auto"/>
        <w:tabs>
          <w:tab w:leader="none" w:pos="117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acquire, or permit any subsidiary to acquire, by merger, purchase of stock or assets, any other business combination transaction or otherwise, any assets or equity interests of any person or entity for consideration in excess of $1,000,000, other than investments pursuant to an investment policy approved by the Board of Directors;</w:t>
      </w:r>
    </w:p>
    <w:p>
      <w:pPr>
        <w:spacing w:after="0" w:line="165" w:lineRule="exact"/>
        <w:rPr>
          <w:rFonts w:ascii="Arial" w:cs="Arial" w:eastAsia="Arial" w:hAnsi="Arial"/>
          <w:sz w:val="16"/>
          <w:szCs w:val="16"/>
          <w:color w:val="auto"/>
        </w:rPr>
      </w:pPr>
    </w:p>
    <w:p>
      <w:pPr>
        <w:ind w:right="60" w:firstLine="860"/>
        <w:spacing w:after="0" w:line="300" w:lineRule="auto"/>
        <w:tabs>
          <w:tab w:leader="none" w:pos="1206"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increase the number of shares authorized for issuance under any existing stock or option plan or create any new stock or option plan, unless approved by the Board of Directors, including the approval of a majority of the then-serving Preferred Directors;</w:t>
      </w:r>
    </w:p>
    <w:p>
      <w:pPr>
        <w:spacing w:after="0" w:line="134" w:lineRule="exact"/>
        <w:rPr>
          <w:rFonts w:ascii="Arial" w:cs="Arial" w:eastAsia="Arial" w:hAnsi="Arial"/>
          <w:sz w:val="15"/>
          <w:szCs w:val="15"/>
          <w:color w:val="auto"/>
        </w:rPr>
      </w:pPr>
    </w:p>
    <w:p>
      <w:pPr>
        <w:ind w:right="20" w:firstLine="860"/>
        <w:spacing w:after="0" w:line="250" w:lineRule="auto"/>
        <w:tabs>
          <w:tab w:leader="none" w:pos="117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authorize the redemption of any capital stock of the Corporation other than (i) repurchases of Common Stock issued to or held by employees, directors or consultants of the Corporation upon termination of their employment or services pursuant to agreements providing for the right of said repurchase, approved by the Board of Directors, including the approval of a majority of the then-serving Preferred Directors, and (ii) repurchases of Common Stock issued to or held by employees, officers, directors or consultants of the Corporation pursuant to rights of first refusal contained in agreements providing for such rights, approved by the Board of Directors, including the approval of a majority of the then-serving Preferred Directors;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600"/>
          </w:cols>
          <w:pgMar w:left="1140" w:top="256" w:right="1159" w:bottom="1440" w:gutter="0" w:footer="0" w:header="0"/>
        </w:sectPr>
      </w:pPr>
    </w:p>
    <w:bookmarkStart w:id="330" w:name="page331"/>
    <w:bookmarkEnd w:id="330"/>
    <w:p>
      <w:pPr>
        <w:ind w:left="1246" w:hanging="380"/>
        <w:spacing w:after="0"/>
        <w:tabs>
          <w:tab w:leader="none" w:pos="1246" w:val="left"/>
        </w:tabs>
        <w:numPr>
          <w:ilvl w:val="2"/>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amend this Section 6.</w:t>
      </w:r>
    </w:p>
    <w:p>
      <w:pPr>
        <w:spacing w:after="0" w:line="189" w:lineRule="exact"/>
        <w:rPr>
          <w:rFonts w:ascii="Arial" w:cs="Arial" w:eastAsia="Arial" w:hAnsi="Arial"/>
          <w:sz w:val="16"/>
          <w:szCs w:val="16"/>
          <w:color w:val="auto"/>
        </w:rPr>
      </w:pPr>
    </w:p>
    <w:p>
      <w:pPr>
        <w:jc w:val="both"/>
        <w:ind w:left="6" w:right="20" w:firstLine="378"/>
        <w:spacing w:after="0" w:line="346" w:lineRule="auto"/>
        <w:tabs>
          <w:tab w:leader="none" w:pos="862" w:val="left"/>
        </w:tabs>
        <w:numPr>
          <w:ilvl w:val="1"/>
          <w:numId w:val="191"/>
        </w:numPr>
        <w:rPr>
          <w:rFonts w:ascii="Arial" w:cs="Arial" w:eastAsia="Arial" w:hAnsi="Arial"/>
          <w:sz w:val="13"/>
          <w:szCs w:val="13"/>
          <w:b w:val="1"/>
          <w:bCs w:val="1"/>
          <w:color w:val="auto"/>
        </w:rPr>
      </w:pPr>
      <w:r>
        <w:rPr>
          <w:rFonts w:ascii="Arial" w:cs="Arial" w:eastAsia="Arial" w:hAnsi="Arial"/>
          <w:sz w:val="13"/>
          <w:szCs w:val="13"/>
          <w:b w:val="1"/>
          <w:bCs w:val="1"/>
          <w:color w:val="auto"/>
        </w:rPr>
        <w:t>Series B Protective Provisions</w:t>
      </w:r>
      <w:r>
        <w:rPr>
          <w:rFonts w:ascii="Arial" w:cs="Arial" w:eastAsia="Arial" w:hAnsi="Arial"/>
          <w:sz w:val="13"/>
          <w:szCs w:val="13"/>
          <w:color w:val="auto"/>
        </w:rPr>
        <w:t>. As long as any shares of Series B Preferred Stock are issued and outstanding, the Corporation shall not</w:t>
      </w:r>
      <w:r>
        <w:rPr>
          <w:rFonts w:ascii="Arial" w:cs="Arial" w:eastAsia="Arial" w:hAnsi="Arial"/>
          <w:sz w:val="13"/>
          <w:szCs w:val="13"/>
          <w:b w:val="1"/>
          <w:bCs w:val="1"/>
          <w:color w:val="auto"/>
        </w:rPr>
        <w:t xml:space="preserve"> </w:t>
      </w:r>
      <w:r>
        <w:rPr>
          <w:rFonts w:ascii="Arial" w:cs="Arial" w:eastAsia="Arial" w:hAnsi="Arial"/>
          <w:sz w:val="13"/>
          <w:szCs w:val="13"/>
          <w:color w:val="auto"/>
        </w:rPr>
        <w:t>(whether by amendment to this Certificate of Incorporation, by merger or consolidation, or otherwise), without first obtaining the approval (by vote or written consent as provided by law) of the holders of a majority of the outstanding shares of Series B Preferred Stock voting as a separate series:</w:t>
      </w:r>
    </w:p>
    <w:p>
      <w:pPr>
        <w:spacing w:after="0" w:line="111" w:lineRule="exact"/>
        <w:rPr>
          <w:rFonts w:ascii="Arial" w:cs="Arial" w:eastAsia="Arial" w:hAnsi="Arial"/>
          <w:sz w:val="13"/>
          <w:szCs w:val="13"/>
          <w:b w:val="1"/>
          <w:bCs w:val="1"/>
          <w:color w:val="auto"/>
        </w:rPr>
      </w:pPr>
    </w:p>
    <w:p>
      <w:pPr>
        <w:ind w:left="6" w:firstLine="860"/>
        <w:spacing w:after="0" w:line="281" w:lineRule="auto"/>
        <w:tabs>
          <w:tab w:leader="none" w:pos="1203" w:val="left"/>
        </w:tabs>
        <w:numPr>
          <w:ilvl w:val="2"/>
          <w:numId w:val="191"/>
        </w:numPr>
        <w:rPr>
          <w:rFonts w:ascii="Arial" w:cs="Arial" w:eastAsia="Arial" w:hAnsi="Arial"/>
          <w:sz w:val="15"/>
          <w:szCs w:val="15"/>
          <w:color w:val="auto"/>
        </w:rPr>
      </w:pPr>
      <w:r>
        <w:rPr>
          <w:rFonts w:ascii="Arial" w:cs="Arial" w:eastAsia="Arial" w:hAnsi="Arial"/>
          <w:sz w:val="15"/>
          <w:szCs w:val="15"/>
          <w:color w:val="auto"/>
        </w:rPr>
        <w:t>take any action that would adversely alter the rights, preferences, privileges or powers of, or restrictions provided for the benefit of, or the obligations in respect of, the Series B Preferred Stock but shall not so affect the entire class of Preferred Stock (provided that, for clarity, the creation or issuance of a new series of senior Preferred Stock shall not, in and of itself, trigger this Section 7(a));</w:t>
      </w:r>
    </w:p>
    <w:p>
      <w:pPr>
        <w:spacing w:after="0" w:line="148" w:lineRule="exact"/>
        <w:rPr>
          <w:rFonts w:ascii="Arial" w:cs="Arial" w:eastAsia="Arial" w:hAnsi="Arial"/>
          <w:sz w:val="15"/>
          <w:szCs w:val="15"/>
          <w:color w:val="auto"/>
        </w:rPr>
      </w:pPr>
    </w:p>
    <w:p>
      <w:pPr>
        <w:ind w:left="6" w:right="40" w:firstLine="860"/>
        <w:spacing w:after="0" w:line="266" w:lineRule="auto"/>
        <w:tabs>
          <w:tab w:leader="none" w:pos="1212" w:val="left"/>
        </w:tabs>
        <w:numPr>
          <w:ilvl w:val="2"/>
          <w:numId w:val="191"/>
        </w:numPr>
        <w:rPr>
          <w:rFonts w:ascii="Arial" w:cs="Arial" w:eastAsia="Arial" w:hAnsi="Arial"/>
          <w:sz w:val="16"/>
          <w:szCs w:val="16"/>
          <w:color w:val="auto"/>
        </w:rPr>
      </w:pPr>
      <w:r>
        <w:rPr>
          <w:rFonts w:ascii="Arial" w:cs="Arial" w:eastAsia="Arial" w:hAnsi="Arial"/>
          <w:sz w:val="16"/>
          <w:szCs w:val="16"/>
          <w:color w:val="auto"/>
        </w:rPr>
        <w:t>increase or decrease (other than for decreases resulting from conversion of the Preferred Stock) the authorized number of shares of Series B Preferred Stock;</w:t>
      </w:r>
    </w:p>
    <w:p>
      <w:pPr>
        <w:spacing w:after="0" w:line="158" w:lineRule="exact"/>
        <w:rPr>
          <w:rFonts w:ascii="Arial" w:cs="Arial" w:eastAsia="Arial" w:hAnsi="Arial"/>
          <w:sz w:val="16"/>
          <w:szCs w:val="16"/>
          <w:color w:val="auto"/>
        </w:rPr>
      </w:pPr>
    </w:p>
    <w:p>
      <w:pPr>
        <w:ind w:left="1206" w:hanging="340"/>
        <w:spacing w:after="0"/>
        <w:tabs>
          <w:tab w:leader="none" w:pos="1206" w:val="left"/>
        </w:tabs>
        <w:numPr>
          <w:ilvl w:val="2"/>
          <w:numId w:val="191"/>
        </w:numPr>
        <w:rPr>
          <w:rFonts w:ascii="Arial" w:cs="Arial" w:eastAsia="Arial" w:hAnsi="Arial"/>
          <w:sz w:val="13"/>
          <w:szCs w:val="13"/>
          <w:color w:val="auto"/>
        </w:rPr>
      </w:pPr>
      <w:r>
        <w:rPr>
          <w:rFonts w:ascii="Arial" w:cs="Arial" w:eastAsia="Arial" w:hAnsi="Arial"/>
          <w:sz w:val="13"/>
          <w:szCs w:val="13"/>
          <w:color w:val="auto"/>
        </w:rPr>
        <w:t>require (i) the conversion of Series B Preferred Stock held by a holder into Common Stock or another class or series of stock or</w:t>
      </w:r>
    </w:p>
    <w:p>
      <w:pPr>
        <w:spacing w:after="0" w:line="50" w:lineRule="exact"/>
        <w:rPr>
          <w:rFonts w:ascii="Arial" w:cs="Arial" w:eastAsia="Arial" w:hAnsi="Arial"/>
          <w:sz w:val="13"/>
          <w:szCs w:val="13"/>
          <w:color w:val="auto"/>
        </w:rPr>
      </w:pPr>
    </w:p>
    <w:p>
      <w:pPr>
        <w:ind w:left="6" w:hanging="6"/>
        <w:spacing w:after="0" w:line="302" w:lineRule="auto"/>
        <w:tabs>
          <w:tab w:leader="none" w:pos="237"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termination or waiver of any rights of a holder with respect to such holder’s shares of Series B Preferred Stock; in each case as a result of such holder’s failure to purchase securities or other instruments of the Corporation sold by the Corporation in a transaction or series of transactions undertaken principally for the purpose of raising capital pursuant to the terms of the agreement(s) under which such securities or other instruments are issued and sold (provided that, for clarity, the automatic conversion of shares of Preferred Stock into shares of Common Stock pursuant to clause (i) or</w:t>
      </w:r>
    </w:p>
    <w:p>
      <w:pPr>
        <w:spacing w:after="0" w:line="2" w:lineRule="exact"/>
        <w:rPr>
          <w:rFonts w:ascii="Arial" w:cs="Arial" w:eastAsia="Arial" w:hAnsi="Arial"/>
          <w:sz w:val="13"/>
          <w:szCs w:val="13"/>
          <w:color w:val="auto"/>
        </w:rPr>
      </w:pPr>
    </w:p>
    <w:p>
      <w:pPr>
        <w:ind w:left="226" w:hanging="226"/>
        <w:spacing w:after="0"/>
        <w:tabs>
          <w:tab w:leader="none" w:pos="22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of Section 4(b) shall not, in and of itself, trigger this Section 7(c)); or</w:t>
      </w:r>
    </w:p>
    <w:p>
      <w:pPr>
        <w:spacing w:after="0" w:line="181" w:lineRule="exact"/>
        <w:rPr>
          <w:rFonts w:ascii="Arial" w:cs="Arial" w:eastAsia="Arial" w:hAnsi="Arial"/>
          <w:sz w:val="16"/>
          <w:szCs w:val="16"/>
          <w:color w:val="auto"/>
        </w:rPr>
      </w:pPr>
    </w:p>
    <w:p>
      <w:pPr>
        <w:ind w:left="1206" w:hanging="340"/>
        <w:spacing w:after="0"/>
        <w:tabs>
          <w:tab w:leader="none" w:pos="1206" w:val="left"/>
        </w:tabs>
        <w:numPr>
          <w:ilvl w:val="2"/>
          <w:numId w:val="193"/>
        </w:numPr>
        <w:rPr>
          <w:rFonts w:ascii="Arial" w:cs="Arial" w:eastAsia="Arial" w:hAnsi="Arial"/>
          <w:sz w:val="16"/>
          <w:szCs w:val="16"/>
          <w:color w:val="auto"/>
        </w:rPr>
      </w:pPr>
      <w:r>
        <w:rPr>
          <w:rFonts w:ascii="Arial" w:cs="Arial" w:eastAsia="Arial" w:hAnsi="Arial"/>
          <w:sz w:val="16"/>
          <w:szCs w:val="16"/>
          <w:color w:val="auto"/>
        </w:rPr>
        <w:t>amend this Section 7.</w:t>
      </w:r>
    </w:p>
    <w:p>
      <w:pPr>
        <w:spacing w:after="0" w:line="189" w:lineRule="exact"/>
        <w:rPr>
          <w:rFonts w:ascii="Arial" w:cs="Arial" w:eastAsia="Arial" w:hAnsi="Arial"/>
          <w:sz w:val="16"/>
          <w:szCs w:val="16"/>
          <w:color w:val="auto"/>
        </w:rPr>
      </w:pPr>
    </w:p>
    <w:p>
      <w:pPr>
        <w:jc w:val="both"/>
        <w:ind w:left="6" w:right="20" w:firstLine="378"/>
        <w:spacing w:after="0" w:line="346" w:lineRule="auto"/>
        <w:tabs>
          <w:tab w:leader="none" w:pos="862" w:val="left"/>
        </w:tabs>
        <w:numPr>
          <w:ilvl w:val="1"/>
          <w:numId w:val="193"/>
        </w:numPr>
        <w:rPr>
          <w:rFonts w:ascii="Arial" w:cs="Arial" w:eastAsia="Arial" w:hAnsi="Arial"/>
          <w:sz w:val="13"/>
          <w:szCs w:val="13"/>
          <w:b w:val="1"/>
          <w:bCs w:val="1"/>
          <w:color w:val="auto"/>
        </w:rPr>
      </w:pPr>
      <w:r>
        <w:rPr>
          <w:rFonts w:ascii="Arial" w:cs="Arial" w:eastAsia="Arial" w:hAnsi="Arial"/>
          <w:sz w:val="13"/>
          <w:szCs w:val="13"/>
          <w:b w:val="1"/>
          <w:bCs w:val="1"/>
          <w:color w:val="auto"/>
        </w:rPr>
        <w:t>Series C Protective Provisions</w:t>
      </w:r>
      <w:r>
        <w:rPr>
          <w:rFonts w:ascii="Arial" w:cs="Arial" w:eastAsia="Arial" w:hAnsi="Arial"/>
          <w:sz w:val="13"/>
          <w:szCs w:val="13"/>
          <w:color w:val="auto"/>
        </w:rPr>
        <w:t>. As long as any shares of Series C Preferred Stock are issued and outstanding, the Corporation shall not</w:t>
      </w:r>
      <w:r>
        <w:rPr>
          <w:rFonts w:ascii="Arial" w:cs="Arial" w:eastAsia="Arial" w:hAnsi="Arial"/>
          <w:sz w:val="13"/>
          <w:szCs w:val="13"/>
          <w:b w:val="1"/>
          <w:bCs w:val="1"/>
          <w:color w:val="auto"/>
        </w:rPr>
        <w:t xml:space="preserve"> </w:t>
      </w:r>
      <w:r>
        <w:rPr>
          <w:rFonts w:ascii="Arial" w:cs="Arial" w:eastAsia="Arial" w:hAnsi="Arial"/>
          <w:sz w:val="13"/>
          <w:szCs w:val="13"/>
          <w:color w:val="auto"/>
        </w:rPr>
        <w:t>(whether by amendment to this Certificate of Incorporation, by merger or consolidation, or otherwise), without first obtaining the approval (by vote or written consent as provided by law) of the holders of a majority of the outstanding shares of Series C Preferred Stock voting as a separate series:</w:t>
      </w:r>
    </w:p>
    <w:p>
      <w:pPr>
        <w:spacing w:after="0" w:line="111" w:lineRule="exact"/>
        <w:rPr>
          <w:rFonts w:ascii="Arial" w:cs="Arial" w:eastAsia="Arial" w:hAnsi="Arial"/>
          <w:sz w:val="13"/>
          <w:szCs w:val="13"/>
          <w:b w:val="1"/>
          <w:bCs w:val="1"/>
          <w:color w:val="auto"/>
        </w:rPr>
      </w:pPr>
    </w:p>
    <w:p>
      <w:pPr>
        <w:ind w:left="6" w:firstLine="860"/>
        <w:spacing w:after="0" w:line="281" w:lineRule="auto"/>
        <w:tabs>
          <w:tab w:leader="none" w:pos="1203" w:val="left"/>
        </w:tabs>
        <w:numPr>
          <w:ilvl w:val="2"/>
          <w:numId w:val="194"/>
        </w:numPr>
        <w:rPr>
          <w:rFonts w:ascii="Arial" w:cs="Arial" w:eastAsia="Arial" w:hAnsi="Arial"/>
          <w:sz w:val="15"/>
          <w:szCs w:val="15"/>
          <w:color w:val="auto"/>
        </w:rPr>
      </w:pPr>
      <w:r>
        <w:rPr>
          <w:rFonts w:ascii="Arial" w:cs="Arial" w:eastAsia="Arial" w:hAnsi="Arial"/>
          <w:sz w:val="15"/>
          <w:szCs w:val="15"/>
          <w:color w:val="auto"/>
        </w:rPr>
        <w:t>take any action that would adversely alter the rights, preferences, privileges or powers of, or restrictions provided for the benefit of, or the obligations in respect of, the Series C Preferred Stock but shall not so affect the entire class of Preferred Stock (provided that, for clarity, the creation or issuance of a new series of senior Preferred Stock shall not, in and of itself, trigger this Section 8(a));</w:t>
      </w:r>
    </w:p>
    <w:p>
      <w:pPr>
        <w:spacing w:after="0" w:line="148" w:lineRule="exact"/>
        <w:rPr>
          <w:rFonts w:ascii="Arial" w:cs="Arial" w:eastAsia="Arial" w:hAnsi="Arial"/>
          <w:sz w:val="15"/>
          <w:szCs w:val="15"/>
          <w:color w:val="auto"/>
        </w:rPr>
      </w:pPr>
    </w:p>
    <w:p>
      <w:pPr>
        <w:ind w:left="6" w:right="40" w:firstLine="860"/>
        <w:spacing w:after="0" w:line="266" w:lineRule="auto"/>
        <w:tabs>
          <w:tab w:leader="none" w:pos="1212" w:val="left"/>
        </w:tabs>
        <w:numPr>
          <w:ilvl w:val="2"/>
          <w:numId w:val="194"/>
        </w:numPr>
        <w:rPr>
          <w:rFonts w:ascii="Arial" w:cs="Arial" w:eastAsia="Arial" w:hAnsi="Arial"/>
          <w:sz w:val="16"/>
          <w:szCs w:val="16"/>
          <w:color w:val="auto"/>
        </w:rPr>
      </w:pPr>
      <w:r>
        <w:rPr>
          <w:rFonts w:ascii="Arial" w:cs="Arial" w:eastAsia="Arial" w:hAnsi="Arial"/>
          <w:sz w:val="16"/>
          <w:szCs w:val="16"/>
          <w:color w:val="auto"/>
        </w:rPr>
        <w:t>increase or decrease (other than for decreases resulting from conversion of the Preferred Stock) the authorized number of shares of Series C Preferred Stock;</w:t>
      </w:r>
    </w:p>
    <w:p>
      <w:pPr>
        <w:spacing w:after="0" w:line="158" w:lineRule="exact"/>
        <w:rPr>
          <w:rFonts w:ascii="Arial" w:cs="Arial" w:eastAsia="Arial" w:hAnsi="Arial"/>
          <w:sz w:val="16"/>
          <w:szCs w:val="16"/>
          <w:color w:val="auto"/>
        </w:rPr>
      </w:pPr>
    </w:p>
    <w:p>
      <w:pPr>
        <w:ind w:left="1206" w:hanging="340"/>
        <w:spacing w:after="0"/>
        <w:tabs>
          <w:tab w:leader="none" w:pos="1206" w:val="left"/>
        </w:tabs>
        <w:numPr>
          <w:ilvl w:val="2"/>
          <w:numId w:val="194"/>
        </w:numPr>
        <w:rPr>
          <w:rFonts w:ascii="Arial" w:cs="Arial" w:eastAsia="Arial" w:hAnsi="Arial"/>
          <w:sz w:val="13"/>
          <w:szCs w:val="13"/>
          <w:color w:val="auto"/>
        </w:rPr>
      </w:pPr>
      <w:r>
        <w:rPr>
          <w:rFonts w:ascii="Arial" w:cs="Arial" w:eastAsia="Arial" w:hAnsi="Arial"/>
          <w:sz w:val="13"/>
          <w:szCs w:val="13"/>
          <w:color w:val="auto"/>
        </w:rPr>
        <w:t>require (i) the conversion of Series C Preferred Stock held by a holder into Common Stock or another class or series of stock or</w:t>
      </w:r>
    </w:p>
    <w:p>
      <w:pPr>
        <w:spacing w:after="0" w:line="51" w:lineRule="exact"/>
        <w:rPr>
          <w:sz w:val="20"/>
          <w:szCs w:val="20"/>
          <w:color w:val="auto"/>
        </w:rPr>
      </w:pPr>
    </w:p>
    <w:p>
      <w:pPr>
        <w:ind w:left="6" w:hanging="6"/>
        <w:spacing w:after="0" w:line="302" w:lineRule="auto"/>
        <w:tabs>
          <w:tab w:leader="none" w:pos="237" w:val="left"/>
        </w:tabs>
        <w:numPr>
          <w:ilvl w:val="0"/>
          <w:numId w:val="195"/>
        </w:numPr>
        <w:rPr>
          <w:rFonts w:ascii="Arial" w:cs="Arial" w:eastAsia="Arial" w:hAnsi="Arial"/>
          <w:sz w:val="13"/>
          <w:szCs w:val="13"/>
          <w:color w:val="auto"/>
        </w:rPr>
      </w:pPr>
      <w:r>
        <w:rPr>
          <w:rFonts w:ascii="Arial" w:cs="Arial" w:eastAsia="Arial" w:hAnsi="Arial"/>
          <w:sz w:val="13"/>
          <w:szCs w:val="13"/>
          <w:color w:val="auto"/>
        </w:rPr>
        <w:t>termination or waiver of any rights of a holder with respect to such holder’s shares of Series C Preferred Stock; in each case as a result of such holder’s failure to purchase securities or other instruments of the Corporation sold by the Corporation in a transaction or series of transactions undertaken principally for the purpose of raising capital pursuant to the terms of the agreement(s) under which such securities or other instruments are issued and sold (provided that, for clarity, the automatic conversion of shares of Preferred Stock into shares of Common Stock pursuant to clause (i) or</w:t>
      </w:r>
    </w:p>
    <w:p>
      <w:pPr>
        <w:spacing w:after="0" w:line="2" w:lineRule="exact"/>
        <w:rPr>
          <w:rFonts w:ascii="Arial" w:cs="Arial" w:eastAsia="Arial" w:hAnsi="Arial"/>
          <w:sz w:val="13"/>
          <w:szCs w:val="13"/>
          <w:color w:val="auto"/>
        </w:rPr>
      </w:pPr>
    </w:p>
    <w:p>
      <w:pPr>
        <w:ind w:left="226" w:hanging="226"/>
        <w:spacing w:after="0"/>
        <w:tabs>
          <w:tab w:leader="none" w:pos="22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of Section 4(b) shall not, in and of itself, trigger this Section 8(c)); or</w:t>
      </w:r>
    </w:p>
    <w:p>
      <w:pPr>
        <w:spacing w:after="0" w:line="182" w:lineRule="exact"/>
        <w:rPr>
          <w:sz w:val="20"/>
          <w:szCs w:val="20"/>
          <w:color w:val="auto"/>
        </w:rPr>
      </w:pPr>
    </w:p>
    <w:p>
      <w:pPr>
        <w:ind w:left="1206" w:hanging="340"/>
        <w:spacing w:after="0"/>
        <w:tabs>
          <w:tab w:leader="none" w:pos="120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amend this Section 8.</w:t>
      </w:r>
    </w:p>
    <w:p>
      <w:pPr>
        <w:spacing w:after="0" w:line="134" w:lineRule="exact"/>
        <w:rPr>
          <w:sz w:val="20"/>
          <w:szCs w:val="20"/>
          <w:color w:val="auto"/>
        </w:rPr>
      </w:pPr>
    </w:p>
    <w:p>
      <w:pPr>
        <w:jc w:val="center"/>
        <w:ind w:right="-145"/>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466"/>
          </w:cols>
          <w:pgMar w:left="1134" w:top="257" w:right="1299" w:bottom="1440" w:gutter="0" w:footer="0" w:header="0"/>
        </w:sectPr>
      </w:pPr>
    </w:p>
    <w:bookmarkStart w:id="331" w:name="page332"/>
    <w:bookmarkEnd w:id="331"/>
    <w:p>
      <w:pPr>
        <w:ind w:right="380" w:firstLine="378"/>
        <w:spacing w:after="0" w:line="390" w:lineRule="auto"/>
        <w:tabs>
          <w:tab w:leader="none" w:pos="856" w:val="left"/>
        </w:tabs>
        <w:numPr>
          <w:ilvl w:val="0"/>
          <w:numId w:val="198"/>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Reissuance of Preferred Stock. </w:t>
      </w:r>
      <w:r>
        <w:rPr>
          <w:rFonts w:ascii="Arial" w:cs="Arial" w:eastAsia="Arial" w:hAnsi="Arial"/>
          <w:sz w:val="13"/>
          <w:szCs w:val="13"/>
          <w:color w:val="auto"/>
        </w:rPr>
        <w:t>In the event that any shares of Preferred Stock shall be converted pursuant to Section 4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repurchased by the Corporation, the shares so converted or repurchased shall be cancelled and shall not be issuable by this Corporation.</w:t>
      </w:r>
    </w:p>
    <w:p>
      <w:pPr>
        <w:spacing w:after="0" w:line="80" w:lineRule="exact"/>
        <w:rPr>
          <w:rFonts w:ascii="Arial" w:cs="Arial" w:eastAsia="Arial" w:hAnsi="Arial"/>
          <w:sz w:val="13"/>
          <w:szCs w:val="13"/>
          <w:b w:val="1"/>
          <w:bCs w:val="1"/>
          <w:color w:val="auto"/>
        </w:rPr>
      </w:pPr>
    </w:p>
    <w:p>
      <w:pPr>
        <w:ind w:right="120" w:firstLine="378"/>
        <w:spacing w:after="0" w:line="259" w:lineRule="auto"/>
        <w:tabs>
          <w:tab w:leader="none" w:pos="856"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by the provisions of this ARTICLE V to be given to the holders of Preferred Stock shall be deemed given if</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in the United States mail, postage prepaid, and addressed to each holder of record at such holder’s address appearing on the books of the Corporation.</w:t>
      </w:r>
    </w:p>
    <w:p>
      <w:pPr>
        <w:spacing w:after="0" w:line="158" w:lineRule="exact"/>
        <w:rPr>
          <w:rFonts w:ascii="Arial" w:cs="Arial" w:eastAsia="Arial" w:hAnsi="Arial"/>
          <w:sz w:val="16"/>
          <w:szCs w:val="16"/>
          <w:b w:val="1"/>
          <w:bCs w:val="1"/>
          <w:color w:val="auto"/>
        </w:rPr>
      </w:pPr>
    </w:p>
    <w:p>
      <w:pPr>
        <w:ind w:right="60" w:firstLine="378"/>
        <w:spacing w:after="0" w:line="252" w:lineRule="auto"/>
        <w:tabs>
          <w:tab w:leader="none" w:pos="847"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Construction. </w:t>
      </w:r>
      <w:r>
        <w:rPr>
          <w:rFonts w:ascii="Arial" w:cs="Arial" w:eastAsia="Arial" w:hAnsi="Arial"/>
          <w:sz w:val="16"/>
          <w:szCs w:val="16"/>
          <w:color w:val="auto"/>
        </w:rPr>
        <w:t>The word “including” shall mean including without limitation regardless of whether such words are included in some</w:t>
      </w:r>
      <w:r>
        <w:rPr>
          <w:rFonts w:ascii="Arial" w:cs="Arial" w:eastAsia="Arial" w:hAnsi="Arial"/>
          <w:sz w:val="16"/>
          <w:szCs w:val="16"/>
          <w:b w:val="1"/>
          <w:bCs w:val="1"/>
          <w:color w:val="auto"/>
        </w:rPr>
        <w:t xml:space="preserve"> </w:t>
      </w:r>
      <w:r>
        <w:rPr>
          <w:rFonts w:ascii="Arial" w:cs="Arial" w:eastAsia="Arial" w:hAnsi="Arial"/>
          <w:sz w:val="16"/>
          <w:szCs w:val="16"/>
          <w:color w:val="auto"/>
        </w:rPr>
        <w:t>contexts but not others. The words “herein,” “hereof,” “hereby,” “hereto,” “hereinafter,” and other words of similar import refer to this Certificate of Incorporation as a whole, and not to any particular article, section, subsection, paragraph, subparagraph or clause contained in this Certificate of Incorporation. The defined terms herein shall apply equally to both the singular and plural forms of such terms and “or” is used in the inclusive sense of “and/or”.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Corporation is to have perpetual existence.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Elections of directors need not be by written ballot unless the Bylaws of the Corporation shall so provide.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197" w:lineRule="exact"/>
        <w:rPr>
          <w:sz w:val="20"/>
          <w:szCs w:val="20"/>
          <w:color w:val="auto"/>
        </w:rPr>
      </w:pPr>
    </w:p>
    <w:p>
      <w:pPr>
        <w:ind w:right="20" w:firstLine="385"/>
        <w:spacing w:after="0" w:line="266" w:lineRule="auto"/>
        <w:rPr>
          <w:sz w:val="20"/>
          <w:szCs w:val="20"/>
          <w:color w:val="auto"/>
        </w:rPr>
      </w:pPr>
      <w:r>
        <w:rPr>
          <w:rFonts w:ascii="Arial" w:cs="Arial" w:eastAsia="Arial" w:hAnsi="Arial"/>
          <w:sz w:val="16"/>
          <w:szCs w:val="16"/>
          <w:color w:val="auto"/>
        </w:rPr>
        <w:t>Unless otherwise set forth herein, the number of directors that constitute the Board of Directors shall be fixed by, or in the manner provided in, the Bylaws of the Corporation.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197" w:lineRule="exact"/>
        <w:rPr>
          <w:sz w:val="20"/>
          <w:szCs w:val="20"/>
          <w:color w:val="auto"/>
        </w:rPr>
      </w:pPr>
    </w:p>
    <w:p>
      <w:pPr>
        <w:ind w:firstLine="385"/>
        <w:spacing w:after="0" w:line="266" w:lineRule="auto"/>
        <w:rPr>
          <w:sz w:val="20"/>
          <w:szCs w:val="20"/>
          <w:color w:val="auto"/>
        </w:rPr>
      </w:pPr>
      <w:r>
        <w:rPr>
          <w:rFonts w:ascii="Arial" w:cs="Arial" w:eastAsia="Arial" w:hAnsi="Arial"/>
          <w:sz w:val="16"/>
          <w:szCs w:val="16"/>
          <w:color w:val="auto"/>
        </w:rPr>
        <w:t>In furtherance and not in limitation of the powers conferred by statute, the Board of Directors is expressly authorized to adopt, amend or repeal the Bylaws of the Corporation.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197" w:lineRule="exact"/>
        <w:rPr>
          <w:sz w:val="20"/>
          <w:szCs w:val="20"/>
          <w:color w:val="auto"/>
        </w:rPr>
      </w:pPr>
    </w:p>
    <w:p>
      <w:pPr>
        <w:ind w:right="120" w:firstLine="378"/>
        <w:spacing w:after="0" w:line="251" w:lineRule="auto"/>
        <w:tabs>
          <w:tab w:leader="none" w:pos="853" w:val="left"/>
        </w:tabs>
        <w:numPr>
          <w:ilvl w:val="0"/>
          <w:numId w:val="199"/>
        </w:numPr>
        <w:rPr>
          <w:rFonts w:ascii="Arial" w:cs="Arial" w:eastAsia="Arial" w:hAnsi="Arial"/>
          <w:sz w:val="16"/>
          <w:szCs w:val="16"/>
          <w:b w:val="1"/>
          <w:bCs w:val="1"/>
          <w:color w:val="auto"/>
        </w:rPr>
      </w:pPr>
      <w:r>
        <w:rPr>
          <w:rFonts w:ascii="Arial" w:cs="Arial" w:eastAsia="Arial" w:hAnsi="Arial"/>
          <w:sz w:val="16"/>
          <w:szCs w:val="16"/>
          <w:color w:val="auto"/>
        </w:rPr>
        <w:t>To the fullest extent permitted by the Delaware General Corporation Law as the same exists or as may hereafter be amended from time to time, a director of the Corporation shall not be personally liable to the Corporation or its stockholders for monetary damages for a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69" w:lineRule="exact"/>
        <w:rPr>
          <w:rFonts w:ascii="Arial" w:cs="Arial" w:eastAsia="Arial" w:hAnsi="Arial"/>
          <w:sz w:val="16"/>
          <w:szCs w:val="16"/>
          <w:b w:val="1"/>
          <w:bCs w:val="1"/>
          <w:color w:val="auto"/>
        </w:rPr>
      </w:pPr>
    </w:p>
    <w:p>
      <w:pPr>
        <w:ind w:right="20" w:firstLine="378"/>
        <w:spacing w:after="0" w:line="268" w:lineRule="auto"/>
        <w:tabs>
          <w:tab w:leader="none" w:pos="853" w:val="left"/>
        </w:tabs>
        <w:numPr>
          <w:ilvl w:val="0"/>
          <w:numId w:val="199"/>
        </w:numPr>
        <w:rPr>
          <w:rFonts w:ascii="Arial" w:cs="Arial" w:eastAsia="Arial" w:hAnsi="Arial"/>
          <w:sz w:val="15"/>
          <w:szCs w:val="15"/>
          <w:b w:val="1"/>
          <w:bCs w:val="1"/>
          <w:color w:val="auto"/>
        </w:rPr>
      </w:pPr>
      <w:r>
        <w:rPr>
          <w:rFonts w:ascii="Arial" w:cs="Arial" w:eastAsia="Arial" w:hAnsi="Arial"/>
          <w:sz w:val="15"/>
          <w:szCs w:val="15"/>
          <w:color w:val="auto"/>
        </w:rPr>
        <w:t>The Corporation shall have the power to indemnify, to the fullest extent permitted by the Delaware General Corporation Law, as it presently exists or may hereafter be amended from time to time, any person who was or is a party or is threatened to be made a party to any threatened, pending or completed action, suit or proceeding, whether civil, criminal, administrative or investigative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600"/>
          </w:cols>
          <w:pgMar w:left="1140" w:top="252" w:right="1159" w:bottom="1440" w:gutter="0" w:footer="0" w:header="0"/>
        </w:sectPr>
      </w:pPr>
    </w:p>
    <w:bookmarkStart w:id="332" w:name="page333"/>
    <w:bookmarkEnd w:id="332"/>
    <w:p>
      <w:pPr>
        <w:jc w:val="both"/>
        <w:ind w:right="20" w:firstLine="378"/>
        <w:spacing w:after="0" w:line="343" w:lineRule="auto"/>
        <w:tabs>
          <w:tab w:leader="none" w:pos="856" w:val="left"/>
        </w:tabs>
        <w:numPr>
          <w:ilvl w:val="0"/>
          <w:numId w:val="200"/>
        </w:numPr>
        <w:rPr>
          <w:rFonts w:ascii="Arial" w:cs="Arial" w:eastAsia="Arial" w:hAnsi="Arial"/>
          <w:sz w:val="13"/>
          <w:szCs w:val="13"/>
          <w:b w:val="1"/>
          <w:bCs w:val="1"/>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Neither any amendment nor repeal of this ARTICLE X, nor the adoption of any provision of this Certificate of Incorporation inconsistent with this ARTICLE X, shall eliminate or reduce the effect of this ARTICLE X, in respect of any matter occurring, or any action or proceeding accruing or arising or that, but for this ARTICLE X, would accrue or arise, prior to such amendment, repeal or adoption of an inconsistent provision.</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ARTICLE XI</w:t>
      </w:r>
    </w:p>
    <w:p>
      <w:pPr>
        <w:spacing w:after="0" w:line="197" w:lineRule="exact"/>
        <w:rPr>
          <w:sz w:val="20"/>
          <w:szCs w:val="20"/>
          <w:color w:val="auto"/>
        </w:rPr>
      </w:pPr>
    </w:p>
    <w:p>
      <w:pPr>
        <w:jc w:val="both"/>
        <w:ind w:right="20" w:firstLine="385"/>
        <w:spacing w:after="0" w:line="256" w:lineRule="auto"/>
        <w:rPr>
          <w:sz w:val="20"/>
          <w:szCs w:val="20"/>
          <w:color w:val="auto"/>
        </w:rPr>
      </w:pPr>
      <w:r>
        <w:rPr>
          <w:rFonts w:ascii="Arial" w:cs="Arial" w:eastAsia="Arial" w:hAnsi="Arial"/>
          <w:sz w:val="16"/>
          <w:szCs w:val="16"/>
          <w:color w:val="auto"/>
        </w:rPr>
        <w:t>Meetings of stockholders may be held within or without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ARTICLE XII</w:t>
      </w:r>
    </w:p>
    <w:p>
      <w:pPr>
        <w:spacing w:after="0" w:line="197" w:lineRule="exact"/>
        <w:rPr>
          <w:sz w:val="20"/>
          <w:szCs w:val="20"/>
          <w:color w:val="auto"/>
        </w:rPr>
      </w:pPr>
    </w:p>
    <w:p>
      <w:pPr>
        <w:ind w:firstLine="385"/>
        <w:spacing w:after="0" w:line="250" w:lineRule="auto"/>
        <w:rPr>
          <w:sz w:val="20"/>
          <w:szCs w:val="20"/>
          <w:color w:val="auto"/>
        </w:rPr>
      </w:pPr>
      <w:r>
        <w:rPr>
          <w:rFonts w:ascii="Arial" w:cs="Arial" w:eastAsia="Arial" w:hAnsi="Arial"/>
          <w:sz w:val="16"/>
          <w:szCs w:val="16"/>
          <w:color w:val="auto"/>
        </w:rPr>
        <w:t>The Corporation renounces any interest or expectancy of the Corporation in, or in being offered an opportunity to participate in, any Excluded Opportunity. An “</w:t>
      </w:r>
      <w:r>
        <w:rPr>
          <w:rFonts w:ascii="Arial" w:cs="Arial" w:eastAsia="Arial" w:hAnsi="Arial"/>
          <w:sz w:val="16"/>
          <w:szCs w:val="16"/>
          <w:b w:val="1"/>
          <w:bCs w:val="1"/>
          <w:i w:val="1"/>
          <w:i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any stockholder or director of the Corporation who, in either case, is not an employee of the Corporation or any of its subsidiaries, (collectively, “</w:t>
      </w:r>
      <w:r>
        <w:rPr>
          <w:rFonts w:ascii="Arial" w:cs="Arial" w:eastAsia="Arial" w:hAnsi="Arial"/>
          <w:sz w:val="16"/>
          <w:szCs w:val="16"/>
          <w:b w:val="1"/>
          <w:bCs w:val="1"/>
          <w:i w:val="1"/>
          <w:iCs w:val="1"/>
          <w:color w:val="auto"/>
        </w:rPr>
        <w:t>Covered Persons</w:t>
      </w:r>
      <w:r>
        <w:rPr>
          <w:rFonts w:ascii="Arial" w:cs="Arial" w:eastAsia="Arial" w:hAnsi="Arial"/>
          <w:sz w:val="16"/>
          <w:szCs w:val="16"/>
          <w:color w:val="auto"/>
        </w:rPr>
        <w:t>”), unless in either case such matter, transaction or interest is presented to, or acquired, created or developed by, or otherwise comes into the possession of, a Covered Person expressly and solely in such Covered Person’s capacity as a director of the Corporation.</w:t>
      </w:r>
    </w:p>
    <w:p>
      <w:pPr>
        <w:spacing w:after="0" w:line="171" w:lineRule="exact"/>
        <w:rPr>
          <w:sz w:val="20"/>
          <w:szCs w:val="20"/>
          <w:color w:val="auto"/>
        </w:rPr>
      </w:pPr>
    </w:p>
    <w:p>
      <w:pPr>
        <w:ind w:left="4200"/>
        <w:spacing w:after="0"/>
        <w:tabs>
          <w:tab w:leader="none" w:pos="4720" w:val="left"/>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540"/>
          </w:cols>
          <w:pgMar w:left="1140" w:top="256" w:right="1219" w:bottom="1440" w:gutter="0" w:footer="0" w:header="0"/>
        </w:sectPr>
      </w:pPr>
    </w:p>
    <w:bookmarkStart w:id="333" w:name="page334"/>
    <w:bookmarkEnd w:id="333"/>
    <w:p>
      <w:pPr>
        <w:jc w:val="right"/>
        <w:spacing w:after="0"/>
        <w:rPr>
          <w:sz w:val="20"/>
          <w:szCs w:val="20"/>
          <w:color w:val="auto"/>
        </w:rPr>
      </w:pPr>
      <w:r>
        <w:rPr>
          <w:rFonts w:ascii="Arial" w:cs="Arial" w:eastAsia="Arial" w:hAnsi="Arial"/>
          <w:sz w:val="16"/>
          <w:szCs w:val="16"/>
          <w:b w:val="1"/>
          <w:bCs w:val="1"/>
          <w:color w:val="auto"/>
        </w:rPr>
        <w:t>Exhibit 3.2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Delaware corporation</w:t>
      </w:r>
    </w:p>
    <w:p>
      <w:pPr>
        <w:spacing w:after="0" w:line="193" w:lineRule="exact"/>
        <w:rPr>
          <w:sz w:val="20"/>
          <w:szCs w:val="20"/>
          <w:color w:val="auto"/>
        </w:rPr>
      </w:pPr>
    </w:p>
    <w:p>
      <w:pPr>
        <w:ind w:right="100" w:firstLine="385"/>
        <w:spacing w:after="0" w:line="272" w:lineRule="auto"/>
        <w:rPr>
          <w:sz w:val="20"/>
          <w:szCs w:val="20"/>
          <w:color w:val="auto"/>
        </w:rPr>
      </w:pPr>
      <w:r>
        <w:rPr>
          <w:rFonts w:ascii="Arial" w:cs="Arial" w:eastAsia="Arial" w:hAnsi="Arial"/>
          <w:sz w:val="16"/>
          <w:szCs w:val="16"/>
          <w:color w:val="auto"/>
        </w:rPr>
        <w:t>Tenaya Therapeutics, Inc., a corporation organized and existing under the laws of the State of Delaware (the “</w:t>
      </w:r>
      <w:r>
        <w:rPr>
          <w:rFonts w:ascii="Arial" w:cs="Arial" w:eastAsia="Arial" w:hAnsi="Arial"/>
          <w:sz w:val="16"/>
          <w:szCs w:val="16"/>
          <w:b w:val="1"/>
          <w:bCs w:val="1"/>
          <w:color w:val="auto"/>
        </w:rPr>
        <w:t>Company</w:t>
      </w:r>
      <w:r>
        <w:rPr>
          <w:rFonts w:ascii="Arial" w:cs="Arial" w:eastAsia="Arial" w:hAnsi="Arial"/>
          <w:sz w:val="16"/>
          <w:szCs w:val="16"/>
          <w:color w:val="auto"/>
        </w:rPr>
        <w:t>”), does hereby certify as follows: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The original Certificate of Incorporation of the Company was filed with the Secretary of State of the State of Delaware on August 18, 2016.</w:t>
      </w:r>
    </w:p>
    <w:p>
      <w:pPr>
        <w:spacing w:after="0" w:line="228" w:lineRule="exact"/>
        <w:rPr>
          <w:sz w:val="20"/>
          <w:szCs w:val="20"/>
          <w:color w:val="auto"/>
        </w:rPr>
      </w:pPr>
    </w:p>
    <w:p>
      <w:pPr>
        <w:ind w:right="20" w:firstLine="385"/>
        <w:spacing w:after="0" w:line="256" w:lineRule="auto"/>
        <w:rPr>
          <w:sz w:val="20"/>
          <w:szCs w:val="20"/>
          <w:color w:val="auto"/>
        </w:rPr>
      </w:pPr>
      <w:r>
        <w:rPr>
          <w:rFonts w:ascii="Arial" w:cs="Arial" w:eastAsia="Arial" w:hAnsi="Arial"/>
          <w:sz w:val="16"/>
          <w:szCs w:val="16"/>
          <w:color w:val="auto"/>
        </w:rPr>
        <w:t>B. This Amended and Restated Certificate of Incorporation was duly adopted in accordance with Sections 242 and 245 of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and has been duly approved by the written consent of the stockholders of the Company in accordance with Section 228 of the DGCL.</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 The text of the Amended and Restated Certificate of Incorporation is hereby amended and restated in its entirety to read as follows: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name of the Company is Tenaya Therapeutics, Inc.</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197" w:lineRule="exact"/>
        <w:rPr>
          <w:sz w:val="20"/>
          <w:szCs w:val="20"/>
          <w:color w:val="auto"/>
        </w:rPr>
      </w:pPr>
    </w:p>
    <w:p>
      <w:pPr>
        <w:ind w:right="80" w:firstLine="385"/>
        <w:spacing w:after="0" w:line="266" w:lineRule="auto"/>
        <w:rPr>
          <w:sz w:val="20"/>
          <w:szCs w:val="20"/>
          <w:color w:val="auto"/>
        </w:rPr>
      </w:pPr>
      <w:r>
        <w:rPr>
          <w:rFonts w:ascii="Arial" w:cs="Arial" w:eastAsia="Arial" w:hAnsi="Arial"/>
          <w:sz w:val="16"/>
          <w:szCs w:val="16"/>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197" w:lineRule="exact"/>
        <w:rPr>
          <w:sz w:val="20"/>
          <w:szCs w:val="20"/>
          <w:color w:val="auto"/>
        </w:rPr>
      </w:pPr>
    </w:p>
    <w:p>
      <w:pPr>
        <w:ind w:right="700" w:firstLine="385"/>
        <w:spacing w:after="0" w:line="266" w:lineRule="auto"/>
        <w:rPr>
          <w:sz w:val="20"/>
          <w:szCs w:val="20"/>
          <w:color w:val="auto"/>
        </w:rPr>
      </w:pPr>
      <w:r>
        <w:rPr>
          <w:rFonts w:ascii="Arial" w:cs="Arial" w:eastAsia="Arial" w:hAnsi="Arial"/>
          <w:sz w:val="16"/>
          <w:szCs w:val="16"/>
          <w:color w:val="auto"/>
        </w:rPr>
        <w:t>The nature of the business or purposes to be conducted or promoted by the Company is to engage in any lawful act or activity for which corporations may be organized under the DGCL.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197" w:lineRule="exact"/>
        <w:rPr>
          <w:sz w:val="20"/>
          <w:szCs w:val="20"/>
          <w:color w:val="auto"/>
        </w:rPr>
      </w:pPr>
    </w:p>
    <w:p>
      <w:pPr>
        <w:ind w:right="80" w:firstLine="385"/>
        <w:spacing w:after="0" w:line="281" w:lineRule="auto"/>
        <w:rPr>
          <w:sz w:val="20"/>
          <w:szCs w:val="20"/>
          <w:color w:val="auto"/>
        </w:rPr>
      </w:pPr>
      <w:r>
        <w:rPr>
          <w:rFonts w:ascii="Arial" w:cs="Arial" w:eastAsia="Arial" w:hAnsi="Arial"/>
          <w:sz w:val="15"/>
          <w:szCs w:val="15"/>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149" w:lineRule="exact"/>
        <w:rPr>
          <w:sz w:val="20"/>
          <w:szCs w:val="20"/>
          <w:color w:val="auto"/>
        </w:rPr>
      </w:pPr>
    </w:p>
    <w:p>
      <w:pPr>
        <w:ind w:right="140" w:firstLine="385"/>
        <w:spacing w:after="0" w:line="266" w:lineRule="auto"/>
        <w:rPr>
          <w:sz w:val="20"/>
          <w:szCs w:val="20"/>
          <w:color w:val="auto"/>
        </w:rPr>
      </w:pPr>
      <w:r>
        <w:rPr>
          <w:rFonts w:ascii="Arial" w:cs="Arial" w:eastAsia="Arial" w:hAnsi="Arial"/>
          <w:sz w:val="16"/>
          <w:szCs w:val="16"/>
          <w:color w:val="auto"/>
        </w:rPr>
        <w:t>Section 2. Each share of Common Stock outstanding as of the applicable record date shall entitle the holder thereof to one (1) vote on any matter submitted to a vote at a meeting of stockholders.</w:t>
      </w:r>
    </w:p>
    <w:p>
      <w:pPr>
        <w:spacing w:after="0" w:line="158" w:lineRule="exact"/>
        <w:rPr>
          <w:sz w:val="20"/>
          <w:szCs w:val="20"/>
          <w:color w:val="auto"/>
        </w:rPr>
      </w:pPr>
    </w:p>
    <w:p>
      <w:pPr>
        <w:ind w:right="180" w:firstLine="385"/>
        <w:spacing w:after="0" w:line="251" w:lineRule="auto"/>
        <w:rPr>
          <w:sz w:val="20"/>
          <w:szCs w:val="20"/>
          <w:color w:val="auto"/>
        </w:rPr>
      </w:pPr>
      <w:r>
        <w:rPr>
          <w:rFonts w:ascii="Arial" w:cs="Arial" w:eastAsia="Arial" w:hAnsi="Arial"/>
          <w:sz w:val="16"/>
          <w:szCs w:val="16"/>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w:t>
      </w:r>
    </w:p>
    <w:p>
      <w:pPr>
        <w:sectPr>
          <w:pgSz w:w="11900" w:h="16838" w:orient="portrait"/>
          <w:cols w:equalWidth="0" w:num="1">
            <w:col w:w="9620"/>
          </w:cols>
          <w:pgMar w:left="1140" w:top="122" w:right="1139" w:bottom="1440" w:gutter="0" w:footer="0" w:header="0"/>
        </w:sectPr>
      </w:pPr>
    </w:p>
    <w:bookmarkStart w:id="334" w:name="page335"/>
    <w:bookmarkEnd w:id="334"/>
    <w:p>
      <w:pPr>
        <w:ind w:right="20"/>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59" w:lineRule="exact"/>
        <w:rPr>
          <w:sz w:val="20"/>
          <w:szCs w:val="20"/>
          <w:color w:val="auto"/>
        </w:rPr>
      </w:pPr>
    </w:p>
    <w:p>
      <w:pPr>
        <w:ind w:firstLine="385"/>
        <w:spacing w:after="0" w:line="323" w:lineRule="auto"/>
        <w:rPr>
          <w:sz w:val="20"/>
          <w:szCs w:val="20"/>
          <w:color w:val="auto"/>
        </w:rPr>
      </w:pPr>
      <w:r>
        <w:rPr>
          <w:rFonts w:ascii="Arial" w:cs="Arial" w:eastAsia="Arial" w:hAnsi="Arial"/>
          <w:sz w:val="13"/>
          <w:szCs w:val="13"/>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26" w:lineRule="exact"/>
        <w:rPr>
          <w:sz w:val="20"/>
          <w:szCs w:val="20"/>
          <w:color w:val="auto"/>
        </w:rPr>
      </w:pPr>
    </w:p>
    <w:p>
      <w:pPr>
        <w:ind w:right="20" w:firstLine="385"/>
        <w:spacing w:after="0" w:line="323" w:lineRule="auto"/>
        <w:rPr>
          <w:sz w:val="20"/>
          <w:szCs w:val="20"/>
          <w:color w:val="auto"/>
        </w:rPr>
      </w:pPr>
      <w:r>
        <w:rPr>
          <w:rFonts w:ascii="Arial" w:cs="Arial" w:eastAsia="Arial" w:hAnsi="Arial"/>
          <w:sz w:val="13"/>
          <w:szCs w:val="13"/>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197" w:lineRule="exact"/>
        <w:rPr>
          <w:sz w:val="20"/>
          <w:szCs w:val="20"/>
          <w:color w:val="auto"/>
        </w:rPr>
      </w:pPr>
    </w:p>
    <w:p>
      <w:pPr>
        <w:ind w:firstLine="385"/>
        <w:spacing w:after="0" w:line="268" w:lineRule="auto"/>
        <w:rPr>
          <w:sz w:val="20"/>
          <w:szCs w:val="20"/>
          <w:color w:val="auto"/>
        </w:rPr>
      </w:pPr>
      <w:r>
        <w:rPr>
          <w:rFonts w:ascii="Arial" w:cs="Arial" w:eastAsia="Arial" w:hAnsi="Arial"/>
          <w:sz w:val="15"/>
          <w:szCs w:val="15"/>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Arial" w:cs="Arial" w:eastAsia="Arial" w:hAnsi="Arial"/>
          <w:sz w:val="15"/>
          <w:szCs w:val="15"/>
          <w:b w:val="1"/>
          <w:bCs w:val="1"/>
          <w:color w:val="auto"/>
        </w:rPr>
        <w:t>Whole Board</w:t>
      </w:r>
      <w:r>
        <w:rPr>
          <w:rFonts w:ascii="Arial" w:cs="Arial" w:eastAsia="Arial" w:hAnsi="Arial"/>
          <w:sz w:val="15"/>
          <w:szCs w:val="15"/>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61" w:lineRule="exact"/>
        <w:rPr>
          <w:sz w:val="20"/>
          <w:szCs w:val="20"/>
          <w:color w:val="auto"/>
        </w:rPr>
      </w:pPr>
    </w:p>
    <w:p>
      <w:pPr>
        <w:ind w:firstLine="385"/>
        <w:spacing w:after="0" w:line="270" w:lineRule="auto"/>
        <w:rPr>
          <w:sz w:val="20"/>
          <w:szCs w:val="20"/>
          <w:color w:val="auto"/>
        </w:rPr>
      </w:pPr>
      <w:r>
        <w:rPr>
          <w:rFonts w:ascii="Arial" w:cs="Arial" w:eastAsia="Arial" w:hAnsi="Arial"/>
          <w:sz w:val="15"/>
          <w:szCs w:val="15"/>
          <w:color w:val="auto"/>
        </w:rPr>
        <w:t>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9600"/>
          </w:cols>
          <w:pgMar w:left="1140" w:top="256" w:right="1159" w:bottom="1440" w:gutter="0" w:footer="0" w:header="0"/>
        </w:sectPr>
      </w:pPr>
    </w:p>
    <w:bookmarkStart w:id="335" w:name="page336"/>
    <w:bookmarkEnd w:id="335"/>
    <w:p>
      <w:pPr>
        <w:ind w:right="160"/>
        <w:spacing w:after="0" w:line="31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no decrease in the number of directors constituting the Board of Directors shall shorten the term of any incumbent director.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197" w:lineRule="exact"/>
        <w:rPr>
          <w:sz w:val="20"/>
          <w:szCs w:val="20"/>
          <w:color w:val="auto"/>
        </w:rPr>
      </w:pPr>
    </w:p>
    <w:p>
      <w:pPr>
        <w:ind w:firstLine="385"/>
        <w:spacing w:after="0" w:line="253" w:lineRule="auto"/>
        <w:rPr>
          <w:sz w:val="20"/>
          <w:szCs w:val="20"/>
          <w:color w:val="auto"/>
        </w:rPr>
      </w:pPr>
      <w:r>
        <w:rPr>
          <w:rFonts w:ascii="Arial" w:cs="Arial" w:eastAsia="Arial" w:hAnsi="Arial"/>
          <w:sz w:val="16"/>
          <w:szCs w:val="16"/>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spacing w:after="0" w:line="167" w:lineRule="exact"/>
        <w:rPr>
          <w:sz w:val="20"/>
          <w:szCs w:val="20"/>
          <w:color w:val="auto"/>
        </w:rPr>
      </w:pPr>
    </w:p>
    <w:p>
      <w:pPr>
        <w:ind w:firstLine="385"/>
        <w:spacing w:after="0" w:line="267" w:lineRule="auto"/>
        <w:rPr>
          <w:sz w:val="20"/>
          <w:szCs w:val="20"/>
          <w:color w:val="auto"/>
        </w:rPr>
      </w:pPr>
      <w:r>
        <w:rPr>
          <w:rFonts w:ascii="Arial" w:cs="Arial" w:eastAsia="Arial" w:hAnsi="Arial"/>
          <w:sz w:val="15"/>
          <w:szCs w:val="15"/>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Section 1. The Company is to have perpetual existence.</w:t>
      </w:r>
    </w:p>
    <w:p>
      <w:pPr>
        <w:spacing w:after="0" w:line="193" w:lineRule="exact"/>
        <w:rPr>
          <w:sz w:val="20"/>
          <w:szCs w:val="20"/>
          <w:color w:val="auto"/>
        </w:rPr>
      </w:pPr>
    </w:p>
    <w:p>
      <w:pPr>
        <w:jc w:val="both"/>
        <w:ind w:firstLine="385"/>
        <w:spacing w:after="0" w:line="343" w:lineRule="auto"/>
        <w:rPr>
          <w:sz w:val="20"/>
          <w:szCs w:val="20"/>
          <w:color w:val="auto"/>
        </w:rPr>
      </w:pPr>
      <w:r>
        <w:rPr>
          <w:rFonts w:ascii="Arial" w:cs="Arial" w:eastAsia="Arial" w:hAnsi="Arial"/>
          <w:sz w:val="13"/>
          <w:szCs w:val="13"/>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14" w:lineRule="exact"/>
        <w:rPr>
          <w:sz w:val="20"/>
          <w:szCs w:val="20"/>
          <w:color w:val="auto"/>
        </w:rPr>
      </w:pPr>
    </w:p>
    <w:p>
      <w:pPr>
        <w:ind w:right="40" w:firstLine="385"/>
        <w:spacing w:after="0" w:line="268" w:lineRule="auto"/>
        <w:rPr>
          <w:sz w:val="20"/>
          <w:szCs w:val="20"/>
          <w:color w:val="auto"/>
        </w:rPr>
      </w:pPr>
      <w:r>
        <w:rPr>
          <w:rFonts w:ascii="Arial" w:cs="Arial" w:eastAsia="Arial" w:hAnsi="Arial"/>
          <w:sz w:val="15"/>
          <w:szCs w:val="15"/>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9600"/>
          </w:cols>
          <w:pgMar w:left="1140" w:top="256" w:right="1159" w:bottom="1440" w:gutter="0" w:footer="0" w:header="0"/>
        </w:sectPr>
      </w:pPr>
    </w:p>
    <w:bookmarkStart w:id="336" w:name="page337"/>
    <w:bookmarkEnd w:id="336"/>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Section 4. The election of directors need not be by written ballot unless the Bylaws of the Company shall so provide.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Section 5. No stockholder will be permitted to cumulate votes at any election of directors.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197" w:lineRule="exact"/>
        <w:rPr>
          <w:sz w:val="20"/>
          <w:szCs w:val="20"/>
          <w:color w:val="auto"/>
        </w:rPr>
      </w:pPr>
    </w:p>
    <w:p>
      <w:pPr>
        <w:ind w:right="100" w:firstLine="385"/>
        <w:spacing w:after="0" w:line="253" w:lineRule="auto"/>
        <w:rPr>
          <w:sz w:val="20"/>
          <w:szCs w:val="20"/>
          <w:color w:val="auto"/>
        </w:rPr>
      </w:pPr>
      <w:r>
        <w:rPr>
          <w:rFonts w:ascii="Arial" w:cs="Arial" w:eastAsia="Arial" w:hAnsi="Arial"/>
          <w:sz w:val="16"/>
          <w:szCs w:val="16"/>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67" w:lineRule="exact"/>
        <w:rPr>
          <w:sz w:val="20"/>
          <w:szCs w:val="20"/>
          <w:color w:val="auto"/>
        </w:rPr>
      </w:pPr>
    </w:p>
    <w:p>
      <w:pPr>
        <w:ind w:right="120" w:firstLine="385"/>
        <w:spacing w:after="0" w:line="251" w:lineRule="auto"/>
        <w:rPr>
          <w:sz w:val="20"/>
          <w:szCs w:val="20"/>
          <w:color w:val="auto"/>
        </w:rPr>
      </w:pPr>
      <w:r>
        <w:rPr>
          <w:rFonts w:ascii="Arial" w:cs="Arial" w:eastAsia="Arial" w:hAnsi="Arial"/>
          <w:sz w:val="16"/>
          <w:szCs w:val="16"/>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70" w:lineRule="exact"/>
        <w:rPr>
          <w:sz w:val="20"/>
          <w:szCs w:val="20"/>
          <w:color w:val="auto"/>
        </w:rPr>
      </w:pPr>
    </w:p>
    <w:p>
      <w:pPr>
        <w:ind w:right="440" w:firstLine="385"/>
        <w:spacing w:after="0" w:line="383" w:lineRule="auto"/>
        <w:rPr>
          <w:sz w:val="20"/>
          <w:szCs w:val="20"/>
          <w:color w:val="auto"/>
        </w:rPr>
      </w:pPr>
      <w:r>
        <w:rPr>
          <w:rFonts w:ascii="Arial" w:cs="Arial" w:eastAsia="Arial" w:hAnsi="Arial"/>
          <w:sz w:val="13"/>
          <w:szCs w:val="13"/>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197" w:lineRule="exact"/>
        <w:rPr>
          <w:sz w:val="20"/>
          <w:szCs w:val="20"/>
          <w:color w:val="auto"/>
        </w:rPr>
      </w:pPr>
    </w:p>
    <w:p>
      <w:pPr>
        <w:ind w:right="20" w:firstLine="385"/>
        <w:spacing w:after="0" w:line="253" w:lineRule="auto"/>
        <w:rPr>
          <w:sz w:val="20"/>
          <w:szCs w:val="20"/>
          <w:color w:val="auto"/>
        </w:rPr>
      </w:pPr>
      <w:r>
        <w:rPr>
          <w:rFonts w:ascii="Arial" w:cs="Arial" w:eastAsia="Arial" w:hAnsi="Arial"/>
          <w:sz w:val="16"/>
          <w:szCs w:val="16"/>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67" w:lineRule="exact"/>
        <w:rPr>
          <w:sz w:val="20"/>
          <w:szCs w:val="20"/>
          <w:color w:val="auto"/>
        </w:rPr>
      </w:pPr>
    </w:p>
    <w:p>
      <w:pPr>
        <w:ind w:firstLine="385"/>
        <w:spacing w:after="0" w:line="267" w:lineRule="auto"/>
        <w:rPr>
          <w:sz w:val="20"/>
          <w:szCs w:val="20"/>
          <w:color w:val="auto"/>
        </w:rPr>
      </w:pPr>
      <w:r>
        <w:rPr>
          <w:rFonts w:ascii="Arial" w:cs="Arial" w:eastAsia="Arial" w:hAnsi="Arial"/>
          <w:sz w:val="15"/>
          <w:szCs w:val="15"/>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Arial" w:cs="Arial" w:eastAsia="Arial" w:hAnsi="Arial"/>
          <w:sz w:val="15"/>
          <w:szCs w:val="15"/>
          <w:b w:val="1"/>
          <w:bCs w:val="1"/>
          <w:color w:val="auto"/>
        </w:rPr>
        <w:t>Proceeding</w:t>
      </w:r>
      <w:r>
        <w:rPr>
          <w:rFonts w:ascii="Arial" w:cs="Arial" w:eastAsia="Arial" w:hAnsi="Arial"/>
          <w:sz w:val="15"/>
          <w:szCs w:val="15"/>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9600"/>
          </w:cols>
          <w:pgMar w:left="1140" w:top="257" w:right="1159" w:bottom="1440" w:gutter="0" w:footer="0" w:header="0"/>
        </w:sectPr>
      </w:pPr>
    </w:p>
    <w:bookmarkStart w:id="337" w:name="page338"/>
    <w:bookmarkEnd w:id="337"/>
    <w:p>
      <w:pPr>
        <w:ind w:firstLine="385"/>
        <w:spacing w:after="0" w:line="32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26" w:lineRule="exact"/>
        <w:rPr>
          <w:sz w:val="20"/>
          <w:szCs w:val="20"/>
          <w:color w:val="auto"/>
        </w:rPr>
      </w:pPr>
    </w:p>
    <w:p>
      <w:pPr>
        <w:ind w:right="80" w:firstLine="385"/>
        <w:spacing w:after="0" w:line="253" w:lineRule="auto"/>
        <w:rPr>
          <w:sz w:val="20"/>
          <w:szCs w:val="20"/>
          <w:color w:val="auto"/>
        </w:rPr>
      </w:pPr>
      <w:r>
        <w:rPr>
          <w:rFonts w:ascii="Arial" w:cs="Arial" w:eastAsia="Arial" w:hAnsi="Arial"/>
          <w:sz w:val="16"/>
          <w:szCs w:val="16"/>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197" w:lineRule="exact"/>
        <w:rPr>
          <w:sz w:val="20"/>
          <w:szCs w:val="20"/>
          <w:color w:val="auto"/>
        </w:rPr>
      </w:pPr>
    </w:p>
    <w:p>
      <w:pPr>
        <w:ind w:right="100" w:firstLine="385"/>
        <w:spacing w:after="0" w:line="256" w:lineRule="auto"/>
        <w:rPr>
          <w:sz w:val="20"/>
          <w:szCs w:val="20"/>
          <w:color w:val="auto"/>
        </w:rPr>
      </w:pPr>
      <w:r>
        <w:rPr>
          <w:rFonts w:ascii="Arial" w:cs="Arial" w:eastAsia="Arial" w:hAnsi="Arial"/>
          <w:sz w:val="16"/>
          <w:szCs w:val="16"/>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w:t>
      </w:r>
    </w:p>
    <w:p>
      <w:pPr>
        <w:spacing w:after="0" w:line="197" w:lineRule="exact"/>
        <w:rPr>
          <w:sz w:val="20"/>
          <w:szCs w:val="20"/>
          <w:color w:val="auto"/>
        </w:rPr>
      </w:pPr>
    </w:p>
    <w:p>
      <w:pPr>
        <w:ind w:right="80" w:firstLine="385"/>
        <w:spacing w:after="0" w:line="267" w:lineRule="auto"/>
        <w:rPr>
          <w:sz w:val="20"/>
          <w:szCs w:val="20"/>
          <w:color w:val="auto"/>
        </w:rPr>
      </w:pPr>
      <w:r>
        <w:rPr>
          <w:rFonts w:ascii="Arial" w:cs="Arial" w:eastAsia="Arial" w:hAnsi="Arial"/>
          <w:sz w:val="15"/>
          <w:szCs w:val="15"/>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notwithstanding any other provision of this Amended and Restated Certificate of Incorporation or any provision of law that might</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ectPr>
          <w:pgSz w:w="11900" w:h="16838" w:orient="portrait"/>
          <w:cols w:equalWidth="0" w:num="1">
            <w:col w:w="9620"/>
          </w:cols>
          <w:pgMar w:left="1140" w:top="256" w:right="1139" w:bottom="1440" w:gutter="0" w:footer="0" w:header="0"/>
        </w:sectPr>
      </w:pPr>
    </w:p>
    <w:bookmarkStart w:id="338" w:name="page339"/>
    <w:bookmarkEnd w:id="338"/>
    <w:p>
      <w:pPr>
        <w:ind w:left="3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 WITNESS WHEREOF, Tenaya Therapeutics, Inc. has caused this Amended and Restated Certificate of Incorporation to be signed by the Chief</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0" w:type="dxa"/>
            <w:vAlign w:val="bottom"/>
          </w:tcPr>
          <w:p>
            <w:pPr>
              <w:spacing w:after="0"/>
              <w:rPr>
                <w:sz w:val="20"/>
                <w:szCs w:val="20"/>
                <w:color w:val="auto"/>
              </w:rPr>
            </w:pPr>
            <w:r>
              <w:rPr>
                <w:rFonts w:ascii="Arial" w:cs="Arial" w:eastAsia="Arial" w:hAnsi="Arial"/>
                <w:sz w:val="16"/>
                <w:szCs w:val="16"/>
                <w:color w:val="auto"/>
              </w:rPr>
              <w:t>Executive Officer of the Company on this   day of</w:t>
            </w:r>
          </w:p>
        </w:tc>
        <w:tc>
          <w:tcPr>
            <w:tcW w:w="680" w:type="dxa"/>
            <w:vAlign w:val="bottom"/>
          </w:tcPr>
          <w:p>
            <w:pPr>
              <w:jc w:val="right"/>
              <w:spacing w:after="0"/>
              <w:rPr>
                <w:sz w:val="20"/>
                <w:szCs w:val="20"/>
                <w:color w:val="auto"/>
              </w:rPr>
            </w:pPr>
            <w:r>
              <w:rPr>
                <w:rFonts w:ascii="Arial" w:cs="Arial" w:eastAsia="Arial" w:hAnsi="Arial"/>
                <w:sz w:val="16"/>
                <w:szCs w:val="16"/>
                <w:color w:val="auto"/>
              </w:rPr>
              <w:t>2021.</w:t>
            </w:r>
          </w:p>
        </w:tc>
      </w:tr>
    </w:tbl>
    <w:p>
      <w:pPr>
        <w:spacing w:after="0" w:line="18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10795</wp:posOffset>
            </wp:positionV>
            <wp:extent cx="223837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Faraz Ali</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Executive Officer</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9620"/>
          </w:cols>
          <w:pgMar w:left="1140" w:top="256" w:right="11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6"/>
          <w:szCs w:val="16"/>
          <w:b w:val="1"/>
          <w:bCs w:val="1"/>
          <w:color w:val="auto"/>
        </w:rPr>
        <w:t>Exhibit 3.3</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BYLAWS OF</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TENAYA THERAPEUTICS, INC.</w:t>
      </w: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Adopted August 18, 2016</w:t>
      </w:r>
    </w:p>
    <w:p>
      <w:pPr>
        <w:sectPr>
          <w:pgSz w:w="11900" w:h="16838" w:orient="portrait"/>
          <w:cols w:equalWidth="0" w:num="1">
            <w:col w:w="9320"/>
          </w:cols>
          <w:pgMar w:left="1440" w:top="122" w:right="113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6700" w:type="dxa"/>
            <w:vAlign w:val="bottom"/>
          </w:tcPr>
          <w:p>
            <w:pPr>
              <w:ind w:left="3180"/>
              <w:spacing w:after="0"/>
              <w:rPr>
                <w:sz w:val="20"/>
                <w:szCs w:val="20"/>
                <w:color w:val="auto"/>
              </w:rPr>
            </w:pPr>
            <w:r>
              <w:rPr>
                <w:rFonts w:ascii="Arial" w:cs="Arial" w:eastAsia="Arial" w:hAnsi="Arial"/>
                <w:sz w:val="16"/>
                <w:szCs w:val="16"/>
                <w:b w:val="1"/>
                <w:bCs w:val="1"/>
                <w:color w:val="auto"/>
              </w:rPr>
              <w:t>TABLE OF CONTENTS</w:t>
            </w:r>
          </w:p>
        </w:tc>
        <w:tc>
          <w:tcPr>
            <w:tcW w:w="2080" w:type="dxa"/>
            <w:vAlign w:val="bottom"/>
          </w:tcPr>
          <w:p>
            <w:pPr>
              <w:spacing w:after="0"/>
              <w:rPr>
                <w:sz w:val="17"/>
                <w:szCs w:val="17"/>
                <w:color w:val="auto"/>
              </w:rPr>
            </w:pPr>
          </w:p>
        </w:tc>
      </w:tr>
      <w:tr>
        <w:trPr>
          <w:trHeight w:val="414"/>
        </w:trPr>
        <w:tc>
          <w:tcPr>
            <w:tcW w:w="7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Page</w:t>
            </w:r>
          </w:p>
        </w:tc>
      </w:tr>
      <w:tr>
        <w:trPr>
          <w:trHeight w:val="269"/>
        </w:trPr>
        <w:tc>
          <w:tcPr>
            <w:tcW w:w="7480" w:type="dxa"/>
            <w:vAlign w:val="bottom"/>
            <w:gridSpan w:val="2"/>
          </w:tcPr>
          <w:p>
            <w:pPr>
              <w:spacing w:after="0"/>
              <w:rPr>
                <w:sz w:val="20"/>
                <w:szCs w:val="20"/>
                <w:color w:val="auto"/>
              </w:rPr>
            </w:pPr>
            <w:r>
              <w:rPr>
                <w:rFonts w:ascii="Arial" w:cs="Arial" w:eastAsia="Arial" w:hAnsi="Arial"/>
                <w:sz w:val="16"/>
                <w:szCs w:val="16"/>
                <w:color w:val="auto"/>
              </w:rPr>
              <w:t>ARTICLE I — MEETINGS OF STOCKHOLDERS</w:t>
            </w:r>
          </w:p>
        </w:tc>
        <w:tc>
          <w:tcPr>
            <w:tcW w:w="2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1.1</w:t>
            </w:r>
          </w:p>
        </w:tc>
        <w:tc>
          <w:tcPr>
            <w:tcW w:w="6700" w:type="dxa"/>
            <w:vAlign w:val="bottom"/>
          </w:tcPr>
          <w:p>
            <w:pPr>
              <w:ind w:left="200"/>
              <w:spacing w:after="0"/>
              <w:rPr>
                <w:sz w:val="20"/>
                <w:szCs w:val="20"/>
                <w:color w:val="auto"/>
              </w:rPr>
            </w:pPr>
            <w:r>
              <w:rPr>
                <w:rFonts w:ascii="Arial" w:cs="Arial" w:eastAsia="Arial" w:hAnsi="Arial"/>
                <w:sz w:val="16"/>
                <w:szCs w:val="16"/>
                <w:color w:val="auto"/>
              </w:rPr>
              <w:t>Place of Meetings</w:t>
            </w:r>
          </w:p>
        </w:tc>
        <w:tc>
          <w:tcPr>
            <w:tcW w:w="2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1.2</w:t>
            </w:r>
          </w:p>
        </w:tc>
        <w:tc>
          <w:tcPr>
            <w:tcW w:w="6700" w:type="dxa"/>
            <w:vAlign w:val="bottom"/>
          </w:tcPr>
          <w:p>
            <w:pPr>
              <w:ind w:left="200"/>
              <w:spacing w:after="0"/>
              <w:rPr>
                <w:sz w:val="20"/>
                <w:szCs w:val="20"/>
                <w:color w:val="auto"/>
              </w:rPr>
            </w:pPr>
            <w:r>
              <w:rPr>
                <w:rFonts w:ascii="Arial" w:cs="Arial" w:eastAsia="Arial" w:hAnsi="Arial"/>
                <w:sz w:val="16"/>
                <w:szCs w:val="16"/>
                <w:color w:val="auto"/>
              </w:rPr>
              <w:t>Annual Meeting</w:t>
            </w:r>
          </w:p>
        </w:tc>
        <w:tc>
          <w:tcPr>
            <w:tcW w:w="2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1.3</w:t>
            </w:r>
          </w:p>
        </w:tc>
        <w:tc>
          <w:tcPr>
            <w:tcW w:w="6700" w:type="dxa"/>
            <w:vAlign w:val="bottom"/>
          </w:tcPr>
          <w:p>
            <w:pPr>
              <w:ind w:left="200"/>
              <w:spacing w:after="0"/>
              <w:rPr>
                <w:sz w:val="20"/>
                <w:szCs w:val="20"/>
                <w:color w:val="auto"/>
              </w:rPr>
            </w:pPr>
            <w:r>
              <w:rPr>
                <w:rFonts w:ascii="Arial" w:cs="Arial" w:eastAsia="Arial" w:hAnsi="Arial"/>
                <w:sz w:val="16"/>
                <w:szCs w:val="16"/>
                <w:color w:val="auto"/>
              </w:rPr>
              <w:t>Special Meeting</w:t>
            </w:r>
          </w:p>
        </w:tc>
        <w:tc>
          <w:tcPr>
            <w:tcW w:w="2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1.4</w:t>
            </w:r>
          </w:p>
        </w:tc>
        <w:tc>
          <w:tcPr>
            <w:tcW w:w="6700" w:type="dxa"/>
            <w:vAlign w:val="bottom"/>
          </w:tcPr>
          <w:p>
            <w:pPr>
              <w:ind w:left="200"/>
              <w:spacing w:after="0"/>
              <w:rPr>
                <w:sz w:val="20"/>
                <w:szCs w:val="20"/>
                <w:color w:val="auto"/>
              </w:rPr>
            </w:pPr>
            <w:r>
              <w:rPr>
                <w:rFonts w:ascii="Arial" w:cs="Arial" w:eastAsia="Arial" w:hAnsi="Arial"/>
                <w:sz w:val="16"/>
                <w:szCs w:val="16"/>
                <w:color w:val="auto"/>
              </w:rPr>
              <w:t>Notice of Stockholders’ Meetings</w:t>
            </w:r>
          </w:p>
        </w:tc>
        <w:tc>
          <w:tcPr>
            <w:tcW w:w="2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1.5</w:t>
            </w:r>
          </w:p>
        </w:tc>
        <w:tc>
          <w:tcPr>
            <w:tcW w:w="6700" w:type="dxa"/>
            <w:vAlign w:val="bottom"/>
          </w:tcPr>
          <w:p>
            <w:pPr>
              <w:ind w:left="200"/>
              <w:spacing w:after="0"/>
              <w:rPr>
                <w:sz w:val="20"/>
                <w:szCs w:val="20"/>
                <w:color w:val="auto"/>
              </w:rPr>
            </w:pPr>
            <w:r>
              <w:rPr>
                <w:rFonts w:ascii="Arial" w:cs="Arial" w:eastAsia="Arial" w:hAnsi="Arial"/>
                <w:sz w:val="16"/>
                <w:szCs w:val="16"/>
                <w:color w:val="auto"/>
              </w:rPr>
              <w:t>Quorum</w:t>
            </w:r>
          </w:p>
        </w:tc>
        <w:tc>
          <w:tcPr>
            <w:tcW w:w="2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1.6</w:t>
            </w:r>
          </w:p>
        </w:tc>
        <w:tc>
          <w:tcPr>
            <w:tcW w:w="6700" w:type="dxa"/>
            <w:vAlign w:val="bottom"/>
          </w:tcPr>
          <w:p>
            <w:pPr>
              <w:ind w:left="200"/>
              <w:spacing w:after="0"/>
              <w:rPr>
                <w:sz w:val="20"/>
                <w:szCs w:val="20"/>
                <w:color w:val="auto"/>
              </w:rPr>
            </w:pPr>
            <w:r>
              <w:rPr>
                <w:rFonts w:ascii="Arial" w:cs="Arial" w:eastAsia="Arial" w:hAnsi="Arial"/>
                <w:sz w:val="16"/>
                <w:szCs w:val="16"/>
                <w:color w:val="auto"/>
              </w:rPr>
              <w:t>Adjourned Meeting; Notice</w:t>
            </w:r>
          </w:p>
        </w:tc>
        <w:tc>
          <w:tcPr>
            <w:tcW w:w="2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1.7</w:t>
            </w:r>
          </w:p>
        </w:tc>
        <w:tc>
          <w:tcPr>
            <w:tcW w:w="6700" w:type="dxa"/>
            <w:vAlign w:val="bottom"/>
          </w:tcPr>
          <w:p>
            <w:pPr>
              <w:ind w:left="200"/>
              <w:spacing w:after="0"/>
              <w:rPr>
                <w:sz w:val="20"/>
                <w:szCs w:val="20"/>
                <w:color w:val="auto"/>
              </w:rPr>
            </w:pPr>
            <w:r>
              <w:rPr>
                <w:rFonts w:ascii="Arial" w:cs="Arial" w:eastAsia="Arial" w:hAnsi="Arial"/>
                <w:sz w:val="16"/>
                <w:szCs w:val="16"/>
                <w:color w:val="auto"/>
              </w:rPr>
              <w:t>Conduct of Business</w:t>
            </w:r>
          </w:p>
        </w:tc>
        <w:tc>
          <w:tcPr>
            <w:tcW w:w="2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1.8</w:t>
            </w:r>
          </w:p>
        </w:tc>
        <w:tc>
          <w:tcPr>
            <w:tcW w:w="6700" w:type="dxa"/>
            <w:vAlign w:val="bottom"/>
          </w:tcPr>
          <w:p>
            <w:pPr>
              <w:ind w:left="200"/>
              <w:spacing w:after="0"/>
              <w:rPr>
                <w:sz w:val="20"/>
                <w:szCs w:val="20"/>
                <w:color w:val="auto"/>
              </w:rPr>
            </w:pPr>
            <w:r>
              <w:rPr>
                <w:rFonts w:ascii="Arial" w:cs="Arial" w:eastAsia="Arial" w:hAnsi="Arial"/>
                <w:sz w:val="16"/>
                <w:szCs w:val="16"/>
                <w:color w:val="auto"/>
              </w:rPr>
              <w:t>Voting</w:t>
            </w:r>
          </w:p>
        </w:tc>
        <w:tc>
          <w:tcPr>
            <w:tcW w:w="2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1.9</w:t>
            </w:r>
          </w:p>
        </w:tc>
        <w:tc>
          <w:tcPr>
            <w:tcW w:w="6700" w:type="dxa"/>
            <w:vAlign w:val="bottom"/>
          </w:tcPr>
          <w:p>
            <w:pPr>
              <w:ind w:left="200"/>
              <w:spacing w:after="0"/>
              <w:rPr>
                <w:sz w:val="20"/>
                <w:szCs w:val="20"/>
                <w:color w:val="auto"/>
              </w:rPr>
            </w:pPr>
            <w:r>
              <w:rPr>
                <w:rFonts w:ascii="Arial" w:cs="Arial" w:eastAsia="Arial" w:hAnsi="Arial"/>
                <w:sz w:val="16"/>
                <w:szCs w:val="16"/>
                <w:color w:val="auto"/>
              </w:rPr>
              <w:t>Stockholder Action by Written Consent Without a Meeting</w:t>
            </w:r>
          </w:p>
        </w:tc>
        <w:tc>
          <w:tcPr>
            <w:tcW w:w="2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1.10</w:t>
            </w:r>
          </w:p>
        </w:tc>
        <w:tc>
          <w:tcPr>
            <w:tcW w:w="6700" w:type="dxa"/>
            <w:vAlign w:val="bottom"/>
          </w:tcPr>
          <w:p>
            <w:pPr>
              <w:ind w:left="200"/>
              <w:spacing w:after="0"/>
              <w:rPr>
                <w:sz w:val="20"/>
                <w:szCs w:val="20"/>
                <w:color w:val="auto"/>
              </w:rPr>
            </w:pPr>
            <w:r>
              <w:rPr>
                <w:rFonts w:ascii="Arial" w:cs="Arial" w:eastAsia="Arial" w:hAnsi="Arial"/>
                <w:sz w:val="16"/>
                <w:szCs w:val="16"/>
                <w:color w:val="auto"/>
              </w:rPr>
              <w:t>Record Dates</w:t>
            </w:r>
          </w:p>
        </w:tc>
        <w:tc>
          <w:tcPr>
            <w:tcW w:w="2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1.11</w:t>
            </w:r>
          </w:p>
        </w:tc>
        <w:tc>
          <w:tcPr>
            <w:tcW w:w="6700" w:type="dxa"/>
            <w:vAlign w:val="bottom"/>
          </w:tcPr>
          <w:p>
            <w:pPr>
              <w:ind w:left="200"/>
              <w:spacing w:after="0"/>
              <w:rPr>
                <w:sz w:val="20"/>
                <w:szCs w:val="20"/>
                <w:color w:val="auto"/>
              </w:rPr>
            </w:pPr>
            <w:r>
              <w:rPr>
                <w:rFonts w:ascii="Arial" w:cs="Arial" w:eastAsia="Arial" w:hAnsi="Arial"/>
                <w:sz w:val="16"/>
                <w:szCs w:val="16"/>
                <w:color w:val="auto"/>
              </w:rPr>
              <w:t>Proxies</w:t>
            </w:r>
          </w:p>
        </w:tc>
        <w:tc>
          <w:tcPr>
            <w:tcW w:w="2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1.12</w:t>
            </w:r>
          </w:p>
        </w:tc>
        <w:tc>
          <w:tcPr>
            <w:tcW w:w="6700" w:type="dxa"/>
            <w:vAlign w:val="bottom"/>
          </w:tcPr>
          <w:p>
            <w:pPr>
              <w:ind w:left="200"/>
              <w:spacing w:after="0"/>
              <w:rPr>
                <w:sz w:val="20"/>
                <w:szCs w:val="20"/>
                <w:color w:val="auto"/>
              </w:rPr>
            </w:pPr>
            <w:r>
              <w:rPr>
                <w:rFonts w:ascii="Arial" w:cs="Arial" w:eastAsia="Arial" w:hAnsi="Arial"/>
                <w:sz w:val="16"/>
                <w:szCs w:val="16"/>
                <w:color w:val="auto"/>
              </w:rPr>
              <w:t>List of Stockholders Entitled to Vote</w:t>
            </w:r>
          </w:p>
        </w:tc>
        <w:tc>
          <w:tcPr>
            <w:tcW w:w="2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83"/>
        </w:trPr>
        <w:tc>
          <w:tcPr>
            <w:tcW w:w="7480" w:type="dxa"/>
            <w:vAlign w:val="bottom"/>
            <w:gridSpan w:val="2"/>
          </w:tcPr>
          <w:p>
            <w:pPr>
              <w:spacing w:after="0"/>
              <w:rPr>
                <w:sz w:val="20"/>
                <w:szCs w:val="20"/>
                <w:color w:val="auto"/>
              </w:rPr>
            </w:pPr>
            <w:r>
              <w:rPr>
                <w:rFonts w:ascii="Arial" w:cs="Arial" w:eastAsia="Arial" w:hAnsi="Arial"/>
                <w:sz w:val="16"/>
                <w:szCs w:val="16"/>
                <w:color w:val="auto"/>
              </w:rPr>
              <w:t>ARTICLE II — DIRECTORS</w:t>
            </w:r>
          </w:p>
        </w:tc>
        <w:tc>
          <w:tcPr>
            <w:tcW w:w="2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2.1</w:t>
            </w:r>
          </w:p>
        </w:tc>
        <w:tc>
          <w:tcPr>
            <w:tcW w:w="6700" w:type="dxa"/>
            <w:vAlign w:val="bottom"/>
          </w:tcPr>
          <w:p>
            <w:pPr>
              <w:ind w:left="200"/>
              <w:spacing w:after="0"/>
              <w:rPr>
                <w:sz w:val="20"/>
                <w:szCs w:val="20"/>
                <w:color w:val="auto"/>
              </w:rPr>
            </w:pPr>
            <w:r>
              <w:rPr>
                <w:rFonts w:ascii="Arial" w:cs="Arial" w:eastAsia="Arial" w:hAnsi="Arial"/>
                <w:sz w:val="16"/>
                <w:szCs w:val="16"/>
                <w:color w:val="auto"/>
              </w:rPr>
              <w:t>Powers</w:t>
            </w:r>
          </w:p>
        </w:tc>
        <w:tc>
          <w:tcPr>
            <w:tcW w:w="2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2.2</w:t>
            </w:r>
          </w:p>
        </w:tc>
        <w:tc>
          <w:tcPr>
            <w:tcW w:w="6700" w:type="dxa"/>
            <w:vAlign w:val="bottom"/>
          </w:tcPr>
          <w:p>
            <w:pPr>
              <w:ind w:left="200"/>
              <w:spacing w:after="0"/>
              <w:rPr>
                <w:sz w:val="20"/>
                <w:szCs w:val="20"/>
                <w:color w:val="auto"/>
              </w:rPr>
            </w:pPr>
            <w:r>
              <w:rPr>
                <w:rFonts w:ascii="Arial" w:cs="Arial" w:eastAsia="Arial" w:hAnsi="Arial"/>
                <w:sz w:val="16"/>
                <w:szCs w:val="16"/>
                <w:color w:val="auto"/>
              </w:rPr>
              <w:t>Number of Directors</w:t>
            </w:r>
          </w:p>
        </w:tc>
        <w:tc>
          <w:tcPr>
            <w:tcW w:w="2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2.3</w:t>
            </w:r>
          </w:p>
        </w:tc>
        <w:tc>
          <w:tcPr>
            <w:tcW w:w="6700" w:type="dxa"/>
            <w:vAlign w:val="bottom"/>
          </w:tcPr>
          <w:p>
            <w:pPr>
              <w:ind w:left="200"/>
              <w:spacing w:after="0"/>
              <w:rPr>
                <w:sz w:val="20"/>
                <w:szCs w:val="20"/>
                <w:color w:val="auto"/>
              </w:rPr>
            </w:pPr>
            <w:r>
              <w:rPr>
                <w:rFonts w:ascii="Arial" w:cs="Arial" w:eastAsia="Arial" w:hAnsi="Arial"/>
                <w:sz w:val="16"/>
                <w:szCs w:val="16"/>
                <w:color w:val="auto"/>
              </w:rPr>
              <w:t>Election, Qualification and Term of Office of Directors</w:t>
            </w:r>
          </w:p>
        </w:tc>
        <w:tc>
          <w:tcPr>
            <w:tcW w:w="2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2.4</w:t>
            </w:r>
          </w:p>
        </w:tc>
        <w:tc>
          <w:tcPr>
            <w:tcW w:w="6700" w:type="dxa"/>
            <w:vAlign w:val="bottom"/>
          </w:tcPr>
          <w:p>
            <w:pPr>
              <w:ind w:left="200"/>
              <w:spacing w:after="0"/>
              <w:rPr>
                <w:sz w:val="20"/>
                <w:szCs w:val="20"/>
                <w:color w:val="auto"/>
              </w:rPr>
            </w:pPr>
            <w:r>
              <w:rPr>
                <w:rFonts w:ascii="Arial" w:cs="Arial" w:eastAsia="Arial" w:hAnsi="Arial"/>
                <w:sz w:val="16"/>
                <w:szCs w:val="16"/>
                <w:color w:val="auto"/>
              </w:rPr>
              <w:t>Resignation and Vacancies</w:t>
            </w:r>
          </w:p>
        </w:tc>
        <w:tc>
          <w:tcPr>
            <w:tcW w:w="2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2.5</w:t>
            </w:r>
          </w:p>
        </w:tc>
        <w:tc>
          <w:tcPr>
            <w:tcW w:w="6700" w:type="dxa"/>
            <w:vAlign w:val="bottom"/>
          </w:tcPr>
          <w:p>
            <w:pPr>
              <w:ind w:left="200"/>
              <w:spacing w:after="0"/>
              <w:rPr>
                <w:sz w:val="20"/>
                <w:szCs w:val="20"/>
                <w:color w:val="auto"/>
              </w:rPr>
            </w:pPr>
            <w:r>
              <w:rPr>
                <w:rFonts w:ascii="Arial" w:cs="Arial" w:eastAsia="Arial" w:hAnsi="Arial"/>
                <w:sz w:val="16"/>
                <w:szCs w:val="16"/>
                <w:color w:val="auto"/>
              </w:rPr>
              <w:t>Place of Meetings; Meetings by Telephone</w:t>
            </w:r>
          </w:p>
        </w:tc>
        <w:tc>
          <w:tcPr>
            <w:tcW w:w="2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2.6</w:t>
            </w:r>
          </w:p>
        </w:tc>
        <w:tc>
          <w:tcPr>
            <w:tcW w:w="6700" w:type="dxa"/>
            <w:vAlign w:val="bottom"/>
          </w:tcPr>
          <w:p>
            <w:pPr>
              <w:ind w:left="200"/>
              <w:spacing w:after="0"/>
              <w:rPr>
                <w:sz w:val="20"/>
                <w:szCs w:val="20"/>
                <w:color w:val="auto"/>
              </w:rPr>
            </w:pPr>
            <w:r>
              <w:rPr>
                <w:rFonts w:ascii="Arial" w:cs="Arial" w:eastAsia="Arial" w:hAnsi="Arial"/>
                <w:sz w:val="16"/>
                <w:szCs w:val="16"/>
                <w:color w:val="auto"/>
              </w:rPr>
              <w:t>Conduct of Business</w:t>
            </w:r>
          </w:p>
        </w:tc>
        <w:tc>
          <w:tcPr>
            <w:tcW w:w="2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2.7</w:t>
            </w:r>
          </w:p>
        </w:tc>
        <w:tc>
          <w:tcPr>
            <w:tcW w:w="6700" w:type="dxa"/>
            <w:vAlign w:val="bottom"/>
          </w:tcPr>
          <w:p>
            <w:pPr>
              <w:ind w:left="200"/>
              <w:spacing w:after="0"/>
              <w:rPr>
                <w:sz w:val="20"/>
                <w:szCs w:val="20"/>
                <w:color w:val="auto"/>
              </w:rPr>
            </w:pPr>
            <w:r>
              <w:rPr>
                <w:rFonts w:ascii="Arial" w:cs="Arial" w:eastAsia="Arial" w:hAnsi="Arial"/>
                <w:sz w:val="16"/>
                <w:szCs w:val="16"/>
                <w:color w:val="auto"/>
              </w:rPr>
              <w:t>Regular Meetings</w:t>
            </w:r>
          </w:p>
        </w:tc>
        <w:tc>
          <w:tcPr>
            <w:tcW w:w="2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2.8</w:t>
            </w:r>
          </w:p>
        </w:tc>
        <w:tc>
          <w:tcPr>
            <w:tcW w:w="6700" w:type="dxa"/>
            <w:vAlign w:val="bottom"/>
          </w:tcPr>
          <w:p>
            <w:pPr>
              <w:ind w:left="200"/>
              <w:spacing w:after="0"/>
              <w:rPr>
                <w:sz w:val="20"/>
                <w:szCs w:val="20"/>
                <w:color w:val="auto"/>
              </w:rPr>
            </w:pPr>
            <w:r>
              <w:rPr>
                <w:rFonts w:ascii="Arial" w:cs="Arial" w:eastAsia="Arial" w:hAnsi="Arial"/>
                <w:sz w:val="16"/>
                <w:szCs w:val="16"/>
                <w:color w:val="auto"/>
              </w:rPr>
              <w:t>Special Meetings; Notice</w:t>
            </w:r>
          </w:p>
        </w:tc>
        <w:tc>
          <w:tcPr>
            <w:tcW w:w="2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2.9</w:t>
            </w:r>
          </w:p>
        </w:tc>
        <w:tc>
          <w:tcPr>
            <w:tcW w:w="6700" w:type="dxa"/>
            <w:vAlign w:val="bottom"/>
          </w:tcPr>
          <w:p>
            <w:pPr>
              <w:ind w:left="200"/>
              <w:spacing w:after="0"/>
              <w:rPr>
                <w:sz w:val="20"/>
                <w:szCs w:val="20"/>
                <w:color w:val="auto"/>
              </w:rPr>
            </w:pPr>
            <w:r>
              <w:rPr>
                <w:rFonts w:ascii="Arial" w:cs="Arial" w:eastAsia="Arial" w:hAnsi="Arial"/>
                <w:sz w:val="16"/>
                <w:szCs w:val="16"/>
                <w:color w:val="auto"/>
              </w:rPr>
              <w:t>Quorum; Voting</w:t>
            </w:r>
          </w:p>
        </w:tc>
        <w:tc>
          <w:tcPr>
            <w:tcW w:w="2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2.10</w:t>
            </w:r>
          </w:p>
        </w:tc>
        <w:tc>
          <w:tcPr>
            <w:tcW w:w="6700" w:type="dxa"/>
            <w:vAlign w:val="bottom"/>
          </w:tcPr>
          <w:p>
            <w:pPr>
              <w:ind w:left="200"/>
              <w:spacing w:after="0"/>
              <w:rPr>
                <w:sz w:val="20"/>
                <w:szCs w:val="20"/>
                <w:color w:val="auto"/>
              </w:rPr>
            </w:pPr>
            <w:r>
              <w:rPr>
                <w:rFonts w:ascii="Arial" w:cs="Arial" w:eastAsia="Arial" w:hAnsi="Arial"/>
                <w:sz w:val="16"/>
                <w:szCs w:val="16"/>
                <w:color w:val="auto"/>
              </w:rPr>
              <w:t>Board Action by Written Consent Without a Meeting</w:t>
            </w:r>
          </w:p>
        </w:tc>
        <w:tc>
          <w:tcPr>
            <w:tcW w:w="2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2.11</w:t>
            </w:r>
          </w:p>
        </w:tc>
        <w:tc>
          <w:tcPr>
            <w:tcW w:w="6700" w:type="dxa"/>
            <w:vAlign w:val="bottom"/>
          </w:tcPr>
          <w:p>
            <w:pPr>
              <w:ind w:left="200"/>
              <w:spacing w:after="0"/>
              <w:rPr>
                <w:sz w:val="20"/>
                <w:szCs w:val="20"/>
                <w:color w:val="auto"/>
              </w:rPr>
            </w:pPr>
            <w:r>
              <w:rPr>
                <w:rFonts w:ascii="Arial" w:cs="Arial" w:eastAsia="Arial" w:hAnsi="Arial"/>
                <w:sz w:val="16"/>
                <w:szCs w:val="16"/>
                <w:color w:val="auto"/>
              </w:rPr>
              <w:t>Fees and Compensation of Directors</w:t>
            </w:r>
          </w:p>
        </w:tc>
        <w:tc>
          <w:tcPr>
            <w:tcW w:w="2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2.12</w:t>
            </w:r>
          </w:p>
        </w:tc>
        <w:tc>
          <w:tcPr>
            <w:tcW w:w="6700" w:type="dxa"/>
            <w:vAlign w:val="bottom"/>
          </w:tcPr>
          <w:p>
            <w:pPr>
              <w:ind w:left="200"/>
              <w:spacing w:after="0"/>
              <w:rPr>
                <w:sz w:val="20"/>
                <w:szCs w:val="20"/>
                <w:color w:val="auto"/>
              </w:rPr>
            </w:pPr>
            <w:r>
              <w:rPr>
                <w:rFonts w:ascii="Arial" w:cs="Arial" w:eastAsia="Arial" w:hAnsi="Arial"/>
                <w:sz w:val="16"/>
                <w:szCs w:val="16"/>
                <w:color w:val="auto"/>
              </w:rPr>
              <w:t>Removal of Directors</w:t>
            </w:r>
          </w:p>
        </w:tc>
        <w:tc>
          <w:tcPr>
            <w:tcW w:w="2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7480" w:type="dxa"/>
            <w:vAlign w:val="bottom"/>
            <w:gridSpan w:val="2"/>
          </w:tcPr>
          <w:p>
            <w:pPr>
              <w:spacing w:after="0"/>
              <w:rPr>
                <w:sz w:val="20"/>
                <w:szCs w:val="20"/>
                <w:color w:val="auto"/>
              </w:rPr>
            </w:pPr>
            <w:r>
              <w:rPr>
                <w:rFonts w:ascii="Arial" w:cs="Arial" w:eastAsia="Arial" w:hAnsi="Arial"/>
                <w:sz w:val="16"/>
                <w:szCs w:val="16"/>
                <w:color w:val="auto"/>
              </w:rPr>
              <w:t>ARTICLE III — COMMITTEES</w:t>
            </w:r>
          </w:p>
        </w:tc>
        <w:tc>
          <w:tcPr>
            <w:tcW w:w="2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3.1</w:t>
            </w:r>
          </w:p>
        </w:tc>
        <w:tc>
          <w:tcPr>
            <w:tcW w:w="6700" w:type="dxa"/>
            <w:vAlign w:val="bottom"/>
          </w:tcPr>
          <w:p>
            <w:pPr>
              <w:ind w:left="200"/>
              <w:spacing w:after="0"/>
              <w:rPr>
                <w:sz w:val="20"/>
                <w:szCs w:val="20"/>
                <w:color w:val="auto"/>
              </w:rPr>
            </w:pPr>
            <w:r>
              <w:rPr>
                <w:rFonts w:ascii="Arial" w:cs="Arial" w:eastAsia="Arial" w:hAnsi="Arial"/>
                <w:sz w:val="16"/>
                <w:szCs w:val="16"/>
                <w:color w:val="auto"/>
              </w:rPr>
              <w:t>Committees of Directors</w:t>
            </w:r>
          </w:p>
        </w:tc>
        <w:tc>
          <w:tcPr>
            <w:tcW w:w="2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3.2</w:t>
            </w:r>
          </w:p>
        </w:tc>
        <w:tc>
          <w:tcPr>
            <w:tcW w:w="6700" w:type="dxa"/>
            <w:vAlign w:val="bottom"/>
          </w:tcPr>
          <w:p>
            <w:pPr>
              <w:ind w:left="200"/>
              <w:spacing w:after="0"/>
              <w:rPr>
                <w:sz w:val="20"/>
                <w:szCs w:val="20"/>
                <w:color w:val="auto"/>
              </w:rPr>
            </w:pPr>
            <w:r>
              <w:rPr>
                <w:rFonts w:ascii="Arial" w:cs="Arial" w:eastAsia="Arial" w:hAnsi="Arial"/>
                <w:sz w:val="16"/>
                <w:szCs w:val="16"/>
                <w:color w:val="auto"/>
              </w:rPr>
              <w:t>Committee Minutes</w:t>
            </w:r>
          </w:p>
        </w:tc>
        <w:tc>
          <w:tcPr>
            <w:tcW w:w="20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3.3</w:t>
            </w:r>
          </w:p>
        </w:tc>
        <w:tc>
          <w:tcPr>
            <w:tcW w:w="6700" w:type="dxa"/>
            <w:vAlign w:val="bottom"/>
          </w:tcPr>
          <w:p>
            <w:pPr>
              <w:ind w:left="200"/>
              <w:spacing w:after="0"/>
              <w:rPr>
                <w:sz w:val="20"/>
                <w:szCs w:val="20"/>
                <w:color w:val="auto"/>
              </w:rPr>
            </w:pPr>
            <w:r>
              <w:rPr>
                <w:rFonts w:ascii="Arial" w:cs="Arial" w:eastAsia="Arial" w:hAnsi="Arial"/>
                <w:sz w:val="16"/>
                <w:szCs w:val="16"/>
                <w:color w:val="auto"/>
              </w:rPr>
              <w:t>Meetings and Actions of Committees</w:t>
            </w:r>
          </w:p>
        </w:tc>
        <w:tc>
          <w:tcPr>
            <w:tcW w:w="20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3.4</w:t>
            </w:r>
          </w:p>
        </w:tc>
        <w:tc>
          <w:tcPr>
            <w:tcW w:w="6700" w:type="dxa"/>
            <w:vAlign w:val="bottom"/>
          </w:tcPr>
          <w:p>
            <w:pPr>
              <w:ind w:left="200"/>
              <w:spacing w:after="0"/>
              <w:rPr>
                <w:sz w:val="20"/>
                <w:szCs w:val="20"/>
                <w:color w:val="auto"/>
              </w:rPr>
            </w:pPr>
            <w:r>
              <w:rPr>
                <w:rFonts w:ascii="Arial" w:cs="Arial" w:eastAsia="Arial" w:hAnsi="Arial"/>
                <w:sz w:val="16"/>
                <w:szCs w:val="16"/>
                <w:color w:val="auto"/>
              </w:rPr>
              <w:t>Subcommittees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3"/>
        </w:trPr>
        <w:tc>
          <w:tcPr>
            <w:tcW w:w="7480" w:type="dxa"/>
            <w:vAlign w:val="bottom"/>
            <w:gridSpan w:val="2"/>
          </w:tcPr>
          <w:p>
            <w:pPr>
              <w:spacing w:after="0"/>
              <w:rPr>
                <w:sz w:val="20"/>
                <w:szCs w:val="20"/>
                <w:color w:val="auto"/>
              </w:rPr>
            </w:pPr>
            <w:r>
              <w:rPr>
                <w:rFonts w:ascii="Arial" w:cs="Arial" w:eastAsia="Arial" w:hAnsi="Arial"/>
                <w:sz w:val="16"/>
                <w:szCs w:val="16"/>
                <w:color w:val="auto"/>
              </w:rPr>
              <w:t>ARTICLE IV — OFFICERS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4.1</w:t>
            </w:r>
          </w:p>
        </w:tc>
        <w:tc>
          <w:tcPr>
            <w:tcW w:w="6700" w:type="dxa"/>
            <w:vAlign w:val="bottom"/>
          </w:tcPr>
          <w:p>
            <w:pPr>
              <w:ind w:left="200"/>
              <w:spacing w:after="0"/>
              <w:rPr>
                <w:sz w:val="20"/>
                <w:szCs w:val="20"/>
                <w:color w:val="auto"/>
              </w:rPr>
            </w:pPr>
            <w:r>
              <w:rPr>
                <w:rFonts w:ascii="Arial" w:cs="Arial" w:eastAsia="Arial" w:hAnsi="Arial"/>
                <w:sz w:val="16"/>
                <w:szCs w:val="16"/>
                <w:color w:val="auto"/>
              </w:rPr>
              <w:t>Officers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4.2</w:t>
            </w:r>
          </w:p>
        </w:tc>
        <w:tc>
          <w:tcPr>
            <w:tcW w:w="6700" w:type="dxa"/>
            <w:vAlign w:val="bottom"/>
          </w:tcPr>
          <w:p>
            <w:pPr>
              <w:ind w:left="200"/>
              <w:spacing w:after="0"/>
              <w:rPr>
                <w:sz w:val="20"/>
                <w:szCs w:val="20"/>
                <w:color w:val="auto"/>
              </w:rPr>
            </w:pPr>
            <w:r>
              <w:rPr>
                <w:rFonts w:ascii="Arial" w:cs="Arial" w:eastAsia="Arial" w:hAnsi="Arial"/>
                <w:sz w:val="16"/>
                <w:szCs w:val="16"/>
                <w:color w:val="auto"/>
              </w:rPr>
              <w:t>Appointment of Officers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4.3</w:t>
            </w:r>
          </w:p>
        </w:tc>
        <w:tc>
          <w:tcPr>
            <w:tcW w:w="6700" w:type="dxa"/>
            <w:vAlign w:val="bottom"/>
          </w:tcPr>
          <w:p>
            <w:pPr>
              <w:ind w:left="200"/>
              <w:spacing w:after="0"/>
              <w:rPr>
                <w:sz w:val="20"/>
                <w:szCs w:val="20"/>
                <w:color w:val="auto"/>
              </w:rPr>
            </w:pPr>
            <w:r>
              <w:rPr>
                <w:rFonts w:ascii="Arial" w:cs="Arial" w:eastAsia="Arial" w:hAnsi="Arial"/>
                <w:sz w:val="16"/>
                <w:szCs w:val="16"/>
                <w:color w:val="auto"/>
              </w:rPr>
              <w:t>Subordinate Officers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4.4</w:t>
            </w:r>
          </w:p>
        </w:tc>
        <w:tc>
          <w:tcPr>
            <w:tcW w:w="6700" w:type="dxa"/>
            <w:vAlign w:val="bottom"/>
          </w:tcPr>
          <w:p>
            <w:pPr>
              <w:ind w:left="200"/>
              <w:spacing w:after="0"/>
              <w:rPr>
                <w:sz w:val="20"/>
                <w:szCs w:val="20"/>
                <w:color w:val="auto"/>
              </w:rPr>
            </w:pPr>
            <w:r>
              <w:rPr>
                <w:rFonts w:ascii="Arial" w:cs="Arial" w:eastAsia="Arial" w:hAnsi="Arial"/>
                <w:sz w:val="16"/>
                <w:szCs w:val="16"/>
                <w:color w:val="auto"/>
              </w:rPr>
              <w:t>Removal and Resignation of Officers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4.5</w:t>
            </w:r>
          </w:p>
        </w:tc>
        <w:tc>
          <w:tcPr>
            <w:tcW w:w="6700" w:type="dxa"/>
            <w:vAlign w:val="bottom"/>
          </w:tcPr>
          <w:p>
            <w:pPr>
              <w:ind w:left="200"/>
              <w:spacing w:after="0"/>
              <w:rPr>
                <w:sz w:val="20"/>
                <w:szCs w:val="20"/>
                <w:color w:val="auto"/>
              </w:rPr>
            </w:pPr>
            <w:r>
              <w:rPr>
                <w:rFonts w:ascii="Arial" w:cs="Arial" w:eastAsia="Arial" w:hAnsi="Arial"/>
                <w:sz w:val="16"/>
                <w:szCs w:val="16"/>
                <w:color w:val="auto"/>
              </w:rPr>
              <w:t>Vacancies in Offices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4.6</w:t>
            </w:r>
          </w:p>
        </w:tc>
        <w:tc>
          <w:tcPr>
            <w:tcW w:w="6700" w:type="dxa"/>
            <w:vAlign w:val="bottom"/>
          </w:tcPr>
          <w:p>
            <w:pPr>
              <w:ind w:left="200"/>
              <w:spacing w:after="0"/>
              <w:rPr>
                <w:sz w:val="20"/>
                <w:szCs w:val="20"/>
                <w:color w:val="auto"/>
              </w:rPr>
            </w:pPr>
            <w:r>
              <w:rPr>
                <w:rFonts w:ascii="Arial" w:cs="Arial" w:eastAsia="Arial" w:hAnsi="Arial"/>
                <w:sz w:val="16"/>
                <w:szCs w:val="16"/>
                <w:color w:val="auto"/>
              </w:rPr>
              <w:t>Representation of Shares of Other Corporations</w:t>
            </w:r>
          </w:p>
        </w:tc>
        <w:tc>
          <w:tcPr>
            <w:tcW w:w="2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4.7</w:t>
            </w:r>
          </w:p>
        </w:tc>
        <w:tc>
          <w:tcPr>
            <w:tcW w:w="6700" w:type="dxa"/>
            <w:vAlign w:val="bottom"/>
          </w:tcPr>
          <w:p>
            <w:pPr>
              <w:ind w:left="200"/>
              <w:spacing w:after="0"/>
              <w:rPr>
                <w:sz w:val="20"/>
                <w:szCs w:val="20"/>
                <w:color w:val="auto"/>
              </w:rPr>
            </w:pPr>
            <w:r>
              <w:rPr>
                <w:rFonts w:ascii="Arial" w:cs="Arial" w:eastAsia="Arial" w:hAnsi="Arial"/>
                <w:sz w:val="16"/>
                <w:szCs w:val="16"/>
                <w:color w:val="auto"/>
              </w:rPr>
              <w:t>Authority and Duties of Officers</w:t>
            </w:r>
          </w:p>
        </w:tc>
        <w:tc>
          <w:tcPr>
            <w:tcW w:w="2080" w:type="dxa"/>
            <w:vAlign w:val="bottom"/>
          </w:tcPr>
          <w:p>
            <w:pPr>
              <w:jc w:val="right"/>
              <w:spacing w:after="0"/>
              <w:rPr>
                <w:sz w:val="20"/>
                <w:szCs w:val="20"/>
                <w:color w:val="auto"/>
              </w:rPr>
            </w:pPr>
            <w:r>
              <w:rPr>
                <w:rFonts w:ascii="Arial" w:cs="Arial" w:eastAsia="Arial" w:hAnsi="Arial"/>
                <w:sz w:val="16"/>
                <w:szCs w:val="16"/>
                <w:color w:val="auto"/>
              </w:rPr>
              <w:t>11</w:t>
            </w:r>
          </w:p>
        </w:tc>
      </w:tr>
    </w:tbl>
    <w:p>
      <w:pPr>
        <w:jc w:val="right"/>
        <w:spacing w:after="0"/>
        <w:rPr>
          <w:sz w:val="20"/>
          <w:szCs w:val="20"/>
          <w:color w:val="auto"/>
        </w:rPr>
        <w:sectPr>
          <w:pgSz w:w="11900" w:h="16838" w:orient="portrait"/>
          <w:cols w:equalWidth="0" w:num="1">
            <w:col w:w="9560"/>
          </w:cols>
          <w:pgMar w:left="1140" w:top="252" w:right="119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bookmarkStart w:id="341" w:name="page342"/>
    <w:bookmarkEnd w:id="341"/>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Page</w:t>
            </w:r>
          </w:p>
        </w:tc>
      </w:tr>
      <w:tr>
        <w:trPr>
          <w:trHeight w:val="269"/>
        </w:trPr>
        <w:tc>
          <w:tcPr>
            <w:tcW w:w="7900" w:type="dxa"/>
            <w:vAlign w:val="bottom"/>
            <w:gridSpan w:val="2"/>
          </w:tcPr>
          <w:p>
            <w:pPr>
              <w:spacing w:after="0"/>
              <w:rPr>
                <w:sz w:val="20"/>
                <w:szCs w:val="20"/>
                <w:color w:val="auto"/>
              </w:rPr>
            </w:pPr>
            <w:r>
              <w:rPr>
                <w:rFonts w:ascii="Arial" w:cs="Arial" w:eastAsia="Arial" w:hAnsi="Arial"/>
                <w:sz w:val="16"/>
                <w:szCs w:val="16"/>
                <w:color w:val="auto"/>
              </w:rPr>
              <w:t>ARTICLE V — INDEMNIFICATION</w:t>
            </w: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5.1</w:t>
            </w:r>
          </w:p>
        </w:tc>
        <w:tc>
          <w:tcPr>
            <w:tcW w:w="7120" w:type="dxa"/>
            <w:vAlign w:val="bottom"/>
          </w:tcPr>
          <w:p>
            <w:pPr>
              <w:ind w:left="200"/>
              <w:spacing w:after="0"/>
              <w:rPr>
                <w:sz w:val="20"/>
                <w:szCs w:val="20"/>
                <w:color w:val="auto"/>
              </w:rPr>
            </w:pPr>
            <w:r>
              <w:rPr>
                <w:rFonts w:ascii="Arial" w:cs="Arial" w:eastAsia="Arial" w:hAnsi="Arial"/>
                <w:sz w:val="16"/>
                <w:szCs w:val="16"/>
                <w:color w:val="auto"/>
              </w:rPr>
              <w:t>Indemnification of Directors and Officers in Third Party Proceedings</w:t>
            </w: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5.2</w:t>
            </w:r>
          </w:p>
        </w:tc>
        <w:tc>
          <w:tcPr>
            <w:tcW w:w="7120" w:type="dxa"/>
            <w:vAlign w:val="bottom"/>
          </w:tcPr>
          <w:p>
            <w:pPr>
              <w:ind w:left="200"/>
              <w:spacing w:after="0"/>
              <w:rPr>
                <w:sz w:val="20"/>
                <w:szCs w:val="20"/>
                <w:color w:val="auto"/>
              </w:rPr>
            </w:pPr>
            <w:r>
              <w:rPr>
                <w:rFonts w:ascii="Arial" w:cs="Arial" w:eastAsia="Arial" w:hAnsi="Arial"/>
                <w:sz w:val="16"/>
                <w:szCs w:val="16"/>
                <w:color w:val="auto"/>
              </w:rPr>
              <w:t>Indemnification of Directors and Officers in Actions by or in the Right of the Company</w:t>
            </w: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5.3</w:t>
            </w:r>
          </w:p>
        </w:tc>
        <w:tc>
          <w:tcPr>
            <w:tcW w:w="7120" w:type="dxa"/>
            <w:vAlign w:val="bottom"/>
          </w:tcPr>
          <w:p>
            <w:pPr>
              <w:ind w:left="200"/>
              <w:spacing w:after="0"/>
              <w:rPr>
                <w:sz w:val="20"/>
                <w:szCs w:val="20"/>
                <w:color w:val="auto"/>
              </w:rPr>
            </w:pPr>
            <w:r>
              <w:rPr>
                <w:rFonts w:ascii="Arial" w:cs="Arial" w:eastAsia="Arial" w:hAnsi="Arial"/>
                <w:sz w:val="16"/>
                <w:szCs w:val="16"/>
                <w:color w:val="auto"/>
              </w:rPr>
              <w:t>Successful Defense</w:t>
            </w:r>
          </w:p>
        </w:tc>
        <w:tc>
          <w:tcPr>
            <w:tcW w:w="1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5.4</w:t>
            </w:r>
          </w:p>
        </w:tc>
        <w:tc>
          <w:tcPr>
            <w:tcW w:w="7120" w:type="dxa"/>
            <w:vAlign w:val="bottom"/>
          </w:tcPr>
          <w:p>
            <w:pPr>
              <w:ind w:left="200"/>
              <w:spacing w:after="0"/>
              <w:rPr>
                <w:sz w:val="20"/>
                <w:szCs w:val="20"/>
                <w:color w:val="auto"/>
              </w:rPr>
            </w:pPr>
            <w:r>
              <w:rPr>
                <w:rFonts w:ascii="Arial" w:cs="Arial" w:eastAsia="Arial" w:hAnsi="Arial"/>
                <w:sz w:val="16"/>
                <w:szCs w:val="16"/>
                <w:color w:val="auto"/>
              </w:rPr>
              <w:t>Indemnification of Others</w:t>
            </w:r>
          </w:p>
        </w:tc>
        <w:tc>
          <w:tcPr>
            <w:tcW w:w="1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5.5</w:t>
            </w:r>
          </w:p>
        </w:tc>
        <w:tc>
          <w:tcPr>
            <w:tcW w:w="7120" w:type="dxa"/>
            <w:vAlign w:val="bottom"/>
          </w:tcPr>
          <w:p>
            <w:pPr>
              <w:ind w:left="200"/>
              <w:spacing w:after="0"/>
              <w:rPr>
                <w:sz w:val="20"/>
                <w:szCs w:val="20"/>
                <w:color w:val="auto"/>
              </w:rPr>
            </w:pPr>
            <w:r>
              <w:rPr>
                <w:rFonts w:ascii="Arial" w:cs="Arial" w:eastAsia="Arial" w:hAnsi="Arial"/>
                <w:sz w:val="16"/>
                <w:szCs w:val="16"/>
                <w:color w:val="auto"/>
              </w:rPr>
              <w:t>Advanced Payment of Expenses</w:t>
            </w:r>
          </w:p>
        </w:tc>
        <w:tc>
          <w:tcPr>
            <w:tcW w:w="1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5.6</w:t>
            </w:r>
          </w:p>
        </w:tc>
        <w:tc>
          <w:tcPr>
            <w:tcW w:w="7120" w:type="dxa"/>
            <w:vAlign w:val="bottom"/>
          </w:tcPr>
          <w:p>
            <w:pPr>
              <w:ind w:left="200"/>
              <w:spacing w:after="0"/>
              <w:rPr>
                <w:sz w:val="20"/>
                <w:szCs w:val="20"/>
                <w:color w:val="auto"/>
              </w:rPr>
            </w:pPr>
            <w:r>
              <w:rPr>
                <w:rFonts w:ascii="Arial" w:cs="Arial" w:eastAsia="Arial" w:hAnsi="Arial"/>
                <w:sz w:val="16"/>
                <w:szCs w:val="16"/>
                <w:color w:val="auto"/>
              </w:rPr>
              <w:t>Limitation on Indemnification</w:t>
            </w:r>
          </w:p>
        </w:tc>
        <w:tc>
          <w:tcPr>
            <w:tcW w:w="1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5.7</w:t>
            </w:r>
          </w:p>
        </w:tc>
        <w:tc>
          <w:tcPr>
            <w:tcW w:w="7120" w:type="dxa"/>
            <w:vAlign w:val="bottom"/>
          </w:tcPr>
          <w:p>
            <w:pPr>
              <w:ind w:left="200"/>
              <w:spacing w:after="0"/>
              <w:rPr>
                <w:sz w:val="20"/>
                <w:szCs w:val="20"/>
                <w:color w:val="auto"/>
              </w:rPr>
            </w:pPr>
            <w:r>
              <w:rPr>
                <w:rFonts w:ascii="Arial" w:cs="Arial" w:eastAsia="Arial" w:hAnsi="Arial"/>
                <w:sz w:val="16"/>
                <w:szCs w:val="16"/>
                <w:color w:val="auto"/>
              </w:rPr>
              <w:t>Determination; Claim</w:t>
            </w: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5.8</w:t>
            </w:r>
          </w:p>
        </w:tc>
        <w:tc>
          <w:tcPr>
            <w:tcW w:w="7120" w:type="dxa"/>
            <w:vAlign w:val="bottom"/>
          </w:tcPr>
          <w:p>
            <w:pPr>
              <w:ind w:left="200"/>
              <w:spacing w:after="0"/>
              <w:rPr>
                <w:sz w:val="20"/>
                <w:szCs w:val="20"/>
                <w:color w:val="auto"/>
              </w:rPr>
            </w:pPr>
            <w:r>
              <w:rPr>
                <w:rFonts w:ascii="Arial" w:cs="Arial" w:eastAsia="Arial" w:hAnsi="Arial"/>
                <w:sz w:val="16"/>
                <w:szCs w:val="16"/>
                <w:color w:val="auto"/>
              </w:rPr>
              <w:t>Non-Exclusivity of Rights</w:t>
            </w: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5.9</w:t>
            </w:r>
          </w:p>
        </w:tc>
        <w:tc>
          <w:tcPr>
            <w:tcW w:w="7120" w:type="dxa"/>
            <w:vAlign w:val="bottom"/>
          </w:tcPr>
          <w:p>
            <w:pPr>
              <w:ind w:left="200"/>
              <w:spacing w:after="0"/>
              <w:rPr>
                <w:sz w:val="20"/>
                <w:szCs w:val="20"/>
                <w:color w:val="auto"/>
              </w:rPr>
            </w:pPr>
            <w:r>
              <w:rPr>
                <w:rFonts w:ascii="Arial" w:cs="Arial" w:eastAsia="Arial" w:hAnsi="Arial"/>
                <w:sz w:val="16"/>
                <w:szCs w:val="16"/>
                <w:color w:val="auto"/>
              </w:rPr>
              <w:t>Insurance</w:t>
            </w: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5.10</w:t>
            </w:r>
          </w:p>
        </w:tc>
        <w:tc>
          <w:tcPr>
            <w:tcW w:w="7120" w:type="dxa"/>
            <w:vAlign w:val="bottom"/>
          </w:tcPr>
          <w:p>
            <w:pPr>
              <w:ind w:left="200"/>
              <w:spacing w:after="0"/>
              <w:rPr>
                <w:sz w:val="20"/>
                <w:szCs w:val="20"/>
                <w:color w:val="auto"/>
              </w:rPr>
            </w:pPr>
            <w:r>
              <w:rPr>
                <w:rFonts w:ascii="Arial" w:cs="Arial" w:eastAsia="Arial" w:hAnsi="Arial"/>
                <w:sz w:val="16"/>
                <w:szCs w:val="16"/>
                <w:color w:val="auto"/>
              </w:rPr>
              <w:t>Survival</w:t>
            </w: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5.11</w:t>
            </w:r>
          </w:p>
        </w:tc>
        <w:tc>
          <w:tcPr>
            <w:tcW w:w="7120" w:type="dxa"/>
            <w:vAlign w:val="bottom"/>
          </w:tcPr>
          <w:p>
            <w:pPr>
              <w:ind w:left="200"/>
              <w:spacing w:after="0"/>
              <w:rPr>
                <w:sz w:val="20"/>
                <w:szCs w:val="20"/>
                <w:color w:val="auto"/>
              </w:rPr>
            </w:pPr>
            <w:r>
              <w:rPr>
                <w:rFonts w:ascii="Arial" w:cs="Arial" w:eastAsia="Arial" w:hAnsi="Arial"/>
                <w:sz w:val="16"/>
                <w:szCs w:val="16"/>
                <w:color w:val="auto"/>
              </w:rPr>
              <w:t>Effect of Repeal or Modification</w:t>
            </w: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5.12</w:t>
            </w:r>
          </w:p>
        </w:tc>
        <w:tc>
          <w:tcPr>
            <w:tcW w:w="7120" w:type="dxa"/>
            <w:vAlign w:val="bottom"/>
          </w:tcPr>
          <w:p>
            <w:pPr>
              <w:ind w:left="200"/>
              <w:spacing w:after="0"/>
              <w:rPr>
                <w:sz w:val="20"/>
                <w:szCs w:val="20"/>
                <w:color w:val="auto"/>
              </w:rPr>
            </w:pPr>
            <w:r>
              <w:rPr>
                <w:rFonts w:ascii="Arial" w:cs="Arial" w:eastAsia="Arial" w:hAnsi="Arial"/>
                <w:sz w:val="16"/>
                <w:szCs w:val="16"/>
                <w:color w:val="auto"/>
              </w:rPr>
              <w:t>Certain Definitions</w:t>
            </w: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3"/>
        </w:trPr>
        <w:tc>
          <w:tcPr>
            <w:tcW w:w="7900" w:type="dxa"/>
            <w:vAlign w:val="bottom"/>
            <w:gridSpan w:val="2"/>
          </w:tcPr>
          <w:p>
            <w:pPr>
              <w:spacing w:after="0"/>
              <w:rPr>
                <w:sz w:val="20"/>
                <w:szCs w:val="20"/>
                <w:color w:val="auto"/>
              </w:rPr>
            </w:pPr>
            <w:r>
              <w:rPr>
                <w:rFonts w:ascii="Arial" w:cs="Arial" w:eastAsia="Arial" w:hAnsi="Arial"/>
                <w:sz w:val="16"/>
                <w:szCs w:val="16"/>
                <w:color w:val="auto"/>
              </w:rPr>
              <w:t>ARTICLE VI — STOCK</w:t>
            </w: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6.1</w:t>
            </w:r>
          </w:p>
        </w:tc>
        <w:tc>
          <w:tcPr>
            <w:tcW w:w="7120" w:type="dxa"/>
            <w:vAlign w:val="bottom"/>
          </w:tcPr>
          <w:p>
            <w:pPr>
              <w:ind w:left="200"/>
              <w:spacing w:after="0"/>
              <w:rPr>
                <w:sz w:val="20"/>
                <w:szCs w:val="20"/>
                <w:color w:val="auto"/>
              </w:rPr>
            </w:pPr>
            <w:r>
              <w:rPr>
                <w:rFonts w:ascii="Arial" w:cs="Arial" w:eastAsia="Arial" w:hAnsi="Arial"/>
                <w:sz w:val="16"/>
                <w:szCs w:val="16"/>
                <w:color w:val="auto"/>
              </w:rPr>
              <w:t>Stock Certificates; Partly Paid Shares</w:t>
            </w: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6.2</w:t>
            </w:r>
          </w:p>
        </w:tc>
        <w:tc>
          <w:tcPr>
            <w:tcW w:w="7120" w:type="dxa"/>
            <w:vAlign w:val="bottom"/>
          </w:tcPr>
          <w:p>
            <w:pPr>
              <w:ind w:left="200"/>
              <w:spacing w:after="0"/>
              <w:rPr>
                <w:sz w:val="20"/>
                <w:szCs w:val="20"/>
                <w:color w:val="auto"/>
              </w:rPr>
            </w:pPr>
            <w:r>
              <w:rPr>
                <w:rFonts w:ascii="Arial" w:cs="Arial" w:eastAsia="Arial" w:hAnsi="Arial"/>
                <w:sz w:val="16"/>
                <w:szCs w:val="16"/>
                <w:color w:val="auto"/>
              </w:rPr>
              <w:t>Special Designation on Certificates</w:t>
            </w:r>
          </w:p>
        </w:tc>
        <w:tc>
          <w:tcPr>
            <w:tcW w:w="1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6.3</w:t>
            </w:r>
          </w:p>
        </w:tc>
        <w:tc>
          <w:tcPr>
            <w:tcW w:w="7120" w:type="dxa"/>
            <w:vAlign w:val="bottom"/>
          </w:tcPr>
          <w:p>
            <w:pPr>
              <w:ind w:left="200"/>
              <w:spacing w:after="0"/>
              <w:rPr>
                <w:sz w:val="20"/>
                <w:szCs w:val="20"/>
                <w:color w:val="auto"/>
              </w:rPr>
            </w:pPr>
            <w:r>
              <w:rPr>
                <w:rFonts w:ascii="Arial" w:cs="Arial" w:eastAsia="Arial" w:hAnsi="Arial"/>
                <w:sz w:val="16"/>
                <w:szCs w:val="16"/>
                <w:color w:val="auto"/>
              </w:rPr>
              <w:t>Lost Certificates</w:t>
            </w: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6.4</w:t>
            </w:r>
          </w:p>
        </w:tc>
        <w:tc>
          <w:tcPr>
            <w:tcW w:w="7120" w:type="dxa"/>
            <w:vAlign w:val="bottom"/>
          </w:tcPr>
          <w:p>
            <w:pPr>
              <w:ind w:left="200"/>
              <w:spacing w:after="0"/>
              <w:rPr>
                <w:sz w:val="20"/>
                <w:szCs w:val="20"/>
                <w:color w:val="auto"/>
              </w:rPr>
            </w:pPr>
            <w:r>
              <w:rPr>
                <w:rFonts w:ascii="Arial" w:cs="Arial" w:eastAsia="Arial" w:hAnsi="Arial"/>
                <w:sz w:val="16"/>
                <w:szCs w:val="16"/>
                <w:color w:val="auto"/>
              </w:rPr>
              <w:t>Dividends</w:t>
            </w: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6.5</w:t>
            </w:r>
          </w:p>
        </w:tc>
        <w:tc>
          <w:tcPr>
            <w:tcW w:w="7120" w:type="dxa"/>
            <w:vAlign w:val="bottom"/>
          </w:tcPr>
          <w:p>
            <w:pPr>
              <w:ind w:left="200"/>
              <w:spacing w:after="0"/>
              <w:rPr>
                <w:sz w:val="20"/>
                <w:szCs w:val="20"/>
                <w:color w:val="auto"/>
              </w:rPr>
            </w:pPr>
            <w:r>
              <w:rPr>
                <w:rFonts w:ascii="Arial" w:cs="Arial" w:eastAsia="Arial" w:hAnsi="Arial"/>
                <w:sz w:val="16"/>
                <w:szCs w:val="16"/>
                <w:color w:val="auto"/>
              </w:rPr>
              <w:t>Stock Transfer Agreements</w:t>
            </w: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6.6</w:t>
            </w:r>
          </w:p>
        </w:tc>
        <w:tc>
          <w:tcPr>
            <w:tcW w:w="7120" w:type="dxa"/>
            <w:vAlign w:val="bottom"/>
          </w:tcPr>
          <w:p>
            <w:pPr>
              <w:ind w:left="200"/>
              <w:spacing w:after="0"/>
              <w:rPr>
                <w:sz w:val="20"/>
                <w:szCs w:val="20"/>
                <w:color w:val="auto"/>
              </w:rPr>
            </w:pPr>
            <w:r>
              <w:rPr>
                <w:rFonts w:ascii="Arial" w:cs="Arial" w:eastAsia="Arial" w:hAnsi="Arial"/>
                <w:sz w:val="16"/>
                <w:szCs w:val="16"/>
                <w:color w:val="auto"/>
              </w:rPr>
              <w:t>Registered Stockholders</w:t>
            </w: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6.7</w:t>
            </w:r>
          </w:p>
        </w:tc>
        <w:tc>
          <w:tcPr>
            <w:tcW w:w="7120" w:type="dxa"/>
            <w:vAlign w:val="bottom"/>
          </w:tcPr>
          <w:p>
            <w:pPr>
              <w:ind w:left="200"/>
              <w:spacing w:after="0"/>
              <w:rPr>
                <w:sz w:val="20"/>
                <w:szCs w:val="20"/>
                <w:color w:val="auto"/>
              </w:rPr>
            </w:pPr>
            <w:r>
              <w:rPr>
                <w:rFonts w:ascii="Arial" w:cs="Arial" w:eastAsia="Arial" w:hAnsi="Arial"/>
                <w:sz w:val="16"/>
                <w:szCs w:val="16"/>
                <w:color w:val="auto"/>
              </w:rPr>
              <w:t>Transfers</w:t>
            </w: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3"/>
        </w:trPr>
        <w:tc>
          <w:tcPr>
            <w:tcW w:w="7900" w:type="dxa"/>
            <w:vAlign w:val="bottom"/>
            <w:gridSpan w:val="2"/>
          </w:tcPr>
          <w:p>
            <w:pPr>
              <w:spacing w:after="0"/>
              <w:rPr>
                <w:sz w:val="20"/>
                <w:szCs w:val="20"/>
                <w:color w:val="auto"/>
              </w:rPr>
            </w:pPr>
            <w:r>
              <w:rPr>
                <w:rFonts w:ascii="Arial" w:cs="Arial" w:eastAsia="Arial" w:hAnsi="Arial"/>
                <w:sz w:val="16"/>
                <w:szCs w:val="16"/>
                <w:color w:val="auto"/>
              </w:rPr>
              <w:t>ARTICLE VII — MANNER OF GIVING NOTICE AND WAIVER</w:t>
            </w: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7.1</w:t>
            </w:r>
          </w:p>
        </w:tc>
        <w:tc>
          <w:tcPr>
            <w:tcW w:w="7120" w:type="dxa"/>
            <w:vAlign w:val="bottom"/>
          </w:tcPr>
          <w:p>
            <w:pPr>
              <w:ind w:left="200"/>
              <w:spacing w:after="0"/>
              <w:rPr>
                <w:sz w:val="20"/>
                <w:szCs w:val="20"/>
                <w:color w:val="auto"/>
              </w:rPr>
            </w:pPr>
            <w:r>
              <w:rPr>
                <w:rFonts w:ascii="Arial" w:cs="Arial" w:eastAsia="Arial" w:hAnsi="Arial"/>
                <w:sz w:val="16"/>
                <w:szCs w:val="16"/>
                <w:color w:val="auto"/>
              </w:rPr>
              <w:t>Notice of Stockholder Meetings</w:t>
            </w: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7.2</w:t>
            </w:r>
          </w:p>
        </w:tc>
        <w:tc>
          <w:tcPr>
            <w:tcW w:w="7120" w:type="dxa"/>
            <w:vAlign w:val="bottom"/>
          </w:tcPr>
          <w:p>
            <w:pPr>
              <w:ind w:left="200"/>
              <w:spacing w:after="0"/>
              <w:rPr>
                <w:sz w:val="20"/>
                <w:szCs w:val="20"/>
                <w:color w:val="auto"/>
              </w:rPr>
            </w:pPr>
            <w:r>
              <w:rPr>
                <w:rFonts w:ascii="Arial" w:cs="Arial" w:eastAsia="Arial" w:hAnsi="Arial"/>
                <w:sz w:val="16"/>
                <w:szCs w:val="16"/>
                <w:color w:val="auto"/>
              </w:rPr>
              <w:t>Notice by Electronic Transmission</w:t>
            </w: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7.3</w:t>
            </w:r>
          </w:p>
        </w:tc>
        <w:tc>
          <w:tcPr>
            <w:tcW w:w="7120" w:type="dxa"/>
            <w:vAlign w:val="bottom"/>
          </w:tcPr>
          <w:p>
            <w:pPr>
              <w:ind w:left="200"/>
              <w:spacing w:after="0"/>
              <w:rPr>
                <w:sz w:val="20"/>
                <w:szCs w:val="20"/>
                <w:color w:val="auto"/>
              </w:rPr>
            </w:pPr>
            <w:r>
              <w:rPr>
                <w:rFonts w:ascii="Arial" w:cs="Arial" w:eastAsia="Arial" w:hAnsi="Arial"/>
                <w:sz w:val="16"/>
                <w:szCs w:val="16"/>
                <w:color w:val="auto"/>
              </w:rPr>
              <w:t>Notice to Stockholders Sharing an Address</w:t>
            </w: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7.4</w:t>
            </w:r>
          </w:p>
        </w:tc>
        <w:tc>
          <w:tcPr>
            <w:tcW w:w="7120" w:type="dxa"/>
            <w:vAlign w:val="bottom"/>
          </w:tcPr>
          <w:p>
            <w:pPr>
              <w:ind w:left="200"/>
              <w:spacing w:after="0"/>
              <w:rPr>
                <w:sz w:val="20"/>
                <w:szCs w:val="20"/>
                <w:color w:val="auto"/>
              </w:rPr>
            </w:pPr>
            <w:r>
              <w:rPr>
                <w:rFonts w:ascii="Arial" w:cs="Arial" w:eastAsia="Arial" w:hAnsi="Arial"/>
                <w:sz w:val="16"/>
                <w:szCs w:val="16"/>
                <w:color w:val="auto"/>
              </w:rPr>
              <w:t>Notice to Person with Whom Communication is Unlawful</w:t>
            </w: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7.5</w:t>
            </w:r>
          </w:p>
        </w:tc>
        <w:tc>
          <w:tcPr>
            <w:tcW w:w="7120" w:type="dxa"/>
            <w:vAlign w:val="bottom"/>
          </w:tcPr>
          <w:p>
            <w:pPr>
              <w:ind w:left="200"/>
              <w:spacing w:after="0"/>
              <w:rPr>
                <w:sz w:val="20"/>
                <w:szCs w:val="20"/>
                <w:color w:val="auto"/>
              </w:rPr>
            </w:pPr>
            <w:r>
              <w:rPr>
                <w:rFonts w:ascii="Arial" w:cs="Arial" w:eastAsia="Arial" w:hAnsi="Arial"/>
                <w:sz w:val="16"/>
                <w:szCs w:val="16"/>
                <w:color w:val="auto"/>
              </w:rPr>
              <w:t>Waiver of Notice</w:t>
            </w: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3"/>
        </w:trPr>
        <w:tc>
          <w:tcPr>
            <w:tcW w:w="7900" w:type="dxa"/>
            <w:vAlign w:val="bottom"/>
            <w:gridSpan w:val="2"/>
          </w:tcPr>
          <w:p>
            <w:pPr>
              <w:spacing w:after="0"/>
              <w:rPr>
                <w:sz w:val="20"/>
                <w:szCs w:val="20"/>
                <w:color w:val="auto"/>
              </w:rPr>
            </w:pPr>
            <w:r>
              <w:rPr>
                <w:rFonts w:ascii="Arial" w:cs="Arial" w:eastAsia="Arial" w:hAnsi="Arial"/>
                <w:sz w:val="16"/>
                <w:szCs w:val="16"/>
                <w:color w:val="auto"/>
              </w:rPr>
              <w:t>ARTICLE VIII — GENERAL MATTERS</w:t>
            </w: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2"/>
        </w:trPr>
        <w:tc>
          <w:tcPr>
            <w:tcW w:w="780" w:type="dxa"/>
            <w:vAlign w:val="bottom"/>
          </w:tcPr>
          <w:p>
            <w:pPr>
              <w:ind w:left="300"/>
              <w:spacing w:after="0"/>
              <w:rPr>
                <w:sz w:val="20"/>
                <w:szCs w:val="20"/>
                <w:color w:val="auto"/>
              </w:rPr>
            </w:pPr>
            <w:r>
              <w:rPr>
                <w:rFonts w:ascii="Arial" w:cs="Arial" w:eastAsia="Arial" w:hAnsi="Arial"/>
                <w:sz w:val="16"/>
                <w:szCs w:val="16"/>
                <w:color w:val="auto"/>
              </w:rPr>
              <w:t>8.1</w:t>
            </w:r>
          </w:p>
        </w:tc>
        <w:tc>
          <w:tcPr>
            <w:tcW w:w="7120" w:type="dxa"/>
            <w:vAlign w:val="bottom"/>
          </w:tcPr>
          <w:p>
            <w:pPr>
              <w:ind w:left="200"/>
              <w:spacing w:after="0"/>
              <w:rPr>
                <w:sz w:val="20"/>
                <w:szCs w:val="20"/>
                <w:color w:val="auto"/>
              </w:rPr>
            </w:pPr>
            <w:r>
              <w:rPr>
                <w:rFonts w:ascii="Arial" w:cs="Arial" w:eastAsia="Arial" w:hAnsi="Arial"/>
                <w:sz w:val="16"/>
                <w:szCs w:val="16"/>
                <w:color w:val="auto"/>
              </w:rPr>
              <w:t>Fiscal Year</w:t>
            </w: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8.2</w:t>
            </w:r>
          </w:p>
        </w:tc>
        <w:tc>
          <w:tcPr>
            <w:tcW w:w="7120" w:type="dxa"/>
            <w:vAlign w:val="bottom"/>
          </w:tcPr>
          <w:p>
            <w:pPr>
              <w:ind w:left="200"/>
              <w:spacing w:after="0"/>
              <w:rPr>
                <w:sz w:val="20"/>
                <w:szCs w:val="20"/>
                <w:color w:val="auto"/>
              </w:rPr>
            </w:pPr>
            <w:r>
              <w:rPr>
                <w:rFonts w:ascii="Arial" w:cs="Arial" w:eastAsia="Arial" w:hAnsi="Arial"/>
                <w:sz w:val="16"/>
                <w:szCs w:val="16"/>
                <w:color w:val="auto"/>
              </w:rPr>
              <w:t>Seal</w:t>
            </w: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780" w:type="dxa"/>
            <w:vAlign w:val="bottom"/>
          </w:tcPr>
          <w:p>
            <w:pPr>
              <w:ind w:left="300"/>
              <w:spacing w:after="0"/>
              <w:rPr>
                <w:sz w:val="20"/>
                <w:szCs w:val="20"/>
                <w:color w:val="auto"/>
              </w:rPr>
            </w:pPr>
            <w:r>
              <w:rPr>
                <w:rFonts w:ascii="Arial" w:cs="Arial" w:eastAsia="Arial" w:hAnsi="Arial"/>
                <w:sz w:val="16"/>
                <w:szCs w:val="16"/>
                <w:color w:val="auto"/>
              </w:rPr>
              <w:t>8.3</w:t>
            </w:r>
          </w:p>
        </w:tc>
        <w:tc>
          <w:tcPr>
            <w:tcW w:w="7120" w:type="dxa"/>
            <w:vAlign w:val="bottom"/>
          </w:tcPr>
          <w:p>
            <w:pPr>
              <w:ind w:left="200"/>
              <w:spacing w:after="0"/>
              <w:rPr>
                <w:sz w:val="20"/>
                <w:szCs w:val="20"/>
                <w:color w:val="auto"/>
              </w:rPr>
            </w:pPr>
            <w:r>
              <w:rPr>
                <w:rFonts w:ascii="Arial" w:cs="Arial" w:eastAsia="Arial" w:hAnsi="Arial"/>
                <w:sz w:val="16"/>
                <w:szCs w:val="16"/>
                <w:color w:val="auto"/>
              </w:rPr>
              <w:t>Annual Report</w:t>
            </w: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0"/>
        </w:trPr>
        <w:tc>
          <w:tcPr>
            <w:tcW w:w="780" w:type="dxa"/>
            <w:vAlign w:val="bottom"/>
          </w:tcPr>
          <w:p>
            <w:pPr>
              <w:ind w:left="300"/>
              <w:spacing w:after="0"/>
              <w:rPr>
                <w:sz w:val="20"/>
                <w:szCs w:val="20"/>
                <w:color w:val="auto"/>
              </w:rPr>
            </w:pPr>
            <w:r>
              <w:rPr>
                <w:rFonts w:ascii="Arial" w:cs="Arial" w:eastAsia="Arial" w:hAnsi="Arial"/>
                <w:sz w:val="16"/>
                <w:szCs w:val="16"/>
                <w:color w:val="auto"/>
              </w:rPr>
              <w:t>8.4</w:t>
            </w:r>
          </w:p>
        </w:tc>
        <w:tc>
          <w:tcPr>
            <w:tcW w:w="7120" w:type="dxa"/>
            <w:vAlign w:val="bottom"/>
          </w:tcPr>
          <w:p>
            <w:pPr>
              <w:ind w:left="200"/>
              <w:spacing w:after="0"/>
              <w:rPr>
                <w:sz w:val="20"/>
                <w:szCs w:val="20"/>
                <w:color w:val="auto"/>
              </w:rPr>
            </w:pPr>
            <w:r>
              <w:rPr>
                <w:rFonts w:ascii="Arial" w:cs="Arial" w:eastAsia="Arial" w:hAnsi="Arial"/>
                <w:sz w:val="16"/>
                <w:szCs w:val="16"/>
                <w:color w:val="auto"/>
              </w:rPr>
              <w:t>Construction; Definitions</w:t>
            </w: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3"/>
        </w:trPr>
        <w:tc>
          <w:tcPr>
            <w:tcW w:w="7900" w:type="dxa"/>
            <w:vAlign w:val="bottom"/>
            <w:gridSpan w:val="2"/>
          </w:tcPr>
          <w:p>
            <w:pPr>
              <w:spacing w:after="0"/>
              <w:rPr>
                <w:sz w:val="20"/>
                <w:szCs w:val="20"/>
                <w:color w:val="auto"/>
              </w:rPr>
            </w:pPr>
            <w:r>
              <w:rPr>
                <w:rFonts w:ascii="Arial" w:cs="Arial" w:eastAsia="Arial" w:hAnsi="Arial"/>
                <w:sz w:val="16"/>
                <w:szCs w:val="16"/>
                <w:color w:val="auto"/>
              </w:rPr>
              <w:t>ARTICLE IX — AMENDMENTS</w:t>
            </w: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18"/>
        </w:trPr>
        <w:tc>
          <w:tcPr>
            <w:tcW w:w="780" w:type="dxa"/>
            <w:vAlign w:val="bottom"/>
          </w:tcPr>
          <w:p>
            <w:pPr>
              <w:spacing w:after="0"/>
              <w:rPr>
                <w:sz w:val="24"/>
                <w:szCs w:val="24"/>
                <w:color w:val="auto"/>
              </w:rPr>
            </w:pPr>
          </w:p>
        </w:tc>
        <w:tc>
          <w:tcPr>
            <w:tcW w:w="7120" w:type="dxa"/>
            <w:vAlign w:val="bottom"/>
          </w:tcPr>
          <w:p>
            <w:pPr>
              <w:ind w:left="3980"/>
              <w:spacing w:after="0"/>
              <w:rPr>
                <w:sz w:val="20"/>
                <w:szCs w:val="20"/>
                <w:color w:val="auto"/>
              </w:rPr>
            </w:pPr>
            <w:r>
              <w:rPr>
                <w:rFonts w:ascii="Arial" w:cs="Arial" w:eastAsia="Arial" w:hAnsi="Arial"/>
                <w:sz w:val="16"/>
                <w:szCs w:val="16"/>
                <w:color w:val="auto"/>
              </w:rPr>
              <w:t>ii</w:t>
            </w:r>
          </w:p>
        </w:tc>
        <w:tc>
          <w:tcPr>
            <w:tcW w:w="1660" w:type="dxa"/>
            <w:vAlign w:val="bottom"/>
          </w:tcPr>
          <w:p>
            <w:pPr>
              <w:spacing w:after="0"/>
              <w:rPr>
                <w:sz w:val="24"/>
                <w:szCs w:val="24"/>
                <w:color w:val="auto"/>
              </w:rPr>
            </w:pPr>
          </w:p>
        </w:tc>
      </w:tr>
    </w:tbl>
    <w:p>
      <w:pPr>
        <w:sectPr>
          <w:pgSz w:w="11900" w:h="16838" w:orient="portrait"/>
          <w:cols w:equalWidth="0" w:num="1">
            <w:col w:w="9560"/>
          </w:cols>
          <w:pgMar w:left="1140" w:top="252" w:right="1199"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BYLAWS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 — MEETINGS OF STOCKHOLDERS</w:t>
      </w:r>
    </w:p>
    <w:p>
      <w:pPr>
        <w:spacing w:after="0" w:line="193" w:lineRule="exact"/>
        <w:rPr>
          <w:sz w:val="20"/>
          <w:szCs w:val="20"/>
          <w:color w:val="auto"/>
        </w:rPr>
      </w:pPr>
    </w:p>
    <w:p>
      <w:pPr>
        <w:ind w:right="40" w:firstLine="385"/>
        <w:spacing w:after="0" w:line="25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i w:val="1"/>
          <w:iCs w:val="1"/>
          <w:color w:val="auto"/>
        </w:rPr>
        <w:t>Place of Meetings</w:t>
      </w:r>
      <w:r>
        <w:rPr>
          <w:rFonts w:ascii="Arial" w:cs="Arial" w:eastAsia="Arial" w:hAnsi="Arial"/>
          <w:sz w:val="16"/>
          <w:szCs w:val="16"/>
          <w:color w:val="auto"/>
        </w:rPr>
        <w:t>. Meetings of stockholders of Tenaya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shall be held at any place, within or outside the State of Delaware, determined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Company’s principal executive office.</w:t>
      </w:r>
    </w:p>
    <w:p>
      <w:pPr>
        <w:spacing w:after="0" w:line="170" w:lineRule="exact"/>
        <w:rPr>
          <w:sz w:val="20"/>
          <w:szCs w:val="20"/>
          <w:color w:val="auto"/>
        </w:rPr>
      </w:pPr>
    </w:p>
    <w:p>
      <w:pPr>
        <w:ind w:right="20" w:firstLine="385"/>
        <w:spacing w:after="0" w:line="270"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b w:val="1"/>
          <w:bCs w:val="1"/>
          <w:i w:val="1"/>
          <w:iCs w:val="1"/>
          <w:color w:val="auto"/>
        </w:rPr>
        <w:t>Annual Meeting</w:t>
      </w:r>
      <w:r>
        <w:rPr>
          <w:rFonts w:ascii="Arial" w:cs="Arial" w:eastAsia="Arial" w:hAnsi="Arial"/>
          <w:sz w:val="15"/>
          <w:szCs w:val="15"/>
          <w:color w:val="auto"/>
        </w:rPr>
        <w:t xml:space="preserve">. Unless directors are elected by written consent in lieu of an annual meeting as permitted by Section 211(b) of the DGCL, an annual meeting of stockholders shall be held for the election of directors at such date and time as may be designated by resolution of the Board from time to time. Stockholders may, unless the certificate of incorporation otherwise provides, act by written consent to elect directors;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 Any other proper business may be transacted at the annual meeting.</w:t>
      </w:r>
    </w:p>
    <w:p>
      <w:pPr>
        <w:spacing w:after="0" w:line="156" w:lineRule="exact"/>
        <w:rPr>
          <w:sz w:val="20"/>
          <w:szCs w:val="20"/>
          <w:color w:val="auto"/>
        </w:rPr>
      </w:pPr>
    </w:p>
    <w:p>
      <w:pPr>
        <w:jc w:val="both"/>
        <w:ind w:right="40" w:firstLine="385"/>
        <w:spacing w:after="0" w:line="25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i w:val="1"/>
          <w:iCs w:val="1"/>
          <w:color w:val="auto"/>
        </w:rPr>
        <w:t>Special Meeting</w:t>
      </w:r>
      <w:r>
        <w:rPr>
          <w:rFonts w:ascii="Arial" w:cs="Arial" w:eastAsia="Arial" w:hAnsi="Arial"/>
          <w:sz w:val="16"/>
          <w:szCs w:val="16"/>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any person(s) other than the Board calls a special meeting, the request shall:</w:t>
      </w:r>
    </w:p>
    <w:p>
      <w:pPr>
        <w:spacing w:after="0" w:line="193" w:lineRule="exact"/>
        <w:rPr>
          <w:sz w:val="20"/>
          <w:szCs w:val="20"/>
          <w:color w:val="auto"/>
        </w:rPr>
      </w:pPr>
    </w:p>
    <w:p>
      <w:pPr>
        <w:ind w:left="1160" w:hanging="300"/>
        <w:spacing w:after="0"/>
        <w:tabs>
          <w:tab w:leader="none" w:pos="11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be in writing;</w:t>
      </w:r>
    </w:p>
    <w:p>
      <w:pPr>
        <w:spacing w:after="0" w:line="193" w:lineRule="exact"/>
        <w:rPr>
          <w:rFonts w:ascii="Arial" w:cs="Arial" w:eastAsia="Arial" w:hAnsi="Arial"/>
          <w:sz w:val="16"/>
          <w:szCs w:val="16"/>
          <w:color w:val="auto"/>
        </w:rPr>
      </w:pPr>
    </w:p>
    <w:p>
      <w:pPr>
        <w:ind w:left="1200" w:hanging="340"/>
        <w:spacing w:after="0"/>
        <w:tabs>
          <w:tab w:leader="none" w:pos="12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specify the time of such meeting and the general nature of the business proposed to be transacted; and</w:t>
      </w:r>
    </w:p>
    <w:p>
      <w:pPr>
        <w:spacing w:after="0" w:line="193" w:lineRule="exact"/>
        <w:rPr>
          <w:rFonts w:ascii="Arial" w:cs="Arial" w:eastAsia="Arial" w:hAnsi="Arial"/>
          <w:sz w:val="16"/>
          <w:szCs w:val="16"/>
          <w:color w:val="auto"/>
        </w:rPr>
      </w:pPr>
    </w:p>
    <w:p>
      <w:pPr>
        <w:ind w:right="80" w:firstLine="860"/>
        <w:spacing w:after="0" w:line="266" w:lineRule="auto"/>
        <w:tabs>
          <w:tab w:leader="none" w:pos="125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58" w:lineRule="exact"/>
        <w:rPr>
          <w:sz w:val="20"/>
          <w:szCs w:val="20"/>
          <w:color w:val="auto"/>
        </w:rPr>
      </w:pPr>
    </w:p>
    <w:p>
      <w:pPr>
        <w:ind w:firstLine="385"/>
        <w:spacing w:after="0" w:line="329" w:lineRule="auto"/>
        <w:rPr>
          <w:sz w:val="20"/>
          <w:szCs w:val="20"/>
          <w:color w:val="auto"/>
        </w:rPr>
      </w:pPr>
      <w:r>
        <w:rPr>
          <w:rFonts w:ascii="Arial" w:cs="Arial" w:eastAsia="Arial" w:hAnsi="Arial"/>
          <w:sz w:val="13"/>
          <w:szCs w:val="13"/>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3"/>
          <w:szCs w:val="13"/>
          <w:b w:val="1"/>
          <w:bCs w:val="1"/>
          <w:color w:val="auto"/>
        </w:rPr>
        <w:t>section 1.3</w:t>
      </w:r>
      <w:r>
        <w:rPr>
          <w:rFonts w:ascii="Arial" w:cs="Arial" w:eastAsia="Arial" w:hAnsi="Arial"/>
          <w:sz w:val="13"/>
          <w:szCs w:val="13"/>
          <w:color w:val="auto"/>
        </w:rPr>
        <w:t xml:space="preserve"> shall be construed as limiting, fixing, or affecting the time when a meeting of stockholders called by action of the Board may be held.</w:t>
      </w:r>
    </w:p>
    <w:p>
      <w:pPr>
        <w:spacing w:after="0" w:line="123" w:lineRule="exact"/>
        <w:rPr>
          <w:sz w:val="20"/>
          <w:szCs w:val="20"/>
          <w:color w:val="auto"/>
        </w:rPr>
      </w:pPr>
    </w:p>
    <w:p>
      <w:pPr>
        <w:ind w:right="140" w:firstLine="385"/>
        <w:spacing w:after="0" w:line="319"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i w:val="1"/>
          <w:iCs w:val="1"/>
          <w:color w:val="auto"/>
        </w:rPr>
        <w:t>Notice of Stockholders’ Meetings</w:t>
      </w:r>
      <w:r>
        <w:rPr>
          <w:rFonts w:ascii="Arial" w:cs="Arial" w:eastAsia="Arial" w:hAnsi="Arial"/>
          <w:sz w:val="13"/>
          <w:szCs w:val="13"/>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w:t>
      </w:r>
    </w:p>
    <w:p>
      <w:pPr>
        <w:sectPr>
          <w:pgSz w:w="11900" w:h="16838" w:orient="portrait"/>
          <w:cols w:equalWidth="0" w:num="1">
            <w:col w:w="9600"/>
          </w:cols>
          <w:pgMar w:left="1140" w:top="252" w:right="1159" w:bottom="1440" w:gutter="0" w:footer="0" w:header="0"/>
        </w:sectPr>
      </w:pPr>
    </w:p>
    <w:bookmarkStart w:id="343" w:name="page344"/>
    <w:bookmarkEnd w:id="343"/>
    <w:p>
      <w:pPr>
        <w:ind w:right="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60 days before the date of the meeting to each stockholder entitled to vote at such meeting as of the record date for determining the stockholders entitled to notice of the meeting.</w:t>
      </w:r>
    </w:p>
    <w:p>
      <w:pPr>
        <w:spacing w:after="0" w:line="158" w:lineRule="exact"/>
        <w:rPr>
          <w:sz w:val="20"/>
          <w:szCs w:val="20"/>
          <w:color w:val="auto"/>
        </w:rPr>
      </w:pPr>
    </w:p>
    <w:p>
      <w:pPr>
        <w:ind w:right="40" w:firstLine="385"/>
        <w:spacing w:after="0" w:line="25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Quorum</w:t>
      </w:r>
      <w:r>
        <w:rPr>
          <w:rFonts w:ascii="Arial" w:cs="Arial" w:eastAsia="Arial" w:hAnsi="Arial"/>
          <w:sz w:val="16"/>
          <w:szCs w:val="16"/>
          <w:color w:val="auto"/>
        </w:rPr>
        <w:t>.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71" w:lineRule="exact"/>
        <w:rPr>
          <w:sz w:val="20"/>
          <w:szCs w:val="20"/>
          <w:color w:val="auto"/>
        </w:rPr>
      </w:pPr>
    </w:p>
    <w:p>
      <w:pPr>
        <w:jc w:val="both"/>
        <w:ind w:right="40" w:firstLine="385"/>
        <w:spacing w:after="0" w:line="256" w:lineRule="auto"/>
        <w:rPr>
          <w:sz w:val="20"/>
          <w:szCs w:val="20"/>
          <w:color w:val="auto"/>
        </w:rPr>
      </w:pPr>
      <w:r>
        <w:rPr>
          <w:rFonts w:ascii="Arial" w:cs="Arial" w:eastAsia="Arial" w:hAnsi="Arial"/>
          <w:sz w:val="16"/>
          <w:szCs w:val="16"/>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6"/>
          <w:szCs w:val="16"/>
          <w:b w:val="1"/>
          <w:bCs w:val="1"/>
          <w:color w:val="auto"/>
        </w:rPr>
        <w:t>section 1.6</w:t>
      </w:r>
      <w:r>
        <w:rPr>
          <w:rFonts w:ascii="Arial" w:cs="Arial" w:eastAsia="Arial" w:hAnsi="Arial"/>
          <w:sz w:val="16"/>
          <w:szCs w:val="16"/>
          <w:color w:val="auto"/>
        </w:rPr>
        <w:t>, until a quorum is present or represented.</w:t>
      </w:r>
    </w:p>
    <w:p>
      <w:pPr>
        <w:spacing w:after="0" w:line="166" w:lineRule="exact"/>
        <w:rPr>
          <w:sz w:val="20"/>
          <w:szCs w:val="20"/>
          <w:color w:val="auto"/>
        </w:rPr>
      </w:pPr>
    </w:p>
    <w:p>
      <w:pPr>
        <w:ind w:firstLine="385"/>
        <w:spacing w:after="0" w:line="267"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b w:val="1"/>
          <w:bCs w:val="1"/>
          <w:i w:val="1"/>
          <w:iCs w:val="1"/>
          <w:color w:val="auto"/>
        </w:rPr>
        <w:t>Adjourned Meeting; Notice</w:t>
      </w:r>
      <w:r>
        <w:rPr>
          <w:rFonts w:ascii="Arial" w:cs="Arial" w:eastAsia="Arial" w:hAnsi="Arial"/>
          <w:sz w:val="15"/>
          <w:szCs w:val="15"/>
          <w:color w:val="auto"/>
        </w:rPr>
        <w:t xml:space="preserve">.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w:t>
      </w:r>
      <w:r>
        <w:rPr>
          <w:rFonts w:ascii="Arial" w:cs="Arial" w:eastAsia="Arial" w:hAnsi="Arial"/>
          <w:sz w:val="15"/>
          <w:szCs w:val="15"/>
          <w:b w:val="1"/>
          <w:bCs w:val="1"/>
          <w:color w:val="auto"/>
        </w:rPr>
        <w:t>section 1.10</w:t>
      </w:r>
      <w:r>
        <w:rPr>
          <w:rFonts w:ascii="Arial" w:cs="Arial" w:eastAsia="Arial" w:hAnsi="Arial"/>
          <w:sz w:val="15"/>
          <w:szCs w:val="15"/>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59" w:lineRule="exact"/>
        <w:rPr>
          <w:sz w:val="20"/>
          <w:szCs w:val="20"/>
          <w:color w:val="auto"/>
        </w:rPr>
      </w:pPr>
    </w:p>
    <w:p>
      <w:pPr>
        <w:ind w:firstLine="385"/>
        <w:spacing w:after="0" w:line="316" w:lineRule="auto"/>
        <w:rPr>
          <w:sz w:val="20"/>
          <w:szCs w:val="20"/>
          <w:color w:val="auto"/>
        </w:rPr>
      </w:pPr>
      <w:r>
        <w:rPr>
          <w:rFonts w:ascii="Arial" w:cs="Arial" w:eastAsia="Arial" w:hAnsi="Arial"/>
          <w:sz w:val="13"/>
          <w:szCs w:val="13"/>
          <w:color w:val="auto"/>
        </w:rPr>
        <w:t xml:space="preserve">1.7 </w:t>
      </w:r>
      <w:r>
        <w:rPr>
          <w:rFonts w:ascii="Arial" w:cs="Arial" w:eastAsia="Arial" w:hAnsi="Arial"/>
          <w:sz w:val="13"/>
          <w:szCs w:val="13"/>
          <w:b w:val="1"/>
          <w:bCs w:val="1"/>
          <w:i w:val="1"/>
          <w:iCs w:val="1"/>
          <w:color w:val="auto"/>
        </w:rPr>
        <w:t>Conduct of Business</w:t>
      </w:r>
      <w:r>
        <w:rPr>
          <w:rFonts w:ascii="Arial" w:cs="Arial" w:eastAsia="Arial" w:hAnsi="Arial"/>
          <w:sz w:val="13"/>
          <w:szCs w:val="13"/>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 and shall have the power to adjourn the meeting to another place, if any, date or time, whether or not a quorum is present.</w:t>
      </w:r>
    </w:p>
    <w:p>
      <w:pPr>
        <w:spacing w:after="0" w:line="131" w:lineRule="exact"/>
        <w:rPr>
          <w:sz w:val="20"/>
          <w:szCs w:val="20"/>
          <w:color w:val="auto"/>
        </w:rPr>
      </w:pPr>
    </w:p>
    <w:p>
      <w:pPr>
        <w:ind w:right="540" w:firstLine="385"/>
        <w:spacing w:after="0" w:line="256"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i w:val="1"/>
          <w:iCs w:val="1"/>
          <w:color w:val="auto"/>
        </w:rPr>
        <w:t>Voting</w:t>
      </w:r>
      <w:r>
        <w:rPr>
          <w:rFonts w:ascii="Arial" w:cs="Arial" w:eastAsia="Arial" w:hAnsi="Arial"/>
          <w:sz w:val="16"/>
          <w:szCs w:val="16"/>
          <w:color w:val="auto"/>
        </w:rPr>
        <w:t xml:space="preserve">. The stockholders entitled to vote at any meeting of stockholders shall be determined in accordance with the provisions of </w:t>
      </w:r>
      <w:r>
        <w:rPr>
          <w:rFonts w:ascii="Arial" w:cs="Arial" w:eastAsia="Arial" w:hAnsi="Arial"/>
          <w:sz w:val="16"/>
          <w:szCs w:val="16"/>
          <w:b w:val="1"/>
          <w:bCs w:val="1"/>
          <w:color w:val="auto"/>
        </w:rPr>
        <w:t xml:space="preserve">section 1.10 </w:t>
      </w:r>
      <w:r>
        <w:rPr>
          <w:rFonts w:ascii="Arial" w:cs="Arial" w:eastAsia="Arial" w:hAnsi="Arial"/>
          <w:sz w:val="16"/>
          <w:szCs w:val="16"/>
          <w:color w:val="auto"/>
        </w:rPr>
        <w:t>of these bylaws, subject to Section 217 (relating to voting rights of fiduciaries, pledgors and joint owners of stock) and Section 218</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voting trusts and other voting agreements) of the DGCL.</w:t>
      </w:r>
    </w:p>
    <w:p>
      <w:pPr>
        <w:spacing w:after="0" w:line="166" w:lineRule="exact"/>
        <w:rPr>
          <w:sz w:val="20"/>
          <w:szCs w:val="20"/>
          <w:color w:val="auto"/>
        </w:rPr>
      </w:pPr>
    </w:p>
    <w:p>
      <w:pPr>
        <w:ind w:right="120" w:firstLine="385"/>
        <w:spacing w:after="0" w:line="267" w:lineRule="auto"/>
        <w:rPr>
          <w:sz w:val="20"/>
          <w:szCs w:val="20"/>
          <w:color w:val="auto"/>
        </w:rPr>
      </w:pPr>
      <w:r>
        <w:rPr>
          <w:rFonts w:ascii="Arial" w:cs="Arial" w:eastAsia="Arial" w:hAnsi="Arial"/>
          <w:sz w:val="15"/>
          <w:szCs w:val="15"/>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5"/>
          <w:szCs w:val="15"/>
          <w:b w:val="1"/>
          <w:bCs w:val="1"/>
          <w:color w:val="auto"/>
        </w:rPr>
        <w:t>section 7.2</w:t>
      </w:r>
      <w:r>
        <w:rPr>
          <w:rFonts w:ascii="Arial" w:cs="Arial" w:eastAsia="Arial" w:hAnsi="Arial"/>
          <w:sz w:val="15"/>
          <w:szCs w:val="15"/>
          <w:color w:val="auto"/>
        </w:rPr>
        <w:t xml:space="preserve"> of these bylaws),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9600"/>
          </w:cols>
          <w:pgMar w:left="1140" w:top="256" w:right="1159" w:bottom="1440" w:gutter="0" w:footer="0" w:header="0"/>
        </w:sectPr>
      </w:pPr>
    </w:p>
    <w:bookmarkStart w:id="344" w:name="page345"/>
    <w:bookmarkEnd w:id="344"/>
    <w:p>
      <w:pPr>
        <w:ind w:right="20" w:firstLine="385"/>
        <w:spacing w:after="0" w:line="31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31" w:lineRule="exact"/>
        <w:rPr>
          <w:sz w:val="20"/>
          <w:szCs w:val="20"/>
          <w:color w:val="auto"/>
        </w:rPr>
      </w:pPr>
    </w:p>
    <w:p>
      <w:pPr>
        <w:ind w:right="120" w:firstLine="385"/>
        <w:spacing w:after="0" w:line="323"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b w:val="1"/>
          <w:bCs w:val="1"/>
          <w:i w:val="1"/>
          <w:iCs w:val="1"/>
          <w:color w:val="auto"/>
        </w:rPr>
        <w:t>Stockholder Action by Written Consent Without a Meeting</w:t>
      </w:r>
      <w:r>
        <w:rPr>
          <w:rFonts w:ascii="Arial" w:cs="Arial" w:eastAsia="Arial" w:hAnsi="Arial"/>
          <w:sz w:val="13"/>
          <w:szCs w:val="13"/>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26" w:lineRule="exact"/>
        <w:rPr>
          <w:sz w:val="20"/>
          <w:szCs w:val="20"/>
          <w:color w:val="auto"/>
        </w:rPr>
      </w:pPr>
    </w:p>
    <w:p>
      <w:pPr>
        <w:ind w:firstLine="385"/>
        <w:spacing w:after="0" w:line="312" w:lineRule="auto"/>
        <w:rPr>
          <w:sz w:val="20"/>
          <w:szCs w:val="20"/>
          <w:color w:val="auto"/>
        </w:rPr>
      </w:pPr>
      <w:r>
        <w:rPr>
          <w:rFonts w:ascii="Arial" w:cs="Arial" w:eastAsia="Arial" w:hAnsi="Arial"/>
          <w:sz w:val="13"/>
          <w:szCs w:val="13"/>
          <w:color w:val="auto"/>
        </w:rPr>
        <w:t xml:space="preserve">Every written consent shall bear the date of signature of each stockholder who signs the consent, and no written consent shall be effective to take the corporate action referred to therein unless, within 60 days of the earliest dated consent delivered in the manner required by Section 228 of the DGCL to the Company, written consents signed by a sufficient number of holders to take action are delivered to the Company by delivery to its registered office in the State of Delaware, its principal place of business or an officer or agent of the Company having custody of the book in which proceedings of meetings of stockholders are recorded. Delivery made to the Company’s registered office shall be by hand or by certified or registered mail, return receipt requested.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and, for the purposes of this </w:t>
      </w:r>
      <w:r>
        <w:rPr>
          <w:rFonts w:ascii="Arial" w:cs="Arial" w:eastAsia="Arial" w:hAnsi="Arial"/>
          <w:sz w:val="13"/>
          <w:szCs w:val="13"/>
          <w:b w:val="1"/>
          <w:bCs w:val="1"/>
          <w:color w:val="auto"/>
        </w:rPr>
        <w:t>section 1.9</w:t>
      </w:r>
      <w:r>
        <w:rPr>
          <w:rFonts w:ascii="Arial" w:cs="Arial" w:eastAsia="Arial" w:hAnsi="Arial"/>
          <w:sz w:val="13"/>
          <w:szCs w:val="13"/>
          <w:color w:val="auto"/>
        </w:rPr>
        <w:t>, if evidence of such instruction or provision is provided to the Company, such later effective time shall serve as the date of signature. Unless otherwise provided, any such consent shall be revocable prior to its becoming effective.</w:t>
      </w:r>
    </w:p>
    <w:p>
      <w:pPr>
        <w:spacing w:after="0" w:line="133" w:lineRule="exact"/>
        <w:rPr>
          <w:sz w:val="20"/>
          <w:szCs w:val="20"/>
          <w:color w:val="auto"/>
        </w:rPr>
      </w:pPr>
    </w:p>
    <w:p>
      <w:pPr>
        <w:ind w:right="40" w:firstLine="385"/>
        <w:spacing w:after="0" w:line="324" w:lineRule="auto"/>
        <w:rPr>
          <w:sz w:val="20"/>
          <w:szCs w:val="20"/>
          <w:color w:val="auto"/>
        </w:rPr>
      </w:pPr>
      <w:r>
        <w:rPr>
          <w:rFonts w:ascii="Arial" w:cs="Arial" w:eastAsia="Arial" w:hAnsi="Arial"/>
          <w:sz w:val="13"/>
          <w:szCs w:val="13"/>
          <w:color w:val="auto"/>
        </w:rPr>
        <w:t xml:space="preserve">An electronic transmission (as defined in </w:t>
      </w:r>
      <w:r>
        <w:rPr>
          <w:rFonts w:ascii="Arial" w:cs="Arial" w:eastAsia="Arial" w:hAnsi="Arial"/>
          <w:sz w:val="13"/>
          <w:szCs w:val="13"/>
          <w:b w:val="1"/>
          <w:bCs w:val="1"/>
          <w:color w:val="auto"/>
        </w:rPr>
        <w:t>section 7.2</w:t>
      </w:r>
      <w:r>
        <w:rPr>
          <w:rFonts w:ascii="Arial" w:cs="Arial" w:eastAsia="Arial" w:hAnsi="Arial"/>
          <w:sz w:val="13"/>
          <w:szCs w:val="13"/>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any such electronic transmission sets forth or is delivered with information from which the Company can determine (i) that the electronic</w:t>
      </w:r>
      <w:r>
        <w:rPr>
          <w:rFonts w:ascii="Arial" w:cs="Arial" w:eastAsia="Arial" w:hAnsi="Arial"/>
          <w:sz w:val="13"/>
          <w:szCs w:val="13"/>
          <w:i w:val="1"/>
          <w:iCs w:val="1"/>
          <w:color w:val="auto"/>
        </w:rPr>
        <w:t xml:space="preserve"> </w:t>
      </w:r>
      <w:r>
        <w:rPr>
          <w:rFonts w:ascii="Arial" w:cs="Arial" w:eastAsia="Arial" w:hAnsi="Arial"/>
          <w:sz w:val="13"/>
          <w:szCs w:val="13"/>
          <w:color w:val="auto"/>
        </w:rPr>
        <w:t>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27" w:lineRule="exact"/>
        <w:rPr>
          <w:sz w:val="20"/>
          <w:szCs w:val="20"/>
          <w:color w:val="auto"/>
        </w:rPr>
      </w:pPr>
    </w:p>
    <w:p>
      <w:pPr>
        <w:ind w:right="220" w:firstLine="385"/>
        <w:spacing w:after="0" w:line="251" w:lineRule="auto"/>
        <w:rPr>
          <w:sz w:val="20"/>
          <w:szCs w:val="20"/>
          <w:color w:val="auto"/>
        </w:rPr>
      </w:pPr>
      <w:r>
        <w:rPr>
          <w:rFonts w:ascii="Arial" w:cs="Arial" w:eastAsia="Arial" w:hAnsi="Arial"/>
          <w:sz w:val="16"/>
          <w:szCs w:val="16"/>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9620"/>
          </w:cols>
          <w:pgMar w:left="1140" w:top="256" w:right="1139" w:bottom="1440" w:gutter="0" w:footer="0" w:header="0"/>
        </w:sectPr>
      </w:pPr>
    </w:p>
    <w:bookmarkStart w:id="345" w:name="page346"/>
    <w:bookmarkEnd w:id="345"/>
    <w:p>
      <w:pPr>
        <w:ind w:right="80" w:firstLine="385"/>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61" w:lineRule="exact"/>
        <w:rPr>
          <w:sz w:val="20"/>
          <w:szCs w:val="20"/>
          <w:color w:val="auto"/>
        </w:rPr>
      </w:pPr>
    </w:p>
    <w:p>
      <w:pPr>
        <w:ind w:right="20" w:firstLine="385"/>
        <w:spacing w:after="0" w:line="323" w:lineRule="auto"/>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b w:val="1"/>
          <w:bCs w:val="1"/>
          <w:i w:val="1"/>
          <w:iCs w:val="1"/>
          <w:color w:val="auto"/>
        </w:rPr>
        <w:t>Record Dates</w:t>
      </w:r>
      <w:r>
        <w:rPr>
          <w:rFonts w:ascii="Arial" w:cs="Arial" w:eastAsia="Arial" w:hAnsi="Arial"/>
          <w:sz w:val="13"/>
          <w:szCs w:val="13"/>
          <w:color w:val="auto"/>
        </w:rPr>
        <w:t>. In order that the Company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26" w:lineRule="exact"/>
        <w:rPr>
          <w:sz w:val="20"/>
          <w:szCs w:val="20"/>
          <w:color w:val="auto"/>
        </w:rPr>
      </w:pPr>
    </w:p>
    <w:p>
      <w:pPr>
        <w:ind w:right="140" w:firstLine="385"/>
        <w:spacing w:after="0" w:line="256" w:lineRule="auto"/>
        <w:rPr>
          <w:sz w:val="20"/>
          <w:szCs w:val="20"/>
          <w:color w:val="auto"/>
        </w:rPr>
      </w:pPr>
      <w:r>
        <w:rPr>
          <w:rFonts w:ascii="Arial" w:cs="Arial" w:eastAsia="Arial" w:hAnsi="Arial"/>
          <w:sz w:val="16"/>
          <w:szCs w:val="16"/>
          <w:color w:val="auto"/>
        </w:rPr>
        <w:t>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66" w:lineRule="exact"/>
        <w:rPr>
          <w:sz w:val="20"/>
          <w:szCs w:val="20"/>
          <w:color w:val="auto"/>
        </w:rPr>
      </w:pPr>
    </w:p>
    <w:p>
      <w:pPr>
        <w:ind w:right="40" w:firstLine="385"/>
        <w:spacing w:after="0" w:line="251" w:lineRule="auto"/>
        <w:rPr>
          <w:sz w:val="20"/>
          <w:szCs w:val="20"/>
          <w:color w:val="auto"/>
        </w:rPr>
      </w:pPr>
      <w:r>
        <w:rPr>
          <w:rFonts w:ascii="Arial" w:cs="Arial" w:eastAsia="Arial" w:hAnsi="Arial"/>
          <w:sz w:val="16"/>
          <w:szCs w:val="16"/>
          <w:color w:val="auto"/>
        </w:rPr>
        <w:t xml:space="preserve">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1.10 at the adjourned meeting.</w:t>
      </w:r>
    </w:p>
    <w:p>
      <w:pPr>
        <w:spacing w:after="0" w:line="170" w:lineRule="exact"/>
        <w:rPr>
          <w:sz w:val="20"/>
          <w:szCs w:val="20"/>
          <w:color w:val="auto"/>
        </w:rPr>
      </w:pPr>
    </w:p>
    <w:p>
      <w:pPr>
        <w:ind w:firstLine="385"/>
        <w:spacing w:after="0" w:line="267" w:lineRule="auto"/>
        <w:rPr>
          <w:sz w:val="20"/>
          <w:szCs w:val="20"/>
          <w:color w:val="auto"/>
        </w:rPr>
      </w:pPr>
      <w:r>
        <w:rPr>
          <w:rFonts w:ascii="Arial" w:cs="Arial" w:eastAsia="Arial" w:hAnsi="Arial"/>
          <w:sz w:val="15"/>
          <w:szCs w:val="15"/>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63" w:lineRule="exact"/>
        <w:rPr>
          <w:sz w:val="20"/>
          <w:szCs w:val="20"/>
          <w:color w:val="auto"/>
        </w:rPr>
      </w:pPr>
    </w:p>
    <w:p>
      <w:pPr>
        <w:ind w:firstLine="385"/>
        <w:spacing w:after="0" w:line="323" w:lineRule="auto"/>
        <w:rPr>
          <w:sz w:val="20"/>
          <w:szCs w:val="20"/>
          <w:color w:val="auto"/>
        </w:rPr>
      </w:pPr>
      <w:r>
        <w:rPr>
          <w:rFonts w:ascii="Arial" w:cs="Arial" w:eastAsia="Arial" w:hAnsi="Arial"/>
          <w:sz w:val="13"/>
          <w:szCs w:val="13"/>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9600"/>
          </w:cols>
          <w:pgMar w:left="1140" w:top="256" w:right="1159" w:bottom="1440" w:gutter="0" w:footer="0" w:header="0"/>
        </w:sectPr>
      </w:pPr>
    </w:p>
    <w:bookmarkStart w:id="346" w:name="page347"/>
    <w:bookmarkEnd w:id="346"/>
    <w:p>
      <w:pPr>
        <w:ind w:right="180" w:firstLine="385"/>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1.11 </w:t>
      </w:r>
      <w:r>
        <w:rPr>
          <w:rFonts w:ascii="Arial" w:cs="Arial" w:eastAsia="Arial" w:hAnsi="Arial"/>
          <w:sz w:val="16"/>
          <w:szCs w:val="16"/>
          <w:b w:val="1"/>
          <w:bCs w:val="1"/>
          <w:i w:val="1"/>
          <w:iCs w:val="1"/>
          <w:color w:val="auto"/>
        </w:rPr>
        <w:t>Proxies</w:t>
      </w:r>
      <w:r>
        <w:rPr>
          <w:rFonts w:ascii="Arial" w:cs="Arial" w:eastAsia="Arial" w:hAnsi="Arial"/>
          <w:sz w:val="16"/>
          <w:szCs w:val="16"/>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70" w:lineRule="exact"/>
        <w:rPr>
          <w:sz w:val="20"/>
          <w:szCs w:val="20"/>
          <w:color w:val="auto"/>
        </w:rPr>
      </w:pPr>
    </w:p>
    <w:p>
      <w:pPr>
        <w:ind w:firstLine="385"/>
        <w:spacing w:after="0" w:line="310"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i w:val="1"/>
          <w:iCs w:val="1"/>
          <w:color w:val="auto"/>
        </w:rPr>
        <w:t>List of Stockholders Entitled to Vote</w:t>
      </w:r>
      <w:r>
        <w:rPr>
          <w:rFonts w:ascii="Arial" w:cs="Arial" w:eastAsia="Arial" w:hAnsi="Arial"/>
          <w:sz w:val="13"/>
          <w:szCs w:val="13"/>
          <w:color w:val="auto"/>
        </w:rPr>
        <w:t xml:space="preserve">. The officer who has charge of the stock ledger of the Company shall prepare and make, at least ten days before every meeting of stockholders, a complete list of the stockholders entitled to vote at the meeting;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 — DIRECTORS</w:t>
      </w:r>
    </w:p>
    <w:p>
      <w:pPr>
        <w:spacing w:after="0" w:line="197" w:lineRule="exact"/>
        <w:rPr>
          <w:sz w:val="20"/>
          <w:szCs w:val="20"/>
          <w:color w:val="auto"/>
        </w:rPr>
      </w:pPr>
    </w:p>
    <w:p>
      <w:pPr>
        <w:ind w:right="400" w:firstLine="385"/>
        <w:spacing w:after="0" w:line="26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i w:val="1"/>
          <w:iCs w:val="1"/>
          <w:color w:val="auto"/>
        </w:rPr>
        <w:t>Powers</w:t>
      </w:r>
      <w:r>
        <w:rPr>
          <w:rFonts w:ascii="Arial" w:cs="Arial" w:eastAsia="Arial" w:hAnsi="Arial"/>
          <w:sz w:val="16"/>
          <w:szCs w:val="16"/>
          <w:color w:val="auto"/>
        </w:rPr>
        <w:t>. The business and affairs of the Company shall be managed by or under the direction of the Board, except as may be otherwise provided in the DGCL or the certificate of incorporation.</w:t>
      </w:r>
    </w:p>
    <w:p>
      <w:pPr>
        <w:spacing w:after="0" w:line="158" w:lineRule="exact"/>
        <w:rPr>
          <w:sz w:val="20"/>
          <w:szCs w:val="20"/>
          <w:color w:val="auto"/>
        </w:rPr>
      </w:pPr>
    </w:p>
    <w:p>
      <w:pPr>
        <w:ind w:right="180" w:firstLine="385"/>
        <w:spacing w:after="0" w:line="343"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i w:val="1"/>
          <w:iCs w:val="1"/>
          <w:color w:val="auto"/>
        </w:rPr>
        <w:t>Number of Directors</w:t>
      </w:r>
      <w:r>
        <w:rPr>
          <w:rFonts w:ascii="Arial" w:cs="Arial" w:eastAsia="Arial" w:hAnsi="Arial"/>
          <w:sz w:val="13"/>
          <w:szCs w:val="13"/>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10" w:lineRule="exact"/>
        <w:rPr>
          <w:sz w:val="20"/>
          <w:szCs w:val="20"/>
          <w:color w:val="auto"/>
        </w:rPr>
      </w:pPr>
    </w:p>
    <w:p>
      <w:pPr>
        <w:ind w:right="100" w:firstLine="385"/>
        <w:spacing w:after="0" w:line="332"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i w:val="1"/>
          <w:iCs w:val="1"/>
          <w:color w:val="auto"/>
        </w:rPr>
        <w:t>Election, Qualification and Term of Office of Directors</w:t>
      </w:r>
      <w:r>
        <w:rPr>
          <w:rFonts w:ascii="Arial" w:cs="Arial" w:eastAsia="Arial" w:hAnsi="Arial"/>
          <w:sz w:val="13"/>
          <w:szCs w:val="13"/>
          <w:color w:val="auto"/>
        </w:rPr>
        <w:t xml:space="preserve">. Except as provided in </w:t>
      </w:r>
      <w:r>
        <w:rPr>
          <w:rFonts w:ascii="Arial" w:cs="Arial" w:eastAsia="Arial" w:hAnsi="Arial"/>
          <w:sz w:val="13"/>
          <w:szCs w:val="13"/>
          <w:b w:val="1"/>
          <w:bCs w:val="1"/>
          <w:color w:val="auto"/>
        </w:rPr>
        <w:t>section 2.4</w:t>
      </w:r>
      <w:r>
        <w:rPr>
          <w:rFonts w:ascii="Arial" w:cs="Arial" w:eastAsia="Arial" w:hAnsi="Arial"/>
          <w:sz w:val="13"/>
          <w:szCs w:val="13"/>
          <w:color w:val="auto"/>
        </w:rPr>
        <w:t xml:space="preserve"> of these bylaws, and subject to </w:t>
      </w:r>
      <w:r>
        <w:rPr>
          <w:rFonts w:ascii="Arial" w:cs="Arial" w:eastAsia="Arial" w:hAnsi="Arial"/>
          <w:sz w:val="13"/>
          <w:szCs w:val="13"/>
          <w:b w:val="1"/>
          <w:bCs w:val="1"/>
          <w:color w:val="auto"/>
        </w:rPr>
        <w:t>sections 1.2</w:t>
      </w:r>
      <w:r>
        <w:rPr>
          <w:rFonts w:ascii="Arial" w:cs="Arial" w:eastAsia="Arial" w:hAnsi="Arial"/>
          <w:sz w:val="13"/>
          <w:szCs w:val="13"/>
          <w:color w:val="auto"/>
        </w:rPr>
        <w:t xml:space="preserve"> and </w:t>
      </w:r>
      <w:r>
        <w:rPr>
          <w:rFonts w:ascii="Arial" w:cs="Arial" w:eastAsia="Arial" w:hAnsi="Arial"/>
          <w:sz w:val="13"/>
          <w:szCs w:val="13"/>
          <w:b w:val="1"/>
          <w:bCs w:val="1"/>
          <w:color w:val="auto"/>
        </w:rPr>
        <w:t xml:space="preserve">1.9 </w:t>
      </w:r>
      <w:r>
        <w:rPr>
          <w:rFonts w:ascii="Arial" w:cs="Arial" w:eastAsia="Arial" w:hAnsi="Arial"/>
          <w:sz w:val="13"/>
          <w:szCs w:val="13"/>
          <w:color w:val="auto"/>
        </w:rPr>
        <w:t>of these bylaws, directors shall be elected at each annual meeting of stockholders. Directors need not be stockholders unless so required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20" w:lineRule="exact"/>
        <w:rPr>
          <w:sz w:val="20"/>
          <w:szCs w:val="20"/>
          <w:color w:val="auto"/>
        </w:rPr>
      </w:pPr>
    </w:p>
    <w:p>
      <w:pPr>
        <w:ind w:right="20" w:firstLine="385"/>
        <w:spacing w:after="0" w:line="319"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b w:val="1"/>
          <w:bCs w:val="1"/>
          <w:i w:val="1"/>
          <w:iCs w:val="1"/>
          <w:color w:val="auto"/>
        </w:rPr>
        <w:t>Resignation and Vacancies</w:t>
      </w:r>
      <w:r>
        <w:rPr>
          <w:rFonts w:ascii="Arial" w:cs="Arial" w:eastAsia="Arial" w:hAnsi="Arial"/>
          <w:sz w:val="13"/>
          <w:szCs w:val="13"/>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Unless otherwise provided in the certificate of incorporation or these bylaws: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ectPr>
          <w:pgSz w:w="11900" w:h="16838" w:orient="portrait"/>
          <w:cols w:equalWidth="0" w:num="1">
            <w:col w:w="9600"/>
          </w:cols>
          <w:pgMar w:left="1140" w:top="256" w:right="1159" w:bottom="1440" w:gutter="0" w:footer="0" w:header="0"/>
        </w:sectPr>
      </w:pPr>
    </w:p>
    <w:bookmarkStart w:id="347" w:name="page348"/>
    <w:bookmarkEnd w:id="347"/>
    <w:p>
      <w:pPr>
        <w:ind w:firstLine="860"/>
        <w:spacing w:after="0" w:line="256" w:lineRule="auto"/>
        <w:tabs>
          <w:tab w:leader="none" w:pos="1168" w:val="left"/>
        </w:tabs>
        <w:numPr>
          <w:ilvl w:val="0"/>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65" w:lineRule="exact"/>
        <w:rPr>
          <w:rFonts w:ascii="Arial" w:cs="Arial" w:eastAsia="Arial" w:hAnsi="Arial"/>
          <w:sz w:val="16"/>
          <w:szCs w:val="16"/>
          <w:color w:val="auto"/>
        </w:rPr>
      </w:pPr>
    </w:p>
    <w:p>
      <w:pPr>
        <w:ind w:right="80" w:firstLine="860"/>
        <w:spacing w:after="0" w:line="281" w:lineRule="auto"/>
        <w:tabs>
          <w:tab w:leader="none" w:pos="121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49" w:lineRule="exact"/>
        <w:rPr>
          <w:sz w:val="20"/>
          <w:szCs w:val="20"/>
          <w:color w:val="auto"/>
        </w:rPr>
      </w:pPr>
    </w:p>
    <w:p>
      <w:pPr>
        <w:ind w:right="120" w:firstLine="385"/>
        <w:spacing w:after="0" w:line="275" w:lineRule="auto"/>
        <w:rPr>
          <w:sz w:val="20"/>
          <w:szCs w:val="20"/>
          <w:color w:val="auto"/>
        </w:rPr>
      </w:pPr>
      <w:r>
        <w:rPr>
          <w:rFonts w:ascii="Arial" w:cs="Arial" w:eastAsia="Arial" w:hAnsi="Arial"/>
          <w:sz w:val="15"/>
          <w:szCs w:val="15"/>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53" w:lineRule="exact"/>
        <w:rPr>
          <w:sz w:val="20"/>
          <w:szCs w:val="20"/>
          <w:color w:val="auto"/>
        </w:rPr>
      </w:pPr>
    </w:p>
    <w:p>
      <w:pPr>
        <w:ind w:right="20" w:firstLine="385"/>
        <w:spacing w:after="0" w:line="272" w:lineRule="auto"/>
        <w:rPr>
          <w:sz w:val="20"/>
          <w:szCs w:val="20"/>
          <w:color w:val="auto"/>
        </w:rPr>
      </w:pPr>
      <w:r>
        <w:rPr>
          <w:rFonts w:ascii="Arial" w:cs="Arial" w:eastAsia="Arial" w:hAnsi="Arial"/>
          <w:sz w:val="15"/>
          <w:szCs w:val="15"/>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54" w:lineRule="exact"/>
        <w:rPr>
          <w:sz w:val="20"/>
          <w:szCs w:val="20"/>
          <w:color w:val="auto"/>
        </w:rPr>
      </w:pPr>
    </w:p>
    <w:p>
      <w:pPr>
        <w:ind w:right="100" w:firstLine="385"/>
        <w:spacing w:after="0" w:line="266" w:lineRule="auto"/>
        <w:rPr>
          <w:sz w:val="20"/>
          <w:szCs w:val="20"/>
          <w:color w:val="auto"/>
        </w:rPr>
      </w:pPr>
      <w:r>
        <w:rPr>
          <w:rFonts w:ascii="Arial" w:cs="Arial" w:eastAsia="Arial" w:hAnsi="Arial"/>
          <w:sz w:val="16"/>
          <w:szCs w:val="16"/>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58" w:lineRule="exact"/>
        <w:rPr>
          <w:sz w:val="20"/>
          <w:szCs w:val="20"/>
          <w:color w:val="auto"/>
        </w:rPr>
      </w:pPr>
    </w:p>
    <w:p>
      <w:pPr>
        <w:ind w:right="280" w:firstLine="385"/>
        <w:spacing w:after="0" w:line="26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Place of Meetings; Meetings by Telephone</w:t>
      </w:r>
      <w:r>
        <w:rPr>
          <w:rFonts w:ascii="Arial" w:cs="Arial" w:eastAsia="Arial" w:hAnsi="Arial"/>
          <w:sz w:val="16"/>
          <w:szCs w:val="16"/>
          <w:color w:val="auto"/>
        </w:rPr>
        <w:t>. The Board may hold meetings, both regular and special, either within or outside the State of Delaware.</w:t>
      </w:r>
    </w:p>
    <w:p>
      <w:pPr>
        <w:spacing w:after="0" w:line="158" w:lineRule="exact"/>
        <w:rPr>
          <w:sz w:val="20"/>
          <w:szCs w:val="20"/>
          <w:color w:val="auto"/>
        </w:rPr>
      </w:pPr>
    </w:p>
    <w:p>
      <w:pPr>
        <w:ind w:right="140" w:firstLine="385"/>
        <w:spacing w:after="0" w:line="253"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or any subcommittee, may participate in a meeting of the Board,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67" w:lineRule="exact"/>
        <w:rPr>
          <w:sz w:val="20"/>
          <w:szCs w:val="20"/>
          <w:color w:val="auto"/>
        </w:rPr>
      </w:pPr>
    </w:p>
    <w:p>
      <w:pPr>
        <w:ind w:right="140" w:firstLine="385"/>
        <w:spacing w:after="0" w:line="25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67"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i w:val="1"/>
          <w:iCs w:val="1"/>
          <w:color w:val="auto"/>
        </w:rPr>
        <w:t>Regular Meetings</w:t>
      </w:r>
      <w:r>
        <w:rPr>
          <w:rFonts w:ascii="Arial" w:cs="Arial" w:eastAsia="Arial" w:hAnsi="Arial"/>
          <w:sz w:val="16"/>
          <w:szCs w:val="16"/>
          <w:color w:val="auto"/>
        </w:rPr>
        <w:t>. Regular meetings of the Board may be held without notice at such time and at such place as shall from time to time be determined by the Board.</w:t>
      </w:r>
    </w:p>
    <w:p>
      <w:pPr>
        <w:spacing w:after="0" w:line="158"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i w:val="1"/>
          <w:iCs w:val="1"/>
          <w:color w:val="auto"/>
        </w:rPr>
        <w:t>Special Meetings; Notice</w:t>
      </w:r>
      <w:r>
        <w:rPr>
          <w:rFonts w:ascii="Arial" w:cs="Arial" w:eastAsia="Arial" w:hAnsi="Arial"/>
          <w:sz w:val="16"/>
          <w:szCs w:val="16"/>
          <w:color w:val="auto"/>
        </w:rPr>
        <w:t>. Special meetings of the Board for any purpose or purposes may be called at any time by the Chairperson of the Board, the Chief Executive Officer, the President, the Secretary or any two directors.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Notice of the time and place of special meetings shall be: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9600"/>
          </w:cols>
          <w:pgMar w:left="1140" w:top="256" w:right="1159" w:bottom="1440" w:gutter="0" w:footer="0" w:header="0"/>
        </w:sectPr>
      </w:pPr>
    </w:p>
    <w:bookmarkStart w:id="348" w:name="page349"/>
    <w:bookmarkEnd w:id="348"/>
    <w:p>
      <w:pPr>
        <w:ind w:left="1160" w:hanging="300"/>
        <w:spacing w:after="0"/>
        <w:tabs>
          <w:tab w:leader="none" w:pos="11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delivered personally by hand, by courier or by telephone;</w:t>
      </w:r>
    </w:p>
    <w:p>
      <w:pPr>
        <w:spacing w:after="0" w:line="193" w:lineRule="exact"/>
        <w:rPr>
          <w:rFonts w:ascii="Arial" w:cs="Arial" w:eastAsia="Arial" w:hAnsi="Arial"/>
          <w:sz w:val="16"/>
          <w:szCs w:val="16"/>
          <w:color w:val="auto"/>
        </w:rPr>
      </w:pPr>
    </w:p>
    <w:p>
      <w:pPr>
        <w:ind w:left="1200" w:hanging="340"/>
        <w:spacing w:after="0"/>
        <w:tabs>
          <w:tab w:leader="none" w:pos="12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sent by United States first-class mail, postage prepaid;</w:t>
      </w:r>
    </w:p>
    <w:p>
      <w:pPr>
        <w:spacing w:after="0" w:line="193" w:lineRule="exact"/>
        <w:rPr>
          <w:rFonts w:ascii="Arial" w:cs="Arial" w:eastAsia="Arial" w:hAnsi="Arial"/>
          <w:sz w:val="16"/>
          <w:szCs w:val="16"/>
          <w:color w:val="auto"/>
        </w:rPr>
      </w:pPr>
    </w:p>
    <w:p>
      <w:pPr>
        <w:ind w:left="1260" w:hanging="400"/>
        <w:spacing w:after="0"/>
        <w:tabs>
          <w:tab w:leader="none" w:pos="12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sent by facsimile;</w:t>
      </w:r>
    </w:p>
    <w:p>
      <w:pPr>
        <w:spacing w:after="0" w:line="193" w:lineRule="exact"/>
        <w:rPr>
          <w:rFonts w:ascii="Arial" w:cs="Arial" w:eastAsia="Arial" w:hAnsi="Arial"/>
          <w:sz w:val="16"/>
          <w:szCs w:val="16"/>
          <w:color w:val="auto"/>
        </w:rPr>
      </w:pPr>
    </w:p>
    <w:p>
      <w:pPr>
        <w:ind w:left="1240" w:hanging="380"/>
        <w:spacing w:after="0"/>
        <w:tabs>
          <w:tab w:leader="none" w:pos="12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sent by electronic mail; or</w:t>
      </w:r>
    </w:p>
    <w:p>
      <w:pPr>
        <w:spacing w:after="0" w:line="189" w:lineRule="exact"/>
        <w:rPr>
          <w:rFonts w:ascii="Arial" w:cs="Arial" w:eastAsia="Arial" w:hAnsi="Arial"/>
          <w:sz w:val="16"/>
          <w:szCs w:val="16"/>
          <w:color w:val="auto"/>
        </w:rPr>
      </w:pPr>
    </w:p>
    <w:p>
      <w:pPr>
        <w:ind w:left="1200" w:hanging="340"/>
        <w:spacing w:after="0"/>
        <w:tabs>
          <w:tab w:leader="none" w:pos="12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otherwise given by electronic transmission (as defined in </w:t>
      </w:r>
      <w:r>
        <w:rPr>
          <w:rFonts w:ascii="Arial" w:cs="Arial" w:eastAsia="Arial" w:hAnsi="Arial"/>
          <w:sz w:val="16"/>
          <w:szCs w:val="16"/>
          <w:b w:val="1"/>
          <w:bCs w:val="1"/>
          <w:color w:val="auto"/>
        </w:rPr>
        <w:t>section 7.2</w:t>
      </w:r>
      <w:r>
        <w:rPr>
          <w:rFonts w:ascii="Arial" w:cs="Arial" w:eastAsia="Arial" w:hAnsi="Arial"/>
          <w:sz w:val="16"/>
          <w:szCs w:val="16"/>
          <w:color w:val="auto"/>
        </w:rPr>
        <w:t>),</w:t>
      </w:r>
    </w:p>
    <w:p>
      <w:pPr>
        <w:spacing w:after="0" w:line="19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58" w:lineRule="exact"/>
        <w:rPr>
          <w:sz w:val="20"/>
          <w:szCs w:val="20"/>
          <w:color w:val="auto"/>
        </w:rPr>
      </w:pPr>
    </w:p>
    <w:p>
      <w:pPr>
        <w:ind w:right="80" w:firstLine="385"/>
        <w:spacing w:after="0" w:line="272" w:lineRule="auto"/>
        <w:rPr>
          <w:sz w:val="20"/>
          <w:szCs w:val="20"/>
          <w:color w:val="auto"/>
        </w:rPr>
      </w:pPr>
      <w:r>
        <w:rPr>
          <w:rFonts w:ascii="Arial" w:cs="Arial" w:eastAsia="Arial" w:hAnsi="Arial"/>
          <w:sz w:val="15"/>
          <w:szCs w:val="15"/>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54" w:lineRule="exact"/>
        <w:rPr>
          <w:sz w:val="20"/>
          <w:szCs w:val="20"/>
          <w:color w:val="auto"/>
        </w:rPr>
      </w:pPr>
    </w:p>
    <w:p>
      <w:pPr>
        <w:ind w:right="120" w:firstLine="385"/>
        <w:spacing w:after="0" w:line="251"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Quorum; Voting</w:t>
      </w:r>
      <w:r>
        <w:rPr>
          <w:rFonts w:ascii="Arial" w:cs="Arial" w:eastAsia="Arial" w:hAnsi="Arial"/>
          <w:sz w:val="16"/>
          <w:szCs w:val="16"/>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70" w:lineRule="exact"/>
        <w:rPr>
          <w:sz w:val="20"/>
          <w:szCs w:val="20"/>
          <w:color w:val="auto"/>
        </w:rPr>
      </w:pPr>
    </w:p>
    <w:p>
      <w:pPr>
        <w:ind w:right="560" w:firstLine="385"/>
        <w:spacing w:after="0" w:line="266" w:lineRule="auto"/>
        <w:rPr>
          <w:sz w:val="20"/>
          <w:szCs w:val="20"/>
          <w:color w:val="auto"/>
        </w:rPr>
      </w:pPr>
      <w:r>
        <w:rPr>
          <w:rFonts w:ascii="Arial" w:cs="Arial" w:eastAsia="Arial" w:hAnsi="Arial"/>
          <w:sz w:val="16"/>
          <w:szCs w:val="16"/>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58" w:lineRule="exact"/>
        <w:rPr>
          <w:sz w:val="20"/>
          <w:szCs w:val="20"/>
          <w:color w:val="auto"/>
        </w:rPr>
      </w:pPr>
    </w:p>
    <w:p>
      <w:pPr>
        <w:ind w:right="400" w:firstLine="385"/>
        <w:spacing w:after="0" w:line="383" w:lineRule="auto"/>
        <w:rPr>
          <w:sz w:val="20"/>
          <w:szCs w:val="20"/>
          <w:color w:val="auto"/>
        </w:rPr>
      </w:pPr>
      <w:r>
        <w:rPr>
          <w:rFonts w:ascii="Arial" w:cs="Arial" w:eastAsia="Arial" w:hAnsi="Arial"/>
          <w:sz w:val="13"/>
          <w:szCs w:val="13"/>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89" w:lineRule="exact"/>
        <w:rPr>
          <w:sz w:val="20"/>
          <w:szCs w:val="20"/>
          <w:color w:val="auto"/>
        </w:rPr>
      </w:pPr>
    </w:p>
    <w:p>
      <w:pPr>
        <w:ind w:firstLine="385"/>
        <w:spacing w:after="0" w:line="312"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b w:val="1"/>
          <w:bCs w:val="1"/>
          <w:i w:val="1"/>
          <w:iCs w:val="1"/>
          <w:color w:val="auto"/>
        </w:rPr>
        <w:t>Board Action by Written Consent Without a Meeting</w:t>
      </w:r>
      <w:r>
        <w:rPr>
          <w:rFonts w:ascii="Arial" w:cs="Arial" w:eastAsia="Arial" w:hAnsi="Arial"/>
          <w:sz w:val="13"/>
          <w:szCs w:val="13"/>
          <w:color w:val="auto"/>
        </w:rPr>
        <w:t xml:space="preserve">. Unless otherwise restricted by the certificate of incorporation or these bylaws, any action required or permitted to be taken at any meeting of the Board, or of any committee or subcommittee thereof, may be taken without a meeting if all members of the Board or committee or subcommittee, as the case may be, consent thereto in writing or by electronic transmission and the writing or writings or electronic transmission or transmissions are filed with the minutes of proceedings of the Board or committee or subcommittee.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w:t>
      </w:r>
      <w:r>
        <w:rPr>
          <w:rFonts w:ascii="Arial" w:cs="Arial" w:eastAsia="Arial" w:hAnsi="Arial"/>
          <w:sz w:val="13"/>
          <w:szCs w:val="13"/>
          <w:b w:val="1"/>
          <w:bCs w:val="1"/>
          <w:color w:val="auto"/>
        </w:rPr>
        <w:t>section 2.10</w:t>
      </w:r>
      <w:r>
        <w:rPr>
          <w:rFonts w:ascii="Arial" w:cs="Arial" w:eastAsia="Arial" w:hAnsi="Arial"/>
          <w:sz w:val="13"/>
          <w:szCs w:val="13"/>
          <w:color w:val="auto"/>
        </w:rPr>
        <w:t xml:space="preserve"> at such effective time so long as such person is then a director and did not revoke the consent prior to such time. Any such consent shall be revocable prior to its becoming effective.</w:t>
      </w:r>
    </w:p>
    <w:p>
      <w:pPr>
        <w:spacing w:after="0" w:line="137" w:lineRule="exact"/>
        <w:rPr>
          <w:sz w:val="20"/>
          <w:szCs w:val="20"/>
          <w:color w:val="auto"/>
        </w:rPr>
      </w:pPr>
    </w:p>
    <w:p>
      <w:pPr>
        <w:ind w:right="100" w:firstLine="385"/>
        <w:spacing w:after="0" w:line="26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i w:val="1"/>
          <w:iCs w:val="1"/>
          <w:color w:val="auto"/>
        </w:rPr>
        <w:t>Fees and Compensation of Directors</w:t>
      </w:r>
      <w:r>
        <w:rPr>
          <w:rFonts w:ascii="Arial" w:cs="Arial" w:eastAsia="Arial" w:hAnsi="Arial"/>
          <w:sz w:val="16"/>
          <w:szCs w:val="16"/>
          <w:color w:val="auto"/>
        </w:rPr>
        <w:t>. Unless otherwise restricted by the certificate of incorporation or these bylaws, the Board shall have the authority to fix the compensation of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9600"/>
          </w:cols>
          <w:pgMar w:left="1140" w:top="256" w:right="1159" w:bottom="1440" w:gutter="0" w:footer="0" w:header="0"/>
        </w:sectPr>
      </w:pPr>
    </w:p>
    <w:bookmarkStart w:id="349" w:name="page350"/>
    <w:bookmarkEnd w:id="349"/>
    <w:p>
      <w:pPr>
        <w:ind w:right="340" w:firstLine="385"/>
        <w:spacing w:after="0" w:line="38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2.12 </w:t>
      </w:r>
      <w:r>
        <w:rPr>
          <w:rFonts w:ascii="Arial" w:cs="Arial" w:eastAsia="Arial" w:hAnsi="Arial"/>
          <w:sz w:val="13"/>
          <w:szCs w:val="13"/>
          <w:b w:val="1"/>
          <w:bCs w:val="1"/>
          <w:i w:val="1"/>
          <w:iCs w:val="1"/>
          <w:color w:val="auto"/>
        </w:rPr>
        <w:t>Removal of Directors</w:t>
      </w:r>
      <w:r>
        <w:rPr>
          <w:rFonts w:ascii="Arial" w:cs="Arial" w:eastAsia="Arial" w:hAnsi="Arial"/>
          <w:sz w:val="13"/>
          <w:szCs w:val="13"/>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89" w:lineRule="exact"/>
        <w:rPr>
          <w:sz w:val="20"/>
          <w:szCs w:val="20"/>
          <w:color w:val="auto"/>
        </w:rPr>
      </w:pPr>
    </w:p>
    <w:p>
      <w:pPr>
        <w:ind w:right="60" w:firstLine="385"/>
        <w:spacing w:after="0" w:line="266" w:lineRule="auto"/>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 office.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 — COMMITTEES</w:t>
      </w:r>
    </w:p>
    <w:p>
      <w:pPr>
        <w:spacing w:after="0" w:line="197" w:lineRule="exact"/>
        <w:rPr>
          <w:sz w:val="20"/>
          <w:szCs w:val="20"/>
          <w:color w:val="auto"/>
        </w:rPr>
      </w:pPr>
    </w:p>
    <w:p>
      <w:pPr>
        <w:ind w:right="40" w:firstLine="385"/>
        <w:spacing w:after="0" w:line="312"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b w:val="1"/>
          <w:bCs w:val="1"/>
          <w:i w:val="1"/>
          <w:iCs w:val="1"/>
          <w:color w:val="auto"/>
        </w:rPr>
        <w:t>Committees of Directors</w:t>
      </w:r>
      <w:r>
        <w:rPr>
          <w:rFonts w:ascii="Arial" w:cs="Arial" w:eastAsia="Arial" w:hAnsi="Arial"/>
          <w:sz w:val="13"/>
          <w:szCs w:val="13"/>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37" w:lineRule="exact"/>
        <w:rPr>
          <w:sz w:val="20"/>
          <w:szCs w:val="20"/>
          <w:color w:val="auto"/>
        </w:rPr>
      </w:pPr>
    </w:p>
    <w:p>
      <w:pPr>
        <w:ind w:right="120" w:firstLine="385"/>
        <w:spacing w:after="0" w:line="26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i w:val="1"/>
          <w:iCs w:val="1"/>
          <w:color w:val="auto"/>
        </w:rPr>
        <w:t>Committee Minutes</w:t>
      </w:r>
      <w:r>
        <w:rPr>
          <w:rFonts w:ascii="Arial" w:cs="Arial" w:eastAsia="Arial" w:hAnsi="Arial"/>
          <w:sz w:val="16"/>
          <w:szCs w:val="16"/>
          <w:color w:val="auto"/>
        </w:rPr>
        <w:t>. Each committee and subcommittee shall keep regular minutes of its meetings and report the same to the Board, or the committee, when required.</w:t>
      </w:r>
    </w:p>
    <w:p>
      <w:pPr>
        <w:spacing w:after="0" w:line="158" w:lineRule="exact"/>
        <w:rPr>
          <w:sz w:val="20"/>
          <w:szCs w:val="20"/>
          <w:color w:val="auto"/>
        </w:rPr>
      </w:pPr>
    </w:p>
    <w:p>
      <w:pPr>
        <w:ind w:firstLine="385"/>
        <w:spacing w:after="0" w:line="316"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i w:val="1"/>
          <w:iCs w:val="1"/>
          <w:color w:val="auto"/>
        </w:rPr>
        <w:t>Meetings and Actions of Committees</w:t>
      </w:r>
      <w:r>
        <w:rPr>
          <w:rFonts w:ascii="Arial" w:cs="Arial" w:eastAsia="Arial" w:hAnsi="Arial"/>
          <w:sz w:val="13"/>
          <w:szCs w:val="13"/>
          <w:color w:val="auto"/>
        </w:rPr>
        <w:t xml:space="preserve">. A majority of the directors then serving on a committee or subcommittee shall constitute a quorum for the transaction of business by the committee or subcommittee, unless the certificate of incorporation, these bylaws, a resolution of the Board or a resolution of a committee that created the subcommittee requires a greater or lesser number,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or a resolution of a committee that created the subcommittee requires a greater number. Meetings and actions of committees and subcommittees shall otherwise be governed by, and held and taken in accordance with, the provisions of:</w:t>
      </w:r>
    </w:p>
    <w:p>
      <w:pPr>
        <w:spacing w:after="0" w:line="127" w:lineRule="exact"/>
        <w:rPr>
          <w:sz w:val="20"/>
          <w:szCs w:val="20"/>
          <w:color w:val="auto"/>
        </w:rPr>
      </w:pPr>
    </w:p>
    <w:p>
      <w:pPr>
        <w:ind w:left="1160" w:hanging="300"/>
        <w:spacing w:after="0"/>
        <w:tabs>
          <w:tab w:leader="none" w:pos="116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color w:val="auto"/>
        </w:rPr>
        <w:t>(Place of Meetings; Meetings by Telephone);</w:t>
      </w:r>
    </w:p>
    <w:p>
      <w:pPr>
        <w:spacing w:after="0" w:line="193" w:lineRule="exact"/>
        <w:rPr>
          <w:rFonts w:ascii="Arial" w:cs="Arial" w:eastAsia="Arial" w:hAnsi="Arial"/>
          <w:sz w:val="16"/>
          <w:szCs w:val="16"/>
          <w:color w:val="auto"/>
        </w:rPr>
      </w:pPr>
    </w:p>
    <w:p>
      <w:pPr>
        <w:ind w:left="1200" w:hanging="340"/>
        <w:spacing w:after="0"/>
        <w:tabs>
          <w:tab w:leader="none" w:pos="120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color w:val="auto"/>
        </w:rPr>
        <w:t>(Regular Meetings);</w:t>
      </w:r>
    </w:p>
    <w:p>
      <w:pPr>
        <w:spacing w:after="0" w:line="193" w:lineRule="exact"/>
        <w:rPr>
          <w:rFonts w:ascii="Arial" w:cs="Arial" w:eastAsia="Arial" w:hAnsi="Arial"/>
          <w:sz w:val="16"/>
          <w:szCs w:val="16"/>
          <w:color w:val="auto"/>
        </w:rPr>
      </w:pPr>
    </w:p>
    <w:p>
      <w:pPr>
        <w:ind w:left="1260" w:hanging="400"/>
        <w:spacing w:after="0"/>
        <w:tabs>
          <w:tab w:leader="none" w:pos="126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section 2.8 </w:t>
      </w:r>
      <w:r>
        <w:rPr>
          <w:rFonts w:ascii="Arial" w:cs="Arial" w:eastAsia="Arial" w:hAnsi="Arial"/>
          <w:sz w:val="16"/>
          <w:szCs w:val="16"/>
          <w:color w:val="auto"/>
        </w:rPr>
        <w:t>(Special Meetings; Notice);</w:t>
      </w:r>
    </w:p>
    <w:p>
      <w:pPr>
        <w:spacing w:after="0" w:line="193" w:lineRule="exact"/>
        <w:rPr>
          <w:rFonts w:ascii="Arial" w:cs="Arial" w:eastAsia="Arial" w:hAnsi="Arial"/>
          <w:sz w:val="16"/>
          <w:szCs w:val="16"/>
          <w:color w:val="auto"/>
        </w:rPr>
      </w:pPr>
    </w:p>
    <w:p>
      <w:pPr>
        <w:ind w:left="1240" w:hanging="380"/>
        <w:spacing w:after="0"/>
        <w:tabs>
          <w:tab w:leader="none" w:pos="124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color w:val="auto"/>
        </w:rPr>
        <w:t>(Quorum; Voting);</w:t>
      </w:r>
    </w:p>
    <w:p>
      <w:pPr>
        <w:spacing w:after="0" w:line="193" w:lineRule="exact"/>
        <w:rPr>
          <w:rFonts w:ascii="Arial" w:cs="Arial" w:eastAsia="Arial" w:hAnsi="Arial"/>
          <w:sz w:val="16"/>
          <w:szCs w:val="16"/>
          <w:color w:val="auto"/>
        </w:rPr>
      </w:pPr>
    </w:p>
    <w:p>
      <w:pPr>
        <w:ind w:left="1200" w:hanging="340"/>
        <w:spacing w:after="0"/>
        <w:tabs>
          <w:tab w:leader="none" w:pos="120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color w:val="auto"/>
        </w:rPr>
        <w:t>(Board Action by Written Consent Without a Meeting); and</w:t>
      </w:r>
    </w:p>
    <w:p>
      <w:pPr>
        <w:spacing w:after="0" w:line="193" w:lineRule="exact"/>
        <w:rPr>
          <w:rFonts w:ascii="Arial" w:cs="Arial" w:eastAsia="Arial" w:hAnsi="Arial"/>
          <w:sz w:val="16"/>
          <w:szCs w:val="16"/>
          <w:color w:val="auto"/>
        </w:rPr>
      </w:pPr>
    </w:p>
    <w:p>
      <w:pPr>
        <w:ind w:left="1240" w:hanging="380"/>
        <w:spacing w:after="0"/>
        <w:tabs>
          <w:tab w:leader="none" w:pos="124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section 7.5 </w:t>
      </w:r>
      <w:r>
        <w:rPr>
          <w:rFonts w:ascii="Arial" w:cs="Arial" w:eastAsia="Arial" w:hAnsi="Arial"/>
          <w:sz w:val="16"/>
          <w:szCs w:val="16"/>
          <w:color w:val="auto"/>
        </w:rPr>
        <w:t>(Waiver of Notice)</w:t>
      </w:r>
    </w:p>
    <w:p>
      <w:pPr>
        <w:spacing w:after="0" w:line="19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 xml:space="preserve">with such changes in the context of those bylaws as are necessary to substitute the committee or subcommittee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158" w:lineRule="exact"/>
        <w:rPr>
          <w:sz w:val="20"/>
          <w:szCs w:val="20"/>
          <w:color w:val="auto"/>
        </w:rPr>
      </w:pPr>
    </w:p>
    <w:p>
      <w:pPr>
        <w:ind w:right="140" w:firstLine="860"/>
        <w:spacing w:after="0" w:line="266" w:lineRule="auto"/>
        <w:tabs>
          <w:tab w:leader="none" w:pos="117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time and place of regular meetings of committees and subcommittees may be determined either by resolution of the Board or by resolution of the committee or subcommittee;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00"/>
          </w:cols>
          <w:pgMar w:left="1140" w:top="257" w:right="1159" w:bottom="1440" w:gutter="0" w:footer="0" w:header="0"/>
        </w:sectPr>
      </w:pPr>
    </w:p>
    <w:bookmarkStart w:id="350" w:name="page351"/>
    <w:bookmarkEnd w:id="350"/>
    <w:p>
      <w:pPr>
        <w:ind w:left="860"/>
        <w:spacing w:after="0"/>
        <w:tabs>
          <w:tab w:leader="none" w:pos="11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(ii)</w:t>
      </w:r>
      <w:r>
        <w:rPr>
          <w:sz w:val="20"/>
          <w:szCs w:val="20"/>
          <w:color w:val="auto"/>
        </w:rPr>
        <w:tab/>
      </w:r>
      <w:r>
        <w:rPr>
          <w:rFonts w:ascii="Arial" w:cs="Arial" w:eastAsia="Arial" w:hAnsi="Arial"/>
          <w:sz w:val="13"/>
          <w:szCs w:val="13"/>
          <w:color w:val="auto"/>
        </w:rPr>
        <w:t>special meetings of committees and subcommittees may also be called by resolution of the Board or the committee or subcommittee;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82" w:lineRule="exact"/>
        <w:rPr>
          <w:sz w:val="20"/>
          <w:szCs w:val="20"/>
          <w:color w:val="auto"/>
        </w:rPr>
      </w:pPr>
    </w:p>
    <w:p>
      <w:pPr>
        <w:ind w:right="20" w:firstLine="860"/>
        <w:spacing w:after="0" w:line="343" w:lineRule="auto"/>
        <w:tabs>
          <w:tab w:leader="none" w:pos="1259" w:val="left"/>
        </w:tabs>
        <w:numPr>
          <w:ilvl w:val="0"/>
          <w:numId w:val="206"/>
        </w:numPr>
        <w:rPr>
          <w:rFonts w:ascii="Arial" w:cs="Arial" w:eastAsia="Arial" w:hAnsi="Arial"/>
          <w:sz w:val="13"/>
          <w:szCs w:val="13"/>
          <w:color w:val="auto"/>
        </w:rPr>
      </w:pPr>
      <w:r>
        <w:rPr>
          <w:rFonts w:ascii="Arial" w:cs="Arial" w:eastAsia="Arial" w:hAnsi="Arial"/>
          <w:sz w:val="13"/>
          <w:szCs w:val="13"/>
          <w:color w:val="auto"/>
        </w:rPr>
        <w:t>notice of special meetings of committees and subcommittees shall also be given to all alternate members, as applicable, who shall have the right to attend all meetings of the committee or subcommittee. The Board, or, in the absence of any such action by the Board, the committee or subcommittee, may adopt rules for the government of any committee or subcommittee not inconsistent with the provisions of these bylaws.</w:t>
      </w:r>
    </w:p>
    <w:p>
      <w:pPr>
        <w:spacing w:after="0" w:line="114" w:lineRule="exact"/>
        <w:rPr>
          <w:sz w:val="20"/>
          <w:szCs w:val="20"/>
          <w:color w:val="auto"/>
        </w:rPr>
      </w:pPr>
    </w:p>
    <w:p>
      <w:pPr>
        <w:ind w:right="260" w:firstLine="385"/>
        <w:spacing w:after="0" w:line="383" w:lineRule="auto"/>
        <w:rPr>
          <w:sz w:val="20"/>
          <w:szCs w:val="20"/>
          <w:color w:val="auto"/>
        </w:rPr>
      </w:pPr>
      <w:r>
        <w:rPr>
          <w:rFonts w:ascii="Arial" w:cs="Arial" w:eastAsia="Arial" w:hAnsi="Arial"/>
          <w:sz w:val="13"/>
          <w:szCs w:val="13"/>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89" w:lineRule="exact"/>
        <w:rPr>
          <w:sz w:val="20"/>
          <w:szCs w:val="20"/>
          <w:color w:val="auto"/>
        </w:rPr>
      </w:pPr>
    </w:p>
    <w:p>
      <w:pPr>
        <w:jc w:val="both"/>
        <w:ind w:right="60" w:firstLine="385"/>
        <w:spacing w:after="0" w:line="25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i w:val="1"/>
          <w:iCs w:val="1"/>
          <w:color w:val="auto"/>
        </w:rPr>
        <w:t>Subcommittees</w:t>
      </w:r>
      <w:r>
        <w:rPr>
          <w:rFonts w:ascii="Arial" w:cs="Arial" w:eastAsia="Arial" w:hAnsi="Arial"/>
          <w:sz w:val="16"/>
          <w:szCs w:val="16"/>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IV — OFFICERS</w:t>
      </w:r>
    </w:p>
    <w:p>
      <w:pPr>
        <w:spacing w:after="0" w:line="197" w:lineRule="exact"/>
        <w:rPr>
          <w:sz w:val="20"/>
          <w:szCs w:val="20"/>
          <w:color w:val="auto"/>
        </w:rPr>
      </w:pPr>
    </w:p>
    <w:p>
      <w:pPr>
        <w:ind w:right="100" w:firstLine="385"/>
        <w:spacing w:after="0" w:line="275"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b w:val="1"/>
          <w:bCs w:val="1"/>
          <w:i w:val="1"/>
          <w:iCs w:val="1"/>
          <w:color w:val="auto"/>
        </w:rPr>
        <w:t>Officers</w:t>
      </w:r>
      <w:r>
        <w:rPr>
          <w:rFonts w:ascii="Arial" w:cs="Arial" w:eastAsia="Arial" w:hAnsi="Arial"/>
          <w:sz w:val="15"/>
          <w:szCs w:val="15"/>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53" w:lineRule="exact"/>
        <w:rPr>
          <w:sz w:val="20"/>
          <w:szCs w:val="20"/>
          <w:color w:val="auto"/>
        </w:rPr>
      </w:pPr>
    </w:p>
    <w:p>
      <w:pPr>
        <w:ind w:firstLine="385"/>
        <w:spacing w:after="0" w:line="26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i w:val="1"/>
          <w:iCs w:val="1"/>
          <w:color w:val="auto"/>
        </w:rPr>
        <w:t>Appointment of Officers</w:t>
      </w:r>
      <w:r>
        <w:rPr>
          <w:rFonts w:ascii="Arial" w:cs="Arial" w:eastAsia="Arial" w:hAnsi="Arial"/>
          <w:sz w:val="16"/>
          <w:szCs w:val="16"/>
          <w:color w:val="auto"/>
        </w:rPr>
        <w:t xml:space="preserve">. The Board shall appoint the officers of the Company, except such officers as may be appointed in accordance with the provisions of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of these bylaws.</w:t>
      </w:r>
    </w:p>
    <w:p>
      <w:pPr>
        <w:spacing w:after="0" w:line="158" w:lineRule="exact"/>
        <w:rPr>
          <w:sz w:val="20"/>
          <w:szCs w:val="20"/>
          <w:color w:val="auto"/>
        </w:rPr>
      </w:pPr>
    </w:p>
    <w:p>
      <w:pPr>
        <w:jc w:val="both"/>
        <w:ind w:right="80" w:firstLine="385"/>
        <w:spacing w:after="0" w:line="343"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i w:val="1"/>
          <w:iCs w:val="1"/>
          <w:color w:val="auto"/>
        </w:rPr>
        <w:t>Subordinate Officers</w:t>
      </w:r>
      <w:r>
        <w:rPr>
          <w:rFonts w:ascii="Arial" w:cs="Arial" w:eastAsia="Arial" w:hAnsi="Arial"/>
          <w:sz w:val="13"/>
          <w:szCs w:val="13"/>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14" w:lineRule="exact"/>
        <w:rPr>
          <w:sz w:val="20"/>
          <w:szCs w:val="20"/>
          <w:color w:val="auto"/>
        </w:rPr>
      </w:pPr>
    </w:p>
    <w:p>
      <w:pPr>
        <w:jc w:val="both"/>
        <w:ind w:right="40" w:firstLine="385"/>
        <w:spacing w:after="0" w:line="25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i w:val="1"/>
          <w:iCs w:val="1"/>
          <w:color w:val="auto"/>
        </w:rPr>
        <w:t>Removal and Resignation of Officers</w:t>
      </w:r>
      <w:r>
        <w:rPr>
          <w:rFonts w:ascii="Arial" w:cs="Arial" w:eastAsia="Arial" w:hAnsi="Arial"/>
          <w:sz w:val="16"/>
          <w:szCs w:val="16"/>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66" w:lineRule="exact"/>
        <w:rPr>
          <w:sz w:val="20"/>
          <w:szCs w:val="20"/>
          <w:color w:val="auto"/>
        </w:rPr>
      </w:pPr>
    </w:p>
    <w:p>
      <w:pPr>
        <w:ind w:right="100" w:firstLine="385"/>
        <w:spacing w:after="0" w:line="253" w:lineRule="auto"/>
        <w:rPr>
          <w:sz w:val="20"/>
          <w:szCs w:val="20"/>
          <w:color w:val="auto"/>
        </w:rPr>
      </w:pPr>
      <w:r>
        <w:rPr>
          <w:rFonts w:ascii="Arial" w:cs="Arial" w:eastAsia="Arial" w:hAnsi="Arial"/>
          <w:sz w:val="16"/>
          <w:szCs w:val="16"/>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63"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3"/>
          <w:szCs w:val="13"/>
          <w:b w:val="1"/>
          <w:bCs w:val="1"/>
          <w:i w:val="1"/>
          <w:iCs w:val="1"/>
          <w:color w:val="auto"/>
        </w:rPr>
        <w:t>Vacancies in Offices</w:t>
      </w:r>
      <w:r>
        <w:rPr>
          <w:rFonts w:ascii="Arial" w:cs="Arial" w:eastAsia="Arial" w:hAnsi="Arial"/>
          <w:sz w:val="13"/>
          <w:szCs w:val="13"/>
          <w:color w:val="auto"/>
        </w:rPr>
        <w:t>. Any vacancy occurring in any office of the Company shall be filled by the Board or as provided in</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color w:val="auto"/>
        </w:rPr>
        <w:t>section 4.3</w:t>
      </w:r>
      <w:r>
        <w:rPr>
          <w:rFonts w:ascii="Arial" w:cs="Arial" w:eastAsia="Arial" w:hAnsi="Arial"/>
          <w:sz w:val="13"/>
          <w:szCs w:val="13"/>
          <w:color w:val="auto"/>
        </w:rPr>
        <w:t>.</w:t>
      </w:r>
    </w:p>
    <w:p>
      <w:pPr>
        <w:spacing w:after="0" w:line="197" w:lineRule="exact"/>
        <w:rPr>
          <w:sz w:val="20"/>
          <w:szCs w:val="20"/>
          <w:color w:val="auto"/>
        </w:rPr>
      </w:pPr>
    </w:p>
    <w:p>
      <w:pPr>
        <w:ind w:right="120" w:firstLine="385"/>
        <w:spacing w:after="0" w:line="329"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b w:val="1"/>
          <w:bCs w:val="1"/>
          <w:i w:val="1"/>
          <w:iCs w:val="1"/>
          <w:color w:val="auto"/>
        </w:rPr>
        <w:t>Representation of Shares of Other Corporations</w:t>
      </w:r>
      <w:r>
        <w:rPr>
          <w:rFonts w:ascii="Arial" w:cs="Arial" w:eastAsia="Arial" w:hAnsi="Arial"/>
          <w:sz w:val="13"/>
          <w:szCs w:val="13"/>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23" w:lineRule="exact"/>
        <w:rPr>
          <w:sz w:val="20"/>
          <w:szCs w:val="20"/>
          <w:color w:val="auto"/>
        </w:rPr>
      </w:pPr>
    </w:p>
    <w:p>
      <w:pPr>
        <w:ind w:right="80" w:firstLine="385"/>
        <w:spacing w:after="0" w:line="25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i w:val="1"/>
          <w:iCs w:val="1"/>
          <w:color w:val="auto"/>
        </w:rPr>
        <w:t>Authority and Duties of Officers</w:t>
      </w:r>
      <w:r>
        <w:rPr>
          <w:rFonts w:ascii="Arial" w:cs="Arial" w:eastAsia="Arial" w:hAnsi="Arial"/>
          <w:sz w:val="16"/>
          <w:szCs w:val="16"/>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- 9 -</w:t>
      </w:r>
    </w:p>
    <w:p>
      <w:pPr>
        <w:sectPr>
          <w:pgSz w:w="11900" w:h="16838" w:orient="portrait"/>
          <w:cols w:equalWidth="0" w:num="1">
            <w:col w:w="9560"/>
          </w:cols>
          <w:pgMar w:left="1140" w:top="256" w:right="119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ARTICLE V — INDEMNIFICATION</w:t>
      </w:r>
    </w:p>
    <w:p>
      <w:pPr>
        <w:spacing w:after="0" w:line="193" w:lineRule="exact"/>
        <w:rPr>
          <w:sz w:val="20"/>
          <w:szCs w:val="20"/>
          <w:color w:val="auto"/>
        </w:rPr>
      </w:pPr>
    </w:p>
    <w:p>
      <w:pPr>
        <w:ind w:right="20" w:firstLine="385"/>
        <w:spacing w:after="0" w:line="311"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b w:val="1"/>
          <w:bCs w:val="1"/>
          <w:i w:val="1"/>
          <w:iCs w:val="1"/>
          <w:color w:val="auto"/>
        </w:rPr>
        <w:t>Indemnification of Directors and Officers in Third Party Proceedings</w:t>
      </w:r>
      <w:r>
        <w:rPr>
          <w:rFonts w:ascii="Arial" w:cs="Arial" w:eastAsia="Arial" w:hAnsi="Arial"/>
          <w:sz w:val="13"/>
          <w:szCs w:val="13"/>
          <w:color w:val="auto"/>
        </w:rPr>
        <w:t xml:space="preserve">. Subject to the other provisions of this </w:t>
      </w:r>
      <w:r>
        <w:rPr>
          <w:rFonts w:ascii="Arial" w:cs="Arial" w:eastAsia="Arial" w:hAnsi="Arial"/>
          <w:sz w:val="13"/>
          <w:szCs w:val="13"/>
          <w:b w:val="1"/>
          <w:bCs w:val="1"/>
          <w:color w:val="auto"/>
        </w:rPr>
        <w:t>Article V</w:t>
      </w:r>
      <w:r>
        <w:rPr>
          <w:rFonts w:ascii="Arial" w:cs="Arial" w:eastAsia="Arial" w:hAnsi="Arial"/>
          <w:sz w:val="13"/>
          <w:szCs w:val="13"/>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3"/>
          <w:szCs w:val="13"/>
          <w:b w:val="1"/>
          <w:bCs w:val="1"/>
          <w:color w:val="auto"/>
        </w:rPr>
        <w:t>Proceeding</w:t>
      </w:r>
      <w:r>
        <w:rPr>
          <w:rFonts w:ascii="Arial" w:cs="Arial" w:eastAsia="Arial" w:hAnsi="Arial"/>
          <w:sz w:val="13"/>
          <w:szCs w:val="13"/>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3"/>
          <w:szCs w:val="13"/>
          <w:i w:val="1"/>
          <w:iCs w:val="1"/>
          <w:color w:val="auto"/>
        </w:rPr>
        <w:t>nolo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contendere </w:t>
      </w:r>
      <w:r>
        <w:rPr>
          <w:rFonts w:ascii="Arial" w:cs="Arial" w:eastAsia="Arial" w:hAnsi="Arial"/>
          <w:sz w:val="13"/>
          <w:szCs w:val="13"/>
          <w:color w:val="auto"/>
        </w:rPr>
        <w:t>or its equivalent, shall not, of itself, create a presumption that the person did not act in good faith and in a manner which such person</w:t>
      </w:r>
      <w:r>
        <w:rPr>
          <w:rFonts w:ascii="Arial" w:cs="Arial" w:eastAsia="Arial" w:hAnsi="Arial"/>
          <w:sz w:val="13"/>
          <w:szCs w:val="13"/>
          <w:i w:val="1"/>
          <w:iCs w:val="1"/>
          <w:color w:val="auto"/>
        </w:rPr>
        <w:t xml:space="preserve"> </w:t>
      </w:r>
      <w:r>
        <w:rPr>
          <w:rFonts w:ascii="Arial" w:cs="Arial" w:eastAsia="Arial" w:hAnsi="Arial"/>
          <w:sz w:val="13"/>
          <w:szCs w:val="13"/>
          <w:color w:val="auto"/>
        </w:rPr>
        <w:t>reasonably believed to be in or not opposed to the best interests of the Company, and, with respect to any criminal action or proceeding, had reasonable cause to believe that such person’s conduct was unlawful.</w:t>
      </w:r>
    </w:p>
    <w:p>
      <w:pPr>
        <w:spacing w:after="0" w:line="321" w:lineRule="exact"/>
        <w:rPr>
          <w:sz w:val="20"/>
          <w:szCs w:val="20"/>
          <w:color w:val="auto"/>
        </w:rPr>
      </w:pPr>
    </w:p>
    <w:p>
      <w:pPr>
        <w:ind w:firstLine="385"/>
        <w:spacing w:after="0" w:line="312"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b w:val="1"/>
          <w:bCs w:val="1"/>
          <w:i w:val="1"/>
          <w:iCs w:val="1"/>
          <w:color w:val="auto"/>
        </w:rPr>
        <w:t>Indemnification of Directors and Officers in Actions by or in the Right of the Company</w:t>
      </w:r>
      <w:r>
        <w:rPr>
          <w:rFonts w:ascii="Arial" w:cs="Arial" w:eastAsia="Arial" w:hAnsi="Arial"/>
          <w:sz w:val="13"/>
          <w:szCs w:val="13"/>
          <w:color w:val="auto"/>
        </w:rPr>
        <w:t xml:space="preserve">. Subject to the other provisions of this </w:t>
      </w:r>
      <w:r>
        <w:rPr>
          <w:rFonts w:ascii="Arial" w:cs="Arial" w:eastAsia="Arial" w:hAnsi="Arial"/>
          <w:sz w:val="13"/>
          <w:szCs w:val="13"/>
          <w:b w:val="1"/>
          <w:bCs w:val="1"/>
          <w:color w:val="auto"/>
        </w:rPr>
        <w:t>Article V</w:t>
      </w:r>
      <w:r>
        <w:rPr>
          <w:rFonts w:ascii="Arial" w:cs="Arial" w:eastAsia="Arial" w:hAnsi="Arial"/>
          <w:sz w:val="13"/>
          <w:szCs w:val="13"/>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24" w:lineRule="exact"/>
        <w:rPr>
          <w:sz w:val="20"/>
          <w:szCs w:val="20"/>
          <w:color w:val="auto"/>
        </w:rPr>
      </w:pPr>
    </w:p>
    <w:p>
      <w:pPr>
        <w:jc w:val="both"/>
        <w:ind w:right="60" w:firstLine="385"/>
        <w:spacing w:after="0" w:line="343"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b w:val="1"/>
          <w:bCs w:val="1"/>
          <w:i w:val="1"/>
          <w:iCs w:val="1"/>
          <w:color w:val="auto"/>
        </w:rPr>
        <w:t>Successful Defense</w:t>
      </w:r>
      <w:r>
        <w:rPr>
          <w:rFonts w:ascii="Arial" w:cs="Arial" w:eastAsia="Arial" w:hAnsi="Arial"/>
          <w:sz w:val="13"/>
          <w:szCs w:val="13"/>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3"/>
          <w:szCs w:val="13"/>
          <w:b w:val="1"/>
          <w:bCs w:val="1"/>
          <w:color w:val="auto"/>
        </w:rPr>
        <w:t>section 5.1</w:t>
      </w:r>
      <w:r>
        <w:rPr>
          <w:rFonts w:ascii="Arial" w:cs="Arial" w:eastAsia="Arial" w:hAnsi="Arial"/>
          <w:sz w:val="13"/>
          <w:szCs w:val="13"/>
          <w:color w:val="auto"/>
        </w:rPr>
        <w:t xml:space="preserve"> or </w:t>
      </w:r>
      <w:r>
        <w:rPr>
          <w:rFonts w:ascii="Arial" w:cs="Arial" w:eastAsia="Arial" w:hAnsi="Arial"/>
          <w:sz w:val="13"/>
          <w:szCs w:val="13"/>
          <w:b w:val="1"/>
          <w:bCs w:val="1"/>
          <w:color w:val="auto"/>
        </w:rPr>
        <w:t>section 5.2</w:t>
      </w:r>
      <w:r>
        <w:rPr>
          <w:rFonts w:ascii="Arial" w:cs="Arial" w:eastAsia="Arial" w:hAnsi="Arial"/>
          <w:sz w:val="13"/>
          <w:szCs w:val="13"/>
          <w:color w:val="auto"/>
        </w:rPr>
        <w:t>, or in defense of any claim, issue or matter therein, such person shall be indemnified against expenses (including attorneys’ fees) actually and reasonably incurred by such person in connection therewith.</w:t>
      </w:r>
    </w:p>
    <w:p>
      <w:pPr>
        <w:spacing w:after="0" w:line="110" w:lineRule="exact"/>
        <w:rPr>
          <w:sz w:val="20"/>
          <w:szCs w:val="20"/>
          <w:color w:val="auto"/>
        </w:rPr>
      </w:pPr>
    </w:p>
    <w:p>
      <w:pPr>
        <w:ind w:right="60" w:firstLine="385"/>
        <w:spacing w:after="0" w:line="25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i w:val="1"/>
          <w:iCs w:val="1"/>
          <w:color w:val="auto"/>
        </w:rPr>
        <w:t>Indemnification of Others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63" w:lineRule="exact"/>
        <w:rPr>
          <w:sz w:val="20"/>
          <w:szCs w:val="20"/>
          <w:color w:val="auto"/>
        </w:rPr>
      </w:pPr>
    </w:p>
    <w:p>
      <w:pPr>
        <w:ind w:firstLine="385"/>
        <w:spacing w:after="0" w:line="25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i w:val="1"/>
          <w:iCs w:val="1"/>
          <w:color w:val="auto"/>
        </w:rPr>
        <w:t>Advanced Payment of Expenses</w:t>
      </w:r>
      <w:r>
        <w:rPr>
          <w:rFonts w:ascii="Arial" w:cs="Arial" w:eastAsia="Arial" w:hAnsi="Arial"/>
          <w:sz w:val="16"/>
          <w:szCs w:val="16"/>
          <w:color w:val="auto"/>
        </w:rPr>
        <w:t xml:space="preserve">. 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or the DGCL. Such expenses (including attorneys’ fees) actually and reasonably incurred by former directors and officers or other employees and agents of the Company or by persons serving at the request of the Company as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9600"/>
          </w:cols>
          <w:pgMar w:left="1140" w:top="252" w:right="1159" w:bottom="1440" w:gutter="0" w:footer="0" w:header="0"/>
        </w:sectPr>
      </w:pPr>
    </w:p>
    <w:bookmarkStart w:id="352" w:name="page353"/>
    <w:bookmarkEnd w:id="352"/>
    <w:p>
      <w:pPr>
        <w:jc w:val="both"/>
        <w:ind w:right="6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w:t>
      </w:r>
      <w:r>
        <w:rPr>
          <w:rFonts w:ascii="Arial" w:cs="Arial" w:eastAsia="Arial" w:hAnsi="Arial"/>
          <w:sz w:val="15"/>
          <w:szCs w:val="15"/>
          <w:b w:val="1"/>
          <w:bCs w:val="1"/>
          <w:color w:val="auto"/>
        </w:rPr>
        <w:t>section 5.6(ii)</w:t>
      </w:r>
      <w:r>
        <w:rPr>
          <w:rFonts w:ascii="Arial" w:cs="Arial" w:eastAsia="Arial" w:hAnsi="Arial"/>
          <w:sz w:val="15"/>
          <w:szCs w:val="15"/>
          <w:color w:val="auto"/>
        </w:rPr>
        <w:t xml:space="preserve"> or </w:t>
      </w:r>
      <w:r>
        <w:rPr>
          <w:rFonts w:ascii="Arial" w:cs="Arial" w:eastAsia="Arial" w:hAnsi="Arial"/>
          <w:sz w:val="15"/>
          <w:szCs w:val="15"/>
          <w:b w:val="1"/>
          <w:bCs w:val="1"/>
          <w:color w:val="auto"/>
        </w:rPr>
        <w:t xml:space="preserve">5.6(iii) </w:t>
      </w:r>
      <w:r>
        <w:rPr>
          <w:rFonts w:ascii="Arial" w:cs="Arial" w:eastAsia="Arial" w:hAnsi="Arial"/>
          <w:sz w:val="15"/>
          <w:szCs w:val="15"/>
          <w:color w:val="auto"/>
        </w:rPr>
        <w:t>prior to a determination that the person is not entitled to be indemnified by the Company.</w:t>
      </w:r>
    </w:p>
    <w:p>
      <w:pPr>
        <w:spacing w:after="0" w:line="149" w:lineRule="exact"/>
        <w:rPr>
          <w:sz w:val="20"/>
          <w:szCs w:val="20"/>
          <w:color w:val="auto"/>
        </w:rPr>
      </w:pPr>
    </w:p>
    <w:p>
      <w:pPr>
        <w:ind w:firstLine="385"/>
        <w:spacing w:after="0" w:line="269" w:lineRule="auto"/>
        <w:rPr>
          <w:sz w:val="20"/>
          <w:szCs w:val="20"/>
          <w:color w:val="auto"/>
        </w:rPr>
      </w:pPr>
      <w:r>
        <w:rPr>
          <w:rFonts w:ascii="Arial" w:cs="Arial" w:eastAsia="Arial" w:hAnsi="Arial"/>
          <w:sz w:val="15"/>
          <w:szCs w:val="15"/>
          <w:color w:val="auto"/>
        </w:rPr>
        <w:t xml:space="preserve">Notwithstanding the foregoing, unless otherwise determined pursuant to </w:t>
      </w:r>
      <w:r>
        <w:rPr>
          <w:rFonts w:ascii="Arial" w:cs="Arial" w:eastAsia="Arial" w:hAnsi="Arial"/>
          <w:sz w:val="15"/>
          <w:szCs w:val="15"/>
          <w:b w:val="1"/>
          <w:bCs w:val="1"/>
          <w:color w:val="auto"/>
        </w:rPr>
        <w:t>section 5.8</w:t>
      </w:r>
      <w:r>
        <w:rPr>
          <w:rFonts w:ascii="Arial" w:cs="Arial" w:eastAsia="Arial" w:hAnsi="Arial"/>
          <w:sz w:val="15"/>
          <w:szCs w:val="15"/>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or subcommittee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56" w:lineRule="exact"/>
        <w:rPr>
          <w:sz w:val="20"/>
          <w:szCs w:val="20"/>
          <w:color w:val="auto"/>
        </w:rPr>
      </w:pPr>
    </w:p>
    <w:p>
      <w:pPr>
        <w:ind w:right="80" w:firstLine="385"/>
        <w:spacing w:after="0" w:line="27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i w:val="1"/>
          <w:iCs w:val="1"/>
          <w:color w:val="auto"/>
        </w:rPr>
        <w:t>Limitation on Indemnification</w:t>
      </w:r>
      <w:r>
        <w:rPr>
          <w:rFonts w:ascii="Arial" w:cs="Arial" w:eastAsia="Arial" w:hAnsi="Arial"/>
          <w:sz w:val="16"/>
          <w:szCs w:val="16"/>
          <w:color w:val="auto"/>
        </w:rPr>
        <w:t xml:space="preserve">. Subject to the requirements in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the DGCL, the Company shall not be obligated to indemnify any person pursuant to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in connection with any Proceeding (or any part of any Proceeding):</w:t>
      </w:r>
    </w:p>
    <w:p>
      <w:pPr>
        <w:spacing w:after="0" w:line="153" w:lineRule="exact"/>
        <w:rPr>
          <w:sz w:val="20"/>
          <w:szCs w:val="20"/>
          <w:color w:val="auto"/>
        </w:rPr>
      </w:pPr>
    </w:p>
    <w:p>
      <w:pPr>
        <w:ind w:right="220" w:firstLine="860"/>
        <w:spacing w:after="0" w:line="266" w:lineRule="auto"/>
        <w:tabs>
          <w:tab w:leader="none" w:pos="117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for which payment has actually been made to or on behalf of such person under any statute, insurance policy, indemnity provision, vote or otherwise, except with respect to any excess beyond the amount paid;</w:t>
      </w:r>
    </w:p>
    <w:p>
      <w:pPr>
        <w:spacing w:after="0" w:line="158" w:lineRule="exact"/>
        <w:rPr>
          <w:rFonts w:ascii="Arial" w:cs="Arial" w:eastAsia="Arial" w:hAnsi="Arial"/>
          <w:sz w:val="16"/>
          <w:szCs w:val="16"/>
          <w:color w:val="auto"/>
        </w:rPr>
      </w:pPr>
    </w:p>
    <w:p>
      <w:pPr>
        <w:ind w:right="360" w:firstLine="860"/>
        <w:spacing w:after="0" w:line="256" w:lineRule="auto"/>
        <w:tabs>
          <w:tab w:leader="none" w:pos="121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65" w:lineRule="exact"/>
        <w:rPr>
          <w:rFonts w:ascii="Arial" w:cs="Arial" w:eastAsia="Arial" w:hAnsi="Arial"/>
          <w:sz w:val="16"/>
          <w:szCs w:val="16"/>
          <w:color w:val="auto"/>
        </w:rPr>
      </w:pPr>
    </w:p>
    <w:p>
      <w:pPr>
        <w:ind w:right="60" w:firstLine="860"/>
        <w:spacing w:after="0" w:line="323" w:lineRule="auto"/>
        <w:tabs>
          <w:tab w:leader="none" w:pos="1259" w:val="left"/>
        </w:tabs>
        <w:numPr>
          <w:ilvl w:val="0"/>
          <w:numId w:val="207"/>
        </w:numPr>
        <w:rPr>
          <w:rFonts w:ascii="Arial" w:cs="Arial" w:eastAsia="Arial" w:hAnsi="Arial"/>
          <w:sz w:val="13"/>
          <w:szCs w:val="13"/>
          <w:color w:val="auto"/>
        </w:rPr>
      </w:pPr>
      <w:r>
        <w:rPr>
          <w:rFonts w:ascii="Arial" w:cs="Arial" w:eastAsia="Arial" w:hAnsi="Arial"/>
          <w:sz w:val="13"/>
          <w:szCs w:val="13"/>
          <w:color w:val="auto"/>
        </w:rPr>
        <w:t>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3"/>
          <w:szCs w:val="13"/>
          <w:b w:val="1"/>
          <w:bCs w:val="1"/>
          <w:color w:val="auto"/>
        </w:rPr>
        <w:t>Sarbanes-Oxley Act</w:t>
      </w:r>
      <w:r>
        <w:rPr>
          <w:rFonts w:ascii="Arial" w:cs="Arial" w:eastAsia="Arial" w:hAnsi="Arial"/>
          <w:sz w:val="13"/>
          <w:szCs w:val="13"/>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25" w:lineRule="exact"/>
        <w:rPr>
          <w:rFonts w:ascii="Arial" w:cs="Arial" w:eastAsia="Arial" w:hAnsi="Arial"/>
          <w:sz w:val="13"/>
          <w:szCs w:val="13"/>
          <w:color w:val="auto"/>
        </w:rPr>
      </w:pPr>
    </w:p>
    <w:p>
      <w:pPr>
        <w:ind w:right="100" w:firstLine="860"/>
        <w:spacing w:after="0" w:line="275" w:lineRule="auto"/>
        <w:tabs>
          <w:tab w:leader="none" w:pos="125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 xml:space="preserve">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 (c) otherwise required to be made under </w:t>
      </w:r>
      <w:r>
        <w:rPr>
          <w:rFonts w:ascii="Arial" w:cs="Arial" w:eastAsia="Arial" w:hAnsi="Arial"/>
          <w:sz w:val="15"/>
          <w:szCs w:val="15"/>
          <w:b w:val="1"/>
          <w:bCs w:val="1"/>
          <w:color w:val="auto"/>
        </w:rPr>
        <w:t>section 5.7</w:t>
      </w:r>
      <w:r>
        <w:rPr>
          <w:rFonts w:ascii="Arial" w:cs="Arial" w:eastAsia="Arial" w:hAnsi="Arial"/>
          <w:sz w:val="15"/>
          <w:szCs w:val="15"/>
          <w:color w:val="auto"/>
        </w:rPr>
        <w:t xml:space="preserve"> or (d) otherwise required by applicable law; or</w:t>
      </w:r>
    </w:p>
    <w:p>
      <w:pPr>
        <w:spacing w:after="0" w:line="152" w:lineRule="exact"/>
        <w:rPr>
          <w:rFonts w:ascii="Arial" w:cs="Arial" w:eastAsia="Arial" w:hAnsi="Arial"/>
          <w:sz w:val="15"/>
          <w:szCs w:val="15"/>
          <w:color w:val="auto"/>
        </w:rPr>
      </w:pPr>
    </w:p>
    <w:p>
      <w:pPr>
        <w:ind w:left="1200" w:hanging="340"/>
        <w:spacing w:after="0"/>
        <w:tabs>
          <w:tab w:leader="none" w:pos="12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prohibited by applicable law.</w:t>
      </w:r>
    </w:p>
    <w:p>
      <w:pPr>
        <w:spacing w:after="0" w:line="189" w:lineRule="exact"/>
        <w:rPr>
          <w:sz w:val="20"/>
          <w:szCs w:val="20"/>
          <w:color w:val="auto"/>
        </w:rPr>
      </w:pPr>
    </w:p>
    <w:p>
      <w:pPr>
        <w:jc w:val="both"/>
        <w:ind w:firstLine="385"/>
        <w:spacing w:after="0" w:line="284"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b w:val="1"/>
          <w:bCs w:val="1"/>
          <w:i w:val="1"/>
          <w:iCs w:val="1"/>
          <w:color w:val="auto"/>
        </w:rPr>
        <w:t>Determination; Claim</w:t>
      </w:r>
      <w:r>
        <w:rPr>
          <w:rFonts w:ascii="Arial" w:cs="Arial" w:eastAsia="Arial" w:hAnsi="Arial"/>
          <w:sz w:val="15"/>
          <w:szCs w:val="15"/>
          <w:color w:val="auto"/>
        </w:rPr>
        <w:t xml:space="preserve">. If a claim for indemnification or advancement of expenses under this </w:t>
      </w:r>
      <w:r>
        <w:rPr>
          <w:rFonts w:ascii="Arial" w:cs="Arial" w:eastAsia="Arial" w:hAnsi="Arial"/>
          <w:sz w:val="15"/>
          <w:szCs w:val="15"/>
          <w:b w:val="1"/>
          <w:bCs w:val="1"/>
          <w:color w:val="auto"/>
        </w:rPr>
        <w:t>Article V</w:t>
      </w:r>
      <w:r>
        <w:rPr>
          <w:rFonts w:ascii="Arial" w:cs="Arial" w:eastAsia="Arial" w:hAnsi="Arial"/>
          <w:sz w:val="15"/>
          <w:szCs w:val="15"/>
          <w:color w:val="auto"/>
        </w:rPr>
        <w:t xml:space="preserve"> 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w:t>
      </w:r>
    </w:p>
    <w:p>
      <w:pPr>
        <w:sectPr>
          <w:pgSz w:w="11900" w:h="16838" w:orient="portrait"/>
          <w:cols w:equalWidth="0" w:num="1">
            <w:col w:w="9600"/>
          </w:cols>
          <w:pgMar w:left="1140" w:top="256" w:right="1159" w:bottom="1440" w:gutter="0" w:footer="0" w:header="0"/>
        </w:sectPr>
      </w:pPr>
    </w:p>
    <w:bookmarkStart w:id="353" w:name="page354"/>
    <w:bookmarkEnd w:id="353"/>
    <w:p>
      <w:pPr>
        <w:ind w:right="14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law, the Company shall indemnify such person against all expenses actually and reasonably incurred by such person in connection with any action for indemnification or advancement of expenses from the Company under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to the extent such person is successful in such action, and, if requested by such person, shall advance such expenses to such person, subject to the provisions of </w:t>
      </w:r>
      <w:r>
        <w:rPr>
          <w:rFonts w:ascii="Arial" w:cs="Arial" w:eastAsia="Arial" w:hAnsi="Arial"/>
          <w:sz w:val="16"/>
          <w:szCs w:val="16"/>
          <w:b w:val="1"/>
          <w:bCs w:val="1"/>
          <w:color w:val="auto"/>
        </w:rPr>
        <w:t>section 5.5</w:t>
      </w:r>
      <w:r>
        <w:rPr>
          <w:rFonts w:ascii="Arial" w:cs="Arial" w:eastAsia="Arial" w:hAnsi="Arial"/>
          <w:sz w:val="16"/>
          <w:szCs w:val="16"/>
          <w:color w:val="auto"/>
        </w:rPr>
        <w:t>. In any such suit, the Company shall, to the fullest extent not prohibited by law, have the burden of proving that the claimant is not entitled to the requested indemnification or advancement of expenses.</w:t>
      </w:r>
    </w:p>
    <w:p>
      <w:pPr>
        <w:spacing w:after="0" w:line="166" w:lineRule="exact"/>
        <w:rPr>
          <w:sz w:val="20"/>
          <w:szCs w:val="20"/>
          <w:color w:val="auto"/>
        </w:rPr>
      </w:pPr>
    </w:p>
    <w:p>
      <w:pPr>
        <w:ind w:right="100" w:firstLine="385"/>
        <w:spacing w:after="0" w:line="25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i w:val="1"/>
          <w:iCs w:val="1"/>
          <w:color w:val="auto"/>
        </w:rPr>
        <w:t>Non-Exclusivity of Rights</w:t>
      </w:r>
      <w:r>
        <w:rPr>
          <w:rFonts w:ascii="Arial" w:cs="Arial" w:eastAsia="Arial" w:hAnsi="Arial"/>
          <w:sz w:val="16"/>
          <w:szCs w:val="16"/>
          <w:color w:val="auto"/>
        </w:rPr>
        <w:t xml:space="preserve">. The indemnification and advancement of expenses provided by, or granted pursuant to,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70" w:lineRule="exact"/>
        <w:rPr>
          <w:sz w:val="20"/>
          <w:szCs w:val="20"/>
          <w:color w:val="auto"/>
        </w:rPr>
      </w:pPr>
    </w:p>
    <w:p>
      <w:pPr>
        <w:ind w:right="40" w:firstLine="385"/>
        <w:spacing w:after="0" w:line="251"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66" w:lineRule="exact"/>
        <w:rPr>
          <w:sz w:val="20"/>
          <w:szCs w:val="20"/>
          <w:color w:val="auto"/>
        </w:rPr>
      </w:pPr>
    </w:p>
    <w:p>
      <w:pPr>
        <w:ind w:right="300" w:firstLine="385"/>
        <w:spacing w:after="0" w:line="390"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b w:val="1"/>
          <w:bCs w:val="1"/>
          <w:i w:val="1"/>
          <w:iCs w:val="1"/>
          <w:color w:val="auto"/>
        </w:rPr>
        <w:t>Survival</w:t>
      </w:r>
      <w:r>
        <w:rPr>
          <w:rFonts w:ascii="Arial" w:cs="Arial" w:eastAsia="Arial" w:hAnsi="Arial"/>
          <w:sz w:val="13"/>
          <w:szCs w:val="13"/>
          <w:color w:val="auto"/>
        </w:rPr>
        <w:t xml:space="preserve">. The rights to indemnification and advancement of expenses conferred by this </w:t>
      </w:r>
      <w:r>
        <w:rPr>
          <w:rFonts w:ascii="Arial" w:cs="Arial" w:eastAsia="Arial" w:hAnsi="Arial"/>
          <w:sz w:val="13"/>
          <w:szCs w:val="13"/>
          <w:b w:val="1"/>
          <w:bCs w:val="1"/>
          <w:color w:val="auto"/>
        </w:rPr>
        <w:t>Article V</w:t>
      </w:r>
      <w:r>
        <w:rPr>
          <w:rFonts w:ascii="Arial" w:cs="Arial" w:eastAsia="Arial" w:hAnsi="Arial"/>
          <w:sz w:val="13"/>
          <w:szCs w:val="13"/>
          <w:color w:val="auto"/>
        </w:rPr>
        <w:t xml:space="preserve"> shall continue as to a person who has ceased to be a director, officer, employee or agent and shall inure to the benefit of the heirs, executors and administrators of such a person.</w:t>
      </w:r>
    </w:p>
    <w:p>
      <w:pPr>
        <w:spacing w:after="0" w:line="84" w:lineRule="exact"/>
        <w:rPr>
          <w:sz w:val="20"/>
          <w:szCs w:val="20"/>
          <w:color w:val="auto"/>
        </w:rPr>
      </w:pPr>
    </w:p>
    <w:p>
      <w:pPr>
        <w:ind w:right="80" w:firstLine="385"/>
        <w:spacing w:after="0" w:line="25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b w:val="1"/>
          <w:bCs w:val="1"/>
          <w:i w:val="1"/>
          <w:iCs w:val="1"/>
          <w:color w:val="auto"/>
        </w:rPr>
        <w:t>Effect of Repeal or Modification</w:t>
      </w:r>
      <w:r>
        <w:rPr>
          <w:rFonts w:ascii="Arial" w:cs="Arial" w:eastAsia="Arial" w:hAnsi="Arial"/>
          <w:sz w:val="16"/>
          <w:szCs w:val="16"/>
          <w:color w:val="auto"/>
        </w:rPr>
        <w:t>. 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66" w:lineRule="exact"/>
        <w:rPr>
          <w:sz w:val="20"/>
          <w:szCs w:val="20"/>
          <w:color w:val="auto"/>
        </w:rPr>
      </w:pPr>
    </w:p>
    <w:p>
      <w:pPr>
        <w:ind w:firstLine="385"/>
        <w:spacing w:after="0" w:line="311" w:lineRule="auto"/>
        <w:rPr>
          <w:sz w:val="20"/>
          <w:szCs w:val="20"/>
          <w:color w:val="auto"/>
        </w:rPr>
      </w:pPr>
      <w:r>
        <w:rPr>
          <w:rFonts w:ascii="Arial" w:cs="Arial" w:eastAsia="Arial" w:hAnsi="Arial"/>
          <w:sz w:val="13"/>
          <w:szCs w:val="13"/>
          <w:color w:val="auto"/>
        </w:rPr>
        <w:t xml:space="preserve">5.12 </w:t>
      </w:r>
      <w:r>
        <w:rPr>
          <w:rFonts w:ascii="Arial" w:cs="Arial" w:eastAsia="Arial" w:hAnsi="Arial"/>
          <w:sz w:val="13"/>
          <w:szCs w:val="13"/>
          <w:b w:val="1"/>
          <w:bCs w:val="1"/>
          <w:i w:val="1"/>
          <w:iCs w:val="1"/>
          <w:color w:val="auto"/>
        </w:rPr>
        <w:t>Certain Definitions</w:t>
      </w:r>
      <w:r>
        <w:rPr>
          <w:rFonts w:ascii="Arial" w:cs="Arial" w:eastAsia="Arial" w:hAnsi="Arial"/>
          <w:sz w:val="13"/>
          <w:szCs w:val="13"/>
          <w:color w:val="auto"/>
        </w:rPr>
        <w:t xml:space="preserve">. For purposes of this </w:t>
      </w:r>
      <w:r>
        <w:rPr>
          <w:rFonts w:ascii="Arial" w:cs="Arial" w:eastAsia="Arial" w:hAnsi="Arial"/>
          <w:sz w:val="13"/>
          <w:szCs w:val="13"/>
          <w:b w:val="1"/>
          <w:bCs w:val="1"/>
          <w:color w:val="auto"/>
        </w:rPr>
        <w:t>Article V</w:t>
      </w:r>
      <w:r>
        <w:rPr>
          <w:rFonts w:ascii="Arial" w:cs="Arial" w:eastAsia="Arial" w:hAnsi="Arial"/>
          <w:sz w:val="13"/>
          <w:szCs w:val="13"/>
          <w:color w:val="auto"/>
        </w:rPr>
        <w:t>, references to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3"/>
          <w:szCs w:val="13"/>
          <w:b w:val="1"/>
          <w:bCs w:val="1"/>
          <w:color w:val="auto"/>
        </w:rPr>
        <w:t>Article V</w:t>
      </w:r>
      <w:r>
        <w:rPr>
          <w:rFonts w:ascii="Arial" w:cs="Arial" w:eastAsia="Arial" w:hAnsi="Arial"/>
          <w:sz w:val="13"/>
          <w:szCs w:val="13"/>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3"/>
          <w:szCs w:val="13"/>
          <w:b w:val="1"/>
          <w:bCs w:val="1"/>
          <w:color w:val="auto"/>
        </w:rPr>
        <w:t>Article V</w:t>
      </w:r>
      <w:r>
        <w:rPr>
          <w:rFonts w:ascii="Arial" w:cs="Arial" w:eastAsia="Arial" w:hAnsi="Arial"/>
          <w:sz w:val="13"/>
          <w:szCs w:val="13"/>
          <w:color w:val="auto"/>
        </w:rPr>
        <w:t>, references to “</w:t>
      </w:r>
      <w:r>
        <w:rPr>
          <w:rFonts w:ascii="Arial" w:cs="Arial" w:eastAsia="Arial" w:hAnsi="Arial"/>
          <w:sz w:val="13"/>
          <w:szCs w:val="13"/>
          <w:b w:val="1"/>
          <w:bCs w:val="1"/>
          <w:color w:val="auto"/>
        </w:rPr>
        <w:t>other enterprises</w:t>
      </w:r>
      <w:r>
        <w:rPr>
          <w:rFonts w:ascii="Arial" w:cs="Arial" w:eastAsia="Arial" w:hAnsi="Arial"/>
          <w:sz w:val="13"/>
          <w:szCs w:val="13"/>
          <w:color w:val="auto"/>
        </w:rPr>
        <w:t>” shall include employee benefit plans; references to “</w:t>
      </w:r>
      <w:r>
        <w:rPr>
          <w:rFonts w:ascii="Arial" w:cs="Arial" w:eastAsia="Arial" w:hAnsi="Arial"/>
          <w:sz w:val="13"/>
          <w:szCs w:val="13"/>
          <w:b w:val="1"/>
          <w:bCs w:val="1"/>
          <w:color w:val="auto"/>
        </w:rPr>
        <w:t>fines</w:t>
      </w:r>
      <w:r>
        <w:rPr>
          <w:rFonts w:ascii="Arial" w:cs="Arial" w:eastAsia="Arial" w:hAnsi="Arial"/>
          <w:sz w:val="13"/>
          <w:szCs w:val="13"/>
          <w:color w:val="auto"/>
        </w:rPr>
        <w:t>” shall include any excise taxes assessed on a person with respect to an employee benefit plan; and references to “</w:t>
      </w:r>
      <w:r>
        <w:rPr>
          <w:rFonts w:ascii="Arial" w:cs="Arial" w:eastAsia="Arial" w:hAnsi="Arial"/>
          <w:sz w:val="13"/>
          <w:szCs w:val="13"/>
          <w:b w:val="1"/>
          <w:bCs w:val="1"/>
          <w:color w:val="auto"/>
        </w:rPr>
        <w:t>serving at the request of the</w:t>
      </w:r>
      <w:r>
        <w:rPr>
          <w:rFonts w:ascii="Arial" w:cs="Arial" w:eastAsia="Arial" w:hAnsi="Arial"/>
          <w:sz w:val="13"/>
          <w:szCs w:val="13"/>
          <w:color w:val="auto"/>
        </w:rPr>
        <w:t xml:space="preserve"> </w:t>
      </w:r>
      <w:r>
        <w:rPr>
          <w:rFonts w:ascii="Arial" w:cs="Arial" w:eastAsia="Arial" w:hAnsi="Arial"/>
          <w:sz w:val="13"/>
          <w:szCs w:val="13"/>
          <w:b w:val="1"/>
          <w:bCs w:val="1"/>
          <w:color w:val="auto"/>
        </w:rPr>
        <w:t>Company</w:t>
      </w:r>
      <w:r>
        <w:rPr>
          <w:rFonts w:ascii="Arial" w:cs="Arial" w:eastAsia="Arial" w:hAnsi="Arial"/>
          <w:sz w:val="13"/>
          <w:szCs w:val="13"/>
          <w:color w:val="auto"/>
        </w:rPr>
        <w:t>” shall include any service as a director, officer, employee or agent of the Company which imposes duties on, or involves services by, such</w:t>
      </w:r>
      <w:r>
        <w:rPr>
          <w:rFonts w:ascii="Arial" w:cs="Arial" w:eastAsia="Arial" w:hAnsi="Arial"/>
          <w:sz w:val="13"/>
          <w:szCs w:val="13"/>
          <w:b w:val="1"/>
          <w:bCs w:val="1"/>
          <w:color w:val="auto"/>
        </w:rPr>
        <w:t xml:space="preserve"> </w:t>
      </w:r>
      <w:r>
        <w:rPr>
          <w:rFonts w:ascii="Arial" w:cs="Arial" w:eastAsia="Arial" w:hAnsi="Arial"/>
          <w:sz w:val="13"/>
          <w:szCs w:val="13"/>
          <w:color w:val="auto"/>
        </w:rPr>
        <w:t>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3"/>
          <w:szCs w:val="13"/>
          <w:b w:val="1"/>
          <w:bCs w:val="1"/>
          <w:color w:val="auto"/>
        </w:rPr>
        <w:t>not opposed to the best interests of the Company</w:t>
      </w:r>
      <w:r>
        <w:rPr>
          <w:rFonts w:ascii="Arial" w:cs="Arial" w:eastAsia="Arial" w:hAnsi="Arial"/>
          <w:sz w:val="13"/>
          <w:szCs w:val="13"/>
          <w:color w:val="auto"/>
        </w:rPr>
        <w:t xml:space="preserve">” as referred to in this </w:t>
      </w:r>
      <w:r>
        <w:rPr>
          <w:rFonts w:ascii="Arial" w:cs="Arial" w:eastAsia="Arial" w:hAnsi="Arial"/>
          <w:sz w:val="13"/>
          <w:szCs w:val="13"/>
          <w:b w:val="1"/>
          <w:bCs w:val="1"/>
          <w:color w:val="auto"/>
        </w:rPr>
        <w:t>Article V</w:t>
      </w:r>
      <w:r>
        <w:rPr>
          <w:rFonts w:ascii="Arial" w:cs="Arial" w:eastAsia="Arial" w:hAnsi="Arial"/>
          <w:sz w:val="13"/>
          <w:szCs w:val="13"/>
          <w:color w:val="auto"/>
        </w:rPr>
        <w: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 — STOCK</w:t>
      </w:r>
    </w:p>
    <w:p>
      <w:pPr>
        <w:spacing w:after="0" w:line="197" w:lineRule="exact"/>
        <w:rPr>
          <w:sz w:val="20"/>
          <w:szCs w:val="20"/>
          <w:color w:val="auto"/>
        </w:rPr>
      </w:pPr>
    </w:p>
    <w:p>
      <w:pPr>
        <w:ind w:right="20" w:firstLine="385"/>
        <w:spacing w:after="0" w:line="25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i w:val="1"/>
          <w:iCs w:val="1"/>
          <w:color w:val="auto"/>
        </w:rPr>
        <w:t>Stock Certificates; Partly Paid Shares</w:t>
      </w:r>
      <w:r>
        <w:rPr>
          <w:rFonts w:ascii="Arial" w:cs="Arial" w:eastAsia="Arial" w:hAnsi="Arial"/>
          <w:sz w:val="16"/>
          <w:szCs w:val="16"/>
          <w:color w:val="auto"/>
        </w:rPr>
        <w:t xml:space="preserve">. The shares of the Company shall be represented by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may provide by resolution or resolutions that some or all of any or all classes or series of its stock shall be uncertificated shares. Any such resolution shall not apply to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ectPr>
          <w:pgSz w:w="11900" w:h="16838" w:orient="portrait"/>
          <w:cols w:equalWidth="0" w:num="1">
            <w:col w:w="9600"/>
          </w:cols>
          <w:pgMar w:left="1140" w:top="256" w:right="1159" w:bottom="1440" w:gutter="0" w:footer="0" w:header="0"/>
        </w:sectPr>
      </w:pPr>
    </w:p>
    <w:bookmarkStart w:id="354" w:name="page355"/>
    <w:bookmarkEnd w:id="354"/>
    <w:p>
      <w:pPr>
        <w:ind w:right="60"/>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represented by a certificate until such certificate is surrendered to the Company. Unless otherwise provided by resolution of the Board,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56" w:lineRule="exact"/>
        <w:rPr>
          <w:sz w:val="20"/>
          <w:szCs w:val="20"/>
          <w:color w:val="auto"/>
        </w:rPr>
      </w:pPr>
    </w:p>
    <w:p>
      <w:pPr>
        <w:ind w:right="140" w:firstLine="385"/>
        <w:spacing w:after="0" w:line="272" w:lineRule="auto"/>
        <w:rPr>
          <w:sz w:val="20"/>
          <w:szCs w:val="20"/>
          <w:color w:val="auto"/>
        </w:rPr>
      </w:pPr>
      <w:r>
        <w:rPr>
          <w:rFonts w:ascii="Arial" w:cs="Arial" w:eastAsia="Arial" w:hAnsi="Arial"/>
          <w:sz w:val="15"/>
          <w:szCs w:val="15"/>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54" w:lineRule="exact"/>
        <w:rPr>
          <w:sz w:val="20"/>
          <w:szCs w:val="20"/>
          <w:color w:val="auto"/>
        </w:rPr>
      </w:pPr>
    </w:p>
    <w:p>
      <w:pPr>
        <w:ind w:firstLine="385"/>
        <w:spacing w:after="0" w:line="265"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i w:val="1"/>
          <w:iCs w:val="1"/>
          <w:color w:val="auto"/>
        </w:rPr>
        <w:t>Special Designation on Certificates</w:t>
      </w:r>
      <w:r>
        <w:rPr>
          <w:rFonts w:ascii="Arial" w:cs="Arial" w:eastAsia="Arial" w:hAnsi="Arial"/>
          <w:sz w:val="15"/>
          <w:szCs w:val="15"/>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Company shall send to the registered owner thereof a written notice containing the information required to be set forth or stated on certificates pursuant to this section 6.2 or Sections 156, 202(a) or 218(a)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59" w:lineRule="exact"/>
        <w:rPr>
          <w:sz w:val="20"/>
          <w:szCs w:val="20"/>
          <w:color w:val="auto"/>
        </w:rPr>
      </w:pPr>
    </w:p>
    <w:p>
      <w:pPr>
        <w:ind w:right="20" w:firstLine="385"/>
        <w:spacing w:after="0" w:line="25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Lost Certificates</w:t>
      </w:r>
      <w:r>
        <w:rPr>
          <w:rFonts w:ascii="Arial" w:cs="Arial" w:eastAsia="Arial" w:hAnsi="Arial"/>
          <w:sz w:val="16"/>
          <w:szCs w:val="16"/>
          <w:color w:val="auto"/>
        </w:rPr>
        <w:t xml:space="preserve">. Except as provided in this </w:t>
      </w:r>
      <w:r>
        <w:rPr>
          <w:rFonts w:ascii="Arial" w:cs="Arial" w:eastAsia="Arial" w:hAnsi="Arial"/>
          <w:sz w:val="16"/>
          <w:szCs w:val="16"/>
          <w:b w:val="1"/>
          <w:bCs w:val="1"/>
          <w:color w:val="auto"/>
        </w:rPr>
        <w:t>section 6.3</w:t>
      </w:r>
      <w:r>
        <w:rPr>
          <w:rFonts w:ascii="Arial" w:cs="Arial" w:eastAsia="Arial" w:hAnsi="Arial"/>
          <w:sz w:val="16"/>
          <w:szCs w:val="16"/>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70" w:lineRule="exact"/>
        <w:rPr>
          <w:sz w:val="20"/>
          <w:szCs w:val="20"/>
          <w:color w:val="auto"/>
        </w:rPr>
      </w:pPr>
    </w:p>
    <w:p>
      <w:pPr>
        <w:ind w:right="400" w:firstLine="385"/>
        <w:spacing w:after="0" w:line="25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66" w:lineRule="exact"/>
        <w:rPr>
          <w:sz w:val="20"/>
          <w:szCs w:val="20"/>
          <w:color w:val="auto"/>
        </w:rPr>
      </w:pPr>
    </w:p>
    <w:p>
      <w:pPr>
        <w:ind w:right="300" w:firstLine="385"/>
        <w:spacing w:after="0" w:line="266" w:lineRule="auto"/>
        <w:rPr>
          <w:sz w:val="20"/>
          <w:szCs w:val="20"/>
          <w:color w:val="auto"/>
        </w:rPr>
      </w:pPr>
      <w:r>
        <w:rPr>
          <w:rFonts w:ascii="Arial" w:cs="Arial" w:eastAsia="Arial" w:hAnsi="Arial"/>
          <w:sz w:val="16"/>
          <w:szCs w:val="16"/>
          <w:color w:val="auto"/>
        </w:rPr>
        <w:t>The Board may set apart out of any of the funds of the Company available for dividends a reserve or reserves for any proper purpose and may abolish any such reserve.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- 13 -</w:t>
      </w:r>
    </w:p>
    <w:p>
      <w:pPr>
        <w:sectPr>
          <w:pgSz w:w="11900" w:h="16838" w:orient="portrait"/>
          <w:cols w:equalWidth="0" w:num="1">
            <w:col w:w="9600"/>
          </w:cols>
          <w:pgMar w:left="1140" w:top="256" w:right="1159" w:bottom="1440" w:gutter="0" w:footer="0" w:header="0"/>
        </w:sectPr>
      </w:pPr>
    </w:p>
    <w:bookmarkStart w:id="355" w:name="page356"/>
    <w:bookmarkEnd w:id="355"/>
    <w:p>
      <w:pPr>
        <w:jc w:val="both"/>
        <w:ind w:right="140" w:firstLine="385"/>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6.5 </w:t>
      </w:r>
      <w:r>
        <w:rPr>
          <w:rFonts w:ascii="Arial" w:cs="Arial" w:eastAsia="Arial" w:hAnsi="Arial"/>
          <w:sz w:val="16"/>
          <w:szCs w:val="16"/>
          <w:b w:val="1"/>
          <w:bCs w:val="1"/>
          <w:i w:val="1"/>
          <w:iCs w:val="1"/>
          <w:color w:val="auto"/>
        </w:rPr>
        <w:t>Stock Transfer Agreements</w:t>
      </w:r>
      <w:r>
        <w:rPr>
          <w:rFonts w:ascii="Arial" w:cs="Arial" w:eastAsia="Arial" w:hAnsi="Arial"/>
          <w:sz w:val="16"/>
          <w:szCs w:val="16"/>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66"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3"/>
          <w:szCs w:val="13"/>
          <w:b w:val="1"/>
          <w:bCs w:val="1"/>
          <w:i w:val="1"/>
          <w:iCs w:val="1"/>
          <w:color w:val="auto"/>
        </w:rPr>
        <w:t>Registered Stockholders</w:t>
      </w:r>
      <w:r>
        <w:rPr>
          <w:rFonts w:ascii="Arial" w:cs="Arial" w:eastAsia="Arial" w:hAnsi="Arial"/>
          <w:sz w:val="13"/>
          <w:szCs w:val="13"/>
          <w:color w:val="auto"/>
        </w:rPr>
        <w:t>. The Company:</w:t>
      </w:r>
    </w:p>
    <w:p>
      <w:pPr>
        <w:spacing w:after="0" w:line="193" w:lineRule="exact"/>
        <w:rPr>
          <w:sz w:val="20"/>
          <w:szCs w:val="20"/>
          <w:color w:val="auto"/>
        </w:rPr>
      </w:pPr>
    </w:p>
    <w:p>
      <w:pPr>
        <w:ind w:right="20" w:firstLine="860"/>
        <w:spacing w:after="0" w:line="266" w:lineRule="auto"/>
        <w:tabs>
          <w:tab w:leader="none" w:pos="117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shall be entitled to recognize the exclusive right of a person registered on its books as the owner of shares to receive dividends and to vote as such owner;</w:t>
      </w:r>
    </w:p>
    <w:p>
      <w:pPr>
        <w:spacing w:after="0" w:line="158" w:lineRule="exact"/>
        <w:rPr>
          <w:rFonts w:ascii="Arial" w:cs="Arial" w:eastAsia="Arial" w:hAnsi="Arial"/>
          <w:sz w:val="16"/>
          <w:szCs w:val="16"/>
          <w:color w:val="auto"/>
        </w:rPr>
      </w:pPr>
    </w:p>
    <w:p>
      <w:pPr>
        <w:ind w:left="1200" w:hanging="340"/>
        <w:spacing w:after="0"/>
        <w:tabs>
          <w:tab w:leader="none" w:pos="120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shall be entitled to hold liable for calls and assessments the person registered on its books as the owner of shares; and</w:t>
      </w:r>
    </w:p>
    <w:p>
      <w:pPr>
        <w:spacing w:after="0" w:line="204" w:lineRule="exact"/>
        <w:rPr>
          <w:rFonts w:ascii="Arial" w:cs="Arial" w:eastAsia="Arial" w:hAnsi="Arial"/>
          <w:sz w:val="15"/>
          <w:szCs w:val="15"/>
          <w:color w:val="auto"/>
        </w:rPr>
      </w:pPr>
    </w:p>
    <w:p>
      <w:pPr>
        <w:ind w:right="360" w:firstLine="860"/>
        <w:spacing w:after="0" w:line="300" w:lineRule="auto"/>
        <w:tabs>
          <w:tab w:leader="none" w:pos="1259" w:val="left"/>
        </w:tabs>
        <w:numPr>
          <w:ilvl w:val="0"/>
          <w:numId w:val="208"/>
        </w:numPr>
        <w:rPr>
          <w:rFonts w:ascii="Arial" w:cs="Arial" w:eastAsia="Arial" w:hAnsi="Arial"/>
          <w:sz w:val="15"/>
          <w:szCs w:val="15"/>
          <w:color w:val="auto"/>
        </w:rPr>
      </w:pPr>
      <w:r>
        <w:rPr>
          <w:rFonts w:ascii="Arial" w:cs="Arial" w:eastAsia="Arial" w:hAnsi="Arial"/>
          <w:sz w:val="15"/>
          <w:szCs w:val="15"/>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35" w:lineRule="exact"/>
        <w:rPr>
          <w:sz w:val="20"/>
          <w:szCs w:val="20"/>
          <w:color w:val="auto"/>
        </w:rPr>
      </w:pPr>
    </w:p>
    <w:p>
      <w:pPr>
        <w:ind w:right="120" w:firstLine="385"/>
        <w:spacing w:after="0" w:line="25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i w:val="1"/>
          <w:iCs w:val="1"/>
          <w:color w:val="auto"/>
        </w:rPr>
        <w:t>Transfers</w:t>
      </w:r>
      <w:r>
        <w:rPr>
          <w:rFonts w:ascii="Arial" w:cs="Arial" w:eastAsia="Arial" w:hAnsi="Arial"/>
          <w:sz w:val="16"/>
          <w:szCs w:val="16"/>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VII — MANNER OF GIVING NOTICE AND WAIVER</w:t>
      </w:r>
    </w:p>
    <w:p>
      <w:pPr>
        <w:spacing w:after="0" w:line="197" w:lineRule="exact"/>
        <w:rPr>
          <w:sz w:val="20"/>
          <w:szCs w:val="20"/>
          <w:color w:val="auto"/>
        </w:rPr>
      </w:pPr>
    </w:p>
    <w:p>
      <w:pPr>
        <w:ind w:right="80" w:firstLine="385"/>
        <w:spacing w:after="0" w:line="25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i w:val="1"/>
          <w:iCs w:val="1"/>
          <w:color w:val="auto"/>
        </w:rPr>
        <w:t>Notice of Stockholder Meetings</w:t>
      </w:r>
      <w:r>
        <w:rPr>
          <w:rFonts w:ascii="Arial" w:cs="Arial" w:eastAsia="Arial" w:hAnsi="Arial"/>
          <w:sz w:val="16"/>
          <w:szCs w:val="16"/>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facts stated therein.</w:t>
      </w:r>
    </w:p>
    <w:p>
      <w:pPr>
        <w:spacing w:after="0" w:line="167" w:lineRule="exact"/>
        <w:rPr>
          <w:sz w:val="20"/>
          <w:szCs w:val="20"/>
          <w:color w:val="auto"/>
        </w:rPr>
      </w:pPr>
    </w:p>
    <w:p>
      <w:pPr>
        <w:ind w:firstLine="385"/>
        <w:spacing w:after="0" w:line="25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70" w:lineRule="exact"/>
        <w:rPr>
          <w:sz w:val="20"/>
          <w:szCs w:val="20"/>
          <w:color w:val="auto"/>
        </w:rPr>
      </w:pPr>
    </w:p>
    <w:p>
      <w:pPr>
        <w:ind w:left="1160" w:hanging="300"/>
        <w:spacing w:after="0"/>
        <w:tabs>
          <w:tab w:leader="none" w:pos="116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Company is unable to deliver by electronic transmission two consecutive notices given by the Company in accordance with such</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consent; and</w:t>
      </w:r>
    </w:p>
    <w:p>
      <w:pPr>
        <w:spacing w:after="0" w:line="182" w:lineRule="exact"/>
        <w:rPr>
          <w:sz w:val="20"/>
          <w:szCs w:val="20"/>
          <w:color w:val="auto"/>
        </w:rPr>
      </w:pPr>
    </w:p>
    <w:p>
      <w:pPr>
        <w:ind w:right="260" w:firstLine="860"/>
        <w:spacing w:after="0" w:line="266" w:lineRule="auto"/>
        <w:tabs>
          <w:tab w:leader="none" w:pos="12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such inability becomes known to the Secretary or an Assistant Secretary of the Company or to the transfer agent, or other person responsible for the giving of notice.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However, the inadvertent failure to treat such inability as a revocation shall not invalidate any meeting or other action.</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notice given pursuant to the preceding paragraph shall be deemed given:</w:t>
      </w:r>
    </w:p>
    <w:p>
      <w:pPr>
        <w:spacing w:after="0" w:line="193" w:lineRule="exact"/>
        <w:rPr>
          <w:sz w:val="20"/>
          <w:szCs w:val="20"/>
          <w:color w:val="auto"/>
        </w:rPr>
      </w:pPr>
    </w:p>
    <w:p>
      <w:pPr>
        <w:ind w:left="1160" w:hanging="300"/>
        <w:spacing w:after="0"/>
        <w:tabs>
          <w:tab w:leader="none" w:pos="116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if by facsimile telecommunication, when directed to a number at which the stockholder has consented to receive notice;</w:t>
      </w:r>
    </w:p>
    <w:p>
      <w:pPr>
        <w:spacing w:after="0" w:line="204" w:lineRule="exact"/>
        <w:rPr>
          <w:rFonts w:ascii="Arial" w:cs="Arial" w:eastAsia="Arial" w:hAnsi="Arial"/>
          <w:sz w:val="15"/>
          <w:szCs w:val="15"/>
          <w:color w:val="auto"/>
        </w:rPr>
      </w:pPr>
    </w:p>
    <w:p>
      <w:pPr>
        <w:ind w:left="1200" w:hanging="340"/>
        <w:spacing w:after="0"/>
        <w:tabs>
          <w:tab w:leader="none" w:pos="120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if by electronic mail, when directed to an electronic mail address at which the stockholder has consented to receive notice;</w:t>
      </w:r>
    </w:p>
    <w:p>
      <w:pPr>
        <w:spacing w:after="0" w:line="145" w:lineRule="exact"/>
        <w:rPr>
          <w:rFonts w:ascii="Arial" w:cs="Arial" w:eastAsia="Arial" w:hAnsi="Arial"/>
          <w:sz w:val="15"/>
          <w:szCs w:val="15"/>
          <w:color w:val="auto"/>
        </w:rPr>
      </w:pPr>
    </w:p>
    <w:p>
      <w:pPr>
        <w:ind w:left="4720" w:hanging="86"/>
        <w:spacing w:after="0"/>
        <w:tabs>
          <w:tab w:leader="none" w:pos="472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14 -</w:t>
      </w:r>
    </w:p>
    <w:p>
      <w:pPr>
        <w:sectPr>
          <w:pgSz w:w="11900" w:h="16838" w:orient="portrait"/>
          <w:cols w:equalWidth="0" w:num="1">
            <w:col w:w="9560"/>
          </w:cols>
          <w:pgMar w:left="1140" w:top="257" w:right="1199" w:bottom="1440" w:gutter="0" w:footer="0" w:header="0"/>
        </w:sectPr>
      </w:pPr>
    </w:p>
    <w:bookmarkStart w:id="356" w:name="page357"/>
    <w:bookmarkEnd w:id="356"/>
    <w:p>
      <w:pPr>
        <w:ind w:left="1266" w:hanging="400"/>
        <w:spacing w:after="0"/>
        <w:tabs>
          <w:tab w:leader="none" w:pos="1266" w:val="left"/>
        </w:tabs>
        <w:numPr>
          <w:ilvl w:val="1"/>
          <w:numId w:val="21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if by a posting on an electronic network together with separate notice to the stockholder of such specific posting, upon the later of</w:t>
      </w:r>
    </w:p>
    <w:p>
      <w:pPr>
        <w:spacing w:after="0" w:line="50" w:lineRule="exact"/>
        <w:rPr>
          <w:rFonts w:ascii="Arial" w:cs="Arial" w:eastAsia="Arial" w:hAnsi="Arial"/>
          <w:sz w:val="13"/>
          <w:szCs w:val="13"/>
          <w:color w:val="auto"/>
        </w:rPr>
      </w:pPr>
    </w:p>
    <w:p>
      <w:pPr>
        <w:ind w:left="266" w:hanging="266"/>
        <w:spacing w:after="0"/>
        <w:tabs>
          <w:tab w:leader="none" w:pos="26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such posting and (B) the giving of such separate notice; and</w:t>
      </w:r>
    </w:p>
    <w:p>
      <w:pPr>
        <w:spacing w:after="0" w:line="181" w:lineRule="exact"/>
        <w:rPr>
          <w:rFonts w:ascii="Arial" w:cs="Arial" w:eastAsia="Arial" w:hAnsi="Arial"/>
          <w:sz w:val="16"/>
          <w:szCs w:val="16"/>
          <w:color w:val="auto"/>
        </w:rPr>
      </w:pPr>
    </w:p>
    <w:p>
      <w:pPr>
        <w:ind w:left="1246" w:hanging="380"/>
        <w:spacing w:after="0"/>
        <w:tabs>
          <w:tab w:leader="none" w:pos="1246"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if by any other form of electronic transmission, when directed to the stockholder.</w:t>
      </w:r>
    </w:p>
    <w:p>
      <w:pPr>
        <w:spacing w:after="0" w:line="193" w:lineRule="exact"/>
        <w:rPr>
          <w:sz w:val="20"/>
          <w:szCs w:val="20"/>
          <w:color w:val="auto"/>
        </w:rPr>
      </w:pPr>
    </w:p>
    <w:p>
      <w:pPr>
        <w:ind w:left="6" w:right="160" w:firstLine="385"/>
        <w:spacing w:after="0" w:line="266" w:lineRule="auto"/>
        <w:rPr>
          <w:sz w:val="20"/>
          <w:szCs w:val="20"/>
          <w:color w:val="auto"/>
        </w:rPr>
      </w:pPr>
      <w:r>
        <w:rPr>
          <w:rFonts w:ascii="Arial" w:cs="Arial" w:eastAsia="Arial" w:hAnsi="Arial"/>
          <w:sz w:val="16"/>
          <w:szCs w:val="16"/>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facts stated therein.</w:t>
      </w:r>
    </w:p>
    <w:p>
      <w:pPr>
        <w:spacing w:after="0" w:line="154" w:lineRule="exact"/>
        <w:rPr>
          <w:sz w:val="20"/>
          <w:szCs w:val="20"/>
          <w:color w:val="auto"/>
        </w:rPr>
      </w:pPr>
    </w:p>
    <w:p>
      <w:pPr>
        <w:ind w:left="6" w:right="80" w:firstLine="385"/>
        <w:spacing w:after="0" w:line="259" w:lineRule="auto"/>
        <w:rPr>
          <w:sz w:val="20"/>
          <w:szCs w:val="20"/>
          <w:color w:val="auto"/>
        </w:rPr>
      </w:pPr>
      <w:r>
        <w:rPr>
          <w:rFonts w:ascii="Arial" w:cs="Arial" w:eastAsia="Arial" w:hAnsi="Arial"/>
          <w:sz w:val="16"/>
          <w:szCs w:val="16"/>
          <w:color w:val="auto"/>
        </w:rPr>
        <w:t>An “</w:t>
      </w:r>
      <w:r>
        <w:rPr>
          <w:rFonts w:ascii="Arial" w:cs="Arial" w:eastAsia="Arial" w:hAnsi="Arial"/>
          <w:sz w:val="16"/>
          <w:szCs w:val="16"/>
          <w:b w:val="1"/>
          <w:bCs w:val="1"/>
          <w:color w:val="auto"/>
        </w:rPr>
        <w:t>electronic transmission</w:t>
      </w:r>
      <w:r>
        <w:rPr>
          <w:rFonts w:ascii="Arial" w:cs="Arial" w:eastAsia="Arial" w:hAnsi="Arial"/>
          <w:sz w:val="16"/>
          <w:szCs w:val="16"/>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6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Notice by a form of electronic transmission shall not apply to Sections 164, 296, 311, 312 or 324 of the DGCL.</w:t>
      </w:r>
    </w:p>
    <w:p>
      <w:pPr>
        <w:spacing w:after="0" w:line="193" w:lineRule="exact"/>
        <w:rPr>
          <w:sz w:val="20"/>
          <w:szCs w:val="20"/>
          <w:color w:val="auto"/>
        </w:rPr>
      </w:pPr>
    </w:p>
    <w:p>
      <w:pPr>
        <w:ind w:left="6" w:right="60" w:firstLine="385"/>
        <w:spacing w:after="0" w:line="270"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i w:val="1"/>
          <w:iCs w:val="1"/>
          <w:color w:val="auto"/>
        </w:rPr>
        <w:t>Notice to Stockholders Sharing an Address</w:t>
      </w:r>
      <w:r>
        <w:rPr>
          <w:rFonts w:ascii="Arial" w:cs="Arial" w:eastAsia="Arial" w:hAnsi="Arial"/>
          <w:sz w:val="15"/>
          <w:szCs w:val="15"/>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56" w:lineRule="exact"/>
        <w:rPr>
          <w:sz w:val="20"/>
          <w:szCs w:val="20"/>
          <w:color w:val="auto"/>
        </w:rPr>
      </w:pPr>
    </w:p>
    <w:p>
      <w:pPr>
        <w:ind w:left="6" w:firstLine="385"/>
        <w:spacing w:after="0" w:line="249"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i w:val="1"/>
          <w:iCs w:val="1"/>
          <w:color w:val="auto"/>
        </w:rPr>
        <w:t>Notice to Person with Whom Communication is Unlawful</w:t>
      </w:r>
      <w:r>
        <w:rPr>
          <w:rFonts w:ascii="Arial" w:cs="Arial" w:eastAsia="Arial" w:hAnsi="Arial"/>
          <w:sz w:val="16"/>
          <w:szCs w:val="16"/>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73" w:lineRule="exact"/>
        <w:rPr>
          <w:sz w:val="20"/>
          <w:szCs w:val="20"/>
          <w:color w:val="auto"/>
        </w:rPr>
      </w:pPr>
    </w:p>
    <w:p>
      <w:pPr>
        <w:ind w:left="6" w:right="40" w:firstLine="385"/>
        <w:spacing w:after="0" w:line="268"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b w:val="1"/>
          <w:bCs w:val="1"/>
          <w:i w:val="1"/>
          <w:iCs w:val="1"/>
          <w:color w:val="auto"/>
        </w:rPr>
        <w:t>Waiver of Notice</w:t>
      </w:r>
      <w:r>
        <w:rPr>
          <w:rFonts w:ascii="Arial" w:cs="Arial" w:eastAsia="Arial" w:hAnsi="Arial"/>
          <w:sz w:val="15"/>
          <w:szCs w:val="15"/>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46" w:lineRule="exact"/>
        <w:rPr>
          <w:sz w:val="20"/>
          <w:szCs w:val="20"/>
          <w:color w:val="auto"/>
        </w:rPr>
      </w:pPr>
    </w:p>
    <w:p>
      <w:pPr>
        <w:jc w:val="center"/>
        <w:ind w:right="-45"/>
        <w:spacing w:after="0"/>
        <w:rPr>
          <w:sz w:val="20"/>
          <w:szCs w:val="20"/>
          <w:color w:val="auto"/>
        </w:rPr>
      </w:pPr>
      <w:r>
        <w:rPr>
          <w:rFonts w:ascii="Arial" w:cs="Arial" w:eastAsia="Arial" w:hAnsi="Arial"/>
          <w:sz w:val="16"/>
          <w:szCs w:val="16"/>
          <w:b w:val="1"/>
          <w:bCs w:val="1"/>
          <w:color w:val="auto"/>
        </w:rPr>
        <w:t>ARTICLE VIII — GENERAL MATTERS</w:t>
      </w:r>
    </w:p>
    <w:p>
      <w:pPr>
        <w:spacing w:after="0" w:line="197" w:lineRule="exact"/>
        <w:rPr>
          <w:sz w:val="20"/>
          <w:szCs w:val="20"/>
          <w:color w:val="auto"/>
        </w:rPr>
      </w:pPr>
    </w:p>
    <w:p>
      <w:pPr>
        <w:ind w:left="386"/>
        <w:spacing w:after="0"/>
        <w:tabs>
          <w:tab w:leader="none" w:pos="726"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3"/>
          <w:szCs w:val="13"/>
          <w:b w:val="1"/>
          <w:bCs w:val="1"/>
          <w:i w:val="1"/>
          <w:iCs w:val="1"/>
          <w:color w:val="auto"/>
        </w:rPr>
        <w:t>Fiscal Year</w:t>
      </w:r>
      <w:r>
        <w:rPr>
          <w:rFonts w:ascii="Arial" w:cs="Arial" w:eastAsia="Arial" w:hAnsi="Arial"/>
          <w:sz w:val="13"/>
          <w:szCs w:val="13"/>
          <w:color w:val="auto"/>
        </w:rPr>
        <w:t>. The fiscal year of the Company shall be fixed by resolution of the Board and may be changed by the Board.</w:t>
      </w:r>
    </w:p>
    <w:p>
      <w:pPr>
        <w:spacing w:after="0" w:line="193" w:lineRule="exact"/>
        <w:rPr>
          <w:sz w:val="20"/>
          <w:szCs w:val="20"/>
          <w:color w:val="auto"/>
        </w:rPr>
      </w:pPr>
    </w:p>
    <w:p>
      <w:pPr>
        <w:ind w:left="6" w:right="440" w:firstLine="385"/>
        <w:spacing w:after="0" w:line="383"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b w:val="1"/>
          <w:bCs w:val="1"/>
          <w:i w:val="1"/>
          <w:iCs w:val="1"/>
          <w:color w:val="auto"/>
        </w:rPr>
        <w:t>Seal</w:t>
      </w:r>
      <w:r>
        <w:rPr>
          <w:rFonts w:ascii="Arial" w:cs="Arial" w:eastAsia="Arial" w:hAnsi="Arial"/>
          <w:sz w:val="13"/>
          <w:szCs w:val="13"/>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30"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- 15 -</w:t>
      </w:r>
    </w:p>
    <w:p>
      <w:pPr>
        <w:sectPr>
          <w:pgSz w:w="11900" w:h="16838" w:orient="portrait"/>
          <w:cols w:equalWidth="0" w:num="1">
            <w:col w:w="9586"/>
          </w:cols>
          <w:pgMar w:left="1134" w:top="256" w:right="1179" w:bottom="1440" w:gutter="0" w:footer="0" w:header="0"/>
        </w:sectPr>
      </w:pPr>
    </w:p>
    <w:bookmarkStart w:id="357" w:name="page358"/>
    <w:bookmarkEnd w:id="357"/>
    <w:p>
      <w:pPr>
        <w:ind w:right="40" w:firstLine="385"/>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8.3 </w:t>
      </w:r>
      <w:r>
        <w:rPr>
          <w:rFonts w:ascii="Arial" w:cs="Arial" w:eastAsia="Arial" w:hAnsi="Arial"/>
          <w:sz w:val="16"/>
          <w:szCs w:val="16"/>
          <w:b w:val="1"/>
          <w:bCs w:val="1"/>
          <w:i w:val="1"/>
          <w:iCs w:val="1"/>
          <w:color w:val="auto"/>
        </w:rPr>
        <w:t>Annual Report</w:t>
      </w:r>
      <w:r>
        <w:rPr>
          <w:rFonts w:ascii="Arial" w:cs="Arial" w:eastAsia="Arial" w:hAnsi="Arial"/>
          <w:sz w:val="16"/>
          <w:szCs w:val="16"/>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66" w:lineRule="exact"/>
        <w:rPr>
          <w:sz w:val="20"/>
          <w:szCs w:val="20"/>
          <w:color w:val="auto"/>
        </w:rPr>
      </w:pPr>
    </w:p>
    <w:p>
      <w:pPr>
        <w:ind w:firstLine="385"/>
        <w:spacing w:after="0" w:line="281"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b w:val="1"/>
          <w:bCs w:val="1"/>
          <w:i w:val="1"/>
          <w:iCs w:val="1"/>
          <w:color w:val="auto"/>
        </w:rPr>
        <w:t>Construction; Definitions</w:t>
      </w:r>
      <w:r>
        <w:rPr>
          <w:rFonts w:ascii="Arial" w:cs="Arial" w:eastAsia="Arial" w:hAnsi="Arial"/>
          <w:sz w:val="15"/>
          <w:szCs w:val="15"/>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IX — AMENDMENTS</w:t>
      </w:r>
    </w:p>
    <w:p>
      <w:pPr>
        <w:spacing w:after="0" w:line="197" w:lineRule="exact"/>
        <w:rPr>
          <w:sz w:val="20"/>
          <w:szCs w:val="20"/>
          <w:color w:val="auto"/>
        </w:rPr>
      </w:pPr>
    </w:p>
    <w:p>
      <w:pPr>
        <w:ind w:right="40" w:firstLine="385"/>
        <w:spacing w:after="0" w:line="256" w:lineRule="auto"/>
        <w:rPr>
          <w:sz w:val="20"/>
          <w:szCs w:val="20"/>
          <w:color w:val="auto"/>
        </w:rPr>
      </w:pPr>
      <w:r>
        <w:rPr>
          <w:rFonts w:ascii="Arial" w:cs="Arial" w:eastAsia="Arial" w:hAnsi="Arial"/>
          <w:sz w:val="16"/>
          <w:szCs w:val="16"/>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66" w:lineRule="exact"/>
        <w:rPr>
          <w:sz w:val="20"/>
          <w:szCs w:val="20"/>
          <w:color w:val="auto"/>
        </w:rPr>
      </w:pPr>
    </w:p>
    <w:p>
      <w:pPr>
        <w:ind w:right="240" w:firstLine="385"/>
        <w:spacing w:after="0" w:line="266" w:lineRule="auto"/>
        <w:rPr>
          <w:sz w:val="20"/>
          <w:szCs w:val="20"/>
          <w:color w:val="auto"/>
        </w:rPr>
      </w:pPr>
      <w:r>
        <w:rPr>
          <w:rFonts w:ascii="Arial" w:cs="Arial" w:eastAsia="Arial" w:hAnsi="Arial"/>
          <w:sz w:val="16"/>
          <w:szCs w:val="16"/>
          <w:color w:val="auto"/>
        </w:rPr>
        <w:t>A bylaw amendment adopted by stockholders which specifies the votes that shall be necessary for the election of directors shall not be further amended or repealed by the Board.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9540"/>
          </w:cols>
          <w:pgMar w:left="1140" w:top="256" w:right="1219" w:bottom="1440" w:gutter="0" w:footer="0" w:header="0"/>
        </w:sectPr>
      </w:pPr>
    </w:p>
    <w:bookmarkStart w:id="358" w:name="page359"/>
    <w:bookmarkEnd w:id="358"/>
    <w:p>
      <w:pPr>
        <w:jc w:val="right"/>
        <w:spacing w:after="0"/>
        <w:rPr>
          <w:sz w:val="20"/>
          <w:szCs w:val="20"/>
          <w:color w:val="auto"/>
        </w:rPr>
      </w:pPr>
      <w:r>
        <w:rPr>
          <w:rFonts w:ascii="Arial" w:cs="Arial" w:eastAsia="Arial" w:hAnsi="Arial"/>
          <w:sz w:val="16"/>
          <w:szCs w:val="16"/>
          <w:b w:val="1"/>
          <w:bCs w:val="1"/>
          <w:color w:val="auto"/>
        </w:rPr>
        <w:t>Exhibit 3.4</w:t>
      </w:r>
    </w:p>
    <w:p>
      <w:pPr>
        <w:spacing w:after="0" w:line="193" w:lineRule="exact"/>
        <w:rPr>
          <w:sz w:val="20"/>
          <w:szCs w:val="20"/>
          <w:color w:val="auto"/>
        </w:rPr>
      </w:pPr>
    </w:p>
    <w:p>
      <w:pPr>
        <w:jc w:val="center"/>
        <w:ind w:right="300"/>
        <w:spacing w:after="0"/>
        <w:rPr>
          <w:sz w:val="20"/>
          <w:szCs w:val="20"/>
          <w:color w:val="auto"/>
        </w:rPr>
      </w:pPr>
      <w:r>
        <w:rPr>
          <w:rFonts w:ascii="Arial" w:cs="Arial" w:eastAsia="Arial" w:hAnsi="Arial"/>
          <w:sz w:val="15"/>
          <w:szCs w:val="15"/>
          <w:b w:val="1"/>
          <w:bCs w:val="1"/>
          <w:color w:val="auto"/>
        </w:rPr>
        <w:t>AMENDED AND RESTATED BYLAWS OF</w:t>
      </w: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(initially adopted on August 18, 2016)</w:t>
      </w:r>
    </w:p>
    <w:p>
      <w:pPr>
        <w:spacing w:after="0" w:line="193" w:lineRule="exact"/>
        <w:rPr>
          <w:sz w:val="20"/>
          <w:szCs w:val="20"/>
          <w:color w:val="auto"/>
        </w:rPr>
      </w:pPr>
    </w:p>
    <w:tbl>
      <w:tblPr>
        <w:tblLayout w:type="fixed"/>
        <w:tblInd w:w="3000" w:type="dxa"/>
        <w:tblCellMar>
          <w:top w:w="0" w:type="dxa"/>
          <w:left w:w="0" w:type="dxa"/>
          <w:bottom w:w="0" w:type="dxa"/>
          <w:right w:w="0" w:type="dxa"/>
        </w:tblCellMar>
      </w:tblPr>
      <w:tr>
        <w:trPr>
          <w:trHeight w:val="200"/>
        </w:trPr>
        <w:tc>
          <w:tcPr>
            <w:tcW w:w="2180" w:type="dxa"/>
            <w:vAlign w:val="bottom"/>
          </w:tcPr>
          <w:p>
            <w:pPr>
              <w:spacing w:after="0"/>
              <w:rPr>
                <w:sz w:val="20"/>
                <w:szCs w:val="20"/>
                <w:color w:val="auto"/>
              </w:rPr>
            </w:pPr>
            <w:r>
              <w:rPr>
                <w:rFonts w:ascii="Arial" w:cs="Arial" w:eastAsia="Arial" w:hAnsi="Arial"/>
                <w:sz w:val="16"/>
                <w:szCs w:val="16"/>
                <w:color w:val="auto"/>
              </w:rPr>
              <w:t>(as amended and restated on</w:t>
            </w:r>
          </w:p>
        </w:tc>
        <w:tc>
          <w:tcPr>
            <w:tcW w:w="820" w:type="dxa"/>
            <w:vAlign w:val="bottom"/>
          </w:tcPr>
          <w:p>
            <w:pPr>
              <w:jc w:val="right"/>
              <w:spacing w:after="0"/>
              <w:rPr>
                <w:sz w:val="20"/>
                <w:szCs w:val="20"/>
                <w:color w:val="auto"/>
              </w:rPr>
            </w:pPr>
            <w:r>
              <w:rPr>
                <w:rFonts w:ascii="Arial" w:cs="Arial" w:eastAsia="Arial" w:hAnsi="Arial"/>
                <w:sz w:val="16"/>
                <w:szCs w:val="16"/>
                <w:color w:val="auto"/>
              </w:rPr>
              <w:t>, 2021)</w:t>
            </w:r>
          </w:p>
        </w:tc>
      </w:tr>
    </w:tbl>
    <w:p>
      <w:pPr>
        <w:sectPr>
          <w:pgSz w:w="11900" w:h="16838" w:orient="portrait"/>
          <w:cols w:equalWidth="0" w:num="1">
            <w:col w:w="9320"/>
          </w:cols>
          <w:pgMar w:left="1440" w:top="122" w:right="1139" w:bottom="1440" w:gutter="0" w:footer="0" w:header="0"/>
        </w:sectPr>
      </w:pPr>
    </w:p>
    <w:bookmarkStart w:id="359" w:name="page360"/>
    <w:bookmarkEnd w:id="3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6900" w:type="dxa"/>
            <w:vAlign w:val="bottom"/>
          </w:tcPr>
          <w:p>
            <w:pPr>
              <w:ind w:left="3080"/>
              <w:spacing w:after="0"/>
              <w:rPr>
                <w:sz w:val="20"/>
                <w:szCs w:val="20"/>
                <w:color w:val="auto"/>
              </w:rPr>
            </w:pPr>
            <w:r>
              <w:rPr>
                <w:rFonts w:ascii="Arial" w:cs="Arial" w:eastAsia="Arial" w:hAnsi="Arial"/>
                <w:sz w:val="16"/>
                <w:szCs w:val="16"/>
                <w:b w:val="1"/>
                <w:bCs w:val="1"/>
                <w:color w:val="auto"/>
              </w:rPr>
              <w:t>TABLE OF CONTENTS</w:t>
            </w:r>
          </w:p>
        </w:tc>
        <w:tc>
          <w:tcPr>
            <w:tcW w:w="1780" w:type="dxa"/>
            <w:vAlign w:val="bottom"/>
          </w:tcPr>
          <w:p>
            <w:pPr>
              <w:spacing w:after="0"/>
              <w:rPr>
                <w:sz w:val="17"/>
                <w:szCs w:val="17"/>
                <w:color w:val="auto"/>
              </w:rPr>
            </w:pPr>
          </w:p>
        </w:tc>
      </w:tr>
      <w:tr>
        <w:trPr>
          <w:trHeight w:val="355"/>
        </w:trPr>
        <w:tc>
          <w:tcPr>
            <w:tcW w:w="8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Page</w:t>
            </w:r>
          </w:p>
        </w:tc>
      </w:tr>
      <w:tr>
        <w:trPr>
          <w:trHeight w:val="269"/>
        </w:trPr>
        <w:tc>
          <w:tcPr>
            <w:tcW w:w="7780" w:type="dxa"/>
            <w:vAlign w:val="bottom"/>
            <w:gridSpan w:val="2"/>
          </w:tcPr>
          <w:p>
            <w:pPr>
              <w:spacing w:after="0"/>
              <w:rPr>
                <w:sz w:val="20"/>
                <w:szCs w:val="20"/>
                <w:color w:val="auto"/>
              </w:rPr>
            </w:pPr>
            <w:r>
              <w:rPr>
                <w:rFonts w:ascii="Arial" w:cs="Arial" w:eastAsia="Arial" w:hAnsi="Arial"/>
                <w:sz w:val="16"/>
                <w:szCs w:val="16"/>
                <w:color w:val="auto"/>
              </w:rPr>
              <w:t>ARTICLE I - CORPORATE OFFICES</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1.1</w:t>
            </w:r>
          </w:p>
        </w:tc>
        <w:tc>
          <w:tcPr>
            <w:tcW w:w="6900" w:type="dxa"/>
            <w:vAlign w:val="bottom"/>
          </w:tcPr>
          <w:p>
            <w:pPr>
              <w:ind w:left="160"/>
              <w:spacing w:after="0"/>
              <w:rPr>
                <w:sz w:val="20"/>
                <w:szCs w:val="20"/>
                <w:color w:val="auto"/>
              </w:rPr>
            </w:pPr>
            <w:r>
              <w:rPr>
                <w:rFonts w:ascii="Arial" w:cs="Arial" w:eastAsia="Arial" w:hAnsi="Arial"/>
                <w:sz w:val="16"/>
                <w:szCs w:val="16"/>
                <w:color w:val="auto"/>
              </w:rPr>
              <w:t>REGISTERED OFFICE</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1.2</w:t>
            </w:r>
          </w:p>
        </w:tc>
        <w:tc>
          <w:tcPr>
            <w:tcW w:w="6900" w:type="dxa"/>
            <w:vAlign w:val="bottom"/>
          </w:tcPr>
          <w:p>
            <w:pPr>
              <w:ind w:left="160"/>
              <w:spacing w:after="0"/>
              <w:rPr>
                <w:sz w:val="20"/>
                <w:szCs w:val="20"/>
                <w:color w:val="auto"/>
              </w:rPr>
            </w:pPr>
            <w:r>
              <w:rPr>
                <w:rFonts w:ascii="Arial" w:cs="Arial" w:eastAsia="Arial" w:hAnsi="Arial"/>
                <w:sz w:val="16"/>
                <w:szCs w:val="16"/>
                <w:color w:val="auto"/>
              </w:rPr>
              <w:t>OTHER OFFICES</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3"/>
        </w:trPr>
        <w:tc>
          <w:tcPr>
            <w:tcW w:w="7780" w:type="dxa"/>
            <w:vAlign w:val="bottom"/>
            <w:gridSpan w:val="2"/>
          </w:tcPr>
          <w:p>
            <w:pPr>
              <w:spacing w:after="0"/>
              <w:rPr>
                <w:sz w:val="20"/>
                <w:szCs w:val="20"/>
                <w:color w:val="auto"/>
              </w:rPr>
            </w:pPr>
            <w:r>
              <w:rPr>
                <w:rFonts w:ascii="Arial" w:cs="Arial" w:eastAsia="Arial" w:hAnsi="Arial"/>
                <w:sz w:val="16"/>
                <w:szCs w:val="16"/>
                <w:color w:val="auto"/>
              </w:rPr>
              <w:t>ARTICLE II - MEETINGS OF STOCKHOLDERS</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2.1</w:t>
            </w:r>
          </w:p>
        </w:tc>
        <w:tc>
          <w:tcPr>
            <w:tcW w:w="6900" w:type="dxa"/>
            <w:vAlign w:val="bottom"/>
          </w:tcPr>
          <w:p>
            <w:pPr>
              <w:ind w:left="160"/>
              <w:spacing w:after="0"/>
              <w:rPr>
                <w:sz w:val="20"/>
                <w:szCs w:val="20"/>
                <w:color w:val="auto"/>
              </w:rPr>
            </w:pPr>
            <w:r>
              <w:rPr>
                <w:rFonts w:ascii="Arial" w:cs="Arial" w:eastAsia="Arial" w:hAnsi="Arial"/>
                <w:sz w:val="16"/>
                <w:szCs w:val="16"/>
                <w:color w:val="auto"/>
              </w:rPr>
              <w:t>PLACE OF MEETINGS</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2.2</w:t>
            </w:r>
          </w:p>
        </w:tc>
        <w:tc>
          <w:tcPr>
            <w:tcW w:w="6900" w:type="dxa"/>
            <w:vAlign w:val="bottom"/>
          </w:tcPr>
          <w:p>
            <w:pPr>
              <w:ind w:left="160"/>
              <w:spacing w:after="0"/>
              <w:rPr>
                <w:sz w:val="20"/>
                <w:szCs w:val="20"/>
                <w:color w:val="auto"/>
              </w:rPr>
            </w:pPr>
            <w:r>
              <w:rPr>
                <w:rFonts w:ascii="Arial" w:cs="Arial" w:eastAsia="Arial" w:hAnsi="Arial"/>
                <w:sz w:val="16"/>
                <w:szCs w:val="16"/>
                <w:color w:val="auto"/>
              </w:rPr>
              <w:t>ANNUAL MEETING</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2.3</w:t>
            </w:r>
          </w:p>
        </w:tc>
        <w:tc>
          <w:tcPr>
            <w:tcW w:w="6900" w:type="dxa"/>
            <w:vAlign w:val="bottom"/>
          </w:tcPr>
          <w:p>
            <w:pPr>
              <w:ind w:left="160"/>
              <w:spacing w:after="0"/>
              <w:rPr>
                <w:sz w:val="20"/>
                <w:szCs w:val="20"/>
                <w:color w:val="auto"/>
              </w:rPr>
            </w:pPr>
            <w:r>
              <w:rPr>
                <w:rFonts w:ascii="Arial" w:cs="Arial" w:eastAsia="Arial" w:hAnsi="Arial"/>
                <w:sz w:val="16"/>
                <w:szCs w:val="16"/>
                <w:color w:val="auto"/>
              </w:rPr>
              <w:t>SPECIAL MEETING</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2.4</w:t>
            </w:r>
          </w:p>
        </w:tc>
        <w:tc>
          <w:tcPr>
            <w:tcW w:w="6900" w:type="dxa"/>
            <w:vAlign w:val="bottom"/>
          </w:tcPr>
          <w:p>
            <w:pPr>
              <w:ind w:left="160"/>
              <w:spacing w:after="0"/>
              <w:rPr>
                <w:sz w:val="20"/>
                <w:szCs w:val="20"/>
                <w:color w:val="auto"/>
              </w:rPr>
            </w:pPr>
            <w:r>
              <w:rPr>
                <w:rFonts w:ascii="Arial" w:cs="Arial" w:eastAsia="Arial" w:hAnsi="Arial"/>
                <w:sz w:val="16"/>
                <w:szCs w:val="16"/>
                <w:color w:val="auto"/>
              </w:rPr>
              <w:t>ADVANCE NOTICE PROCEDURES</w:t>
            </w:r>
          </w:p>
        </w:tc>
        <w:tc>
          <w:tcPr>
            <w:tcW w:w="17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2.5</w:t>
            </w:r>
          </w:p>
        </w:tc>
        <w:tc>
          <w:tcPr>
            <w:tcW w:w="6900" w:type="dxa"/>
            <w:vAlign w:val="bottom"/>
          </w:tcPr>
          <w:p>
            <w:pPr>
              <w:ind w:left="160"/>
              <w:spacing w:after="0"/>
              <w:rPr>
                <w:sz w:val="20"/>
                <w:szCs w:val="20"/>
                <w:color w:val="auto"/>
              </w:rPr>
            </w:pPr>
            <w:r>
              <w:rPr>
                <w:rFonts w:ascii="Arial" w:cs="Arial" w:eastAsia="Arial" w:hAnsi="Arial"/>
                <w:sz w:val="16"/>
                <w:szCs w:val="16"/>
                <w:color w:val="auto"/>
              </w:rPr>
              <w:t>NOTICE OF STOCKHOLDERS’ MEETINGS</w:t>
            </w:r>
          </w:p>
        </w:tc>
        <w:tc>
          <w:tcPr>
            <w:tcW w:w="1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2.6</w:t>
            </w:r>
          </w:p>
        </w:tc>
        <w:tc>
          <w:tcPr>
            <w:tcW w:w="6900" w:type="dxa"/>
            <w:vAlign w:val="bottom"/>
          </w:tcPr>
          <w:p>
            <w:pPr>
              <w:ind w:left="160"/>
              <w:spacing w:after="0"/>
              <w:rPr>
                <w:sz w:val="20"/>
                <w:szCs w:val="20"/>
                <w:color w:val="auto"/>
              </w:rPr>
            </w:pPr>
            <w:r>
              <w:rPr>
                <w:rFonts w:ascii="Arial" w:cs="Arial" w:eastAsia="Arial" w:hAnsi="Arial"/>
                <w:sz w:val="16"/>
                <w:szCs w:val="16"/>
                <w:color w:val="auto"/>
              </w:rPr>
              <w:t>QUORUM</w:t>
            </w:r>
          </w:p>
        </w:tc>
        <w:tc>
          <w:tcPr>
            <w:tcW w:w="1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2.7</w:t>
            </w:r>
          </w:p>
        </w:tc>
        <w:tc>
          <w:tcPr>
            <w:tcW w:w="6900" w:type="dxa"/>
            <w:vAlign w:val="bottom"/>
          </w:tcPr>
          <w:p>
            <w:pPr>
              <w:ind w:left="160"/>
              <w:spacing w:after="0"/>
              <w:rPr>
                <w:sz w:val="20"/>
                <w:szCs w:val="20"/>
                <w:color w:val="auto"/>
              </w:rPr>
            </w:pPr>
            <w:r>
              <w:rPr>
                <w:rFonts w:ascii="Arial" w:cs="Arial" w:eastAsia="Arial" w:hAnsi="Arial"/>
                <w:sz w:val="16"/>
                <w:szCs w:val="16"/>
                <w:color w:val="auto"/>
              </w:rPr>
              <w:t>ADJOURNED MEETING; NOTICE</w:t>
            </w:r>
          </w:p>
        </w:tc>
        <w:tc>
          <w:tcPr>
            <w:tcW w:w="1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2.8</w:t>
            </w:r>
          </w:p>
        </w:tc>
        <w:tc>
          <w:tcPr>
            <w:tcW w:w="6900" w:type="dxa"/>
            <w:vAlign w:val="bottom"/>
          </w:tcPr>
          <w:p>
            <w:pPr>
              <w:ind w:left="160"/>
              <w:spacing w:after="0"/>
              <w:rPr>
                <w:sz w:val="20"/>
                <w:szCs w:val="20"/>
                <w:color w:val="auto"/>
              </w:rPr>
            </w:pPr>
            <w:r>
              <w:rPr>
                <w:rFonts w:ascii="Arial" w:cs="Arial" w:eastAsia="Arial" w:hAnsi="Arial"/>
                <w:sz w:val="16"/>
                <w:szCs w:val="16"/>
                <w:color w:val="auto"/>
              </w:rPr>
              <w:t>CONDUCT OF BUSINESS</w:t>
            </w:r>
          </w:p>
        </w:tc>
        <w:tc>
          <w:tcPr>
            <w:tcW w:w="17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2.9</w:t>
            </w:r>
          </w:p>
        </w:tc>
        <w:tc>
          <w:tcPr>
            <w:tcW w:w="6900" w:type="dxa"/>
            <w:vAlign w:val="bottom"/>
          </w:tcPr>
          <w:p>
            <w:pPr>
              <w:ind w:left="160"/>
              <w:spacing w:after="0"/>
              <w:rPr>
                <w:sz w:val="20"/>
                <w:szCs w:val="20"/>
                <w:color w:val="auto"/>
              </w:rPr>
            </w:pPr>
            <w:r>
              <w:rPr>
                <w:rFonts w:ascii="Arial" w:cs="Arial" w:eastAsia="Arial" w:hAnsi="Arial"/>
                <w:sz w:val="16"/>
                <w:szCs w:val="16"/>
                <w:color w:val="auto"/>
              </w:rPr>
              <w:t>VOTING</w:t>
            </w:r>
          </w:p>
        </w:tc>
        <w:tc>
          <w:tcPr>
            <w:tcW w:w="17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2.10</w:t>
            </w:r>
          </w:p>
        </w:tc>
        <w:tc>
          <w:tcPr>
            <w:tcW w:w="6900" w:type="dxa"/>
            <w:vAlign w:val="bottom"/>
          </w:tcPr>
          <w:p>
            <w:pPr>
              <w:ind w:left="160"/>
              <w:spacing w:after="0"/>
              <w:rPr>
                <w:sz w:val="20"/>
                <w:szCs w:val="20"/>
                <w:color w:val="auto"/>
              </w:rPr>
            </w:pPr>
            <w:r>
              <w:rPr>
                <w:rFonts w:ascii="Arial" w:cs="Arial" w:eastAsia="Arial" w:hAnsi="Arial"/>
                <w:sz w:val="16"/>
                <w:szCs w:val="16"/>
                <w:color w:val="auto"/>
              </w:rPr>
              <w:t>STOCKHOLDER ACTION BY WRITTEN CONSENT WITHOUT A MEETING</w:t>
            </w:r>
          </w:p>
        </w:tc>
        <w:tc>
          <w:tcPr>
            <w:tcW w:w="17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2.11</w:t>
            </w:r>
          </w:p>
        </w:tc>
        <w:tc>
          <w:tcPr>
            <w:tcW w:w="6900" w:type="dxa"/>
            <w:vAlign w:val="bottom"/>
          </w:tcPr>
          <w:p>
            <w:pPr>
              <w:ind w:left="160"/>
              <w:spacing w:after="0"/>
              <w:rPr>
                <w:sz w:val="20"/>
                <w:szCs w:val="20"/>
                <w:color w:val="auto"/>
              </w:rPr>
            </w:pPr>
            <w:r>
              <w:rPr>
                <w:rFonts w:ascii="Arial" w:cs="Arial" w:eastAsia="Arial" w:hAnsi="Arial"/>
                <w:sz w:val="16"/>
                <w:szCs w:val="16"/>
                <w:color w:val="auto"/>
              </w:rPr>
              <w:t>RECORD DATES</w:t>
            </w:r>
          </w:p>
        </w:tc>
        <w:tc>
          <w:tcPr>
            <w:tcW w:w="17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2.12</w:t>
            </w:r>
          </w:p>
        </w:tc>
        <w:tc>
          <w:tcPr>
            <w:tcW w:w="6900" w:type="dxa"/>
            <w:vAlign w:val="bottom"/>
          </w:tcPr>
          <w:p>
            <w:pPr>
              <w:ind w:left="160"/>
              <w:spacing w:after="0"/>
              <w:rPr>
                <w:sz w:val="20"/>
                <w:szCs w:val="20"/>
                <w:color w:val="auto"/>
              </w:rPr>
            </w:pPr>
            <w:r>
              <w:rPr>
                <w:rFonts w:ascii="Arial" w:cs="Arial" w:eastAsia="Arial" w:hAnsi="Arial"/>
                <w:sz w:val="16"/>
                <w:szCs w:val="16"/>
                <w:color w:val="auto"/>
              </w:rPr>
              <w:t>PROXIES</w:t>
            </w:r>
          </w:p>
        </w:tc>
        <w:tc>
          <w:tcPr>
            <w:tcW w:w="1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2.13</w:t>
            </w:r>
          </w:p>
        </w:tc>
        <w:tc>
          <w:tcPr>
            <w:tcW w:w="6900" w:type="dxa"/>
            <w:vAlign w:val="bottom"/>
          </w:tcPr>
          <w:p>
            <w:pPr>
              <w:ind w:left="160"/>
              <w:spacing w:after="0"/>
              <w:rPr>
                <w:sz w:val="20"/>
                <w:szCs w:val="20"/>
                <w:color w:val="auto"/>
              </w:rPr>
            </w:pPr>
            <w:r>
              <w:rPr>
                <w:rFonts w:ascii="Arial" w:cs="Arial" w:eastAsia="Arial" w:hAnsi="Arial"/>
                <w:sz w:val="16"/>
                <w:szCs w:val="16"/>
                <w:color w:val="auto"/>
              </w:rPr>
              <w:t>LIST OF STOCKHOLDERS ENTITLED TO VOTE</w:t>
            </w:r>
          </w:p>
        </w:tc>
        <w:tc>
          <w:tcPr>
            <w:tcW w:w="1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2.14</w:t>
            </w:r>
          </w:p>
        </w:tc>
        <w:tc>
          <w:tcPr>
            <w:tcW w:w="6900" w:type="dxa"/>
            <w:vAlign w:val="bottom"/>
          </w:tcPr>
          <w:p>
            <w:pPr>
              <w:ind w:left="160"/>
              <w:spacing w:after="0"/>
              <w:rPr>
                <w:sz w:val="20"/>
                <w:szCs w:val="20"/>
                <w:color w:val="auto"/>
              </w:rPr>
            </w:pPr>
            <w:r>
              <w:rPr>
                <w:rFonts w:ascii="Arial" w:cs="Arial" w:eastAsia="Arial" w:hAnsi="Arial"/>
                <w:sz w:val="16"/>
                <w:szCs w:val="16"/>
                <w:color w:val="auto"/>
              </w:rPr>
              <w:t>INSPECTORS OF ELECTION</w:t>
            </w: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7780" w:type="dxa"/>
            <w:vAlign w:val="bottom"/>
            <w:gridSpan w:val="2"/>
          </w:tcPr>
          <w:p>
            <w:pPr>
              <w:spacing w:after="0"/>
              <w:rPr>
                <w:sz w:val="20"/>
                <w:szCs w:val="20"/>
                <w:color w:val="auto"/>
              </w:rPr>
            </w:pPr>
            <w:r>
              <w:rPr>
                <w:rFonts w:ascii="Arial" w:cs="Arial" w:eastAsia="Arial" w:hAnsi="Arial"/>
                <w:sz w:val="16"/>
                <w:szCs w:val="16"/>
                <w:color w:val="auto"/>
              </w:rPr>
              <w:t>ARTICLE III - DIRECTORS</w:t>
            </w: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3.1</w:t>
            </w:r>
          </w:p>
        </w:tc>
        <w:tc>
          <w:tcPr>
            <w:tcW w:w="6900" w:type="dxa"/>
            <w:vAlign w:val="bottom"/>
          </w:tcPr>
          <w:p>
            <w:pPr>
              <w:ind w:left="160"/>
              <w:spacing w:after="0"/>
              <w:rPr>
                <w:sz w:val="20"/>
                <w:szCs w:val="20"/>
                <w:color w:val="auto"/>
              </w:rPr>
            </w:pPr>
            <w:r>
              <w:rPr>
                <w:rFonts w:ascii="Arial" w:cs="Arial" w:eastAsia="Arial" w:hAnsi="Arial"/>
                <w:sz w:val="16"/>
                <w:szCs w:val="16"/>
                <w:color w:val="auto"/>
              </w:rPr>
              <w:t>POWERS</w:t>
            </w: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3.2</w:t>
            </w:r>
          </w:p>
        </w:tc>
        <w:tc>
          <w:tcPr>
            <w:tcW w:w="6900" w:type="dxa"/>
            <w:vAlign w:val="bottom"/>
          </w:tcPr>
          <w:p>
            <w:pPr>
              <w:ind w:left="160"/>
              <w:spacing w:after="0"/>
              <w:rPr>
                <w:sz w:val="20"/>
                <w:szCs w:val="20"/>
                <w:color w:val="auto"/>
              </w:rPr>
            </w:pPr>
            <w:r>
              <w:rPr>
                <w:rFonts w:ascii="Arial" w:cs="Arial" w:eastAsia="Arial" w:hAnsi="Arial"/>
                <w:sz w:val="16"/>
                <w:szCs w:val="16"/>
                <w:color w:val="auto"/>
              </w:rPr>
              <w:t>NUMBER OF DIRECTORS</w:t>
            </w: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3.3</w:t>
            </w:r>
          </w:p>
        </w:tc>
        <w:tc>
          <w:tcPr>
            <w:tcW w:w="6900" w:type="dxa"/>
            <w:vAlign w:val="bottom"/>
          </w:tcPr>
          <w:p>
            <w:pPr>
              <w:ind w:left="160"/>
              <w:spacing w:after="0"/>
              <w:rPr>
                <w:sz w:val="20"/>
                <w:szCs w:val="20"/>
                <w:color w:val="auto"/>
              </w:rPr>
            </w:pPr>
            <w:r>
              <w:rPr>
                <w:rFonts w:ascii="Arial" w:cs="Arial" w:eastAsia="Arial" w:hAnsi="Arial"/>
                <w:sz w:val="16"/>
                <w:szCs w:val="16"/>
                <w:color w:val="auto"/>
              </w:rPr>
              <w:t>ELECTION, QUALIFICATION AND TERM OF OFFICE OF DIRECTORS</w:t>
            </w:r>
          </w:p>
        </w:tc>
        <w:tc>
          <w:tcPr>
            <w:tcW w:w="1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3.4</w:t>
            </w:r>
          </w:p>
        </w:tc>
        <w:tc>
          <w:tcPr>
            <w:tcW w:w="6900" w:type="dxa"/>
            <w:vAlign w:val="bottom"/>
          </w:tcPr>
          <w:p>
            <w:pPr>
              <w:ind w:left="160"/>
              <w:spacing w:after="0"/>
              <w:rPr>
                <w:sz w:val="20"/>
                <w:szCs w:val="20"/>
                <w:color w:val="auto"/>
              </w:rPr>
            </w:pPr>
            <w:r>
              <w:rPr>
                <w:rFonts w:ascii="Arial" w:cs="Arial" w:eastAsia="Arial" w:hAnsi="Arial"/>
                <w:sz w:val="16"/>
                <w:szCs w:val="16"/>
                <w:color w:val="auto"/>
              </w:rPr>
              <w:t>RESIGNATION AND VACANCIES</w:t>
            </w:r>
          </w:p>
        </w:tc>
        <w:tc>
          <w:tcPr>
            <w:tcW w:w="1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3.5</w:t>
            </w:r>
          </w:p>
        </w:tc>
        <w:tc>
          <w:tcPr>
            <w:tcW w:w="6900" w:type="dxa"/>
            <w:vAlign w:val="bottom"/>
          </w:tcPr>
          <w:p>
            <w:pPr>
              <w:ind w:left="160"/>
              <w:spacing w:after="0"/>
              <w:rPr>
                <w:sz w:val="20"/>
                <w:szCs w:val="20"/>
                <w:color w:val="auto"/>
              </w:rPr>
            </w:pPr>
            <w:r>
              <w:rPr>
                <w:rFonts w:ascii="Arial" w:cs="Arial" w:eastAsia="Arial" w:hAnsi="Arial"/>
                <w:sz w:val="16"/>
                <w:szCs w:val="16"/>
                <w:color w:val="auto"/>
              </w:rPr>
              <w:t>PLACE OF MEETINGS; MEETINGS BY TELEPHONE</w:t>
            </w:r>
          </w:p>
        </w:tc>
        <w:tc>
          <w:tcPr>
            <w:tcW w:w="1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3.6</w:t>
            </w:r>
          </w:p>
        </w:tc>
        <w:tc>
          <w:tcPr>
            <w:tcW w:w="6900" w:type="dxa"/>
            <w:vAlign w:val="bottom"/>
          </w:tcPr>
          <w:p>
            <w:pPr>
              <w:ind w:left="160"/>
              <w:spacing w:after="0"/>
              <w:rPr>
                <w:sz w:val="20"/>
                <w:szCs w:val="20"/>
                <w:color w:val="auto"/>
              </w:rPr>
            </w:pPr>
            <w:r>
              <w:rPr>
                <w:rFonts w:ascii="Arial" w:cs="Arial" w:eastAsia="Arial" w:hAnsi="Arial"/>
                <w:sz w:val="16"/>
                <w:szCs w:val="16"/>
                <w:color w:val="auto"/>
              </w:rPr>
              <w:t>REGULAR MEETINGS</w:t>
            </w:r>
          </w:p>
        </w:tc>
        <w:tc>
          <w:tcPr>
            <w:tcW w:w="1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3.7</w:t>
            </w:r>
          </w:p>
        </w:tc>
        <w:tc>
          <w:tcPr>
            <w:tcW w:w="6900" w:type="dxa"/>
            <w:vAlign w:val="bottom"/>
          </w:tcPr>
          <w:p>
            <w:pPr>
              <w:ind w:left="160"/>
              <w:spacing w:after="0"/>
              <w:rPr>
                <w:sz w:val="20"/>
                <w:szCs w:val="20"/>
                <w:color w:val="auto"/>
              </w:rPr>
            </w:pPr>
            <w:r>
              <w:rPr>
                <w:rFonts w:ascii="Arial" w:cs="Arial" w:eastAsia="Arial" w:hAnsi="Arial"/>
                <w:sz w:val="16"/>
                <w:szCs w:val="16"/>
                <w:color w:val="auto"/>
              </w:rPr>
              <w:t>SPECIAL MEETINGS; NOTICE</w:t>
            </w:r>
          </w:p>
        </w:tc>
        <w:tc>
          <w:tcPr>
            <w:tcW w:w="17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3.8</w:t>
            </w:r>
          </w:p>
        </w:tc>
        <w:tc>
          <w:tcPr>
            <w:tcW w:w="6900" w:type="dxa"/>
            <w:vAlign w:val="bottom"/>
          </w:tcPr>
          <w:p>
            <w:pPr>
              <w:ind w:left="160"/>
              <w:spacing w:after="0"/>
              <w:rPr>
                <w:sz w:val="20"/>
                <w:szCs w:val="20"/>
                <w:color w:val="auto"/>
              </w:rPr>
            </w:pPr>
            <w:r>
              <w:rPr>
                <w:rFonts w:ascii="Arial" w:cs="Arial" w:eastAsia="Arial" w:hAnsi="Arial"/>
                <w:sz w:val="16"/>
                <w:szCs w:val="16"/>
                <w:color w:val="auto"/>
              </w:rPr>
              <w:t>QUORUM; VOTING</w:t>
            </w:r>
          </w:p>
        </w:tc>
        <w:tc>
          <w:tcPr>
            <w:tcW w:w="17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3.9</w:t>
            </w:r>
          </w:p>
        </w:tc>
        <w:tc>
          <w:tcPr>
            <w:tcW w:w="6900" w:type="dxa"/>
            <w:vAlign w:val="bottom"/>
          </w:tcPr>
          <w:p>
            <w:pPr>
              <w:ind w:left="160"/>
              <w:spacing w:after="0"/>
              <w:rPr>
                <w:sz w:val="20"/>
                <w:szCs w:val="20"/>
                <w:color w:val="auto"/>
              </w:rPr>
            </w:pPr>
            <w:r>
              <w:rPr>
                <w:rFonts w:ascii="Arial" w:cs="Arial" w:eastAsia="Arial" w:hAnsi="Arial"/>
                <w:sz w:val="16"/>
                <w:szCs w:val="16"/>
                <w:color w:val="auto"/>
              </w:rPr>
              <w:t>BOARD ACTION BY WRITTEN CONSENT WITHOUT A MEETING</w:t>
            </w: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3.10</w:t>
            </w:r>
          </w:p>
        </w:tc>
        <w:tc>
          <w:tcPr>
            <w:tcW w:w="6900" w:type="dxa"/>
            <w:vAlign w:val="bottom"/>
          </w:tcPr>
          <w:p>
            <w:pPr>
              <w:ind w:left="160"/>
              <w:spacing w:after="0"/>
              <w:rPr>
                <w:sz w:val="20"/>
                <w:szCs w:val="20"/>
                <w:color w:val="auto"/>
              </w:rPr>
            </w:pPr>
            <w:r>
              <w:rPr>
                <w:rFonts w:ascii="Arial" w:cs="Arial" w:eastAsia="Arial" w:hAnsi="Arial"/>
                <w:sz w:val="16"/>
                <w:szCs w:val="16"/>
                <w:color w:val="auto"/>
              </w:rPr>
              <w:t>FEES AND COMPENSATION OF DIRECTORS</w:t>
            </w: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3.11</w:t>
            </w:r>
          </w:p>
        </w:tc>
        <w:tc>
          <w:tcPr>
            <w:tcW w:w="6900" w:type="dxa"/>
            <w:vAlign w:val="bottom"/>
          </w:tcPr>
          <w:p>
            <w:pPr>
              <w:ind w:left="160"/>
              <w:spacing w:after="0"/>
              <w:rPr>
                <w:sz w:val="20"/>
                <w:szCs w:val="20"/>
                <w:color w:val="auto"/>
              </w:rPr>
            </w:pPr>
            <w:r>
              <w:rPr>
                <w:rFonts w:ascii="Arial" w:cs="Arial" w:eastAsia="Arial" w:hAnsi="Arial"/>
                <w:sz w:val="16"/>
                <w:szCs w:val="16"/>
                <w:color w:val="auto"/>
              </w:rPr>
              <w:t>REMOVAL OF DIRECTORS</w:t>
            </w: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3"/>
        </w:trPr>
        <w:tc>
          <w:tcPr>
            <w:tcW w:w="7780" w:type="dxa"/>
            <w:vAlign w:val="bottom"/>
            <w:gridSpan w:val="2"/>
          </w:tcPr>
          <w:p>
            <w:pPr>
              <w:spacing w:after="0"/>
              <w:rPr>
                <w:sz w:val="20"/>
                <w:szCs w:val="20"/>
                <w:color w:val="auto"/>
              </w:rPr>
            </w:pPr>
            <w:r>
              <w:rPr>
                <w:rFonts w:ascii="Arial" w:cs="Arial" w:eastAsia="Arial" w:hAnsi="Arial"/>
                <w:sz w:val="16"/>
                <w:szCs w:val="16"/>
                <w:color w:val="auto"/>
              </w:rPr>
              <w:t>ARTICLE IV - COMMITTEES</w:t>
            </w: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4.1</w:t>
            </w:r>
          </w:p>
        </w:tc>
        <w:tc>
          <w:tcPr>
            <w:tcW w:w="6900" w:type="dxa"/>
            <w:vAlign w:val="bottom"/>
          </w:tcPr>
          <w:p>
            <w:pPr>
              <w:ind w:left="160"/>
              <w:spacing w:after="0"/>
              <w:rPr>
                <w:sz w:val="20"/>
                <w:szCs w:val="20"/>
                <w:color w:val="auto"/>
              </w:rPr>
            </w:pPr>
            <w:r>
              <w:rPr>
                <w:rFonts w:ascii="Arial" w:cs="Arial" w:eastAsia="Arial" w:hAnsi="Arial"/>
                <w:sz w:val="16"/>
                <w:szCs w:val="16"/>
                <w:color w:val="auto"/>
              </w:rPr>
              <w:t>COMMITTEES OF DIRECTORS</w:t>
            </w: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4.2</w:t>
            </w:r>
          </w:p>
        </w:tc>
        <w:tc>
          <w:tcPr>
            <w:tcW w:w="6900" w:type="dxa"/>
            <w:vAlign w:val="bottom"/>
          </w:tcPr>
          <w:p>
            <w:pPr>
              <w:ind w:left="160"/>
              <w:spacing w:after="0"/>
              <w:rPr>
                <w:sz w:val="20"/>
                <w:szCs w:val="20"/>
                <w:color w:val="auto"/>
              </w:rPr>
            </w:pPr>
            <w:r>
              <w:rPr>
                <w:rFonts w:ascii="Arial" w:cs="Arial" w:eastAsia="Arial" w:hAnsi="Arial"/>
                <w:sz w:val="16"/>
                <w:szCs w:val="16"/>
                <w:color w:val="auto"/>
              </w:rPr>
              <w:t>COMMITTEE MINUTES</w:t>
            </w: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4.3</w:t>
            </w:r>
          </w:p>
        </w:tc>
        <w:tc>
          <w:tcPr>
            <w:tcW w:w="6900" w:type="dxa"/>
            <w:vAlign w:val="bottom"/>
          </w:tcPr>
          <w:p>
            <w:pPr>
              <w:ind w:left="160"/>
              <w:spacing w:after="0"/>
              <w:rPr>
                <w:sz w:val="20"/>
                <w:szCs w:val="20"/>
                <w:color w:val="auto"/>
              </w:rPr>
            </w:pPr>
            <w:r>
              <w:rPr>
                <w:rFonts w:ascii="Arial" w:cs="Arial" w:eastAsia="Arial" w:hAnsi="Arial"/>
                <w:sz w:val="16"/>
                <w:szCs w:val="16"/>
                <w:color w:val="auto"/>
              </w:rPr>
              <w:t>MEETINGS AND ACTION OF COMMITTEES</w:t>
            </w:r>
          </w:p>
        </w:tc>
        <w:tc>
          <w:tcPr>
            <w:tcW w:w="17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4.4</w:t>
            </w:r>
          </w:p>
        </w:tc>
        <w:tc>
          <w:tcPr>
            <w:tcW w:w="6900" w:type="dxa"/>
            <w:vAlign w:val="bottom"/>
          </w:tcPr>
          <w:p>
            <w:pPr>
              <w:ind w:left="160"/>
              <w:spacing w:after="0"/>
              <w:rPr>
                <w:sz w:val="20"/>
                <w:szCs w:val="20"/>
                <w:color w:val="auto"/>
              </w:rPr>
            </w:pPr>
            <w:r>
              <w:rPr>
                <w:rFonts w:ascii="Arial" w:cs="Arial" w:eastAsia="Arial" w:hAnsi="Arial"/>
                <w:sz w:val="16"/>
                <w:szCs w:val="16"/>
                <w:color w:val="auto"/>
              </w:rPr>
              <w:t>SUBCOMMITTEES</w:t>
            </w:r>
          </w:p>
        </w:tc>
        <w:tc>
          <w:tcPr>
            <w:tcW w:w="17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83"/>
        </w:trPr>
        <w:tc>
          <w:tcPr>
            <w:tcW w:w="7780" w:type="dxa"/>
            <w:vAlign w:val="bottom"/>
            <w:gridSpan w:val="2"/>
          </w:tcPr>
          <w:p>
            <w:pPr>
              <w:spacing w:after="0"/>
              <w:rPr>
                <w:sz w:val="20"/>
                <w:szCs w:val="20"/>
                <w:color w:val="auto"/>
              </w:rPr>
            </w:pPr>
            <w:r>
              <w:rPr>
                <w:rFonts w:ascii="Arial" w:cs="Arial" w:eastAsia="Arial" w:hAnsi="Arial"/>
                <w:sz w:val="16"/>
                <w:szCs w:val="16"/>
                <w:color w:val="auto"/>
              </w:rPr>
              <w:t>ARTICLE V - OFFICERS</w:t>
            </w:r>
          </w:p>
        </w:tc>
        <w:tc>
          <w:tcPr>
            <w:tcW w:w="17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5.1</w:t>
            </w:r>
          </w:p>
        </w:tc>
        <w:tc>
          <w:tcPr>
            <w:tcW w:w="6900" w:type="dxa"/>
            <w:vAlign w:val="bottom"/>
          </w:tcPr>
          <w:p>
            <w:pPr>
              <w:ind w:left="160"/>
              <w:spacing w:after="0"/>
              <w:rPr>
                <w:sz w:val="20"/>
                <w:szCs w:val="20"/>
                <w:color w:val="auto"/>
              </w:rPr>
            </w:pPr>
            <w:r>
              <w:rPr>
                <w:rFonts w:ascii="Arial" w:cs="Arial" w:eastAsia="Arial" w:hAnsi="Arial"/>
                <w:sz w:val="16"/>
                <w:szCs w:val="16"/>
                <w:color w:val="auto"/>
              </w:rPr>
              <w:t>OFFICERS</w:t>
            </w:r>
          </w:p>
        </w:tc>
        <w:tc>
          <w:tcPr>
            <w:tcW w:w="17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5.2</w:t>
            </w:r>
          </w:p>
        </w:tc>
        <w:tc>
          <w:tcPr>
            <w:tcW w:w="6900" w:type="dxa"/>
            <w:vAlign w:val="bottom"/>
          </w:tcPr>
          <w:p>
            <w:pPr>
              <w:ind w:left="160"/>
              <w:spacing w:after="0"/>
              <w:rPr>
                <w:sz w:val="20"/>
                <w:szCs w:val="20"/>
                <w:color w:val="auto"/>
              </w:rPr>
            </w:pPr>
            <w:r>
              <w:rPr>
                <w:rFonts w:ascii="Arial" w:cs="Arial" w:eastAsia="Arial" w:hAnsi="Arial"/>
                <w:sz w:val="16"/>
                <w:szCs w:val="16"/>
                <w:color w:val="auto"/>
              </w:rPr>
              <w:t>APPOINTMENT OF OFFICERS</w:t>
            </w:r>
          </w:p>
        </w:tc>
        <w:tc>
          <w:tcPr>
            <w:tcW w:w="17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5.3</w:t>
            </w:r>
          </w:p>
        </w:tc>
        <w:tc>
          <w:tcPr>
            <w:tcW w:w="6900" w:type="dxa"/>
            <w:vAlign w:val="bottom"/>
          </w:tcPr>
          <w:p>
            <w:pPr>
              <w:ind w:left="160"/>
              <w:spacing w:after="0"/>
              <w:rPr>
                <w:sz w:val="20"/>
                <w:szCs w:val="20"/>
                <w:color w:val="auto"/>
              </w:rPr>
            </w:pPr>
            <w:r>
              <w:rPr>
                <w:rFonts w:ascii="Arial" w:cs="Arial" w:eastAsia="Arial" w:hAnsi="Arial"/>
                <w:sz w:val="16"/>
                <w:szCs w:val="16"/>
                <w:color w:val="auto"/>
              </w:rPr>
              <w:t>SUBORDINATE OFFICERS</w:t>
            </w:r>
          </w:p>
        </w:tc>
        <w:tc>
          <w:tcPr>
            <w:tcW w:w="178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9560"/>
          </w:cols>
          <w:pgMar w:left="1140" w:top="252" w:right="1199" w:bottom="1440" w:gutter="0" w:footer="0" w:header="0"/>
        </w:sectPr>
      </w:pPr>
    </w:p>
    <w:bookmarkStart w:id="360" w:name="page361"/>
    <w:bookmarkEnd w:id="360"/>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(continued)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8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Page</w:t>
            </w:r>
          </w:p>
        </w:tc>
      </w:tr>
      <w:tr>
        <w:trPr>
          <w:trHeight w:val="258"/>
        </w:trPr>
        <w:tc>
          <w:tcPr>
            <w:tcW w:w="880" w:type="dxa"/>
            <w:vAlign w:val="bottom"/>
          </w:tcPr>
          <w:p>
            <w:pPr>
              <w:ind w:left="480"/>
              <w:spacing w:after="0"/>
              <w:rPr>
                <w:sz w:val="20"/>
                <w:szCs w:val="20"/>
                <w:color w:val="auto"/>
              </w:rPr>
            </w:pPr>
            <w:r>
              <w:rPr>
                <w:rFonts w:ascii="Arial" w:cs="Arial" w:eastAsia="Arial" w:hAnsi="Arial"/>
                <w:sz w:val="16"/>
                <w:szCs w:val="16"/>
                <w:color w:val="auto"/>
              </w:rPr>
              <w:t>5.4</w:t>
            </w:r>
          </w:p>
        </w:tc>
        <w:tc>
          <w:tcPr>
            <w:tcW w:w="8100" w:type="dxa"/>
            <w:vAlign w:val="bottom"/>
          </w:tcPr>
          <w:p>
            <w:pPr>
              <w:ind w:left="160"/>
              <w:spacing w:after="0"/>
              <w:rPr>
                <w:sz w:val="20"/>
                <w:szCs w:val="20"/>
                <w:color w:val="auto"/>
              </w:rPr>
            </w:pPr>
            <w:r>
              <w:rPr>
                <w:rFonts w:ascii="Arial" w:cs="Arial" w:eastAsia="Arial" w:hAnsi="Arial"/>
                <w:sz w:val="16"/>
                <w:szCs w:val="16"/>
                <w:color w:val="auto"/>
              </w:rPr>
              <w:t>REMOVAL AND RESIGNATION OF OFFICERS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5.5</w:t>
            </w:r>
          </w:p>
        </w:tc>
        <w:tc>
          <w:tcPr>
            <w:tcW w:w="8100" w:type="dxa"/>
            <w:vAlign w:val="bottom"/>
          </w:tcPr>
          <w:p>
            <w:pPr>
              <w:ind w:left="160"/>
              <w:spacing w:after="0"/>
              <w:rPr>
                <w:sz w:val="20"/>
                <w:szCs w:val="20"/>
                <w:color w:val="auto"/>
              </w:rPr>
            </w:pPr>
            <w:r>
              <w:rPr>
                <w:rFonts w:ascii="Arial" w:cs="Arial" w:eastAsia="Arial" w:hAnsi="Arial"/>
                <w:sz w:val="16"/>
                <w:szCs w:val="16"/>
                <w:color w:val="auto"/>
              </w:rPr>
              <w:t>VACANCIES IN OFFICES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5.6</w:t>
            </w:r>
          </w:p>
        </w:tc>
        <w:tc>
          <w:tcPr>
            <w:tcW w:w="8100" w:type="dxa"/>
            <w:vAlign w:val="bottom"/>
          </w:tcPr>
          <w:p>
            <w:pPr>
              <w:ind w:left="160"/>
              <w:spacing w:after="0"/>
              <w:rPr>
                <w:sz w:val="20"/>
                <w:szCs w:val="20"/>
                <w:color w:val="auto"/>
              </w:rPr>
            </w:pPr>
            <w:r>
              <w:rPr>
                <w:rFonts w:ascii="Arial" w:cs="Arial" w:eastAsia="Arial" w:hAnsi="Arial"/>
                <w:sz w:val="16"/>
                <w:szCs w:val="16"/>
                <w:color w:val="auto"/>
              </w:rPr>
              <w:t>REPRESENTATION OF SECURITIES OF OTHER ENTITIES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5.7</w:t>
            </w:r>
          </w:p>
        </w:tc>
        <w:tc>
          <w:tcPr>
            <w:tcW w:w="8100" w:type="dxa"/>
            <w:vAlign w:val="bottom"/>
          </w:tcPr>
          <w:p>
            <w:pPr>
              <w:ind w:left="160"/>
              <w:spacing w:after="0"/>
              <w:rPr>
                <w:sz w:val="20"/>
                <w:szCs w:val="20"/>
                <w:color w:val="auto"/>
              </w:rPr>
            </w:pPr>
            <w:r>
              <w:rPr>
                <w:rFonts w:ascii="Arial" w:cs="Arial" w:eastAsia="Arial" w:hAnsi="Arial"/>
                <w:sz w:val="16"/>
                <w:szCs w:val="16"/>
                <w:color w:val="auto"/>
              </w:rPr>
              <w:t>AUTHORITY AND DUTIES OF OFFICERS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3"/>
        </w:trPr>
        <w:tc>
          <w:tcPr>
            <w:tcW w:w="8980" w:type="dxa"/>
            <w:vAlign w:val="bottom"/>
            <w:gridSpan w:val="2"/>
          </w:tcPr>
          <w:p>
            <w:pPr>
              <w:spacing w:after="0"/>
              <w:rPr>
                <w:sz w:val="20"/>
                <w:szCs w:val="20"/>
                <w:color w:val="auto"/>
              </w:rPr>
            </w:pPr>
            <w:r>
              <w:rPr>
                <w:rFonts w:ascii="Arial" w:cs="Arial" w:eastAsia="Arial" w:hAnsi="Arial"/>
                <w:sz w:val="16"/>
                <w:szCs w:val="16"/>
                <w:color w:val="auto"/>
              </w:rPr>
              <w:t>ARTICLE VI - STOCK</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6.1</w:t>
            </w:r>
          </w:p>
        </w:tc>
        <w:tc>
          <w:tcPr>
            <w:tcW w:w="8100" w:type="dxa"/>
            <w:vAlign w:val="bottom"/>
          </w:tcPr>
          <w:p>
            <w:pPr>
              <w:ind w:left="160"/>
              <w:spacing w:after="0"/>
              <w:rPr>
                <w:sz w:val="20"/>
                <w:szCs w:val="20"/>
                <w:color w:val="auto"/>
              </w:rPr>
            </w:pPr>
            <w:r>
              <w:rPr>
                <w:rFonts w:ascii="Arial" w:cs="Arial" w:eastAsia="Arial" w:hAnsi="Arial"/>
                <w:sz w:val="16"/>
                <w:szCs w:val="16"/>
                <w:color w:val="auto"/>
              </w:rPr>
              <w:t>STOCK CERTIFICATES; PARTLY PAID SHARES</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6.2</w:t>
            </w:r>
          </w:p>
        </w:tc>
        <w:tc>
          <w:tcPr>
            <w:tcW w:w="8100" w:type="dxa"/>
            <w:vAlign w:val="bottom"/>
          </w:tcPr>
          <w:p>
            <w:pPr>
              <w:ind w:left="160"/>
              <w:spacing w:after="0"/>
              <w:rPr>
                <w:sz w:val="20"/>
                <w:szCs w:val="20"/>
                <w:color w:val="auto"/>
              </w:rPr>
            </w:pPr>
            <w:r>
              <w:rPr>
                <w:rFonts w:ascii="Arial" w:cs="Arial" w:eastAsia="Arial" w:hAnsi="Arial"/>
                <w:sz w:val="16"/>
                <w:szCs w:val="16"/>
                <w:color w:val="auto"/>
              </w:rPr>
              <w:t>SPECIAL DESIGNATION ON CERTIFICATES</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6.3</w:t>
            </w:r>
          </w:p>
        </w:tc>
        <w:tc>
          <w:tcPr>
            <w:tcW w:w="8100" w:type="dxa"/>
            <w:vAlign w:val="bottom"/>
          </w:tcPr>
          <w:p>
            <w:pPr>
              <w:ind w:left="160"/>
              <w:spacing w:after="0"/>
              <w:rPr>
                <w:sz w:val="20"/>
                <w:szCs w:val="20"/>
                <w:color w:val="auto"/>
              </w:rPr>
            </w:pPr>
            <w:r>
              <w:rPr>
                <w:rFonts w:ascii="Arial" w:cs="Arial" w:eastAsia="Arial" w:hAnsi="Arial"/>
                <w:sz w:val="16"/>
                <w:szCs w:val="16"/>
                <w:color w:val="auto"/>
              </w:rPr>
              <w:t>LOST CERTIFICATES</w:t>
            </w: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6.4</w:t>
            </w:r>
          </w:p>
        </w:tc>
        <w:tc>
          <w:tcPr>
            <w:tcW w:w="8100" w:type="dxa"/>
            <w:vAlign w:val="bottom"/>
          </w:tcPr>
          <w:p>
            <w:pPr>
              <w:ind w:left="160"/>
              <w:spacing w:after="0"/>
              <w:rPr>
                <w:sz w:val="20"/>
                <w:szCs w:val="20"/>
                <w:color w:val="auto"/>
              </w:rPr>
            </w:pPr>
            <w:r>
              <w:rPr>
                <w:rFonts w:ascii="Arial" w:cs="Arial" w:eastAsia="Arial" w:hAnsi="Arial"/>
                <w:sz w:val="16"/>
                <w:szCs w:val="16"/>
                <w:color w:val="auto"/>
              </w:rPr>
              <w:t>DIVIDENDS</w:t>
            </w: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6.5</w:t>
            </w:r>
          </w:p>
        </w:tc>
        <w:tc>
          <w:tcPr>
            <w:tcW w:w="8100" w:type="dxa"/>
            <w:vAlign w:val="bottom"/>
          </w:tcPr>
          <w:p>
            <w:pPr>
              <w:ind w:left="160"/>
              <w:spacing w:after="0"/>
              <w:rPr>
                <w:sz w:val="20"/>
                <w:szCs w:val="20"/>
                <w:color w:val="auto"/>
              </w:rPr>
            </w:pPr>
            <w:r>
              <w:rPr>
                <w:rFonts w:ascii="Arial" w:cs="Arial" w:eastAsia="Arial" w:hAnsi="Arial"/>
                <w:sz w:val="16"/>
                <w:szCs w:val="16"/>
                <w:color w:val="auto"/>
              </w:rPr>
              <w:t>TRANSFER OF STOCK</w:t>
            </w: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6.6</w:t>
            </w:r>
          </w:p>
        </w:tc>
        <w:tc>
          <w:tcPr>
            <w:tcW w:w="8100" w:type="dxa"/>
            <w:vAlign w:val="bottom"/>
          </w:tcPr>
          <w:p>
            <w:pPr>
              <w:ind w:left="160"/>
              <w:spacing w:after="0"/>
              <w:rPr>
                <w:sz w:val="20"/>
                <w:szCs w:val="20"/>
                <w:color w:val="auto"/>
              </w:rPr>
            </w:pPr>
            <w:r>
              <w:rPr>
                <w:rFonts w:ascii="Arial" w:cs="Arial" w:eastAsia="Arial" w:hAnsi="Arial"/>
                <w:sz w:val="16"/>
                <w:szCs w:val="16"/>
                <w:color w:val="auto"/>
              </w:rPr>
              <w:t>STOCK TRANSFER AGREEMENTS</w:t>
            </w: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6.7</w:t>
            </w:r>
          </w:p>
        </w:tc>
        <w:tc>
          <w:tcPr>
            <w:tcW w:w="8100" w:type="dxa"/>
            <w:vAlign w:val="bottom"/>
          </w:tcPr>
          <w:p>
            <w:pPr>
              <w:ind w:left="160"/>
              <w:spacing w:after="0"/>
              <w:rPr>
                <w:sz w:val="20"/>
                <w:szCs w:val="20"/>
                <w:color w:val="auto"/>
              </w:rPr>
            </w:pPr>
            <w:r>
              <w:rPr>
                <w:rFonts w:ascii="Arial" w:cs="Arial" w:eastAsia="Arial" w:hAnsi="Arial"/>
                <w:sz w:val="16"/>
                <w:szCs w:val="16"/>
                <w:color w:val="auto"/>
              </w:rPr>
              <w:t>REGISTERED STOCKHOLDERS</w:t>
            </w: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3"/>
        </w:trPr>
        <w:tc>
          <w:tcPr>
            <w:tcW w:w="8980" w:type="dxa"/>
            <w:vAlign w:val="bottom"/>
            <w:gridSpan w:val="2"/>
          </w:tcPr>
          <w:p>
            <w:pPr>
              <w:spacing w:after="0"/>
              <w:rPr>
                <w:sz w:val="20"/>
                <w:szCs w:val="20"/>
                <w:color w:val="auto"/>
              </w:rPr>
            </w:pPr>
            <w:r>
              <w:rPr>
                <w:rFonts w:ascii="Arial" w:cs="Arial" w:eastAsia="Arial" w:hAnsi="Arial"/>
                <w:sz w:val="16"/>
                <w:szCs w:val="16"/>
                <w:color w:val="auto"/>
              </w:rPr>
              <w:t>ARTICLE VII - MANNER OF GIVING NOTICE AND WAIVER</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7.1</w:t>
            </w:r>
          </w:p>
        </w:tc>
        <w:tc>
          <w:tcPr>
            <w:tcW w:w="8100" w:type="dxa"/>
            <w:vAlign w:val="bottom"/>
          </w:tcPr>
          <w:p>
            <w:pPr>
              <w:ind w:left="160"/>
              <w:spacing w:after="0"/>
              <w:rPr>
                <w:sz w:val="20"/>
                <w:szCs w:val="20"/>
                <w:color w:val="auto"/>
              </w:rPr>
            </w:pPr>
            <w:r>
              <w:rPr>
                <w:rFonts w:ascii="Arial" w:cs="Arial" w:eastAsia="Arial" w:hAnsi="Arial"/>
                <w:sz w:val="16"/>
                <w:szCs w:val="16"/>
                <w:color w:val="auto"/>
              </w:rPr>
              <w:t>NOTICE OF STOCKHOLDERS’ MEETINGS</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7.2</w:t>
            </w:r>
          </w:p>
        </w:tc>
        <w:tc>
          <w:tcPr>
            <w:tcW w:w="8100" w:type="dxa"/>
            <w:vAlign w:val="bottom"/>
          </w:tcPr>
          <w:p>
            <w:pPr>
              <w:ind w:left="160"/>
              <w:spacing w:after="0"/>
              <w:rPr>
                <w:sz w:val="20"/>
                <w:szCs w:val="20"/>
                <w:color w:val="auto"/>
              </w:rPr>
            </w:pPr>
            <w:r>
              <w:rPr>
                <w:rFonts w:ascii="Arial" w:cs="Arial" w:eastAsia="Arial" w:hAnsi="Arial"/>
                <w:sz w:val="16"/>
                <w:szCs w:val="16"/>
                <w:color w:val="auto"/>
              </w:rPr>
              <w:t>NOTICE TO STOCKHOLDERS SHARING AN ADDRESS</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7.3</w:t>
            </w:r>
          </w:p>
        </w:tc>
        <w:tc>
          <w:tcPr>
            <w:tcW w:w="8100" w:type="dxa"/>
            <w:vAlign w:val="bottom"/>
          </w:tcPr>
          <w:p>
            <w:pPr>
              <w:ind w:left="160"/>
              <w:spacing w:after="0"/>
              <w:rPr>
                <w:sz w:val="20"/>
                <w:szCs w:val="20"/>
                <w:color w:val="auto"/>
              </w:rPr>
            </w:pPr>
            <w:r>
              <w:rPr>
                <w:rFonts w:ascii="Arial" w:cs="Arial" w:eastAsia="Arial" w:hAnsi="Arial"/>
                <w:sz w:val="16"/>
                <w:szCs w:val="16"/>
                <w:color w:val="auto"/>
              </w:rPr>
              <w:t>NOTICE TO PERSON WITH WHOM COMMUNICATION IS UNLAWFUL</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7.4</w:t>
            </w:r>
          </w:p>
        </w:tc>
        <w:tc>
          <w:tcPr>
            <w:tcW w:w="8100" w:type="dxa"/>
            <w:vAlign w:val="bottom"/>
          </w:tcPr>
          <w:p>
            <w:pPr>
              <w:ind w:left="160"/>
              <w:spacing w:after="0"/>
              <w:rPr>
                <w:sz w:val="20"/>
                <w:szCs w:val="20"/>
                <w:color w:val="auto"/>
              </w:rPr>
            </w:pPr>
            <w:r>
              <w:rPr>
                <w:rFonts w:ascii="Arial" w:cs="Arial" w:eastAsia="Arial" w:hAnsi="Arial"/>
                <w:sz w:val="16"/>
                <w:szCs w:val="16"/>
                <w:color w:val="auto"/>
              </w:rPr>
              <w:t>WAIVER OF NOTICE</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83"/>
        </w:trPr>
        <w:tc>
          <w:tcPr>
            <w:tcW w:w="8980" w:type="dxa"/>
            <w:vAlign w:val="bottom"/>
            <w:gridSpan w:val="2"/>
          </w:tcPr>
          <w:p>
            <w:pPr>
              <w:spacing w:after="0"/>
              <w:rPr>
                <w:sz w:val="20"/>
                <w:szCs w:val="20"/>
                <w:color w:val="auto"/>
              </w:rPr>
            </w:pPr>
            <w:r>
              <w:rPr>
                <w:rFonts w:ascii="Arial" w:cs="Arial" w:eastAsia="Arial" w:hAnsi="Arial"/>
                <w:sz w:val="16"/>
                <w:szCs w:val="16"/>
                <w:color w:val="auto"/>
              </w:rPr>
              <w:t>ARTICLE VIII - INDEMNIFICATION</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8.1</w:t>
            </w:r>
          </w:p>
        </w:tc>
        <w:tc>
          <w:tcPr>
            <w:tcW w:w="8100" w:type="dxa"/>
            <w:vAlign w:val="bottom"/>
          </w:tcPr>
          <w:p>
            <w:pPr>
              <w:ind w:left="160"/>
              <w:spacing w:after="0"/>
              <w:rPr>
                <w:sz w:val="20"/>
                <w:szCs w:val="20"/>
                <w:color w:val="auto"/>
              </w:rPr>
            </w:pPr>
            <w:r>
              <w:rPr>
                <w:rFonts w:ascii="Arial" w:cs="Arial" w:eastAsia="Arial" w:hAnsi="Arial"/>
                <w:sz w:val="16"/>
                <w:szCs w:val="16"/>
                <w:color w:val="auto"/>
              </w:rPr>
              <w:t>INDEMNIFICATION OF DIRECTORS AND OFFICERS IN THIRD PARTY PROCEEDINGS</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8.2</w:t>
            </w:r>
          </w:p>
        </w:tc>
        <w:tc>
          <w:tcPr>
            <w:tcW w:w="8100" w:type="dxa"/>
            <w:vAlign w:val="bottom"/>
          </w:tcPr>
          <w:p>
            <w:pPr>
              <w:ind w:left="160"/>
              <w:spacing w:after="0"/>
              <w:rPr>
                <w:sz w:val="20"/>
                <w:szCs w:val="20"/>
                <w:color w:val="auto"/>
              </w:rPr>
            </w:pPr>
            <w:r>
              <w:rPr>
                <w:rFonts w:ascii="Arial" w:cs="Arial" w:eastAsia="Arial" w:hAnsi="Arial"/>
                <w:sz w:val="16"/>
                <w:szCs w:val="16"/>
                <w:color w:val="auto"/>
                <w:w w:val="98"/>
              </w:rPr>
              <w:t>INDEMNIFICATION OF DIRECTORS AND OFFICERS IN ACTIONS BY OR IN THE RIGHT OF THE COMPANY</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8.3</w:t>
            </w:r>
          </w:p>
        </w:tc>
        <w:tc>
          <w:tcPr>
            <w:tcW w:w="8100" w:type="dxa"/>
            <w:vAlign w:val="bottom"/>
          </w:tcPr>
          <w:p>
            <w:pPr>
              <w:ind w:left="160"/>
              <w:spacing w:after="0"/>
              <w:rPr>
                <w:sz w:val="20"/>
                <w:szCs w:val="20"/>
                <w:color w:val="auto"/>
              </w:rPr>
            </w:pPr>
            <w:r>
              <w:rPr>
                <w:rFonts w:ascii="Arial" w:cs="Arial" w:eastAsia="Arial" w:hAnsi="Arial"/>
                <w:sz w:val="16"/>
                <w:szCs w:val="16"/>
                <w:color w:val="auto"/>
              </w:rPr>
              <w:t>SUCCESSFUL DEFENSE</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8.4</w:t>
            </w:r>
          </w:p>
        </w:tc>
        <w:tc>
          <w:tcPr>
            <w:tcW w:w="8100" w:type="dxa"/>
            <w:vAlign w:val="bottom"/>
          </w:tcPr>
          <w:p>
            <w:pPr>
              <w:ind w:left="160"/>
              <w:spacing w:after="0"/>
              <w:rPr>
                <w:sz w:val="20"/>
                <w:szCs w:val="20"/>
                <w:color w:val="auto"/>
              </w:rPr>
            </w:pPr>
            <w:r>
              <w:rPr>
                <w:rFonts w:ascii="Arial" w:cs="Arial" w:eastAsia="Arial" w:hAnsi="Arial"/>
                <w:sz w:val="16"/>
                <w:szCs w:val="16"/>
                <w:color w:val="auto"/>
              </w:rPr>
              <w:t>INDEMNIFICATION OF OTHERS</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8.5</w:t>
            </w:r>
          </w:p>
        </w:tc>
        <w:tc>
          <w:tcPr>
            <w:tcW w:w="8100" w:type="dxa"/>
            <w:vAlign w:val="bottom"/>
          </w:tcPr>
          <w:p>
            <w:pPr>
              <w:ind w:left="160"/>
              <w:spacing w:after="0"/>
              <w:rPr>
                <w:sz w:val="20"/>
                <w:szCs w:val="20"/>
                <w:color w:val="auto"/>
              </w:rPr>
            </w:pPr>
            <w:r>
              <w:rPr>
                <w:rFonts w:ascii="Arial" w:cs="Arial" w:eastAsia="Arial" w:hAnsi="Arial"/>
                <w:sz w:val="16"/>
                <w:szCs w:val="16"/>
                <w:color w:val="auto"/>
              </w:rPr>
              <w:t>ADVANCED PAYMENT OF EXPENSES</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8.6</w:t>
            </w:r>
          </w:p>
        </w:tc>
        <w:tc>
          <w:tcPr>
            <w:tcW w:w="8100" w:type="dxa"/>
            <w:vAlign w:val="bottom"/>
          </w:tcPr>
          <w:p>
            <w:pPr>
              <w:ind w:left="160"/>
              <w:spacing w:after="0"/>
              <w:rPr>
                <w:sz w:val="20"/>
                <w:szCs w:val="20"/>
                <w:color w:val="auto"/>
              </w:rPr>
            </w:pPr>
            <w:r>
              <w:rPr>
                <w:rFonts w:ascii="Arial" w:cs="Arial" w:eastAsia="Arial" w:hAnsi="Arial"/>
                <w:sz w:val="16"/>
                <w:szCs w:val="16"/>
                <w:color w:val="auto"/>
              </w:rPr>
              <w:t>LIMITATION ON INDEMNIFICATION</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8.7</w:t>
            </w:r>
          </w:p>
        </w:tc>
        <w:tc>
          <w:tcPr>
            <w:tcW w:w="8100" w:type="dxa"/>
            <w:vAlign w:val="bottom"/>
          </w:tcPr>
          <w:p>
            <w:pPr>
              <w:ind w:left="160"/>
              <w:spacing w:after="0"/>
              <w:rPr>
                <w:sz w:val="20"/>
                <w:szCs w:val="20"/>
                <w:color w:val="auto"/>
              </w:rPr>
            </w:pPr>
            <w:r>
              <w:rPr>
                <w:rFonts w:ascii="Arial" w:cs="Arial" w:eastAsia="Arial" w:hAnsi="Arial"/>
                <w:sz w:val="16"/>
                <w:szCs w:val="16"/>
                <w:color w:val="auto"/>
              </w:rPr>
              <w:t>DETERMINATION; CLAIM</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8.8</w:t>
            </w:r>
          </w:p>
        </w:tc>
        <w:tc>
          <w:tcPr>
            <w:tcW w:w="8100" w:type="dxa"/>
            <w:vAlign w:val="bottom"/>
          </w:tcPr>
          <w:p>
            <w:pPr>
              <w:ind w:left="160"/>
              <w:spacing w:after="0"/>
              <w:rPr>
                <w:sz w:val="20"/>
                <w:szCs w:val="20"/>
                <w:color w:val="auto"/>
              </w:rPr>
            </w:pPr>
            <w:r>
              <w:rPr>
                <w:rFonts w:ascii="Arial" w:cs="Arial" w:eastAsia="Arial" w:hAnsi="Arial"/>
                <w:sz w:val="16"/>
                <w:szCs w:val="16"/>
                <w:color w:val="auto"/>
              </w:rPr>
              <w:t>NON-EXCLUSIVITY OF RIGHTS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8.9</w:t>
            </w:r>
          </w:p>
        </w:tc>
        <w:tc>
          <w:tcPr>
            <w:tcW w:w="8100" w:type="dxa"/>
            <w:vAlign w:val="bottom"/>
          </w:tcPr>
          <w:p>
            <w:pPr>
              <w:ind w:left="160"/>
              <w:spacing w:after="0"/>
              <w:rPr>
                <w:sz w:val="20"/>
                <w:szCs w:val="20"/>
                <w:color w:val="auto"/>
              </w:rPr>
            </w:pPr>
            <w:r>
              <w:rPr>
                <w:rFonts w:ascii="Arial" w:cs="Arial" w:eastAsia="Arial" w:hAnsi="Arial"/>
                <w:sz w:val="16"/>
                <w:szCs w:val="16"/>
                <w:color w:val="auto"/>
              </w:rPr>
              <w:t>INSURANCE</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8.10</w:t>
            </w:r>
          </w:p>
        </w:tc>
        <w:tc>
          <w:tcPr>
            <w:tcW w:w="8100" w:type="dxa"/>
            <w:vAlign w:val="bottom"/>
          </w:tcPr>
          <w:p>
            <w:pPr>
              <w:ind w:left="160"/>
              <w:spacing w:after="0"/>
              <w:rPr>
                <w:sz w:val="20"/>
                <w:szCs w:val="20"/>
                <w:color w:val="auto"/>
              </w:rPr>
            </w:pPr>
            <w:r>
              <w:rPr>
                <w:rFonts w:ascii="Arial" w:cs="Arial" w:eastAsia="Arial" w:hAnsi="Arial"/>
                <w:sz w:val="16"/>
                <w:szCs w:val="16"/>
                <w:color w:val="auto"/>
              </w:rPr>
              <w:t>SURVIVAL</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8.11</w:t>
            </w:r>
          </w:p>
        </w:tc>
        <w:tc>
          <w:tcPr>
            <w:tcW w:w="8100" w:type="dxa"/>
            <w:vAlign w:val="bottom"/>
          </w:tcPr>
          <w:p>
            <w:pPr>
              <w:ind w:left="160"/>
              <w:spacing w:after="0"/>
              <w:rPr>
                <w:sz w:val="20"/>
                <w:szCs w:val="20"/>
                <w:color w:val="auto"/>
              </w:rPr>
            </w:pPr>
            <w:r>
              <w:rPr>
                <w:rFonts w:ascii="Arial" w:cs="Arial" w:eastAsia="Arial" w:hAnsi="Arial"/>
                <w:sz w:val="16"/>
                <w:szCs w:val="16"/>
                <w:color w:val="auto"/>
              </w:rPr>
              <w:t>EFFECT OF REPEAL OR MODIFICATION</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8.12</w:t>
            </w:r>
          </w:p>
        </w:tc>
        <w:tc>
          <w:tcPr>
            <w:tcW w:w="8100" w:type="dxa"/>
            <w:vAlign w:val="bottom"/>
          </w:tcPr>
          <w:p>
            <w:pPr>
              <w:ind w:left="160"/>
              <w:spacing w:after="0"/>
              <w:rPr>
                <w:sz w:val="20"/>
                <w:szCs w:val="20"/>
                <w:color w:val="auto"/>
              </w:rPr>
            </w:pPr>
            <w:r>
              <w:rPr>
                <w:rFonts w:ascii="Arial" w:cs="Arial" w:eastAsia="Arial" w:hAnsi="Arial"/>
                <w:sz w:val="16"/>
                <w:szCs w:val="16"/>
                <w:color w:val="auto"/>
              </w:rPr>
              <w:t>CERTAIN DEFINITIONS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83"/>
        </w:trPr>
        <w:tc>
          <w:tcPr>
            <w:tcW w:w="8980" w:type="dxa"/>
            <w:vAlign w:val="bottom"/>
            <w:gridSpan w:val="2"/>
          </w:tcPr>
          <w:p>
            <w:pPr>
              <w:spacing w:after="0"/>
              <w:rPr>
                <w:sz w:val="20"/>
                <w:szCs w:val="20"/>
                <w:color w:val="auto"/>
              </w:rPr>
            </w:pPr>
            <w:r>
              <w:rPr>
                <w:rFonts w:ascii="Arial" w:cs="Arial" w:eastAsia="Arial" w:hAnsi="Arial"/>
                <w:sz w:val="16"/>
                <w:szCs w:val="16"/>
                <w:color w:val="auto"/>
              </w:rPr>
              <w:t>ARTICLE IX - GENERAL MATTERS</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2"/>
        </w:trPr>
        <w:tc>
          <w:tcPr>
            <w:tcW w:w="880" w:type="dxa"/>
            <w:vAlign w:val="bottom"/>
          </w:tcPr>
          <w:p>
            <w:pPr>
              <w:ind w:left="480"/>
              <w:spacing w:after="0"/>
              <w:rPr>
                <w:sz w:val="20"/>
                <w:szCs w:val="20"/>
                <w:color w:val="auto"/>
              </w:rPr>
            </w:pPr>
            <w:r>
              <w:rPr>
                <w:rFonts w:ascii="Arial" w:cs="Arial" w:eastAsia="Arial" w:hAnsi="Arial"/>
                <w:sz w:val="16"/>
                <w:szCs w:val="16"/>
                <w:color w:val="auto"/>
              </w:rPr>
              <w:t>9.1</w:t>
            </w:r>
          </w:p>
        </w:tc>
        <w:tc>
          <w:tcPr>
            <w:tcW w:w="8100" w:type="dxa"/>
            <w:vAlign w:val="bottom"/>
          </w:tcPr>
          <w:p>
            <w:pPr>
              <w:ind w:left="160"/>
              <w:spacing w:after="0"/>
              <w:rPr>
                <w:sz w:val="20"/>
                <w:szCs w:val="20"/>
                <w:color w:val="auto"/>
              </w:rPr>
            </w:pPr>
            <w:r>
              <w:rPr>
                <w:rFonts w:ascii="Arial" w:cs="Arial" w:eastAsia="Arial" w:hAnsi="Arial"/>
                <w:sz w:val="16"/>
                <w:szCs w:val="16"/>
                <w:color w:val="auto"/>
              </w:rPr>
              <w:t>EXECUTION OF CORPORATE CONTRACTS AND INSTRUMENTS</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9.2</w:t>
            </w:r>
          </w:p>
        </w:tc>
        <w:tc>
          <w:tcPr>
            <w:tcW w:w="8100" w:type="dxa"/>
            <w:vAlign w:val="bottom"/>
          </w:tcPr>
          <w:p>
            <w:pPr>
              <w:ind w:left="160"/>
              <w:spacing w:after="0"/>
              <w:rPr>
                <w:sz w:val="20"/>
                <w:szCs w:val="20"/>
                <w:color w:val="auto"/>
              </w:rPr>
            </w:pPr>
            <w:r>
              <w:rPr>
                <w:rFonts w:ascii="Arial" w:cs="Arial" w:eastAsia="Arial" w:hAnsi="Arial"/>
                <w:sz w:val="16"/>
                <w:szCs w:val="16"/>
                <w:color w:val="auto"/>
              </w:rPr>
              <w:t>FISCAL YEAR</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9.3</w:t>
            </w:r>
          </w:p>
        </w:tc>
        <w:tc>
          <w:tcPr>
            <w:tcW w:w="8100" w:type="dxa"/>
            <w:vAlign w:val="bottom"/>
          </w:tcPr>
          <w:p>
            <w:pPr>
              <w:ind w:left="160"/>
              <w:spacing w:after="0"/>
              <w:rPr>
                <w:sz w:val="20"/>
                <w:szCs w:val="20"/>
                <w:color w:val="auto"/>
              </w:rPr>
            </w:pPr>
            <w:r>
              <w:rPr>
                <w:rFonts w:ascii="Arial" w:cs="Arial" w:eastAsia="Arial" w:hAnsi="Arial"/>
                <w:sz w:val="16"/>
                <w:szCs w:val="16"/>
                <w:color w:val="auto"/>
              </w:rPr>
              <w:t>SEAL</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880" w:type="dxa"/>
            <w:vAlign w:val="bottom"/>
          </w:tcPr>
          <w:p>
            <w:pPr>
              <w:ind w:left="480"/>
              <w:spacing w:after="0"/>
              <w:rPr>
                <w:sz w:val="20"/>
                <w:szCs w:val="20"/>
                <w:color w:val="auto"/>
              </w:rPr>
            </w:pPr>
            <w:r>
              <w:rPr>
                <w:rFonts w:ascii="Arial" w:cs="Arial" w:eastAsia="Arial" w:hAnsi="Arial"/>
                <w:sz w:val="16"/>
                <w:szCs w:val="16"/>
                <w:color w:val="auto"/>
              </w:rPr>
              <w:t>9.4</w:t>
            </w:r>
          </w:p>
        </w:tc>
        <w:tc>
          <w:tcPr>
            <w:tcW w:w="8100" w:type="dxa"/>
            <w:vAlign w:val="bottom"/>
          </w:tcPr>
          <w:p>
            <w:pPr>
              <w:ind w:left="160"/>
              <w:spacing w:after="0"/>
              <w:rPr>
                <w:sz w:val="20"/>
                <w:szCs w:val="20"/>
                <w:color w:val="auto"/>
              </w:rPr>
            </w:pPr>
            <w:r>
              <w:rPr>
                <w:rFonts w:ascii="Arial" w:cs="Arial" w:eastAsia="Arial" w:hAnsi="Arial"/>
                <w:sz w:val="16"/>
                <w:szCs w:val="16"/>
                <w:color w:val="auto"/>
              </w:rPr>
              <w:t>CONSTRUCTION; DEFINITIONS</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0"/>
        </w:trPr>
        <w:tc>
          <w:tcPr>
            <w:tcW w:w="880" w:type="dxa"/>
            <w:vAlign w:val="bottom"/>
          </w:tcPr>
          <w:p>
            <w:pPr>
              <w:ind w:left="480"/>
              <w:spacing w:after="0"/>
              <w:rPr>
                <w:sz w:val="20"/>
                <w:szCs w:val="20"/>
                <w:color w:val="auto"/>
              </w:rPr>
            </w:pPr>
            <w:r>
              <w:rPr>
                <w:rFonts w:ascii="Arial" w:cs="Arial" w:eastAsia="Arial" w:hAnsi="Arial"/>
                <w:sz w:val="16"/>
                <w:szCs w:val="16"/>
                <w:color w:val="auto"/>
              </w:rPr>
              <w:t>9.5</w:t>
            </w:r>
          </w:p>
        </w:tc>
        <w:tc>
          <w:tcPr>
            <w:tcW w:w="8100" w:type="dxa"/>
            <w:vAlign w:val="bottom"/>
          </w:tcPr>
          <w:p>
            <w:pPr>
              <w:ind w:left="160"/>
              <w:spacing w:after="0"/>
              <w:rPr>
                <w:sz w:val="20"/>
                <w:szCs w:val="20"/>
                <w:color w:val="auto"/>
              </w:rPr>
            </w:pPr>
            <w:r>
              <w:rPr>
                <w:rFonts w:ascii="Arial" w:cs="Arial" w:eastAsia="Arial" w:hAnsi="Arial"/>
                <w:sz w:val="16"/>
                <w:szCs w:val="16"/>
                <w:color w:val="auto"/>
              </w:rPr>
              <w:t>FORUM SELECTION</w:t>
            </w: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83"/>
        </w:trPr>
        <w:tc>
          <w:tcPr>
            <w:tcW w:w="8980" w:type="dxa"/>
            <w:vAlign w:val="bottom"/>
            <w:gridSpan w:val="2"/>
          </w:tcPr>
          <w:p>
            <w:pPr>
              <w:spacing w:after="0"/>
              <w:rPr>
                <w:sz w:val="20"/>
                <w:szCs w:val="20"/>
                <w:color w:val="auto"/>
              </w:rPr>
            </w:pPr>
            <w:r>
              <w:rPr>
                <w:rFonts w:ascii="Arial" w:cs="Arial" w:eastAsia="Arial" w:hAnsi="Arial"/>
                <w:sz w:val="16"/>
                <w:szCs w:val="16"/>
                <w:color w:val="auto"/>
              </w:rPr>
              <w:t>ARTICLE X - AMENDMENTS</w:t>
            </w: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18"/>
        </w:trPr>
        <w:tc>
          <w:tcPr>
            <w:tcW w:w="880" w:type="dxa"/>
            <w:vAlign w:val="bottom"/>
          </w:tcPr>
          <w:p>
            <w:pPr>
              <w:spacing w:after="0"/>
              <w:rPr>
                <w:sz w:val="24"/>
                <w:szCs w:val="24"/>
                <w:color w:val="auto"/>
              </w:rPr>
            </w:pPr>
          </w:p>
        </w:tc>
        <w:tc>
          <w:tcPr>
            <w:tcW w:w="8100" w:type="dxa"/>
            <w:vAlign w:val="bottom"/>
          </w:tcPr>
          <w:p>
            <w:pPr>
              <w:ind w:left="3820"/>
              <w:spacing w:after="0"/>
              <w:rPr>
                <w:sz w:val="20"/>
                <w:szCs w:val="20"/>
                <w:color w:val="auto"/>
              </w:rPr>
            </w:pPr>
            <w:r>
              <w:rPr>
                <w:rFonts w:ascii="Arial" w:cs="Arial" w:eastAsia="Arial" w:hAnsi="Arial"/>
                <w:sz w:val="16"/>
                <w:szCs w:val="16"/>
                <w:color w:val="auto"/>
              </w:rPr>
              <w:t>-ii-</w:t>
            </w:r>
          </w:p>
        </w:tc>
        <w:tc>
          <w:tcPr>
            <w:tcW w:w="580" w:type="dxa"/>
            <w:vAlign w:val="bottom"/>
          </w:tcPr>
          <w:p>
            <w:pPr>
              <w:spacing w:after="0"/>
              <w:rPr>
                <w:sz w:val="24"/>
                <w:szCs w:val="24"/>
                <w:color w:val="auto"/>
              </w:rPr>
            </w:pPr>
          </w:p>
        </w:tc>
      </w:tr>
    </w:tbl>
    <w:p>
      <w:pPr>
        <w:sectPr>
          <w:pgSz w:w="11900" w:h="16838" w:orient="portrait"/>
          <w:cols w:equalWidth="0" w:num="1">
            <w:col w:w="9560"/>
          </w:cols>
          <w:pgMar w:left="1140" w:top="252" w:right="1199" w:bottom="1440" w:gutter="0" w:footer="0" w:header="0"/>
        </w:sectPr>
      </w:pPr>
    </w:p>
    <w:bookmarkStart w:id="361" w:name="page362"/>
    <w:bookmarkEnd w:id="361"/>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BYLAWS OF TENAYA THERAPEUTICS, INC.</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ARTICLE I - CORPORATE OFFICES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1.1 REGISTERED OFFICE</w:t>
      </w:r>
    </w:p>
    <w:p>
      <w:pPr>
        <w:spacing w:after="0" w:line="189" w:lineRule="exact"/>
        <w:rPr>
          <w:sz w:val="20"/>
          <w:szCs w:val="20"/>
          <w:color w:val="auto"/>
        </w:rPr>
      </w:pPr>
    </w:p>
    <w:p>
      <w:pPr>
        <w:ind w:left="6" w:right="40" w:firstLine="385"/>
        <w:spacing w:after="0" w:line="272" w:lineRule="auto"/>
        <w:rPr>
          <w:sz w:val="20"/>
          <w:szCs w:val="20"/>
          <w:color w:val="auto"/>
        </w:rPr>
      </w:pPr>
      <w:r>
        <w:rPr>
          <w:rFonts w:ascii="Arial" w:cs="Arial" w:eastAsia="Arial" w:hAnsi="Arial"/>
          <w:sz w:val="16"/>
          <w:szCs w:val="16"/>
          <w:color w:val="auto"/>
        </w:rPr>
        <w:t>The registered office of Tenaya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shall be fixed in the Company’s certificate of incorporation, as the same may be amended from time to time.</w:t>
      </w:r>
    </w:p>
    <w:p>
      <w:pPr>
        <w:spacing w:after="0" w:line="15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1.2 OTHER OFFICES</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Company may at any time establish other offices.</w:t>
      </w:r>
    </w:p>
    <w:p>
      <w:pPr>
        <w:spacing w:after="0" w:line="37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ARTICLE II - MEETINGS OF STOCKHOLDERS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2.1 PLACE OF MEETINGS</w:t>
      </w:r>
    </w:p>
    <w:p>
      <w:pPr>
        <w:spacing w:after="0" w:line="193" w:lineRule="exact"/>
        <w:rPr>
          <w:sz w:val="20"/>
          <w:szCs w:val="20"/>
          <w:color w:val="auto"/>
        </w:rPr>
      </w:pPr>
    </w:p>
    <w:p>
      <w:pPr>
        <w:ind w:left="6" w:right="20" w:firstLine="385"/>
        <w:spacing w:after="0" w:line="251" w:lineRule="auto"/>
        <w:rPr>
          <w:sz w:val="20"/>
          <w:szCs w:val="20"/>
          <w:color w:val="auto"/>
        </w:rPr>
      </w:pPr>
      <w:r>
        <w:rPr>
          <w:rFonts w:ascii="Arial" w:cs="Arial" w:eastAsia="Arial" w:hAnsi="Arial"/>
          <w:sz w:val="16"/>
          <w:szCs w:val="16"/>
          <w:color w:val="auto"/>
        </w:rPr>
        <w:t>Meetings of stockholders shall be held at a place, if any, within or outside the State of Delaware, determined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Company’s principal executive office.</w:t>
      </w:r>
    </w:p>
    <w:p>
      <w:pPr>
        <w:spacing w:after="0" w:line="170" w:lineRule="exact"/>
        <w:rPr>
          <w:sz w:val="20"/>
          <w:szCs w:val="20"/>
          <w:color w:val="auto"/>
        </w:rPr>
      </w:pPr>
    </w:p>
    <w:p>
      <w:pPr>
        <w:ind w:left="386"/>
        <w:spacing w:after="0"/>
        <w:rPr>
          <w:sz w:val="20"/>
          <w:szCs w:val="20"/>
          <w:color w:val="auto"/>
        </w:rPr>
      </w:pPr>
      <w:r>
        <w:rPr>
          <w:rFonts w:ascii="Arial" w:cs="Arial" w:eastAsia="Arial" w:hAnsi="Arial"/>
          <w:sz w:val="16"/>
          <w:szCs w:val="16"/>
          <w:color w:val="auto"/>
        </w:rPr>
        <w:t>2.2 ANNUAL MEETING</w:t>
      </w:r>
    </w:p>
    <w:p>
      <w:pPr>
        <w:spacing w:after="0" w:line="193" w:lineRule="exact"/>
        <w:rPr>
          <w:sz w:val="20"/>
          <w:szCs w:val="20"/>
          <w:color w:val="auto"/>
        </w:rPr>
      </w:pPr>
    </w:p>
    <w:p>
      <w:pPr>
        <w:ind w:left="6" w:firstLine="385"/>
        <w:spacing w:after="0" w:line="250" w:lineRule="auto"/>
        <w:rPr>
          <w:sz w:val="20"/>
          <w:szCs w:val="20"/>
          <w:color w:val="auto"/>
        </w:rPr>
      </w:pPr>
      <w:r>
        <w:rPr>
          <w:rFonts w:ascii="Arial" w:cs="Arial" w:eastAsia="Arial" w:hAnsi="Arial"/>
          <w:sz w:val="16"/>
          <w:szCs w:val="16"/>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6"/>
          <w:szCs w:val="16"/>
          <w:b w:val="1"/>
          <w:bCs w:val="1"/>
          <w:color w:val="auto"/>
        </w:rPr>
        <w:t>Whole Board</w:t>
      </w:r>
      <w:r>
        <w:rPr>
          <w:rFonts w:ascii="Arial" w:cs="Arial" w:eastAsia="Arial" w:hAnsi="Arial"/>
          <w:sz w:val="16"/>
          <w:szCs w:val="16"/>
          <w:color w:val="auto"/>
        </w:rPr>
        <w:t>” shall mean the total number of authorized directorships whether or not there exist any vacancies or other unfilled seats in previously authorized directorships.</w:t>
      </w:r>
    </w:p>
    <w:p>
      <w:pPr>
        <w:spacing w:after="0" w:line="171" w:lineRule="exact"/>
        <w:rPr>
          <w:sz w:val="20"/>
          <w:szCs w:val="20"/>
          <w:color w:val="auto"/>
        </w:rPr>
      </w:pPr>
    </w:p>
    <w:p>
      <w:pPr>
        <w:ind w:left="386"/>
        <w:spacing w:after="0"/>
        <w:rPr>
          <w:sz w:val="20"/>
          <w:szCs w:val="20"/>
          <w:color w:val="auto"/>
        </w:rPr>
      </w:pPr>
      <w:r>
        <w:rPr>
          <w:rFonts w:ascii="Arial" w:cs="Arial" w:eastAsia="Arial" w:hAnsi="Arial"/>
          <w:sz w:val="16"/>
          <w:szCs w:val="16"/>
          <w:color w:val="auto"/>
        </w:rPr>
        <w:t>2.3 SPECIAL MEETING</w:t>
      </w:r>
    </w:p>
    <w:p>
      <w:pPr>
        <w:spacing w:after="0" w:line="193" w:lineRule="exact"/>
        <w:rPr>
          <w:sz w:val="20"/>
          <w:szCs w:val="20"/>
          <w:color w:val="auto"/>
        </w:rPr>
      </w:pPr>
    </w:p>
    <w:p>
      <w:pPr>
        <w:ind w:left="6" w:right="120" w:firstLine="860"/>
        <w:spacing w:after="0" w:line="311" w:lineRule="auto"/>
        <w:tabs>
          <w:tab w:leader="none" w:pos="1086" w:val="left"/>
        </w:tabs>
        <w:numPr>
          <w:ilvl w:val="1"/>
          <w:numId w:val="214"/>
        </w:numPr>
        <w:rPr>
          <w:rFonts w:ascii="Arial" w:cs="Arial" w:eastAsia="Arial" w:hAnsi="Arial"/>
          <w:sz w:val="13"/>
          <w:szCs w:val="13"/>
          <w:color w:val="auto"/>
        </w:rPr>
      </w:pPr>
      <w:r>
        <w:rPr>
          <w:rFonts w:ascii="Arial" w:cs="Arial" w:eastAsia="Arial" w:hAnsi="Arial"/>
          <w:sz w:val="13"/>
          <w:szCs w:val="13"/>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spacing w:after="0" w:line="1" w:lineRule="exact"/>
        <w:rPr>
          <w:rFonts w:ascii="Arial" w:cs="Arial" w:eastAsia="Arial" w:hAnsi="Arial"/>
          <w:sz w:val="13"/>
          <w:szCs w:val="13"/>
          <w:color w:val="auto"/>
        </w:rPr>
      </w:pPr>
    </w:p>
    <w:p>
      <w:pPr>
        <w:ind w:left="6" w:right="300" w:hanging="6"/>
        <w:spacing w:after="0" w:line="248" w:lineRule="auto"/>
        <w:tabs>
          <w:tab w:leader="none" w:pos="27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12" w:lineRule="exact"/>
        <w:rPr>
          <w:rFonts w:ascii="Arial" w:cs="Arial" w:eastAsia="Arial" w:hAnsi="Arial"/>
          <w:sz w:val="16"/>
          <w:szCs w:val="16"/>
          <w:color w:val="auto"/>
        </w:rPr>
      </w:pPr>
    </w:p>
    <w:p>
      <w:pPr>
        <w:ind w:left="4766" w:hanging="87"/>
        <w:spacing w:after="0"/>
        <w:tabs>
          <w:tab w:leader="none" w:pos="4766" w:val="left"/>
        </w:tabs>
        <w:numPr>
          <w:ilvl w:val="2"/>
          <w:numId w:val="215"/>
        </w:numPr>
        <w:rPr>
          <w:rFonts w:ascii="Arial" w:cs="Arial" w:eastAsia="Arial" w:hAnsi="Arial"/>
          <w:sz w:val="16"/>
          <w:szCs w:val="16"/>
          <w:color w:val="auto"/>
        </w:rPr>
      </w:pPr>
      <w:r>
        <w:rPr>
          <w:rFonts w:ascii="Arial" w:cs="Arial" w:eastAsia="Arial" w:hAnsi="Arial"/>
          <w:sz w:val="16"/>
          <w:szCs w:val="16"/>
          <w:color w:val="auto"/>
        </w:rPr>
        <w:t>1 -</w:t>
      </w:r>
    </w:p>
    <w:p>
      <w:pPr>
        <w:sectPr>
          <w:pgSz w:w="11900" w:h="16838" w:orient="portrait"/>
          <w:cols w:equalWidth="0" w:num="1">
            <w:col w:w="9606"/>
          </w:cols>
          <w:pgMar w:left="1134" w:top="252" w:right="1159" w:bottom="1440" w:gutter="0" w:footer="0" w:header="0"/>
        </w:sectPr>
      </w:pPr>
    </w:p>
    <w:bookmarkStart w:id="362" w:name="page363"/>
    <w:bookmarkEnd w:id="362"/>
    <w:p>
      <w:pPr>
        <w:ind w:left="6" w:firstLine="860"/>
        <w:spacing w:after="0" w:line="275" w:lineRule="auto"/>
        <w:tabs>
          <w:tab w:leader="none" w:pos="1094" w:val="left"/>
        </w:tabs>
        <w:numPr>
          <w:ilvl w:val="0"/>
          <w:numId w:val="2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5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2.4 ADVANCE NOTICE PROCEDURES</w:t>
      </w:r>
    </w:p>
    <w:p>
      <w:pPr>
        <w:spacing w:after="0" w:line="193" w:lineRule="exact"/>
        <w:rPr>
          <w:sz w:val="20"/>
          <w:szCs w:val="20"/>
          <w:color w:val="auto"/>
        </w:rPr>
      </w:pPr>
    </w:p>
    <w:p>
      <w:pPr>
        <w:ind w:left="1086" w:hanging="220"/>
        <w:spacing w:after="0"/>
        <w:tabs>
          <w:tab w:leader="none" w:pos="1086" w:val="left"/>
        </w:tabs>
        <w:numPr>
          <w:ilvl w:val="1"/>
          <w:numId w:val="217"/>
        </w:numPr>
        <w:rPr>
          <w:rFonts w:ascii="Arial" w:cs="Arial" w:eastAsia="Arial" w:hAnsi="Arial"/>
          <w:sz w:val="16"/>
          <w:szCs w:val="16"/>
          <w:color w:val="auto"/>
        </w:rPr>
      </w:pPr>
      <w:r>
        <w:rPr>
          <w:rFonts w:ascii="Arial" w:cs="Arial" w:eastAsia="Arial" w:hAnsi="Arial"/>
          <w:sz w:val="16"/>
          <w:szCs w:val="16"/>
          <w:i w:val="1"/>
          <w:iCs w:val="1"/>
          <w:color w:val="auto"/>
        </w:rPr>
        <w:t>Annual Meetings of Stockholders.</w:t>
      </w:r>
    </w:p>
    <w:p>
      <w:pPr>
        <w:spacing w:after="0" w:line="193" w:lineRule="exact"/>
        <w:rPr>
          <w:rFonts w:ascii="Arial" w:cs="Arial" w:eastAsia="Arial" w:hAnsi="Arial"/>
          <w:sz w:val="16"/>
          <w:szCs w:val="16"/>
          <w:color w:val="auto"/>
        </w:rPr>
      </w:pPr>
    </w:p>
    <w:p>
      <w:pPr>
        <w:ind w:left="6" w:right="360" w:firstLine="1244"/>
        <w:spacing w:after="0" w:line="311" w:lineRule="auto"/>
        <w:tabs>
          <w:tab w:leader="none" w:pos="1444" w:val="left"/>
        </w:tabs>
        <w:numPr>
          <w:ilvl w:val="2"/>
          <w:numId w:val="217"/>
        </w:numPr>
        <w:rPr>
          <w:rFonts w:ascii="Arial" w:cs="Arial" w:eastAsia="Arial" w:hAnsi="Arial"/>
          <w:sz w:val="13"/>
          <w:szCs w:val="13"/>
          <w:color w:val="auto"/>
        </w:rPr>
      </w:pPr>
      <w:r>
        <w:rPr>
          <w:rFonts w:ascii="Arial" w:cs="Arial" w:eastAsia="Arial" w:hAnsi="Arial"/>
          <w:sz w:val="13"/>
          <w:szCs w:val="13"/>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w:t>
      </w:r>
    </w:p>
    <w:p>
      <w:pPr>
        <w:spacing w:after="0" w:line="1" w:lineRule="exact"/>
        <w:rPr>
          <w:rFonts w:ascii="Arial" w:cs="Arial" w:eastAsia="Arial" w:hAnsi="Arial"/>
          <w:sz w:val="13"/>
          <w:szCs w:val="13"/>
          <w:color w:val="auto"/>
        </w:rPr>
      </w:pPr>
    </w:p>
    <w:p>
      <w:pPr>
        <w:ind w:left="226" w:hanging="226"/>
        <w:spacing w:after="0"/>
        <w:tabs>
          <w:tab w:leader="none" w:pos="226" w:val="left"/>
        </w:tabs>
        <w:numPr>
          <w:ilvl w:val="0"/>
          <w:numId w:val="218"/>
        </w:numPr>
        <w:rPr>
          <w:rFonts w:ascii="Arial" w:cs="Arial" w:eastAsia="Arial" w:hAnsi="Arial"/>
          <w:sz w:val="13"/>
          <w:szCs w:val="13"/>
          <w:color w:val="auto"/>
        </w:rPr>
      </w:pPr>
      <w:r>
        <w:rPr>
          <w:rFonts w:ascii="Arial" w:cs="Arial" w:eastAsia="Arial" w:hAnsi="Arial"/>
          <w:sz w:val="13"/>
          <w:szCs w:val="13"/>
          <w:color w:val="auto"/>
        </w:rPr>
        <w:t>by or at the direction of the Board of Directors; (3) as may be provided in the certificate of designations for any class or series of preferred stock; or</w:t>
      </w:r>
    </w:p>
    <w:p>
      <w:pPr>
        <w:spacing w:after="0" w:line="39" w:lineRule="exact"/>
        <w:rPr>
          <w:rFonts w:ascii="Arial" w:cs="Arial" w:eastAsia="Arial" w:hAnsi="Arial"/>
          <w:sz w:val="13"/>
          <w:szCs w:val="13"/>
          <w:color w:val="auto"/>
        </w:rPr>
      </w:pPr>
    </w:p>
    <w:p>
      <w:pPr>
        <w:jc w:val="both"/>
        <w:ind w:left="6" w:right="60" w:hanging="6"/>
        <w:spacing w:after="0" w:line="248" w:lineRule="auto"/>
        <w:tabs>
          <w:tab w:leader="none" w:pos="22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71" w:lineRule="exact"/>
        <w:rPr>
          <w:rFonts w:ascii="Arial" w:cs="Arial" w:eastAsia="Arial" w:hAnsi="Arial"/>
          <w:sz w:val="16"/>
          <w:szCs w:val="16"/>
          <w:color w:val="auto"/>
        </w:rPr>
      </w:pPr>
    </w:p>
    <w:p>
      <w:pPr>
        <w:ind w:left="6" w:firstLine="1244"/>
        <w:spacing w:after="0" w:line="308" w:lineRule="auto"/>
        <w:tabs>
          <w:tab w:leader="none" w:pos="1488" w:val="left"/>
        </w:tabs>
        <w:numPr>
          <w:ilvl w:val="2"/>
          <w:numId w:val="219"/>
        </w:numPr>
        <w:rPr>
          <w:rFonts w:ascii="Arial" w:cs="Arial" w:eastAsia="Arial" w:hAnsi="Arial"/>
          <w:sz w:val="13"/>
          <w:szCs w:val="13"/>
          <w:color w:val="auto"/>
        </w:rPr>
      </w:pPr>
      <w:r>
        <w:rPr>
          <w:rFonts w:ascii="Arial" w:cs="Arial" w:eastAsia="Arial" w:hAnsi="Arial"/>
          <w:sz w:val="13"/>
          <w:szCs w:val="13"/>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Arial" w:cs="Arial" w:eastAsia="Arial" w:hAnsi="Arial"/>
          <w:sz w:val="13"/>
          <w:szCs w:val="13"/>
          <w:b w:val="1"/>
          <w:bCs w:val="1"/>
          <w:color w:val="auto"/>
        </w:rPr>
        <w:t>Public</w:t>
      </w:r>
      <w:r>
        <w:rPr>
          <w:rFonts w:ascii="Arial" w:cs="Arial" w:eastAsia="Arial" w:hAnsi="Arial"/>
          <w:sz w:val="13"/>
          <w:szCs w:val="13"/>
          <w:color w:val="auto"/>
        </w:rPr>
        <w:t xml:space="preserve"> </w:t>
      </w:r>
      <w:r>
        <w:rPr>
          <w:rFonts w:ascii="Arial" w:cs="Arial" w:eastAsia="Arial" w:hAnsi="Arial"/>
          <w:sz w:val="13"/>
          <w:szCs w:val="13"/>
          <w:b w:val="1"/>
          <w:bCs w:val="1"/>
          <w:color w:val="auto"/>
        </w:rPr>
        <w:t>announcement</w:t>
      </w:r>
      <w:r>
        <w:rPr>
          <w:rFonts w:ascii="Arial" w:cs="Arial" w:eastAsia="Arial" w:hAnsi="Arial"/>
          <w:sz w:val="13"/>
          <w:szCs w:val="13"/>
          <w:color w:val="auto"/>
        </w:rPr>
        <w:t>” means disclosure in a press release reported by a national news service or in a document publicly filed by the Company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and Exchange Commission pursuant to Section 13, 14 or 15(d) of the Securities Exchange Act of 1934 (as amended and inclusive of rules and regulations thereunder, the “</w:t>
      </w:r>
      <w:r>
        <w:rPr>
          <w:rFonts w:ascii="Arial" w:cs="Arial" w:eastAsia="Arial" w:hAnsi="Arial"/>
          <w:sz w:val="13"/>
          <w:szCs w:val="13"/>
          <w:b w:val="1"/>
          <w:bCs w:val="1"/>
          <w:color w:val="auto"/>
        </w:rPr>
        <w:t>1934 Act</w:t>
      </w:r>
      <w:r>
        <w:rPr>
          <w:rFonts w:ascii="Arial" w:cs="Arial" w:eastAsia="Arial" w:hAnsi="Arial"/>
          <w:sz w:val="13"/>
          <w:szCs w:val="13"/>
          <w:color w:val="auto"/>
        </w:rPr>
        <w:t>”).</w:t>
      </w:r>
    </w:p>
    <w:p>
      <w:pPr>
        <w:spacing w:after="0" w:line="200" w:lineRule="exact"/>
        <w:rPr>
          <w:rFonts w:ascii="Arial" w:cs="Arial" w:eastAsia="Arial" w:hAnsi="Arial"/>
          <w:sz w:val="13"/>
          <w:szCs w:val="13"/>
          <w:color w:val="auto"/>
        </w:rPr>
      </w:pPr>
    </w:p>
    <w:p>
      <w:pPr>
        <w:spacing w:after="0" w:line="255" w:lineRule="exact"/>
        <w:rPr>
          <w:rFonts w:ascii="Arial" w:cs="Arial" w:eastAsia="Arial" w:hAnsi="Arial"/>
          <w:sz w:val="13"/>
          <w:szCs w:val="13"/>
          <w:color w:val="auto"/>
        </w:rPr>
      </w:pPr>
    </w:p>
    <w:p>
      <w:pPr>
        <w:ind w:left="4766" w:hanging="87"/>
        <w:spacing w:after="0"/>
        <w:tabs>
          <w:tab w:leader="none" w:pos="4766" w:val="left"/>
        </w:tabs>
        <w:numPr>
          <w:ilvl w:val="3"/>
          <w:numId w:val="219"/>
        </w:numPr>
        <w:rPr>
          <w:rFonts w:ascii="Arial" w:cs="Arial" w:eastAsia="Arial" w:hAnsi="Arial"/>
          <w:sz w:val="16"/>
          <w:szCs w:val="16"/>
          <w:color w:val="auto"/>
        </w:rPr>
      </w:pPr>
      <w:r>
        <w:rPr>
          <w:rFonts w:ascii="Arial" w:cs="Arial" w:eastAsia="Arial" w:hAnsi="Arial"/>
          <w:sz w:val="16"/>
          <w:szCs w:val="16"/>
          <w:color w:val="auto"/>
        </w:rPr>
        <w:t>2 -</w:t>
      </w:r>
    </w:p>
    <w:p>
      <w:pPr>
        <w:sectPr>
          <w:pgSz w:w="11900" w:h="16838" w:orient="portrait"/>
          <w:cols w:equalWidth="0" w:num="1">
            <w:col w:w="9606"/>
          </w:cols>
          <w:pgMar w:left="1134" w:top="256" w:right="1159" w:bottom="1440" w:gutter="0" w:footer="0" w:header="0"/>
        </w:sectPr>
      </w:pPr>
    </w:p>
    <w:bookmarkStart w:id="363" w:name="page364"/>
    <w:bookmarkEnd w:id="363"/>
    <w:p>
      <w:pPr>
        <w:ind w:left="1220" w:hanging="276"/>
        <w:spacing w:after="0"/>
        <w:tabs>
          <w:tab w:leader="none" w:pos="12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 stockholder’s notice to the secretary must set forth:</w:t>
      </w:r>
    </w:p>
    <w:p>
      <w:pPr>
        <w:spacing w:after="0" w:line="193" w:lineRule="exact"/>
        <w:rPr>
          <w:rFonts w:ascii="Arial" w:cs="Arial" w:eastAsia="Arial" w:hAnsi="Arial"/>
          <w:sz w:val="16"/>
          <w:szCs w:val="16"/>
          <w:color w:val="auto"/>
        </w:rPr>
      </w:pPr>
    </w:p>
    <w:p>
      <w:pPr>
        <w:ind w:left="1640" w:hanging="215"/>
        <w:spacing w:after="0"/>
        <w:tabs>
          <w:tab w:leader="none" w:pos="16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as a director:</w:t>
      </w:r>
    </w:p>
    <w:p>
      <w:pPr>
        <w:spacing w:after="0" w:line="193" w:lineRule="exact"/>
        <w:rPr>
          <w:rFonts w:ascii="Arial" w:cs="Arial" w:eastAsia="Arial" w:hAnsi="Arial"/>
          <w:sz w:val="16"/>
          <w:szCs w:val="16"/>
          <w:color w:val="auto"/>
        </w:rPr>
      </w:pPr>
    </w:p>
    <w:p>
      <w:pPr>
        <w:ind w:left="-300" w:right="120" w:firstLine="2110"/>
        <w:spacing w:after="0" w:line="319" w:lineRule="auto"/>
        <w:tabs>
          <w:tab w:leader="none" w:pos="2074" w:val="left"/>
        </w:tabs>
        <w:numPr>
          <w:ilvl w:val="2"/>
          <w:numId w:val="220"/>
        </w:numPr>
        <w:rPr>
          <w:rFonts w:ascii="Arial" w:cs="Arial" w:eastAsia="Arial" w:hAnsi="Arial"/>
          <w:sz w:val="13"/>
          <w:szCs w:val="13"/>
          <w:color w:val="auto"/>
        </w:rPr>
      </w:pPr>
      <w:r>
        <w:rPr>
          <w:rFonts w:ascii="Arial" w:cs="Arial" w:eastAsia="Arial" w:hAnsi="Arial"/>
          <w:sz w:val="13"/>
          <w:szCs w:val="13"/>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the Section 14 of the 1934 Act;</w:t>
      </w:r>
    </w:p>
    <w:p>
      <w:pPr>
        <w:spacing w:after="0" w:line="128" w:lineRule="exact"/>
        <w:rPr>
          <w:rFonts w:ascii="Arial" w:cs="Arial" w:eastAsia="Arial" w:hAnsi="Arial"/>
          <w:sz w:val="13"/>
          <w:szCs w:val="13"/>
          <w:color w:val="auto"/>
        </w:rPr>
      </w:pPr>
    </w:p>
    <w:p>
      <w:pPr>
        <w:ind w:left="-300" w:right="600" w:firstLine="2110"/>
        <w:spacing w:after="0" w:line="266" w:lineRule="auto"/>
        <w:tabs>
          <w:tab w:leader="none" w:pos="2065" w:val="left"/>
        </w:tabs>
        <w:numPr>
          <w:ilvl w:val="2"/>
          <w:numId w:val="220"/>
        </w:numPr>
        <w:rPr>
          <w:rFonts w:ascii="Arial" w:cs="Arial" w:eastAsia="Arial" w:hAnsi="Arial"/>
          <w:sz w:val="16"/>
          <w:szCs w:val="16"/>
          <w:color w:val="auto"/>
        </w:rPr>
      </w:pPr>
      <w:r>
        <w:rPr>
          <w:rFonts w:ascii="Arial" w:cs="Arial" w:eastAsia="Arial" w:hAnsi="Arial"/>
          <w:sz w:val="16"/>
          <w:szCs w:val="16"/>
          <w:color w:val="auto"/>
        </w:rPr>
        <w:t>such person’s written consent to being named in such stockholder’s proxy statement as a nominee of such stockholder and to serving as a director of the Company if elected;</w:t>
      </w:r>
    </w:p>
    <w:p>
      <w:pPr>
        <w:spacing w:after="0" w:line="158" w:lineRule="exact"/>
        <w:rPr>
          <w:rFonts w:ascii="Arial" w:cs="Arial" w:eastAsia="Arial" w:hAnsi="Arial"/>
          <w:sz w:val="16"/>
          <w:szCs w:val="16"/>
          <w:color w:val="auto"/>
        </w:rPr>
      </w:pPr>
    </w:p>
    <w:p>
      <w:pPr>
        <w:ind w:left="-300" w:firstLine="2110"/>
        <w:spacing w:after="0" w:line="253" w:lineRule="auto"/>
        <w:tabs>
          <w:tab w:leader="none" w:pos="2065" w:val="left"/>
        </w:tabs>
        <w:numPr>
          <w:ilvl w:val="2"/>
          <w:numId w:val="220"/>
        </w:numPr>
        <w:rPr>
          <w:rFonts w:ascii="Arial" w:cs="Arial" w:eastAsia="Arial" w:hAnsi="Arial"/>
          <w:sz w:val="16"/>
          <w:szCs w:val="16"/>
          <w:color w:val="auto"/>
        </w:rPr>
      </w:pPr>
      <w:r>
        <w:rPr>
          <w:rFonts w:ascii="Arial" w:cs="Arial" w:eastAsia="Arial" w:hAnsi="Arial"/>
          <w:sz w:val="16"/>
          <w:szCs w:val="16"/>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rial" w:cs="Arial" w:eastAsia="Arial" w:hAnsi="Arial"/>
          <w:sz w:val="16"/>
          <w:szCs w:val="16"/>
          <w:b w:val="1"/>
          <w:bCs w:val="1"/>
          <w:color w:val="auto"/>
        </w:rPr>
        <w:t>Third-Party Compensation Arrangement</w:t>
      </w:r>
      <w:r>
        <w:rPr>
          <w:rFonts w:ascii="Arial" w:cs="Arial" w:eastAsia="Arial" w:hAnsi="Arial"/>
          <w:sz w:val="16"/>
          <w:szCs w:val="16"/>
          <w:color w:val="auto"/>
        </w:rPr>
        <w:t>”); and</w:t>
      </w:r>
    </w:p>
    <w:p>
      <w:pPr>
        <w:spacing w:after="0" w:line="167" w:lineRule="exact"/>
        <w:rPr>
          <w:rFonts w:ascii="Arial" w:cs="Arial" w:eastAsia="Arial" w:hAnsi="Arial"/>
          <w:sz w:val="16"/>
          <w:szCs w:val="16"/>
          <w:color w:val="auto"/>
        </w:rPr>
      </w:pPr>
    </w:p>
    <w:p>
      <w:pPr>
        <w:ind w:left="-300" w:right="200" w:firstLine="2110"/>
        <w:spacing w:after="0" w:line="343" w:lineRule="auto"/>
        <w:tabs>
          <w:tab w:leader="none" w:pos="2074" w:val="left"/>
        </w:tabs>
        <w:numPr>
          <w:ilvl w:val="2"/>
          <w:numId w:val="220"/>
        </w:numPr>
        <w:rPr>
          <w:rFonts w:ascii="Arial" w:cs="Arial" w:eastAsia="Arial" w:hAnsi="Arial"/>
          <w:sz w:val="13"/>
          <w:szCs w:val="13"/>
          <w:color w:val="auto"/>
        </w:rPr>
      </w:pPr>
      <w:r>
        <w:rPr>
          <w:rFonts w:ascii="Arial" w:cs="Arial" w:eastAsia="Arial" w:hAnsi="Arial"/>
          <w:sz w:val="13"/>
          <w:szCs w:val="13"/>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113" w:lineRule="exact"/>
        <w:rPr>
          <w:rFonts w:ascii="Arial" w:cs="Arial" w:eastAsia="Arial" w:hAnsi="Arial"/>
          <w:sz w:val="13"/>
          <w:szCs w:val="13"/>
          <w:color w:val="auto"/>
        </w:rPr>
      </w:pPr>
    </w:p>
    <w:p>
      <w:pPr>
        <w:ind w:left="1640" w:hanging="215"/>
        <w:spacing w:after="0"/>
        <w:tabs>
          <w:tab w:leader="none" w:pos="16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annual meeting:</w:t>
      </w:r>
    </w:p>
    <w:p>
      <w:pPr>
        <w:spacing w:after="0" w:line="193" w:lineRule="exact"/>
        <w:rPr>
          <w:rFonts w:ascii="Arial" w:cs="Arial" w:eastAsia="Arial" w:hAnsi="Arial"/>
          <w:sz w:val="16"/>
          <w:szCs w:val="16"/>
          <w:color w:val="auto"/>
        </w:rPr>
      </w:pPr>
    </w:p>
    <w:p>
      <w:pPr>
        <w:ind w:left="2060" w:hanging="250"/>
        <w:spacing w:after="0"/>
        <w:tabs>
          <w:tab w:leader="none" w:pos="2060" w:val="left"/>
        </w:tabs>
        <w:numPr>
          <w:ilvl w:val="2"/>
          <w:numId w:val="220"/>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annual meeting;</w:t>
      </w:r>
    </w:p>
    <w:p>
      <w:pPr>
        <w:spacing w:after="0" w:line="193" w:lineRule="exact"/>
        <w:rPr>
          <w:rFonts w:ascii="Arial" w:cs="Arial" w:eastAsia="Arial" w:hAnsi="Arial"/>
          <w:sz w:val="16"/>
          <w:szCs w:val="16"/>
          <w:color w:val="auto"/>
        </w:rPr>
      </w:pPr>
    </w:p>
    <w:p>
      <w:pPr>
        <w:ind w:left="-300" w:right="520" w:firstLine="2110"/>
        <w:spacing w:after="0" w:line="300" w:lineRule="auto"/>
        <w:tabs>
          <w:tab w:leader="none" w:pos="2065" w:val="left"/>
        </w:tabs>
        <w:numPr>
          <w:ilvl w:val="2"/>
          <w:numId w:val="220"/>
        </w:numPr>
        <w:rPr>
          <w:rFonts w:ascii="Arial" w:cs="Arial" w:eastAsia="Arial" w:hAnsi="Arial"/>
          <w:sz w:val="15"/>
          <w:szCs w:val="15"/>
          <w:color w:val="auto"/>
        </w:rPr>
      </w:pPr>
      <w:r>
        <w:rPr>
          <w:rFonts w:ascii="Arial" w:cs="Arial" w:eastAsia="Arial" w:hAnsi="Arial"/>
          <w:sz w:val="15"/>
          <w:szCs w:val="15"/>
          <w:color w:val="auto"/>
        </w:rPr>
        <w:t>the text of the proposal or business (including the text of any resolutions proposed for consideration and, if applicable, the text of any proposed amendment to these bylaws or the Company’s certificate of incorporation);</w:t>
      </w:r>
    </w:p>
    <w:p>
      <w:pPr>
        <w:spacing w:after="0" w:line="134" w:lineRule="exact"/>
        <w:rPr>
          <w:rFonts w:ascii="Arial" w:cs="Arial" w:eastAsia="Arial" w:hAnsi="Arial"/>
          <w:sz w:val="15"/>
          <w:szCs w:val="15"/>
          <w:color w:val="auto"/>
        </w:rPr>
      </w:pPr>
    </w:p>
    <w:p>
      <w:pPr>
        <w:ind w:left="2060" w:hanging="250"/>
        <w:spacing w:after="0"/>
        <w:tabs>
          <w:tab w:leader="none" w:pos="2060" w:val="left"/>
        </w:tabs>
        <w:numPr>
          <w:ilvl w:val="2"/>
          <w:numId w:val="220"/>
        </w:numPr>
        <w:rPr>
          <w:rFonts w:ascii="Arial" w:cs="Arial" w:eastAsia="Arial" w:hAnsi="Arial"/>
          <w:sz w:val="16"/>
          <w:szCs w:val="16"/>
          <w:color w:val="auto"/>
        </w:rPr>
      </w:pPr>
      <w:r>
        <w:rPr>
          <w:rFonts w:ascii="Arial" w:cs="Arial" w:eastAsia="Arial" w:hAnsi="Arial"/>
          <w:sz w:val="16"/>
          <w:szCs w:val="16"/>
          <w:color w:val="auto"/>
        </w:rPr>
        <w:t>the reasons for conducting such business at the annual meeting;</w:t>
      </w:r>
    </w:p>
    <w:p>
      <w:pPr>
        <w:spacing w:after="0" w:line="193" w:lineRule="exact"/>
        <w:rPr>
          <w:rFonts w:ascii="Arial" w:cs="Arial" w:eastAsia="Arial" w:hAnsi="Arial"/>
          <w:sz w:val="16"/>
          <w:szCs w:val="16"/>
          <w:color w:val="auto"/>
        </w:rPr>
      </w:pPr>
    </w:p>
    <w:p>
      <w:pPr>
        <w:ind w:left="-300" w:right="280" w:firstLine="2110"/>
        <w:spacing w:after="0" w:line="300" w:lineRule="auto"/>
        <w:tabs>
          <w:tab w:leader="none" w:pos="2074" w:val="left"/>
        </w:tabs>
        <w:numPr>
          <w:ilvl w:val="2"/>
          <w:numId w:val="220"/>
        </w:numPr>
        <w:rPr>
          <w:rFonts w:ascii="Arial" w:cs="Arial" w:eastAsia="Arial" w:hAnsi="Arial"/>
          <w:sz w:val="15"/>
          <w:szCs w:val="15"/>
          <w:color w:val="auto"/>
        </w:rPr>
      </w:pPr>
      <w:r>
        <w:rPr>
          <w:rFonts w:ascii="Arial" w:cs="Arial" w:eastAsia="Arial" w:hAnsi="Arial"/>
          <w:sz w:val="15"/>
          <w:szCs w:val="15"/>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75" w:lineRule="exact"/>
        <w:rPr>
          <w:rFonts w:ascii="Arial" w:cs="Arial" w:eastAsia="Arial" w:hAnsi="Arial"/>
          <w:sz w:val="15"/>
          <w:szCs w:val="15"/>
          <w:color w:val="auto"/>
        </w:rPr>
      </w:pPr>
    </w:p>
    <w:p>
      <w:pPr>
        <w:ind w:left="4460" w:hanging="87"/>
        <w:spacing w:after="0"/>
        <w:tabs>
          <w:tab w:leader="none" w:pos="4460" w:val="left"/>
        </w:tabs>
        <w:numPr>
          <w:ilvl w:val="3"/>
          <w:numId w:val="220"/>
        </w:numPr>
        <w:rPr>
          <w:rFonts w:ascii="Arial" w:cs="Arial" w:eastAsia="Arial" w:hAnsi="Arial"/>
          <w:sz w:val="16"/>
          <w:szCs w:val="16"/>
          <w:color w:val="auto"/>
        </w:rPr>
      </w:pPr>
      <w:r>
        <w:rPr>
          <w:rFonts w:ascii="Arial" w:cs="Arial" w:eastAsia="Arial" w:hAnsi="Arial"/>
          <w:sz w:val="16"/>
          <w:szCs w:val="16"/>
          <w:color w:val="auto"/>
        </w:rPr>
        <w:t>3 -</w:t>
      </w:r>
    </w:p>
    <w:p>
      <w:pPr>
        <w:sectPr>
          <w:pgSz w:w="11900" w:h="16838" w:orient="portrait"/>
          <w:cols w:equalWidth="0" w:num="1">
            <w:col w:w="9300"/>
          </w:cols>
          <w:pgMar w:left="1440" w:top="256" w:right="1159" w:bottom="1440" w:gutter="0" w:footer="0" w:header="0"/>
        </w:sectPr>
      </w:pPr>
    </w:p>
    <w:bookmarkStart w:id="364" w:name="page365"/>
    <w:bookmarkEnd w:id="364"/>
    <w:p>
      <w:pPr>
        <w:jc w:val="both"/>
        <w:ind w:right="320" w:firstLine="2110"/>
        <w:spacing w:after="0" w:line="281" w:lineRule="auto"/>
        <w:tabs>
          <w:tab w:leader="none" w:pos="2356" w:val="left"/>
        </w:tabs>
        <w:numPr>
          <w:ilvl w:val="1"/>
          <w:numId w:val="2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48" w:lineRule="exact"/>
        <w:rPr>
          <w:rFonts w:ascii="Arial" w:cs="Arial" w:eastAsia="Arial" w:hAnsi="Arial"/>
          <w:sz w:val="15"/>
          <w:szCs w:val="15"/>
          <w:color w:val="auto"/>
        </w:rPr>
      </w:pPr>
    </w:p>
    <w:p>
      <w:pPr>
        <w:ind w:left="1940" w:hanging="215"/>
        <w:spacing w:after="0"/>
        <w:tabs>
          <w:tab w:leader="none" w:pos="194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as to the stockholder giving the notice and the beneficial owner, if any, on whose behalf the nomination or proposal is</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made:</w:t>
      </w:r>
    </w:p>
    <w:p>
      <w:pPr>
        <w:spacing w:after="0" w:line="181" w:lineRule="exact"/>
        <w:rPr>
          <w:rFonts w:ascii="Arial" w:cs="Arial" w:eastAsia="Arial" w:hAnsi="Arial"/>
          <w:sz w:val="13"/>
          <w:szCs w:val="13"/>
          <w:color w:val="auto"/>
        </w:rPr>
      </w:pPr>
    </w:p>
    <w:p>
      <w:pPr>
        <w:ind w:right="80" w:firstLine="2110"/>
        <w:spacing w:after="0" w:line="266" w:lineRule="auto"/>
        <w:tabs>
          <w:tab w:leader="none" w:pos="237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Company’s books), of such beneficial owner and of their respective affiliates or associates or others acting in concert with them;</w:t>
      </w:r>
    </w:p>
    <w:p>
      <w:pPr>
        <w:spacing w:after="0" w:line="158" w:lineRule="exact"/>
        <w:rPr>
          <w:rFonts w:ascii="Arial" w:cs="Arial" w:eastAsia="Arial" w:hAnsi="Arial"/>
          <w:sz w:val="16"/>
          <w:szCs w:val="16"/>
          <w:color w:val="auto"/>
        </w:rPr>
      </w:pPr>
    </w:p>
    <w:p>
      <w:pPr>
        <w:ind w:firstLine="2110"/>
        <w:spacing w:after="0" w:line="383" w:lineRule="auto"/>
        <w:tabs>
          <w:tab w:leader="none" w:pos="2365" w:val="left"/>
        </w:tabs>
        <w:numPr>
          <w:ilvl w:val="1"/>
          <w:numId w:val="222"/>
        </w:numPr>
        <w:rPr>
          <w:rFonts w:ascii="Arial" w:cs="Arial" w:eastAsia="Arial" w:hAnsi="Arial"/>
          <w:sz w:val="13"/>
          <w:szCs w:val="13"/>
          <w:color w:val="auto"/>
        </w:rPr>
      </w:pPr>
      <w:r>
        <w:rPr>
          <w:rFonts w:ascii="Arial" w:cs="Arial" w:eastAsia="Arial" w:hAnsi="Arial"/>
          <w:sz w:val="13"/>
          <w:szCs w:val="13"/>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88" w:lineRule="exact"/>
        <w:rPr>
          <w:rFonts w:ascii="Arial" w:cs="Arial" w:eastAsia="Arial" w:hAnsi="Arial"/>
          <w:sz w:val="13"/>
          <w:szCs w:val="13"/>
          <w:color w:val="auto"/>
        </w:rPr>
      </w:pPr>
    </w:p>
    <w:p>
      <w:pPr>
        <w:ind w:right="60" w:firstLine="2110"/>
        <w:spacing w:after="0" w:line="256" w:lineRule="auto"/>
        <w:tabs>
          <w:tab w:leader="none" w:pos="236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65" w:lineRule="exact"/>
        <w:rPr>
          <w:rFonts w:ascii="Arial" w:cs="Arial" w:eastAsia="Arial" w:hAnsi="Arial"/>
          <w:sz w:val="16"/>
          <w:szCs w:val="16"/>
          <w:color w:val="auto"/>
        </w:rPr>
      </w:pPr>
    </w:p>
    <w:p>
      <w:pPr>
        <w:ind w:firstLine="2110"/>
        <w:spacing w:after="0" w:line="316" w:lineRule="auto"/>
        <w:tabs>
          <w:tab w:leader="none" w:pos="2374" w:val="left"/>
        </w:tabs>
        <w:numPr>
          <w:ilvl w:val="1"/>
          <w:numId w:val="222"/>
        </w:numPr>
        <w:rPr>
          <w:rFonts w:ascii="Arial" w:cs="Arial" w:eastAsia="Arial" w:hAnsi="Arial"/>
          <w:sz w:val="13"/>
          <w:szCs w:val="13"/>
          <w:color w:val="auto"/>
        </w:rPr>
      </w:pPr>
      <w:r>
        <w:rPr>
          <w:rFonts w:ascii="Arial" w:cs="Arial" w:eastAsia="Arial" w:hAnsi="Arial"/>
          <w:sz w:val="13"/>
          <w:szCs w:val="13"/>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3"/>
          <w:szCs w:val="13"/>
          <w:b w:val="1"/>
          <w:bCs w:val="1"/>
          <w:color w:val="auto"/>
        </w:rPr>
        <w:t>Derivative</w:t>
      </w:r>
      <w:r>
        <w:rPr>
          <w:rFonts w:ascii="Arial" w:cs="Arial" w:eastAsia="Arial" w:hAnsi="Arial"/>
          <w:sz w:val="13"/>
          <w:szCs w:val="13"/>
          <w:color w:val="auto"/>
        </w:rPr>
        <w:t xml:space="preserve"> </w:t>
      </w:r>
      <w:r>
        <w:rPr>
          <w:rFonts w:ascii="Arial" w:cs="Arial" w:eastAsia="Arial" w:hAnsi="Arial"/>
          <w:sz w:val="13"/>
          <w:szCs w:val="13"/>
          <w:b w:val="1"/>
          <w:bCs w:val="1"/>
          <w:color w:val="auto"/>
        </w:rPr>
        <w:t>Instrument</w:t>
      </w:r>
      <w:r>
        <w:rPr>
          <w:rFonts w:ascii="Arial" w:cs="Arial" w:eastAsia="Arial" w:hAnsi="Arial"/>
          <w:sz w:val="13"/>
          <w:szCs w:val="13"/>
          <w:color w:val="auto"/>
        </w:rPr>
        <w:t>”), or any other agreement, arrangement or understanding that has been made the effect or intent of which is to create or mitigate loss to,</w:t>
      </w:r>
      <w:r>
        <w:rPr>
          <w:rFonts w:ascii="Arial" w:cs="Arial" w:eastAsia="Arial" w:hAnsi="Arial"/>
          <w:sz w:val="13"/>
          <w:szCs w:val="13"/>
          <w:b w:val="1"/>
          <w:bCs w:val="1"/>
          <w:color w:val="auto"/>
        </w:rPr>
        <w:t xml:space="preserve"> </w:t>
      </w:r>
      <w:r>
        <w:rPr>
          <w:rFonts w:ascii="Arial" w:cs="Arial" w:eastAsia="Arial" w:hAnsi="Arial"/>
          <w:sz w:val="13"/>
          <w:szCs w:val="13"/>
          <w:color w:val="auto"/>
        </w:rPr>
        <w:t>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31" w:lineRule="exact"/>
        <w:rPr>
          <w:rFonts w:ascii="Arial" w:cs="Arial" w:eastAsia="Arial" w:hAnsi="Arial"/>
          <w:sz w:val="13"/>
          <w:szCs w:val="13"/>
          <w:color w:val="auto"/>
        </w:rPr>
      </w:pPr>
    </w:p>
    <w:p>
      <w:pPr>
        <w:ind w:right="20" w:firstLine="2110"/>
        <w:spacing w:after="0" w:line="383" w:lineRule="auto"/>
        <w:tabs>
          <w:tab w:leader="none" w:pos="2356" w:val="left"/>
        </w:tabs>
        <w:numPr>
          <w:ilvl w:val="1"/>
          <w:numId w:val="222"/>
        </w:numPr>
        <w:rPr>
          <w:rFonts w:ascii="Arial" w:cs="Arial" w:eastAsia="Arial" w:hAnsi="Arial"/>
          <w:sz w:val="13"/>
          <w:szCs w:val="13"/>
          <w:color w:val="auto"/>
        </w:rPr>
      </w:pPr>
      <w:r>
        <w:rPr>
          <w:rFonts w:ascii="Arial" w:cs="Arial" w:eastAsia="Arial" w:hAnsi="Arial"/>
          <w:sz w:val="13"/>
          <w:szCs w:val="13"/>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88" w:lineRule="exact"/>
        <w:rPr>
          <w:rFonts w:ascii="Arial" w:cs="Arial" w:eastAsia="Arial" w:hAnsi="Arial"/>
          <w:sz w:val="13"/>
          <w:szCs w:val="13"/>
          <w:color w:val="auto"/>
        </w:rPr>
      </w:pPr>
    </w:p>
    <w:p>
      <w:pPr>
        <w:ind w:right="20" w:firstLine="2110"/>
        <w:spacing w:after="0" w:line="343" w:lineRule="auto"/>
        <w:tabs>
          <w:tab w:leader="none" w:pos="2348" w:val="left"/>
        </w:tabs>
        <w:numPr>
          <w:ilvl w:val="1"/>
          <w:numId w:val="222"/>
        </w:numPr>
        <w:rPr>
          <w:rFonts w:ascii="Arial" w:cs="Arial" w:eastAsia="Arial" w:hAnsi="Arial"/>
          <w:sz w:val="13"/>
          <w:szCs w:val="13"/>
          <w:color w:val="auto"/>
        </w:rPr>
      </w:pPr>
      <w:r>
        <w:rPr>
          <w:rFonts w:ascii="Arial" w:cs="Arial" w:eastAsia="Arial" w:hAnsi="Arial"/>
          <w:sz w:val="13"/>
          <w:szCs w:val="13"/>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13" w:lineRule="exact"/>
        <w:rPr>
          <w:rFonts w:ascii="Arial" w:cs="Arial" w:eastAsia="Arial" w:hAnsi="Arial"/>
          <w:sz w:val="13"/>
          <w:szCs w:val="13"/>
          <w:color w:val="auto"/>
        </w:rPr>
      </w:pPr>
    </w:p>
    <w:p>
      <w:pPr>
        <w:ind w:right="80" w:firstLine="2110"/>
        <w:spacing w:after="0" w:line="253" w:lineRule="auto"/>
        <w:tabs>
          <w:tab w:leader="none" w:pos="237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08" w:lineRule="exact"/>
        <w:rPr>
          <w:rFonts w:ascii="Arial" w:cs="Arial" w:eastAsia="Arial" w:hAnsi="Arial"/>
          <w:sz w:val="16"/>
          <w:szCs w:val="16"/>
          <w:color w:val="auto"/>
        </w:rPr>
      </w:pPr>
    </w:p>
    <w:p>
      <w:pPr>
        <w:ind w:left="4760" w:hanging="87"/>
        <w:spacing w:after="0"/>
        <w:tabs>
          <w:tab w:leader="none" w:pos="4760" w:val="left"/>
        </w:tabs>
        <w:numPr>
          <w:ilvl w:val="2"/>
          <w:numId w:val="222"/>
        </w:numPr>
        <w:rPr>
          <w:rFonts w:ascii="Arial" w:cs="Arial" w:eastAsia="Arial" w:hAnsi="Arial"/>
          <w:sz w:val="16"/>
          <w:szCs w:val="16"/>
          <w:color w:val="auto"/>
        </w:rPr>
      </w:pPr>
      <w:r>
        <w:rPr>
          <w:rFonts w:ascii="Arial" w:cs="Arial" w:eastAsia="Arial" w:hAnsi="Arial"/>
          <w:sz w:val="16"/>
          <w:szCs w:val="16"/>
          <w:color w:val="auto"/>
        </w:rPr>
        <w:t>4 -</w:t>
      </w:r>
    </w:p>
    <w:p>
      <w:pPr>
        <w:sectPr>
          <w:pgSz w:w="11900" w:h="16838" w:orient="portrait"/>
          <w:cols w:equalWidth="0" w:num="1">
            <w:col w:w="9600"/>
          </w:cols>
          <w:pgMar w:left="1140" w:top="256" w:right="1159" w:bottom="1440" w:gutter="0" w:footer="0" w:header="0"/>
        </w:sectPr>
      </w:pPr>
    </w:p>
    <w:bookmarkStart w:id="365" w:name="page366"/>
    <w:bookmarkEnd w:id="365"/>
    <w:p>
      <w:pPr>
        <w:ind w:left="-300" w:right="100" w:firstLine="2110"/>
        <w:spacing w:after="0" w:line="300" w:lineRule="auto"/>
        <w:tabs>
          <w:tab w:leader="none" w:pos="2074" w:val="left"/>
        </w:tabs>
        <w:numPr>
          <w:ilvl w:val="1"/>
          <w:numId w:val="2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34" w:lineRule="exact"/>
        <w:rPr>
          <w:rFonts w:ascii="Arial" w:cs="Arial" w:eastAsia="Arial" w:hAnsi="Arial"/>
          <w:sz w:val="15"/>
          <w:szCs w:val="15"/>
          <w:color w:val="auto"/>
        </w:rPr>
      </w:pPr>
    </w:p>
    <w:p>
      <w:pPr>
        <w:jc w:val="both"/>
        <w:ind w:left="-300" w:firstLine="2110"/>
        <w:spacing w:after="0" w:line="281" w:lineRule="auto"/>
        <w:tabs>
          <w:tab w:leader="none" w:pos="2013" w:val="left"/>
        </w:tabs>
        <w:numPr>
          <w:ilvl w:val="1"/>
          <w:numId w:val="223"/>
        </w:numPr>
        <w:rPr>
          <w:rFonts w:ascii="Arial" w:cs="Arial" w:eastAsia="Arial" w:hAnsi="Arial"/>
          <w:sz w:val="15"/>
          <w:szCs w:val="15"/>
          <w:color w:val="auto"/>
        </w:rPr>
      </w:pPr>
      <w:r>
        <w:rPr>
          <w:rFonts w:ascii="Arial" w:cs="Arial" w:eastAsia="Arial" w:hAnsi="Arial"/>
          <w:sz w:val="15"/>
          <w:szCs w:val="15"/>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48" w:lineRule="exact"/>
        <w:rPr>
          <w:rFonts w:ascii="Arial" w:cs="Arial" w:eastAsia="Arial" w:hAnsi="Arial"/>
          <w:sz w:val="15"/>
          <w:szCs w:val="15"/>
          <w:color w:val="auto"/>
        </w:rPr>
      </w:pPr>
    </w:p>
    <w:p>
      <w:pPr>
        <w:ind w:left="-300" w:right="40" w:firstLine="2110"/>
        <w:spacing w:after="0" w:line="256" w:lineRule="auto"/>
        <w:tabs>
          <w:tab w:leader="none" w:pos="2021"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65" w:lineRule="exact"/>
        <w:rPr>
          <w:rFonts w:ascii="Arial" w:cs="Arial" w:eastAsia="Arial" w:hAnsi="Arial"/>
          <w:sz w:val="16"/>
          <w:szCs w:val="16"/>
          <w:color w:val="auto"/>
        </w:rPr>
      </w:pPr>
    </w:p>
    <w:p>
      <w:pPr>
        <w:ind w:left="-300" w:right="120" w:firstLine="2110"/>
        <w:spacing w:after="0" w:line="253" w:lineRule="auto"/>
        <w:tabs>
          <w:tab w:leader="none" w:pos="2074"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67" w:lineRule="exact"/>
        <w:rPr>
          <w:rFonts w:ascii="Arial" w:cs="Arial" w:eastAsia="Arial" w:hAnsi="Arial"/>
          <w:sz w:val="16"/>
          <w:szCs w:val="16"/>
          <w:color w:val="auto"/>
        </w:rPr>
      </w:pPr>
    </w:p>
    <w:p>
      <w:pPr>
        <w:jc w:val="both"/>
        <w:ind w:left="-300" w:right="20" w:firstLine="2110"/>
        <w:spacing w:after="0" w:line="253" w:lineRule="auto"/>
        <w:tabs>
          <w:tab w:leader="none" w:pos="2056"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67" w:lineRule="exact"/>
        <w:rPr>
          <w:rFonts w:ascii="Arial" w:cs="Arial" w:eastAsia="Arial" w:hAnsi="Arial"/>
          <w:sz w:val="16"/>
          <w:szCs w:val="16"/>
          <w:color w:val="auto"/>
        </w:rPr>
      </w:pPr>
    </w:p>
    <w:p>
      <w:pPr>
        <w:ind w:left="-300" w:right="440" w:firstLine="2110"/>
        <w:spacing w:after="0" w:line="266" w:lineRule="auto"/>
        <w:tabs>
          <w:tab w:leader="none" w:pos="210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such other information relating to any proposed item of business as the Company may reasonably require to determine whether such proposed item of business is a proper matter for stockholder action.</w:t>
      </w:r>
    </w:p>
    <w:p>
      <w:pPr>
        <w:spacing w:after="0" w:line="158" w:lineRule="exact"/>
        <w:rPr>
          <w:rFonts w:ascii="Arial" w:cs="Arial" w:eastAsia="Arial" w:hAnsi="Arial"/>
          <w:sz w:val="16"/>
          <w:szCs w:val="16"/>
          <w:color w:val="auto"/>
        </w:rPr>
      </w:pPr>
    </w:p>
    <w:p>
      <w:pPr>
        <w:ind w:left="-300" w:right="20" w:firstLine="1244"/>
        <w:spacing w:after="0" w:line="310" w:lineRule="auto"/>
        <w:tabs>
          <w:tab w:leader="none" w:pos="1217" w:val="left"/>
        </w:tabs>
        <w:numPr>
          <w:ilvl w:val="0"/>
          <w:numId w:val="224"/>
        </w:numPr>
        <w:rPr>
          <w:rFonts w:ascii="Arial" w:cs="Arial" w:eastAsia="Arial" w:hAnsi="Arial"/>
          <w:sz w:val="13"/>
          <w:szCs w:val="13"/>
          <w:color w:val="auto"/>
        </w:rPr>
      </w:pPr>
      <w:r>
        <w:rPr>
          <w:rFonts w:ascii="Arial" w:cs="Arial" w:eastAsia="Arial" w:hAnsi="Arial"/>
          <w:sz w:val="13"/>
          <w:szCs w:val="13"/>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spacing w:after="0" w:line="269" w:lineRule="exact"/>
        <w:rPr>
          <w:rFonts w:ascii="Arial" w:cs="Arial" w:eastAsia="Arial" w:hAnsi="Arial"/>
          <w:sz w:val="13"/>
          <w:szCs w:val="13"/>
          <w:color w:val="auto"/>
        </w:rPr>
      </w:pPr>
    </w:p>
    <w:p>
      <w:pPr>
        <w:ind w:left="4460" w:hanging="87"/>
        <w:spacing w:after="0"/>
        <w:tabs>
          <w:tab w:leader="none" w:pos="4460" w:val="left"/>
        </w:tabs>
        <w:numPr>
          <w:ilvl w:val="2"/>
          <w:numId w:val="224"/>
        </w:numPr>
        <w:rPr>
          <w:rFonts w:ascii="Arial" w:cs="Arial" w:eastAsia="Arial" w:hAnsi="Arial"/>
          <w:sz w:val="16"/>
          <w:szCs w:val="16"/>
          <w:color w:val="auto"/>
        </w:rPr>
      </w:pPr>
      <w:r>
        <w:rPr>
          <w:rFonts w:ascii="Arial" w:cs="Arial" w:eastAsia="Arial" w:hAnsi="Arial"/>
          <w:sz w:val="16"/>
          <w:szCs w:val="16"/>
          <w:color w:val="auto"/>
        </w:rPr>
        <w:t>5 -</w:t>
      </w:r>
    </w:p>
    <w:p>
      <w:pPr>
        <w:sectPr>
          <w:pgSz w:w="11900" w:h="16838" w:orient="portrait"/>
          <w:cols w:equalWidth="0" w:num="1">
            <w:col w:w="9320"/>
          </w:cols>
          <w:pgMar w:left="1440" w:top="256" w:right="1139" w:bottom="1440" w:gutter="0" w:footer="0" w:header="0"/>
        </w:sectPr>
      </w:pPr>
    </w:p>
    <w:bookmarkStart w:id="366" w:name="page367"/>
    <w:bookmarkEnd w:id="366"/>
    <w:p>
      <w:pPr>
        <w:ind w:left="-300" w:firstLine="860"/>
        <w:spacing w:after="0" w:line="265" w:lineRule="auto"/>
        <w:tabs>
          <w:tab w:leader="none" w:pos="788" w:val="left"/>
        </w:tabs>
        <w:numPr>
          <w:ilvl w:val="0"/>
          <w:numId w:val="225"/>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Special Meetings of Stockholders</w:t>
      </w:r>
      <w:r>
        <w:rPr>
          <w:rFonts w:ascii="Arial" w:cs="Arial" w:eastAsia="Arial" w:hAnsi="Arial"/>
          <w:sz w:val="15"/>
          <w:szCs w:val="15"/>
          <w:color w:val="auto"/>
        </w:rPr>
        <w:t>. Except to the extent required by the DGCL, and subject to Section 2.3(a), special meetings of</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63" w:lineRule="exact"/>
        <w:rPr>
          <w:rFonts w:ascii="Arial" w:cs="Arial" w:eastAsia="Arial" w:hAnsi="Arial"/>
          <w:sz w:val="15"/>
          <w:szCs w:val="15"/>
          <w:color w:val="auto"/>
        </w:rPr>
      </w:pPr>
    </w:p>
    <w:p>
      <w:pPr>
        <w:ind w:left="780" w:hanging="220"/>
        <w:spacing w:after="0"/>
        <w:tabs>
          <w:tab w:leader="none" w:pos="780"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Other Requirements.</w:t>
      </w:r>
    </w:p>
    <w:p>
      <w:pPr>
        <w:spacing w:after="0" w:line="193" w:lineRule="exact"/>
        <w:rPr>
          <w:rFonts w:ascii="Arial" w:cs="Arial" w:eastAsia="Arial" w:hAnsi="Arial"/>
          <w:sz w:val="16"/>
          <w:szCs w:val="16"/>
          <w:color w:val="auto"/>
        </w:rPr>
      </w:pPr>
    </w:p>
    <w:p>
      <w:pPr>
        <w:ind w:left="-300" w:right="80" w:firstLine="1244"/>
        <w:spacing w:after="0" w:line="383" w:lineRule="auto"/>
        <w:tabs>
          <w:tab w:leader="none" w:pos="1138" w:val="left"/>
        </w:tabs>
        <w:numPr>
          <w:ilvl w:val="1"/>
          <w:numId w:val="225"/>
        </w:numPr>
        <w:rPr>
          <w:rFonts w:ascii="Arial" w:cs="Arial" w:eastAsia="Arial" w:hAnsi="Arial"/>
          <w:sz w:val="13"/>
          <w:szCs w:val="13"/>
          <w:color w:val="auto"/>
        </w:rPr>
      </w:pPr>
      <w:r>
        <w:rPr>
          <w:rFonts w:ascii="Arial" w:cs="Arial" w:eastAsia="Arial" w:hAnsi="Arial"/>
          <w:sz w:val="13"/>
          <w:szCs w:val="13"/>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88" w:lineRule="exact"/>
        <w:rPr>
          <w:rFonts w:ascii="Arial" w:cs="Arial" w:eastAsia="Arial" w:hAnsi="Arial"/>
          <w:sz w:val="13"/>
          <w:szCs w:val="13"/>
          <w:color w:val="auto"/>
        </w:rPr>
      </w:pPr>
    </w:p>
    <w:p>
      <w:pPr>
        <w:ind w:left="-300" w:right="20" w:firstLine="1725"/>
        <w:spacing w:after="0" w:line="275" w:lineRule="auto"/>
        <w:tabs>
          <w:tab w:leader="none" w:pos="1654" w:val="left"/>
        </w:tabs>
        <w:numPr>
          <w:ilvl w:val="2"/>
          <w:numId w:val="225"/>
        </w:numPr>
        <w:rPr>
          <w:rFonts w:ascii="Arial" w:cs="Arial" w:eastAsia="Arial" w:hAnsi="Arial"/>
          <w:sz w:val="15"/>
          <w:szCs w:val="15"/>
          <w:color w:val="auto"/>
        </w:rPr>
      </w:pPr>
      <w:r>
        <w:rPr>
          <w:rFonts w:ascii="Arial" w:cs="Arial" w:eastAsia="Arial" w:hAnsi="Arial"/>
          <w:sz w:val="15"/>
          <w:szCs w:val="15"/>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52" w:lineRule="exact"/>
        <w:rPr>
          <w:rFonts w:ascii="Arial" w:cs="Arial" w:eastAsia="Arial" w:hAnsi="Arial"/>
          <w:sz w:val="15"/>
          <w:szCs w:val="15"/>
          <w:color w:val="auto"/>
        </w:rPr>
      </w:pPr>
    </w:p>
    <w:p>
      <w:pPr>
        <w:jc w:val="both"/>
        <w:ind w:left="-300" w:right="60" w:firstLine="1725"/>
        <w:spacing w:after="0" w:line="256" w:lineRule="auto"/>
        <w:tabs>
          <w:tab w:leader="none" w:pos="1654" w:val="left"/>
        </w:tabs>
        <w:numPr>
          <w:ilvl w:val="2"/>
          <w:numId w:val="225"/>
        </w:numPr>
        <w:rPr>
          <w:rFonts w:ascii="Arial" w:cs="Arial" w:eastAsia="Arial" w:hAnsi="Arial"/>
          <w:sz w:val="16"/>
          <w:szCs w:val="16"/>
          <w:color w:val="auto"/>
        </w:rPr>
      </w:pPr>
      <w:r>
        <w:rPr>
          <w:rFonts w:ascii="Arial" w:cs="Arial" w:eastAsia="Arial" w:hAnsi="Arial"/>
          <w:sz w:val="16"/>
          <w:szCs w:val="16"/>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65" w:lineRule="exact"/>
        <w:rPr>
          <w:rFonts w:ascii="Arial" w:cs="Arial" w:eastAsia="Arial" w:hAnsi="Arial"/>
          <w:sz w:val="16"/>
          <w:szCs w:val="16"/>
          <w:color w:val="auto"/>
        </w:rPr>
      </w:pPr>
    </w:p>
    <w:p>
      <w:pPr>
        <w:ind w:left="-300" w:right="60" w:firstLine="1725"/>
        <w:spacing w:after="0" w:line="266" w:lineRule="auto"/>
        <w:tabs>
          <w:tab w:leader="none" w:pos="1654" w:val="left"/>
        </w:tabs>
        <w:numPr>
          <w:ilvl w:val="2"/>
          <w:numId w:val="225"/>
        </w:numPr>
        <w:rPr>
          <w:rFonts w:ascii="Arial" w:cs="Arial" w:eastAsia="Arial" w:hAnsi="Arial"/>
          <w:sz w:val="16"/>
          <w:szCs w:val="16"/>
          <w:color w:val="auto"/>
        </w:rPr>
      </w:pPr>
      <w:r>
        <w:rPr>
          <w:rFonts w:ascii="Arial" w:cs="Arial" w:eastAsia="Arial" w:hAnsi="Arial"/>
          <w:sz w:val="16"/>
          <w:szCs w:val="16"/>
          <w:color w:val="auto"/>
        </w:rPr>
        <w:t>a written representation and undertaking that, unless previously disclosed to the Company, such nominee is not, and will not become, a party to any Third-Party Compensation Arrangement;</w:t>
      </w:r>
    </w:p>
    <w:p>
      <w:pPr>
        <w:spacing w:after="0" w:line="158" w:lineRule="exact"/>
        <w:rPr>
          <w:rFonts w:ascii="Arial" w:cs="Arial" w:eastAsia="Arial" w:hAnsi="Arial"/>
          <w:sz w:val="16"/>
          <w:szCs w:val="16"/>
          <w:color w:val="auto"/>
        </w:rPr>
      </w:pPr>
    </w:p>
    <w:p>
      <w:pPr>
        <w:ind w:left="-300" w:right="200" w:firstLine="1725"/>
        <w:spacing w:after="0" w:line="383" w:lineRule="auto"/>
        <w:tabs>
          <w:tab w:leader="none" w:pos="1654" w:val="left"/>
        </w:tabs>
        <w:numPr>
          <w:ilvl w:val="2"/>
          <w:numId w:val="225"/>
        </w:numPr>
        <w:rPr>
          <w:rFonts w:ascii="Arial" w:cs="Arial" w:eastAsia="Arial" w:hAnsi="Arial"/>
          <w:sz w:val="13"/>
          <w:szCs w:val="13"/>
          <w:color w:val="auto"/>
        </w:rPr>
      </w:pPr>
      <w:r>
        <w:rPr>
          <w:rFonts w:ascii="Arial" w:cs="Arial" w:eastAsia="Arial" w:hAnsi="Arial"/>
          <w:sz w:val="13"/>
          <w:szCs w:val="13"/>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29" w:lineRule="exact"/>
        <w:rPr>
          <w:rFonts w:ascii="Arial" w:cs="Arial" w:eastAsia="Arial" w:hAnsi="Arial"/>
          <w:sz w:val="13"/>
          <w:szCs w:val="13"/>
          <w:color w:val="auto"/>
        </w:rPr>
      </w:pPr>
    </w:p>
    <w:p>
      <w:pPr>
        <w:ind w:left="4460" w:hanging="87"/>
        <w:spacing w:after="0"/>
        <w:tabs>
          <w:tab w:leader="none" w:pos="4460" w:val="left"/>
        </w:tabs>
        <w:numPr>
          <w:ilvl w:val="3"/>
          <w:numId w:val="225"/>
        </w:numPr>
        <w:rPr>
          <w:rFonts w:ascii="Arial" w:cs="Arial" w:eastAsia="Arial" w:hAnsi="Arial"/>
          <w:sz w:val="16"/>
          <w:szCs w:val="16"/>
          <w:color w:val="auto"/>
        </w:rPr>
      </w:pPr>
      <w:r>
        <w:rPr>
          <w:rFonts w:ascii="Arial" w:cs="Arial" w:eastAsia="Arial" w:hAnsi="Arial"/>
          <w:sz w:val="16"/>
          <w:szCs w:val="16"/>
          <w:color w:val="auto"/>
        </w:rPr>
        <w:t>6 -</w:t>
      </w:r>
    </w:p>
    <w:p>
      <w:pPr>
        <w:sectPr>
          <w:pgSz w:w="11900" w:h="16838" w:orient="portrait"/>
          <w:cols w:equalWidth="0" w:num="1">
            <w:col w:w="9280"/>
          </w:cols>
          <w:pgMar w:left="1440" w:top="256" w:right="1179" w:bottom="1440" w:gutter="0" w:footer="0" w:header="0"/>
        </w:sectPr>
      </w:pPr>
    </w:p>
    <w:bookmarkStart w:id="367" w:name="page368"/>
    <w:bookmarkEnd w:id="367"/>
    <w:p>
      <w:pPr>
        <w:ind w:left="1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(5) a written representation and undertaking that such nominee, if elected, intends to serve a full term on the Board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182" w:lineRule="exact"/>
        <w:rPr>
          <w:sz w:val="20"/>
          <w:szCs w:val="20"/>
          <w:color w:val="auto"/>
        </w:rPr>
      </w:pPr>
    </w:p>
    <w:p>
      <w:pPr>
        <w:ind w:right="140" w:firstLine="1244"/>
        <w:spacing w:after="0" w:line="300" w:lineRule="auto"/>
        <w:tabs>
          <w:tab w:leader="none" w:pos="148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134" w:lineRule="exact"/>
        <w:rPr>
          <w:rFonts w:ascii="Arial" w:cs="Arial" w:eastAsia="Arial" w:hAnsi="Arial"/>
          <w:sz w:val="15"/>
          <w:szCs w:val="15"/>
          <w:color w:val="auto"/>
        </w:rPr>
      </w:pPr>
    </w:p>
    <w:p>
      <w:pPr>
        <w:ind w:right="20" w:firstLine="1244"/>
        <w:spacing w:after="0" w:line="256" w:lineRule="auto"/>
        <w:tabs>
          <w:tab w:leader="none" w:pos="152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165" w:lineRule="exact"/>
        <w:rPr>
          <w:rFonts w:ascii="Arial" w:cs="Arial" w:eastAsia="Arial" w:hAnsi="Arial"/>
          <w:sz w:val="16"/>
          <w:szCs w:val="16"/>
          <w:color w:val="auto"/>
        </w:rPr>
      </w:pPr>
    </w:p>
    <w:p>
      <w:pPr>
        <w:ind w:right="40" w:firstLine="1244"/>
        <w:spacing w:after="0" w:line="253" w:lineRule="auto"/>
        <w:tabs>
          <w:tab w:leader="none" w:pos="151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67" w:lineRule="exact"/>
        <w:rPr>
          <w:rFonts w:ascii="Arial" w:cs="Arial" w:eastAsia="Arial" w:hAnsi="Arial"/>
          <w:sz w:val="16"/>
          <w:szCs w:val="16"/>
          <w:color w:val="auto"/>
        </w:rPr>
      </w:pPr>
    </w:p>
    <w:p>
      <w:pPr>
        <w:ind w:firstLine="1244"/>
        <w:spacing w:after="0" w:line="249" w:lineRule="auto"/>
        <w:tabs>
          <w:tab w:leader="none" w:pos="147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70" w:lineRule="exact"/>
        <w:rPr>
          <w:rFonts w:ascii="Arial" w:cs="Arial" w:eastAsia="Arial" w:hAnsi="Arial"/>
          <w:sz w:val="16"/>
          <w:szCs w:val="16"/>
          <w:color w:val="auto"/>
        </w:rPr>
      </w:pPr>
    </w:p>
    <w:p>
      <w:pPr>
        <w:ind w:right="80" w:firstLine="1244"/>
        <w:spacing w:after="0" w:line="251" w:lineRule="auto"/>
        <w:tabs>
          <w:tab w:leader="none" w:pos="151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69" w:lineRule="exact"/>
        <w:rPr>
          <w:rFonts w:ascii="Arial" w:cs="Arial" w:eastAsia="Arial" w:hAnsi="Arial"/>
          <w:sz w:val="16"/>
          <w:szCs w:val="16"/>
          <w:color w:val="auto"/>
        </w:rPr>
      </w:pPr>
    </w:p>
    <w:p>
      <w:pPr>
        <w:ind w:right="40" w:firstLine="1244"/>
        <w:spacing w:after="0" w:line="329" w:lineRule="auto"/>
        <w:tabs>
          <w:tab w:leader="none" w:pos="156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14a-8 under the 1934 Act; and (2) such stockholder’s proposal has been included in a proxy statement that has been prepared by the Company to solicit proxies for the meeting of stockholders. Subject to Rule 14a-8 and other applicable rules and regulations under</w:t>
      </w:r>
    </w:p>
    <w:p>
      <w:pPr>
        <w:spacing w:after="0" w:line="64" w:lineRule="exact"/>
        <w:rPr>
          <w:rFonts w:ascii="Arial" w:cs="Arial" w:eastAsia="Arial" w:hAnsi="Arial"/>
          <w:sz w:val="13"/>
          <w:szCs w:val="13"/>
          <w:color w:val="auto"/>
        </w:rPr>
      </w:pPr>
    </w:p>
    <w:p>
      <w:pPr>
        <w:ind w:left="4760" w:hanging="87"/>
        <w:spacing w:after="0"/>
        <w:tabs>
          <w:tab w:leader="none" w:pos="476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7 -</w:t>
      </w:r>
    </w:p>
    <w:p>
      <w:pPr>
        <w:sectPr>
          <w:pgSz w:w="11900" w:h="16838" w:orient="portrait"/>
          <w:cols w:equalWidth="0" w:num="1">
            <w:col w:w="9620"/>
          </w:cols>
          <w:pgMar w:left="1140" w:top="256" w:right="1139" w:bottom="1440" w:gutter="0" w:footer="0" w:header="0"/>
        </w:sectPr>
      </w:pPr>
    </w:p>
    <w:bookmarkStart w:id="368" w:name="page369"/>
    <w:bookmarkEnd w:id="368"/>
    <w:p>
      <w:pPr>
        <w:ind w:right="8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2.5 NOTICE OF STOCKHOLDERS’ MEETINGS</w:t>
      </w:r>
    </w:p>
    <w:p>
      <w:pPr>
        <w:spacing w:after="0" w:line="193" w:lineRule="exact"/>
        <w:rPr>
          <w:sz w:val="20"/>
          <w:szCs w:val="20"/>
          <w:color w:val="auto"/>
        </w:rPr>
      </w:pPr>
    </w:p>
    <w:p>
      <w:pPr>
        <w:ind w:firstLine="385"/>
        <w:spacing w:after="0" w:line="268" w:lineRule="auto"/>
        <w:rPr>
          <w:sz w:val="20"/>
          <w:szCs w:val="20"/>
          <w:color w:val="auto"/>
        </w:rPr>
      </w:pPr>
      <w:r>
        <w:rPr>
          <w:rFonts w:ascii="Arial" w:cs="Arial" w:eastAsia="Arial" w:hAnsi="Arial"/>
          <w:sz w:val="15"/>
          <w:szCs w:val="15"/>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2.6 QUORUM</w:t>
      </w:r>
    </w:p>
    <w:p>
      <w:pPr>
        <w:spacing w:after="0" w:line="193" w:lineRule="exact"/>
        <w:rPr>
          <w:sz w:val="20"/>
          <w:szCs w:val="20"/>
          <w:color w:val="auto"/>
        </w:rPr>
      </w:pPr>
    </w:p>
    <w:p>
      <w:pPr>
        <w:ind w:firstLine="385"/>
        <w:spacing w:after="0" w:line="251" w:lineRule="auto"/>
        <w:rPr>
          <w:sz w:val="20"/>
          <w:szCs w:val="20"/>
          <w:color w:val="auto"/>
        </w:rPr>
      </w:pPr>
      <w:r>
        <w:rPr>
          <w:rFonts w:ascii="Arial" w:cs="Arial" w:eastAsia="Arial" w:hAnsi="Arial"/>
          <w:sz w:val="16"/>
          <w:szCs w:val="16"/>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70" w:lineRule="exact"/>
        <w:rPr>
          <w:sz w:val="20"/>
          <w:szCs w:val="20"/>
          <w:color w:val="auto"/>
        </w:rPr>
      </w:pPr>
    </w:p>
    <w:p>
      <w:pPr>
        <w:ind w:firstLine="385"/>
        <w:spacing w:after="0" w:line="275" w:lineRule="auto"/>
        <w:rPr>
          <w:sz w:val="20"/>
          <w:szCs w:val="20"/>
          <w:color w:val="auto"/>
        </w:rPr>
      </w:pPr>
      <w:r>
        <w:rPr>
          <w:rFonts w:ascii="Arial" w:cs="Arial" w:eastAsia="Arial" w:hAnsi="Arial"/>
          <w:sz w:val="15"/>
          <w:szCs w:val="15"/>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2.7 ADJOURNED MEETING; NOTICE</w:t>
      </w:r>
    </w:p>
    <w:p>
      <w:pPr>
        <w:spacing w:after="0" w:line="193" w:lineRule="exact"/>
        <w:rPr>
          <w:sz w:val="20"/>
          <w:szCs w:val="20"/>
          <w:color w:val="auto"/>
        </w:rPr>
      </w:pPr>
    </w:p>
    <w:p>
      <w:pPr>
        <w:ind w:right="20" w:firstLine="385"/>
        <w:spacing w:after="0" w:line="314" w:lineRule="auto"/>
        <w:rPr>
          <w:sz w:val="20"/>
          <w:szCs w:val="20"/>
          <w:color w:val="auto"/>
        </w:rPr>
      </w:pPr>
      <w:r>
        <w:rPr>
          <w:rFonts w:ascii="Arial" w:cs="Arial" w:eastAsia="Arial" w:hAnsi="Arial"/>
          <w:sz w:val="13"/>
          <w:szCs w:val="13"/>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ectPr>
          <w:pgSz w:w="11900" w:h="16838" w:orient="portrait"/>
          <w:cols w:equalWidth="0" w:num="1">
            <w:col w:w="9580"/>
          </w:cols>
          <w:pgMar w:left="1140" w:top="256" w:right="1179" w:bottom="1440" w:gutter="0" w:footer="0" w:header="0"/>
        </w:sectPr>
      </w:pPr>
    </w:p>
    <w:bookmarkStart w:id="369" w:name="page370"/>
    <w:bookmarkEnd w:id="369"/>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2.8 CONDUCT OF BUSINESS</w:t>
      </w:r>
    </w:p>
    <w:p>
      <w:pPr>
        <w:spacing w:after="0" w:line="193" w:lineRule="exact"/>
        <w:rPr>
          <w:sz w:val="20"/>
          <w:szCs w:val="20"/>
          <w:color w:val="auto"/>
        </w:rPr>
      </w:pPr>
    </w:p>
    <w:p>
      <w:pPr>
        <w:ind w:firstLine="385"/>
        <w:spacing w:after="0" w:line="249" w:lineRule="auto"/>
        <w:rPr>
          <w:sz w:val="20"/>
          <w:szCs w:val="20"/>
          <w:color w:val="auto"/>
        </w:rPr>
      </w:pPr>
      <w:r>
        <w:rPr>
          <w:rFonts w:ascii="Arial" w:cs="Arial" w:eastAsia="Arial" w:hAnsi="Arial"/>
          <w:sz w:val="16"/>
          <w:szCs w:val="16"/>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2.9 VOTING</w:t>
      </w:r>
    </w:p>
    <w:p>
      <w:pPr>
        <w:spacing w:after="0" w:line="193" w:lineRule="exact"/>
        <w:rPr>
          <w:sz w:val="20"/>
          <w:szCs w:val="20"/>
          <w:color w:val="auto"/>
        </w:rPr>
      </w:pPr>
    </w:p>
    <w:p>
      <w:pPr>
        <w:ind w:right="80" w:firstLine="385"/>
        <w:spacing w:after="0" w:line="256" w:lineRule="auto"/>
        <w:rPr>
          <w:sz w:val="20"/>
          <w:szCs w:val="20"/>
          <w:color w:val="auto"/>
        </w:rPr>
      </w:pPr>
      <w:r>
        <w:rPr>
          <w:rFonts w:ascii="Arial" w:cs="Arial" w:eastAsia="Arial" w:hAnsi="Arial"/>
          <w:sz w:val="16"/>
          <w:szCs w:val="16"/>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66" w:lineRule="exact"/>
        <w:rPr>
          <w:sz w:val="20"/>
          <w:szCs w:val="20"/>
          <w:color w:val="auto"/>
        </w:rPr>
      </w:pPr>
    </w:p>
    <w:p>
      <w:pPr>
        <w:ind w:right="280" w:firstLine="385"/>
        <w:spacing w:after="0" w:line="266" w:lineRule="auto"/>
        <w:rPr>
          <w:sz w:val="20"/>
          <w:szCs w:val="20"/>
          <w:color w:val="auto"/>
        </w:rPr>
      </w:pPr>
      <w:r>
        <w:rPr>
          <w:rFonts w:ascii="Arial" w:cs="Arial" w:eastAsia="Arial" w:hAnsi="Arial"/>
          <w:sz w:val="16"/>
          <w:szCs w:val="16"/>
          <w:color w:val="auto"/>
        </w:rPr>
        <w:t>Except as may be otherwise provided in the certificate of incorporation or these bylaws, each stockholder shall be entitled to one vote for each share of capital stock held by such stockholder.</w:t>
      </w:r>
    </w:p>
    <w:p>
      <w:pPr>
        <w:spacing w:after="0" w:line="158" w:lineRule="exact"/>
        <w:rPr>
          <w:sz w:val="20"/>
          <w:szCs w:val="20"/>
          <w:color w:val="auto"/>
        </w:rPr>
      </w:pPr>
    </w:p>
    <w:p>
      <w:pPr>
        <w:ind w:right="20" w:firstLine="385"/>
        <w:spacing w:after="0" w:line="267" w:lineRule="auto"/>
        <w:rPr>
          <w:sz w:val="20"/>
          <w:szCs w:val="20"/>
          <w:color w:val="auto"/>
        </w:rPr>
      </w:pPr>
      <w:r>
        <w:rPr>
          <w:rFonts w:ascii="Arial" w:cs="Arial" w:eastAsia="Arial" w:hAnsi="Arial"/>
          <w:sz w:val="15"/>
          <w:szCs w:val="15"/>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2.10 STOCKHOLDER ACTION BY WRITTEN CONSENT WITHOUT A MEETING</w:t>
      </w:r>
    </w:p>
    <w:p>
      <w:pPr>
        <w:spacing w:after="0" w:line="193" w:lineRule="exact"/>
        <w:rPr>
          <w:sz w:val="20"/>
          <w:szCs w:val="20"/>
          <w:color w:val="auto"/>
        </w:rPr>
      </w:pPr>
    </w:p>
    <w:p>
      <w:pPr>
        <w:ind w:right="40" w:firstLine="385"/>
        <w:spacing w:after="0" w:line="256" w:lineRule="auto"/>
        <w:rPr>
          <w:sz w:val="20"/>
          <w:szCs w:val="20"/>
          <w:color w:val="auto"/>
        </w:rPr>
      </w:pPr>
      <w:r>
        <w:rPr>
          <w:rFonts w:ascii="Arial" w:cs="Arial" w:eastAsia="Arial" w:hAnsi="Arial"/>
          <w:sz w:val="16"/>
          <w:szCs w:val="16"/>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2.11 RECORD DATES</w:t>
      </w:r>
    </w:p>
    <w:p>
      <w:pPr>
        <w:spacing w:after="0" w:line="193"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6"/>
          <w:szCs w:val="16"/>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ectPr>
          <w:pgSz w:w="11900" w:h="16838" w:orient="portrait"/>
          <w:cols w:equalWidth="0" w:num="1">
            <w:col w:w="9600"/>
          </w:cols>
          <w:pgMar w:left="1140" w:top="256" w:right="1159" w:bottom="1440" w:gutter="0" w:footer="0" w:header="0"/>
        </w:sectPr>
      </w:pPr>
    </w:p>
    <w:bookmarkStart w:id="370" w:name="page371"/>
    <w:bookmarkEnd w:id="370"/>
    <w:p>
      <w:pPr>
        <w:ind w:right="20"/>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4" w:lineRule="exact"/>
        <w:rPr>
          <w:sz w:val="20"/>
          <w:szCs w:val="20"/>
          <w:color w:val="auto"/>
        </w:rPr>
      </w:pPr>
    </w:p>
    <w:p>
      <w:pPr>
        <w:ind w:right="120" w:firstLine="385"/>
        <w:spacing w:after="0" w:line="256" w:lineRule="auto"/>
        <w:rPr>
          <w:sz w:val="20"/>
          <w:szCs w:val="20"/>
          <w:color w:val="auto"/>
        </w:rPr>
      </w:pPr>
      <w:r>
        <w:rPr>
          <w:rFonts w:ascii="Arial" w:cs="Arial" w:eastAsia="Arial" w:hAnsi="Arial"/>
          <w:sz w:val="16"/>
          <w:szCs w:val="16"/>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66" w:lineRule="exact"/>
        <w:rPr>
          <w:sz w:val="20"/>
          <w:szCs w:val="20"/>
          <w:color w:val="auto"/>
        </w:rPr>
      </w:pPr>
    </w:p>
    <w:p>
      <w:pPr>
        <w:ind w:right="40" w:firstLine="385"/>
        <w:spacing w:after="0" w:line="251" w:lineRule="auto"/>
        <w:rPr>
          <w:sz w:val="20"/>
          <w:szCs w:val="20"/>
          <w:color w:val="auto"/>
        </w:rPr>
      </w:pPr>
      <w:r>
        <w:rPr>
          <w:rFonts w:ascii="Arial" w:cs="Arial" w:eastAsia="Arial" w:hAnsi="Arial"/>
          <w:sz w:val="16"/>
          <w:szCs w:val="16"/>
          <w:color w:val="auto"/>
        </w:rPr>
        <w:t xml:space="preserve">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70" w:lineRule="exact"/>
        <w:rPr>
          <w:sz w:val="20"/>
          <w:szCs w:val="20"/>
          <w:color w:val="auto"/>
        </w:rPr>
      </w:pPr>
    </w:p>
    <w:p>
      <w:pPr>
        <w:ind w:right="20" w:firstLine="385"/>
        <w:spacing w:after="0" w:line="323" w:lineRule="auto"/>
        <w:rPr>
          <w:sz w:val="20"/>
          <w:szCs w:val="20"/>
          <w:color w:val="auto"/>
        </w:rPr>
      </w:pPr>
      <w:r>
        <w:rPr>
          <w:rFonts w:ascii="Arial" w:cs="Arial" w:eastAsia="Arial" w:hAnsi="Arial"/>
          <w:sz w:val="13"/>
          <w:szCs w:val="13"/>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2.12 PROXIES</w:t>
      </w:r>
    </w:p>
    <w:p>
      <w:pPr>
        <w:spacing w:after="0" w:line="193" w:lineRule="exact"/>
        <w:rPr>
          <w:sz w:val="20"/>
          <w:szCs w:val="20"/>
          <w:color w:val="auto"/>
        </w:rPr>
      </w:pPr>
    </w:p>
    <w:p>
      <w:pPr>
        <w:ind w:right="20" w:firstLine="385"/>
        <w:spacing w:after="0" w:line="329" w:lineRule="auto"/>
        <w:rPr>
          <w:sz w:val="20"/>
          <w:szCs w:val="20"/>
          <w:color w:val="auto"/>
        </w:rPr>
      </w:pPr>
      <w:r>
        <w:rPr>
          <w:rFonts w:ascii="Arial" w:cs="Arial" w:eastAsia="Arial" w:hAnsi="Arial"/>
          <w:sz w:val="13"/>
          <w:szCs w:val="13"/>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2.13 LIST OF STOCKHOLDERS ENTITLED TO VOTE</w:t>
      </w:r>
    </w:p>
    <w:p>
      <w:pPr>
        <w:spacing w:after="0" w:line="193" w:lineRule="exact"/>
        <w:rPr>
          <w:sz w:val="20"/>
          <w:szCs w:val="20"/>
          <w:color w:val="auto"/>
        </w:rPr>
      </w:pPr>
    </w:p>
    <w:p>
      <w:pPr>
        <w:ind w:firstLine="385"/>
        <w:spacing w:after="0" w:line="249" w:lineRule="auto"/>
        <w:rPr>
          <w:sz w:val="20"/>
          <w:szCs w:val="20"/>
          <w:color w:val="auto"/>
        </w:rPr>
      </w:pPr>
      <w:r>
        <w:rPr>
          <w:rFonts w:ascii="Arial" w:cs="Arial" w:eastAsia="Arial" w:hAnsi="Arial"/>
          <w:sz w:val="16"/>
          <w:szCs w:val="16"/>
          <w:color w:val="auto"/>
        </w:rPr>
        <w:t xml:space="preserve">The Company shall prepare, at least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9620"/>
          </w:cols>
          <w:pgMar w:left="1140" w:top="256" w:right="1139" w:bottom="1440" w:gutter="0" w:footer="0" w:header="0"/>
        </w:sectPr>
      </w:pPr>
    </w:p>
    <w:bookmarkStart w:id="371" w:name="page372"/>
    <w:bookmarkEnd w:id="371"/>
    <w:p>
      <w:pPr>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2.14 INSPECTORS OF ELECTION</w:t>
      </w:r>
    </w:p>
    <w:p>
      <w:pPr>
        <w:spacing w:after="0" w:line="193" w:lineRule="exact"/>
        <w:rPr>
          <w:sz w:val="20"/>
          <w:szCs w:val="20"/>
          <w:color w:val="auto"/>
        </w:rPr>
      </w:pPr>
    </w:p>
    <w:p>
      <w:pPr>
        <w:ind w:right="20" w:firstLine="385"/>
        <w:spacing w:after="0" w:line="266" w:lineRule="auto"/>
        <w:rPr>
          <w:sz w:val="20"/>
          <w:szCs w:val="20"/>
          <w:color w:val="auto"/>
        </w:rPr>
      </w:pPr>
      <w:r>
        <w:rPr>
          <w:rFonts w:ascii="Arial" w:cs="Arial" w:eastAsia="Arial" w:hAnsi="Arial"/>
          <w:sz w:val="16"/>
          <w:szCs w:val="16"/>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Such inspectors shall:</w:t>
      </w:r>
    </w:p>
    <w:p>
      <w:pPr>
        <w:spacing w:after="0" w:line="193" w:lineRule="exact"/>
        <w:rPr>
          <w:sz w:val="20"/>
          <w:szCs w:val="20"/>
          <w:color w:val="auto"/>
        </w:rPr>
      </w:pPr>
    </w:p>
    <w:p>
      <w:pPr>
        <w:ind w:left="1080" w:hanging="220"/>
        <w:spacing w:after="0"/>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ascertain the number of shares outstanding and the voting power of each;</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determine the shares represented at the meeting and the validity of proxies and ballots;</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count all votes and ballots;</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determine and retain for a reasonable period a record of the disposition of any challenges made to any determination by the inspectors;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 certify their determination of the number of shares represented at the meeting, and their count of all votes and ballots.</w:t>
      </w:r>
    </w:p>
    <w:p>
      <w:pPr>
        <w:spacing w:after="0" w:line="193" w:lineRule="exact"/>
        <w:rPr>
          <w:sz w:val="20"/>
          <w:szCs w:val="20"/>
          <w:color w:val="auto"/>
        </w:rPr>
      </w:pPr>
    </w:p>
    <w:p>
      <w:pPr>
        <w:jc w:val="both"/>
        <w:ind w:right="220" w:firstLine="385"/>
        <w:spacing w:after="0" w:line="281" w:lineRule="auto"/>
        <w:rPr>
          <w:sz w:val="20"/>
          <w:szCs w:val="20"/>
          <w:color w:val="auto"/>
        </w:rPr>
      </w:pPr>
      <w:r>
        <w:rPr>
          <w:rFonts w:ascii="Arial" w:cs="Arial" w:eastAsia="Arial" w:hAnsi="Arial"/>
          <w:sz w:val="15"/>
          <w:szCs w:val="15"/>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of the facts stated therein.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 - DIRECTORS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 POWERS</w:t>
      </w:r>
    </w:p>
    <w:p>
      <w:pPr>
        <w:spacing w:after="0" w:line="193" w:lineRule="exact"/>
        <w:rPr>
          <w:sz w:val="20"/>
          <w:szCs w:val="20"/>
          <w:color w:val="auto"/>
        </w:rPr>
      </w:pPr>
    </w:p>
    <w:p>
      <w:pPr>
        <w:ind w:right="500" w:firstLine="385"/>
        <w:spacing w:after="0" w:line="266" w:lineRule="auto"/>
        <w:rPr>
          <w:sz w:val="20"/>
          <w:szCs w:val="20"/>
          <w:color w:val="auto"/>
        </w:rPr>
      </w:pPr>
      <w:r>
        <w:rPr>
          <w:rFonts w:ascii="Arial" w:cs="Arial" w:eastAsia="Arial" w:hAnsi="Arial"/>
          <w:sz w:val="16"/>
          <w:szCs w:val="16"/>
          <w:color w:val="auto"/>
        </w:rPr>
        <w:t>The business and affairs of the Company shall be managed by or under the direction of the Board of Directors, except as may be otherwise provided in the DGCL or the certificate of incorporation.</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3.2 NUMBER OF DIRECTORS</w:t>
      </w:r>
    </w:p>
    <w:p>
      <w:pPr>
        <w:spacing w:after="0" w:line="193" w:lineRule="exact"/>
        <w:rPr>
          <w:sz w:val="20"/>
          <w:szCs w:val="20"/>
          <w:color w:val="auto"/>
        </w:rPr>
      </w:pPr>
    </w:p>
    <w:p>
      <w:pPr>
        <w:jc w:val="both"/>
        <w:ind w:right="20" w:firstLine="385"/>
        <w:spacing w:after="0" w:line="343" w:lineRule="auto"/>
        <w:rPr>
          <w:sz w:val="20"/>
          <w:szCs w:val="20"/>
          <w:color w:val="auto"/>
        </w:rPr>
      </w:pPr>
      <w:r>
        <w:rPr>
          <w:rFonts w:ascii="Arial" w:cs="Arial" w:eastAsia="Arial" w:hAnsi="Arial"/>
          <w:sz w:val="13"/>
          <w:szCs w:val="13"/>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ectPr>
          <w:pgSz w:w="11900" w:h="16838" w:orient="portrait"/>
          <w:cols w:equalWidth="0" w:num="1">
            <w:col w:w="9600"/>
          </w:cols>
          <w:pgMar w:left="1140" w:top="256" w:right="1159" w:bottom="1440" w:gutter="0" w:footer="0" w:header="0"/>
        </w:sectPr>
      </w:pPr>
    </w:p>
    <w:bookmarkStart w:id="372" w:name="page373"/>
    <w:bookmarkEnd w:id="372"/>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3.3 ELECTION, QUALIFICATION AND TERM OF OFFICE OF DIRECTORS</w:t>
      </w:r>
    </w:p>
    <w:p>
      <w:pPr>
        <w:spacing w:after="0" w:line="193" w:lineRule="exact"/>
        <w:rPr>
          <w:sz w:val="20"/>
          <w:szCs w:val="20"/>
          <w:color w:val="auto"/>
        </w:rPr>
      </w:pPr>
    </w:p>
    <w:p>
      <w:pPr>
        <w:ind w:right="40" w:firstLine="385"/>
        <w:spacing w:after="0" w:line="253" w:lineRule="auto"/>
        <w:rPr>
          <w:sz w:val="20"/>
          <w:szCs w:val="20"/>
          <w:color w:val="auto"/>
        </w:rPr>
      </w:pPr>
      <w:r>
        <w:rPr>
          <w:rFonts w:ascii="Arial" w:cs="Arial" w:eastAsia="Arial" w:hAnsi="Arial"/>
          <w:sz w:val="16"/>
          <w:szCs w:val="16"/>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so provided in the certificate of incorporation, the directors of the Company shall be divided into three classes.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3.4 RESIGNATION AND VACANCIES</w:t>
      </w:r>
    </w:p>
    <w:p>
      <w:pPr>
        <w:spacing w:after="0" w:line="193" w:lineRule="exact"/>
        <w:rPr>
          <w:sz w:val="20"/>
          <w:szCs w:val="20"/>
          <w:color w:val="auto"/>
        </w:rPr>
      </w:pPr>
    </w:p>
    <w:p>
      <w:pPr>
        <w:ind w:firstLine="385"/>
        <w:spacing w:after="0" w:line="270" w:lineRule="auto"/>
        <w:rPr>
          <w:sz w:val="20"/>
          <w:szCs w:val="20"/>
          <w:color w:val="auto"/>
        </w:rPr>
      </w:pPr>
      <w:r>
        <w:rPr>
          <w:rFonts w:ascii="Arial" w:cs="Arial" w:eastAsia="Arial" w:hAnsi="Arial"/>
          <w:sz w:val="15"/>
          <w:szCs w:val="15"/>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56" w:lineRule="exact"/>
        <w:rPr>
          <w:sz w:val="20"/>
          <w:szCs w:val="20"/>
          <w:color w:val="auto"/>
        </w:rPr>
      </w:pPr>
    </w:p>
    <w:p>
      <w:pPr>
        <w:ind w:right="20" w:firstLine="385"/>
        <w:spacing w:after="0" w:line="270" w:lineRule="auto"/>
        <w:rPr>
          <w:sz w:val="20"/>
          <w:szCs w:val="20"/>
          <w:color w:val="auto"/>
        </w:rPr>
      </w:pPr>
      <w:r>
        <w:rPr>
          <w:rFonts w:ascii="Arial" w:cs="Arial" w:eastAsia="Arial" w:hAnsi="Arial"/>
          <w:sz w:val="15"/>
          <w:szCs w:val="15"/>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3.5 PLACE OF MEETINGS; MEETINGS BY TELEPHONE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Board of Directors may hold meetings, both regular and special, either within or outside the State of Delaware.</w:t>
      </w:r>
    </w:p>
    <w:p>
      <w:pPr>
        <w:spacing w:after="0" w:line="193" w:lineRule="exact"/>
        <w:rPr>
          <w:sz w:val="20"/>
          <w:szCs w:val="20"/>
          <w:color w:val="auto"/>
        </w:rPr>
      </w:pPr>
    </w:p>
    <w:p>
      <w:pPr>
        <w:ind w:right="100" w:firstLine="385"/>
        <w:spacing w:after="0" w:line="281" w:lineRule="auto"/>
        <w:rPr>
          <w:sz w:val="20"/>
          <w:szCs w:val="20"/>
          <w:color w:val="auto"/>
        </w:rPr>
      </w:pPr>
      <w:r>
        <w:rPr>
          <w:rFonts w:ascii="Arial" w:cs="Arial" w:eastAsia="Arial" w:hAnsi="Arial"/>
          <w:sz w:val="15"/>
          <w:szCs w:val="15"/>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3.6 REGULAR MEETINGS</w:t>
      </w:r>
    </w:p>
    <w:p>
      <w:pPr>
        <w:spacing w:after="0" w:line="193" w:lineRule="exact"/>
        <w:rPr>
          <w:sz w:val="20"/>
          <w:szCs w:val="20"/>
          <w:color w:val="auto"/>
        </w:rPr>
      </w:pPr>
    </w:p>
    <w:p>
      <w:pPr>
        <w:ind w:right="80" w:firstLine="385"/>
        <w:spacing w:after="0" w:line="266" w:lineRule="auto"/>
        <w:rPr>
          <w:sz w:val="20"/>
          <w:szCs w:val="20"/>
          <w:color w:val="auto"/>
        </w:rPr>
      </w:pPr>
      <w:r>
        <w:rPr>
          <w:rFonts w:ascii="Arial" w:cs="Arial" w:eastAsia="Arial" w:hAnsi="Arial"/>
          <w:sz w:val="16"/>
          <w:szCs w:val="16"/>
          <w:color w:val="auto"/>
        </w:rPr>
        <w:t>Regular meetings of the Board of Directors may be held without notice at such time and at such place as shall from time to time be determined by the Board of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ectPr>
          <w:pgSz w:w="11900" w:h="16838" w:orient="portrait"/>
          <w:cols w:equalWidth="0" w:num="1">
            <w:col w:w="9620"/>
          </w:cols>
          <w:pgMar w:left="1140" w:top="256" w:right="1139" w:bottom="1440" w:gutter="0" w:footer="0" w:header="0"/>
        </w:sectPr>
      </w:pPr>
    </w:p>
    <w:bookmarkStart w:id="373" w:name="page374"/>
    <w:bookmarkEnd w:id="373"/>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3.7 SPECIAL MEETINGS; NOTICE</w:t>
      </w:r>
    </w:p>
    <w:p>
      <w:pPr>
        <w:spacing w:after="0" w:line="193" w:lineRule="exact"/>
        <w:rPr>
          <w:sz w:val="20"/>
          <w:szCs w:val="20"/>
          <w:color w:val="auto"/>
        </w:rPr>
      </w:pPr>
    </w:p>
    <w:p>
      <w:pPr>
        <w:ind w:firstLine="385"/>
        <w:spacing w:after="0" w:line="266" w:lineRule="auto"/>
        <w:rPr>
          <w:sz w:val="20"/>
          <w:szCs w:val="20"/>
          <w:color w:val="auto"/>
        </w:rPr>
      </w:pPr>
      <w:r>
        <w:rPr>
          <w:rFonts w:ascii="Arial" w:cs="Arial" w:eastAsia="Arial" w:hAnsi="Arial"/>
          <w:sz w:val="16"/>
          <w:szCs w:val="16"/>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Notice of the time and place of special meetings shall be:</w:t>
      </w:r>
    </w:p>
    <w:p>
      <w:pPr>
        <w:spacing w:after="0" w:line="193" w:lineRule="exact"/>
        <w:rPr>
          <w:sz w:val="20"/>
          <w:szCs w:val="20"/>
          <w:color w:val="auto"/>
        </w:rPr>
      </w:pPr>
    </w:p>
    <w:p>
      <w:pPr>
        <w:ind w:left="1080" w:hanging="220"/>
        <w:spacing w:after="0"/>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delivered personally by hand, by courier or by telephone;</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sent by United States first-class mail, postage prepaid;</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sent by facsimile;</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sent by electronic mail; or</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otherwise given by electronic transmission (as defined in Section 232 of the DGCL),</w:t>
      </w:r>
    </w:p>
    <w:p>
      <w:pPr>
        <w:spacing w:after="0" w:line="19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58" w:lineRule="exact"/>
        <w:rPr>
          <w:sz w:val="20"/>
          <w:szCs w:val="20"/>
          <w:color w:val="auto"/>
        </w:rPr>
      </w:pPr>
    </w:p>
    <w:p>
      <w:pPr>
        <w:ind w:right="80" w:firstLine="385"/>
        <w:spacing w:after="0" w:line="323" w:lineRule="auto"/>
        <w:rPr>
          <w:sz w:val="20"/>
          <w:szCs w:val="20"/>
          <w:color w:val="auto"/>
        </w:rPr>
      </w:pPr>
      <w:r>
        <w:rPr>
          <w:rFonts w:ascii="Arial" w:cs="Arial" w:eastAsia="Arial" w:hAnsi="Arial"/>
          <w:sz w:val="13"/>
          <w:szCs w:val="13"/>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3.8 QUORUM; VOTING</w:t>
      </w:r>
    </w:p>
    <w:p>
      <w:pPr>
        <w:spacing w:after="0" w:line="193" w:lineRule="exact"/>
        <w:rPr>
          <w:sz w:val="20"/>
          <w:szCs w:val="20"/>
          <w:color w:val="auto"/>
        </w:rPr>
      </w:pPr>
    </w:p>
    <w:p>
      <w:pPr>
        <w:jc w:val="both"/>
        <w:ind w:right="100" w:firstLine="385"/>
        <w:spacing w:after="0" w:line="256" w:lineRule="auto"/>
        <w:rPr>
          <w:sz w:val="20"/>
          <w:szCs w:val="20"/>
          <w:color w:val="auto"/>
        </w:rPr>
      </w:pPr>
      <w:r>
        <w:rPr>
          <w:rFonts w:ascii="Arial" w:cs="Arial" w:eastAsia="Arial" w:hAnsi="Arial"/>
          <w:sz w:val="16"/>
          <w:szCs w:val="16"/>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66" w:lineRule="exact"/>
        <w:rPr>
          <w:sz w:val="20"/>
          <w:szCs w:val="20"/>
          <w:color w:val="auto"/>
        </w:rPr>
      </w:pPr>
    </w:p>
    <w:p>
      <w:pPr>
        <w:ind w:right="140" w:firstLine="385"/>
        <w:spacing w:after="0" w:line="266" w:lineRule="auto"/>
        <w:rPr>
          <w:sz w:val="20"/>
          <w:szCs w:val="20"/>
          <w:color w:val="auto"/>
        </w:rPr>
      </w:pPr>
      <w:r>
        <w:rPr>
          <w:rFonts w:ascii="Arial" w:cs="Arial" w:eastAsia="Arial" w:hAnsi="Arial"/>
          <w:sz w:val="16"/>
          <w:szCs w:val="16"/>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8" w:lineRule="exact"/>
        <w:rPr>
          <w:sz w:val="20"/>
          <w:szCs w:val="20"/>
          <w:color w:val="auto"/>
        </w:rPr>
      </w:pPr>
    </w:p>
    <w:p>
      <w:pPr>
        <w:ind w:firstLine="385"/>
        <w:spacing w:after="0" w:line="253"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w:t>
      </w:r>
    </w:p>
    <w:p>
      <w:pPr>
        <w:sectPr>
          <w:pgSz w:w="11900" w:h="16838" w:orient="portrait"/>
          <w:cols w:equalWidth="0" w:num="1">
            <w:col w:w="9600"/>
          </w:cols>
          <w:pgMar w:left="1140" w:top="256" w:right="1159" w:bottom="1440" w:gutter="0" w:footer="0" w:header="0"/>
        </w:sectPr>
      </w:pPr>
    </w:p>
    <w:bookmarkStart w:id="374" w:name="page375"/>
    <w:bookmarkEnd w:id="374"/>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3.9 BOARD ACTION BY WRITTEN CONSENT WITHOUT A MEETING</w:t>
      </w:r>
    </w:p>
    <w:p>
      <w:pPr>
        <w:spacing w:after="0" w:line="193" w:lineRule="exact"/>
        <w:rPr>
          <w:sz w:val="20"/>
          <w:szCs w:val="20"/>
          <w:color w:val="auto"/>
        </w:rPr>
      </w:pPr>
    </w:p>
    <w:p>
      <w:pPr>
        <w:ind w:firstLine="385"/>
        <w:spacing w:after="0" w:line="249"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3.10 FEES AND COMPENSATION OF DIRECTORS</w:t>
      </w:r>
    </w:p>
    <w:p>
      <w:pPr>
        <w:spacing w:after="0" w:line="193" w:lineRule="exact"/>
        <w:rPr>
          <w:sz w:val="20"/>
          <w:szCs w:val="20"/>
          <w:color w:val="auto"/>
        </w:rPr>
      </w:pPr>
    </w:p>
    <w:p>
      <w:pPr>
        <w:ind w:right="740" w:firstLine="385"/>
        <w:spacing w:after="0" w:line="266" w:lineRule="auto"/>
        <w:rPr>
          <w:sz w:val="20"/>
          <w:szCs w:val="20"/>
          <w:color w:val="auto"/>
        </w:rPr>
      </w:pPr>
      <w:r>
        <w:rPr>
          <w:rFonts w:ascii="Arial" w:cs="Arial" w:eastAsia="Arial" w:hAnsi="Arial"/>
          <w:sz w:val="16"/>
          <w:szCs w:val="16"/>
          <w:color w:val="auto"/>
        </w:rPr>
        <w:t>Unless otherwise restricted by the certificate of incorporation or these bylaws, the Board of Directors shall have the authority to fix the compensation of directors.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3.11 REMOVAL OF DIRECTORS</w:t>
      </w:r>
    </w:p>
    <w:p>
      <w:pPr>
        <w:spacing w:after="0" w:line="193" w:lineRule="exact"/>
        <w:rPr>
          <w:sz w:val="20"/>
          <w:szCs w:val="20"/>
          <w:color w:val="auto"/>
        </w:rPr>
      </w:pPr>
    </w:p>
    <w:p>
      <w:pPr>
        <w:ind w:right="20" w:firstLine="385"/>
        <w:spacing w:after="0" w:line="256" w:lineRule="auto"/>
        <w:rPr>
          <w:sz w:val="20"/>
          <w:szCs w:val="20"/>
          <w:color w:val="auto"/>
        </w:rPr>
      </w:pPr>
      <w:r>
        <w:rPr>
          <w:rFonts w:ascii="Arial" w:cs="Arial" w:eastAsia="Arial" w:hAnsi="Arial"/>
          <w:sz w:val="16"/>
          <w:szCs w:val="16"/>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 - COMMITTEES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4.1 COMMITTEES OF DIRECTORS</w:t>
      </w:r>
    </w:p>
    <w:p>
      <w:pPr>
        <w:spacing w:after="0" w:line="193" w:lineRule="exact"/>
        <w:rPr>
          <w:sz w:val="20"/>
          <w:szCs w:val="20"/>
          <w:color w:val="auto"/>
        </w:rPr>
      </w:pPr>
    </w:p>
    <w:p>
      <w:pPr>
        <w:ind w:firstLine="385"/>
        <w:spacing w:after="0" w:line="266" w:lineRule="auto"/>
        <w:rPr>
          <w:sz w:val="20"/>
          <w:szCs w:val="20"/>
          <w:color w:val="auto"/>
        </w:rPr>
      </w:pPr>
      <w:r>
        <w:rPr>
          <w:rFonts w:ascii="Arial" w:cs="Arial" w:eastAsia="Arial" w:hAnsi="Arial"/>
          <w:sz w:val="15"/>
          <w:szCs w:val="15"/>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4.2 COMMITTEE MINUTES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Each committee and subcommittee shall keep regular minutes of its meetings.</w:t>
      </w:r>
    </w:p>
    <w:p>
      <w:pPr>
        <w:spacing w:after="0" w:line="13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9600"/>
          </w:cols>
          <w:pgMar w:left="1140" w:top="256" w:right="1159" w:bottom="1440" w:gutter="0" w:footer="0" w:header="0"/>
        </w:sectPr>
      </w:pPr>
    </w:p>
    <w:bookmarkStart w:id="375" w:name="page376"/>
    <w:bookmarkEnd w:id="375"/>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4.3 MEETINGS AND ACTION OF COMMITTEES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Meetings and actions of committees and subcommittees shall be governed by, and held and taken in accordance with, the provisions of:</w:t>
      </w:r>
    </w:p>
    <w:p>
      <w:pPr>
        <w:spacing w:after="0" w:line="205" w:lineRule="exact"/>
        <w:rPr>
          <w:sz w:val="20"/>
          <w:szCs w:val="20"/>
          <w:color w:val="auto"/>
        </w:rPr>
      </w:pPr>
    </w:p>
    <w:p>
      <w:pPr>
        <w:ind w:left="1080" w:hanging="220"/>
        <w:spacing w:after="0"/>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Section 3.5 (place of meetings and meetings by telephone);</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Section 3.6 (regular meetings);</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Section 3.7 (special meetings and notice);</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Section 3.8 (quorum; voting);</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Section 3.9 (action without a meeting); and</w:t>
      </w:r>
    </w:p>
    <w:p>
      <w:pPr>
        <w:spacing w:after="0" w:line="193" w:lineRule="exact"/>
        <w:rPr>
          <w:rFonts w:ascii="Arial" w:cs="Arial" w:eastAsia="Arial" w:hAnsi="Arial"/>
          <w:sz w:val="16"/>
          <w:szCs w:val="16"/>
          <w:color w:val="auto"/>
        </w:rPr>
      </w:pPr>
    </w:p>
    <w:p>
      <w:pPr>
        <w:ind w:left="1060" w:hanging="200"/>
        <w:spacing w:after="0"/>
        <w:tabs>
          <w:tab w:leader="none" w:pos="10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Section 7.4 (waiver of notice)</w:t>
      </w:r>
    </w:p>
    <w:p>
      <w:pPr>
        <w:spacing w:after="0" w:line="193"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13"/>
          <w:szCs w:val="13"/>
          <w:i w:val="1"/>
          <w:iCs w:val="1"/>
          <w:color w:val="auto"/>
        </w:rPr>
        <w:t>However</w:t>
      </w:r>
      <w:r>
        <w:rPr>
          <w:rFonts w:ascii="Arial" w:cs="Arial" w:eastAsia="Arial" w:hAnsi="Arial"/>
          <w:sz w:val="13"/>
          <w:szCs w:val="13"/>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may adopt rules for the government of any committee not inconsistent with the provisions of these bylaws.</w:t>
      </w:r>
    </w:p>
    <w:p>
      <w:pPr>
        <w:spacing w:after="0" w:line="128" w:lineRule="exact"/>
        <w:rPr>
          <w:sz w:val="20"/>
          <w:szCs w:val="20"/>
          <w:color w:val="auto"/>
        </w:rPr>
      </w:pPr>
    </w:p>
    <w:p>
      <w:pPr>
        <w:ind w:right="300" w:firstLine="385"/>
        <w:spacing w:after="0" w:line="383" w:lineRule="auto"/>
        <w:rPr>
          <w:sz w:val="20"/>
          <w:szCs w:val="20"/>
          <w:color w:val="auto"/>
        </w:rPr>
      </w:pPr>
      <w:r>
        <w:rPr>
          <w:rFonts w:ascii="Arial" w:cs="Arial" w:eastAsia="Arial" w:hAnsi="Arial"/>
          <w:sz w:val="13"/>
          <w:szCs w:val="13"/>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4.4 SUBCOMMITTEES</w:t>
      </w:r>
    </w:p>
    <w:p>
      <w:pPr>
        <w:spacing w:after="0" w:line="193" w:lineRule="exact"/>
        <w:rPr>
          <w:sz w:val="20"/>
          <w:szCs w:val="20"/>
          <w:color w:val="auto"/>
        </w:rPr>
      </w:pPr>
    </w:p>
    <w:p>
      <w:pPr>
        <w:ind w:right="60" w:firstLine="385"/>
        <w:spacing w:after="0" w:line="256" w:lineRule="auto"/>
        <w:rPr>
          <w:sz w:val="20"/>
          <w:szCs w:val="20"/>
          <w:color w:val="auto"/>
        </w:rPr>
      </w:pPr>
      <w:r>
        <w:rPr>
          <w:rFonts w:ascii="Arial" w:cs="Arial" w:eastAsia="Arial" w:hAnsi="Arial"/>
          <w:sz w:val="16"/>
          <w:szCs w:val="16"/>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 - OFFICERS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5.1 OFFICERS</w:t>
      </w:r>
    </w:p>
    <w:p>
      <w:pPr>
        <w:spacing w:after="0" w:line="193" w:lineRule="exact"/>
        <w:rPr>
          <w:sz w:val="20"/>
          <w:szCs w:val="20"/>
          <w:color w:val="auto"/>
        </w:rPr>
      </w:pPr>
    </w:p>
    <w:p>
      <w:pPr>
        <w:ind w:firstLine="385"/>
        <w:spacing w:after="0" w:line="329" w:lineRule="auto"/>
        <w:rPr>
          <w:sz w:val="20"/>
          <w:szCs w:val="20"/>
          <w:color w:val="auto"/>
        </w:rPr>
      </w:pPr>
      <w:r>
        <w:rPr>
          <w:rFonts w:ascii="Arial" w:cs="Arial" w:eastAsia="Arial" w:hAnsi="Arial"/>
          <w:sz w:val="13"/>
          <w:szCs w:val="13"/>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- 15 -</w:t>
      </w:r>
    </w:p>
    <w:p>
      <w:pPr>
        <w:sectPr>
          <w:pgSz w:w="11900" w:h="16838" w:orient="portrait"/>
          <w:cols w:equalWidth="0" w:num="1">
            <w:col w:w="9600"/>
          </w:cols>
          <w:pgMar w:left="1140" w:top="256" w:right="1159" w:bottom="1440" w:gutter="0" w:footer="0" w:header="0"/>
        </w:sectPr>
      </w:pPr>
    </w:p>
    <w:bookmarkStart w:id="376" w:name="page377"/>
    <w:bookmarkEnd w:id="376"/>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5.2 APPOINTMENT OF OFFICERS</w:t>
      </w:r>
    </w:p>
    <w:p>
      <w:pPr>
        <w:spacing w:after="0" w:line="193" w:lineRule="exact"/>
        <w:rPr>
          <w:sz w:val="20"/>
          <w:szCs w:val="20"/>
          <w:color w:val="auto"/>
        </w:rPr>
      </w:pPr>
    </w:p>
    <w:p>
      <w:pPr>
        <w:ind w:right="120" w:firstLine="385"/>
        <w:spacing w:after="0" w:line="266" w:lineRule="auto"/>
        <w:rPr>
          <w:sz w:val="20"/>
          <w:szCs w:val="20"/>
          <w:color w:val="auto"/>
        </w:rPr>
      </w:pPr>
      <w:r>
        <w:rPr>
          <w:rFonts w:ascii="Arial" w:cs="Arial" w:eastAsia="Arial" w:hAnsi="Arial"/>
          <w:sz w:val="16"/>
          <w:szCs w:val="16"/>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5.3 SUBORDINATE OFFICERS</w:t>
      </w:r>
    </w:p>
    <w:p>
      <w:pPr>
        <w:spacing w:after="0" w:line="193" w:lineRule="exact"/>
        <w:rPr>
          <w:sz w:val="20"/>
          <w:szCs w:val="20"/>
          <w:color w:val="auto"/>
        </w:rPr>
      </w:pPr>
    </w:p>
    <w:p>
      <w:pPr>
        <w:ind w:firstLine="385"/>
        <w:spacing w:after="0" w:line="281" w:lineRule="auto"/>
        <w:rPr>
          <w:sz w:val="20"/>
          <w:szCs w:val="20"/>
          <w:color w:val="auto"/>
        </w:rPr>
      </w:pPr>
      <w:r>
        <w:rPr>
          <w:rFonts w:ascii="Arial" w:cs="Arial" w:eastAsia="Arial" w:hAnsi="Arial"/>
          <w:sz w:val="15"/>
          <w:szCs w:val="15"/>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5.4 REMOVAL AND RESIGNATION OF OFFICERS</w:t>
      </w:r>
    </w:p>
    <w:p>
      <w:pPr>
        <w:spacing w:after="0" w:line="193" w:lineRule="exact"/>
        <w:rPr>
          <w:sz w:val="20"/>
          <w:szCs w:val="20"/>
          <w:color w:val="auto"/>
        </w:rPr>
      </w:pPr>
    </w:p>
    <w:p>
      <w:pPr>
        <w:jc w:val="both"/>
        <w:ind w:right="280" w:firstLine="385"/>
        <w:spacing w:after="0" w:line="256" w:lineRule="auto"/>
        <w:rPr>
          <w:sz w:val="20"/>
          <w:szCs w:val="20"/>
          <w:color w:val="auto"/>
        </w:rPr>
      </w:pPr>
      <w:r>
        <w:rPr>
          <w:rFonts w:ascii="Arial" w:cs="Arial" w:eastAsia="Arial" w:hAnsi="Arial"/>
          <w:sz w:val="16"/>
          <w:szCs w:val="16"/>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66" w:lineRule="exact"/>
        <w:rPr>
          <w:sz w:val="20"/>
          <w:szCs w:val="20"/>
          <w:color w:val="auto"/>
        </w:rPr>
      </w:pPr>
    </w:p>
    <w:p>
      <w:pPr>
        <w:ind w:firstLine="385"/>
        <w:spacing w:after="0" w:line="253" w:lineRule="auto"/>
        <w:rPr>
          <w:sz w:val="20"/>
          <w:szCs w:val="20"/>
          <w:color w:val="auto"/>
        </w:rPr>
      </w:pPr>
      <w:r>
        <w:rPr>
          <w:rFonts w:ascii="Arial" w:cs="Arial" w:eastAsia="Arial" w:hAnsi="Arial"/>
          <w:sz w:val="16"/>
          <w:szCs w:val="16"/>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5.5 VACANCIES IN OFFICES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vacancy occurring in any office of the Company shall be filled by the Board of Directors or as provided in Section 5.3.</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5.6 REPRESENTATION OF SECURITIES OF OTHER ENTITIES</w:t>
      </w:r>
    </w:p>
    <w:p>
      <w:pPr>
        <w:spacing w:after="0" w:line="193" w:lineRule="exact"/>
        <w:rPr>
          <w:sz w:val="20"/>
          <w:szCs w:val="20"/>
          <w:color w:val="auto"/>
        </w:rPr>
      </w:pPr>
    </w:p>
    <w:p>
      <w:pPr>
        <w:jc w:val="both"/>
        <w:ind w:right="220" w:firstLine="385"/>
        <w:spacing w:after="0" w:line="319" w:lineRule="auto"/>
        <w:rPr>
          <w:sz w:val="20"/>
          <w:szCs w:val="20"/>
          <w:color w:val="auto"/>
        </w:rPr>
      </w:pPr>
      <w:r>
        <w:rPr>
          <w:rFonts w:ascii="Arial" w:cs="Arial" w:eastAsia="Arial" w:hAnsi="Arial"/>
          <w:sz w:val="13"/>
          <w:szCs w:val="13"/>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5.7 AUTHORITY AND DUTIES OF OFFICERS</w:t>
      </w:r>
    </w:p>
    <w:p>
      <w:pPr>
        <w:spacing w:after="0" w:line="193" w:lineRule="exact"/>
        <w:rPr>
          <w:sz w:val="20"/>
          <w:szCs w:val="20"/>
          <w:color w:val="auto"/>
        </w:rPr>
      </w:pPr>
    </w:p>
    <w:p>
      <w:pPr>
        <w:jc w:val="both"/>
        <w:ind w:right="20" w:firstLine="385"/>
        <w:spacing w:after="0" w:line="256" w:lineRule="auto"/>
        <w:rPr>
          <w:sz w:val="20"/>
          <w:szCs w:val="20"/>
          <w:color w:val="auto"/>
        </w:rPr>
      </w:pPr>
      <w:r>
        <w:rPr>
          <w:rFonts w:ascii="Arial" w:cs="Arial" w:eastAsia="Arial" w:hAnsi="Arial"/>
          <w:sz w:val="16"/>
          <w:szCs w:val="16"/>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9580"/>
          </w:cols>
          <w:pgMar w:left="1140" w:top="256" w:right="1179" w:bottom="1440" w:gutter="0" w:footer="0" w:header="0"/>
        </w:sectPr>
      </w:pPr>
    </w:p>
    <w:bookmarkStart w:id="377" w:name="page378"/>
    <w:bookmarkEnd w:id="37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ARTICLE VI - STOCK</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6.1 STOCK CERTIFICATES; PARTLY PAID SHARES</w:t>
      </w:r>
    </w:p>
    <w:p>
      <w:pPr>
        <w:spacing w:after="0" w:line="193" w:lineRule="exact"/>
        <w:rPr>
          <w:sz w:val="20"/>
          <w:szCs w:val="20"/>
          <w:color w:val="auto"/>
        </w:rPr>
      </w:pPr>
    </w:p>
    <w:p>
      <w:pPr>
        <w:ind w:right="40" w:firstLine="385"/>
        <w:spacing w:after="0" w:line="315" w:lineRule="auto"/>
        <w:rPr>
          <w:sz w:val="20"/>
          <w:szCs w:val="20"/>
          <w:color w:val="auto"/>
        </w:rPr>
      </w:pPr>
      <w:r>
        <w:rPr>
          <w:rFonts w:ascii="Arial" w:cs="Arial" w:eastAsia="Arial" w:hAnsi="Arial"/>
          <w:sz w:val="13"/>
          <w:szCs w:val="13"/>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324" w:lineRule="exact"/>
        <w:rPr>
          <w:sz w:val="20"/>
          <w:szCs w:val="20"/>
          <w:color w:val="auto"/>
        </w:rPr>
      </w:pPr>
    </w:p>
    <w:p>
      <w:pPr>
        <w:ind w:right="100" w:firstLine="385"/>
        <w:spacing w:after="0" w:line="272" w:lineRule="auto"/>
        <w:rPr>
          <w:sz w:val="20"/>
          <w:szCs w:val="20"/>
          <w:color w:val="auto"/>
        </w:rPr>
      </w:pPr>
      <w:r>
        <w:rPr>
          <w:rFonts w:ascii="Arial" w:cs="Arial" w:eastAsia="Arial" w:hAnsi="Arial"/>
          <w:sz w:val="15"/>
          <w:szCs w:val="15"/>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6.2 SPECIAL DESIGNATION ON CERTIFICATES</w:t>
      </w:r>
    </w:p>
    <w:p>
      <w:pPr>
        <w:spacing w:after="0" w:line="193" w:lineRule="exact"/>
        <w:rPr>
          <w:sz w:val="20"/>
          <w:szCs w:val="20"/>
          <w:color w:val="auto"/>
        </w:rPr>
      </w:pPr>
    </w:p>
    <w:p>
      <w:pPr>
        <w:ind w:firstLine="385"/>
        <w:spacing w:after="0" w:line="265" w:lineRule="auto"/>
        <w:rPr>
          <w:sz w:val="20"/>
          <w:szCs w:val="20"/>
          <w:color w:val="auto"/>
        </w:rPr>
      </w:pPr>
      <w:r>
        <w:rPr>
          <w:rFonts w:ascii="Arial" w:cs="Arial" w:eastAsia="Arial" w:hAnsi="Arial"/>
          <w:sz w:val="15"/>
          <w:szCs w:val="15"/>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5"/>
          <w:szCs w:val="15"/>
          <w:i w:val="1"/>
          <w:iCs w:val="1"/>
          <w:color w:val="auto"/>
        </w:rPr>
        <w:t>provided, however</w:t>
      </w:r>
      <w:r>
        <w:rPr>
          <w:rFonts w:ascii="Arial" w:cs="Arial" w:eastAsia="Arial" w:hAnsi="Arial"/>
          <w:sz w:val="15"/>
          <w:szCs w:val="15"/>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ectPr>
          <w:pgSz w:w="11900" w:h="16838" w:orient="portrait"/>
          <w:cols w:equalWidth="0" w:num="1">
            <w:col w:w="9580"/>
          </w:cols>
          <w:pgMar w:left="1140" w:top="252" w:right="1179" w:bottom="1440" w:gutter="0" w:footer="0" w:header="0"/>
        </w:sectPr>
      </w:pPr>
    </w:p>
    <w:bookmarkStart w:id="378" w:name="page379"/>
    <w:bookmarkEnd w:id="378"/>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6.3 LOST CERTIFICATES</w:t>
      </w:r>
    </w:p>
    <w:p>
      <w:pPr>
        <w:spacing w:after="0" w:line="193" w:lineRule="exact"/>
        <w:rPr>
          <w:sz w:val="20"/>
          <w:szCs w:val="20"/>
          <w:color w:val="auto"/>
        </w:rPr>
      </w:pPr>
    </w:p>
    <w:p>
      <w:pPr>
        <w:ind w:right="140" w:firstLine="385"/>
        <w:spacing w:after="0" w:line="323" w:lineRule="auto"/>
        <w:rPr>
          <w:sz w:val="20"/>
          <w:szCs w:val="20"/>
          <w:color w:val="auto"/>
        </w:rPr>
      </w:pPr>
      <w:r>
        <w:rPr>
          <w:rFonts w:ascii="Arial" w:cs="Arial" w:eastAsia="Arial" w:hAnsi="Arial"/>
          <w:sz w:val="13"/>
          <w:szCs w:val="13"/>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6.4 DIVIDENDS</w:t>
      </w:r>
    </w:p>
    <w:p>
      <w:pPr>
        <w:spacing w:after="0" w:line="193" w:lineRule="exact"/>
        <w:rPr>
          <w:sz w:val="20"/>
          <w:szCs w:val="20"/>
          <w:color w:val="auto"/>
        </w:rPr>
      </w:pPr>
    </w:p>
    <w:p>
      <w:pPr>
        <w:ind w:right="140" w:firstLine="385"/>
        <w:spacing w:after="0" w:line="253" w:lineRule="auto"/>
        <w:rPr>
          <w:sz w:val="20"/>
          <w:szCs w:val="20"/>
          <w:color w:val="auto"/>
        </w:rPr>
      </w:pPr>
      <w:r>
        <w:rPr>
          <w:rFonts w:ascii="Arial" w:cs="Arial" w:eastAsia="Arial" w:hAnsi="Arial"/>
          <w:sz w:val="16"/>
          <w:szCs w:val="16"/>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6.5 TRANSFER OF STOCK</w:t>
      </w:r>
    </w:p>
    <w:p>
      <w:pPr>
        <w:spacing w:after="0" w:line="193" w:lineRule="exact"/>
        <w:rPr>
          <w:sz w:val="20"/>
          <w:szCs w:val="20"/>
          <w:color w:val="auto"/>
        </w:rPr>
      </w:pPr>
    </w:p>
    <w:p>
      <w:pPr>
        <w:ind w:right="140" w:firstLine="385"/>
        <w:spacing w:after="0" w:line="256" w:lineRule="auto"/>
        <w:rPr>
          <w:sz w:val="20"/>
          <w:szCs w:val="20"/>
          <w:color w:val="auto"/>
        </w:rPr>
      </w:pPr>
      <w:r>
        <w:rPr>
          <w:rFonts w:ascii="Arial" w:cs="Arial" w:eastAsia="Arial" w:hAnsi="Arial"/>
          <w:sz w:val="16"/>
          <w:szCs w:val="16"/>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6.6 STOCK TRANSFER AGREEMENTS</w:t>
      </w:r>
    </w:p>
    <w:p>
      <w:pPr>
        <w:spacing w:after="0" w:line="193" w:lineRule="exact"/>
        <w:rPr>
          <w:sz w:val="20"/>
          <w:szCs w:val="20"/>
          <w:color w:val="auto"/>
        </w:rPr>
      </w:pPr>
    </w:p>
    <w:p>
      <w:pPr>
        <w:ind w:right="100" w:firstLine="385"/>
        <w:spacing w:after="0" w:line="256" w:lineRule="auto"/>
        <w:rPr>
          <w:sz w:val="20"/>
          <w:szCs w:val="20"/>
          <w:color w:val="auto"/>
        </w:rPr>
      </w:pPr>
      <w:r>
        <w:rPr>
          <w:rFonts w:ascii="Arial" w:cs="Arial" w:eastAsia="Arial" w:hAnsi="Arial"/>
          <w:sz w:val="16"/>
          <w:szCs w:val="16"/>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6.7 REGISTERED STOCKHOLDERS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w:t>
      </w:r>
    </w:p>
    <w:p>
      <w:pPr>
        <w:spacing w:after="0" w:line="193" w:lineRule="exact"/>
        <w:rPr>
          <w:sz w:val="20"/>
          <w:szCs w:val="20"/>
          <w:color w:val="auto"/>
        </w:rPr>
      </w:pPr>
    </w:p>
    <w:p>
      <w:pPr>
        <w:ind w:right="300" w:firstLine="860"/>
        <w:spacing w:after="0" w:line="266" w:lineRule="auto"/>
        <w:tabs>
          <w:tab w:leader="none" w:pos="107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shall be entitled to recognize the exclusive right of a person registered on its books as the owner of shares to receive dividends and notices and to vote as such owner; and</w:t>
      </w:r>
    </w:p>
    <w:p>
      <w:pPr>
        <w:spacing w:after="0" w:line="158" w:lineRule="exact"/>
        <w:rPr>
          <w:rFonts w:ascii="Arial" w:cs="Arial" w:eastAsia="Arial" w:hAnsi="Arial"/>
          <w:sz w:val="16"/>
          <w:szCs w:val="16"/>
          <w:color w:val="auto"/>
        </w:rPr>
      </w:pPr>
    </w:p>
    <w:p>
      <w:pPr>
        <w:ind w:firstLine="860"/>
        <w:spacing w:after="0" w:line="266" w:lineRule="auto"/>
        <w:tabs>
          <w:tab w:leader="none" w:pos="108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99" w:lineRule="exact"/>
        <w:rPr>
          <w:rFonts w:ascii="Arial" w:cs="Arial" w:eastAsia="Arial" w:hAnsi="Arial"/>
          <w:sz w:val="16"/>
          <w:szCs w:val="16"/>
          <w:color w:val="auto"/>
        </w:rPr>
      </w:pPr>
    </w:p>
    <w:p>
      <w:pPr>
        <w:ind w:left="4720" w:hanging="86"/>
        <w:spacing w:after="0"/>
        <w:tabs>
          <w:tab w:leader="none" w:pos="472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18 -</w:t>
      </w:r>
    </w:p>
    <w:p>
      <w:pPr>
        <w:sectPr>
          <w:pgSz w:w="11900" w:h="16838" w:orient="portrait"/>
          <w:cols w:equalWidth="0" w:num="1">
            <w:col w:w="9580"/>
          </w:cols>
          <w:pgMar w:left="1140" w:top="256" w:right="1179" w:bottom="1440" w:gutter="0" w:footer="0" w:header="0"/>
        </w:sectPr>
      </w:pPr>
    </w:p>
    <w:bookmarkStart w:id="379" w:name="page380"/>
    <w:bookmarkEnd w:id="379"/>
    <w:p>
      <w:pPr>
        <w:ind w:left="25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ARTICLE VII - MANNER OF GIVING NOTICE AND WAIVER</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7.1 NOTICE OF STOCKHOLDERS’ MEETINGS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Notice of any meeting of stockholders shall be given in the manner set forth in the DGCL.</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7.2 NOTICE TO STOCKHOLDERS SHARING AN ADDRESS</w:t>
      </w:r>
    </w:p>
    <w:p>
      <w:pPr>
        <w:spacing w:after="0" w:line="193" w:lineRule="exact"/>
        <w:rPr>
          <w:sz w:val="20"/>
          <w:szCs w:val="20"/>
          <w:color w:val="auto"/>
        </w:rPr>
      </w:pPr>
    </w:p>
    <w:p>
      <w:pPr>
        <w:jc w:val="both"/>
        <w:ind w:firstLine="385"/>
        <w:spacing w:after="0" w:line="308" w:lineRule="auto"/>
        <w:rPr>
          <w:sz w:val="20"/>
          <w:szCs w:val="20"/>
          <w:color w:val="auto"/>
        </w:rPr>
      </w:pPr>
      <w:r>
        <w:rPr>
          <w:rFonts w:ascii="Arial" w:cs="Arial" w:eastAsia="Arial" w:hAnsi="Arial"/>
          <w:sz w:val="13"/>
          <w:szCs w:val="13"/>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w:t>
      </w:r>
    </w:p>
    <w:p>
      <w:pPr>
        <w:spacing w:after="0" w:line="2" w:lineRule="exact"/>
        <w:rPr>
          <w:sz w:val="20"/>
          <w:szCs w:val="20"/>
          <w:color w:val="auto"/>
        </w:rPr>
      </w:pPr>
    </w:p>
    <w:p>
      <w:pPr>
        <w:jc w:val="both"/>
        <w:ind w:right="540"/>
        <w:spacing w:after="0" w:line="334" w:lineRule="auto"/>
        <w:rPr>
          <w:sz w:val="20"/>
          <w:szCs w:val="20"/>
          <w:color w:val="auto"/>
        </w:rPr>
      </w:pPr>
      <w:r>
        <w:rPr>
          <w:rFonts w:ascii="Arial" w:cs="Arial" w:eastAsia="Arial" w:hAnsi="Arial"/>
          <w:sz w:val="13"/>
          <w:szCs w:val="13"/>
          <w:color w:val="auto"/>
        </w:rPr>
        <w:t>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7.3 NOTICE TO PERSON WITH WHOM COMMUNICATION IS UNLAWFUL</w:t>
      </w:r>
    </w:p>
    <w:p>
      <w:pPr>
        <w:spacing w:after="0" w:line="193" w:lineRule="exact"/>
        <w:rPr>
          <w:sz w:val="20"/>
          <w:szCs w:val="20"/>
          <w:color w:val="auto"/>
        </w:rPr>
      </w:pPr>
    </w:p>
    <w:p>
      <w:pPr>
        <w:ind w:right="80" w:firstLine="385"/>
        <w:spacing w:after="0" w:line="319" w:lineRule="auto"/>
        <w:rPr>
          <w:sz w:val="20"/>
          <w:szCs w:val="20"/>
          <w:color w:val="auto"/>
        </w:rPr>
      </w:pPr>
      <w:r>
        <w:rPr>
          <w:rFonts w:ascii="Arial" w:cs="Arial" w:eastAsia="Arial" w:hAnsi="Arial"/>
          <w:sz w:val="13"/>
          <w:szCs w:val="13"/>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7.4 WAIVER OF NOTICE</w:t>
      </w:r>
    </w:p>
    <w:p>
      <w:pPr>
        <w:spacing w:after="0" w:line="193" w:lineRule="exact"/>
        <w:rPr>
          <w:sz w:val="20"/>
          <w:szCs w:val="20"/>
          <w:color w:val="auto"/>
        </w:rPr>
      </w:pPr>
    </w:p>
    <w:p>
      <w:pPr>
        <w:ind w:right="160" w:firstLine="385"/>
        <w:spacing w:after="0" w:line="268" w:lineRule="auto"/>
        <w:rPr>
          <w:sz w:val="20"/>
          <w:szCs w:val="20"/>
          <w:color w:val="auto"/>
        </w:rPr>
      </w:pPr>
      <w:r>
        <w:rPr>
          <w:rFonts w:ascii="Arial" w:cs="Arial" w:eastAsia="Arial" w:hAnsi="Arial"/>
          <w:sz w:val="15"/>
          <w:szCs w:val="15"/>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- 19 -</w:t>
      </w:r>
    </w:p>
    <w:p>
      <w:pPr>
        <w:sectPr>
          <w:pgSz w:w="11900" w:h="16838" w:orient="portrait"/>
          <w:cols w:equalWidth="0" w:num="1">
            <w:col w:w="9580"/>
          </w:cols>
          <w:pgMar w:left="1140" w:top="252" w:right="117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ARTICLE VIII - INDEMNIFICATION</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8.1 INDEMNIFICATION OF DIRECTORS AND OFFICERS IN THIRD PARTY PROCEEDINGS</w:t>
      </w:r>
    </w:p>
    <w:p>
      <w:pPr>
        <w:spacing w:after="0" w:line="193" w:lineRule="exact"/>
        <w:rPr>
          <w:sz w:val="20"/>
          <w:szCs w:val="20"/>
          <w:color w:val="auto"/>
        </w:rPr>
      </w:pPr>
    </w:p>
    <w:p>
      <w:pPr>
        <w:ind w:firstLine="385"/>
        <w:spacing w:after="0" w:line="311" w:lineRule="auto"/>
        <w:rPr>
          <w:sz w:val="20"/>
          <w:szCs w:val="20"/>
          <w:color w:val="auto"/>
        </w:rPr>
      </w:pPr>
      <w:r>
        <w:rPr>
          <w:rFonts w:ascii="Arial" w:cs="Arial" w:eastAsia="Arial" w:hAnsi="Arial"/>
          <w:sz w:val="13"/>
          <w:szCs w:val="13"/>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3"/>
          <w:szCs w:val="13"/>
          <w:b w:val="1"/>
          <w:bCs w:val="1"/>
          <w:color w:val="auto"/>
        </w:rPr>
        <w:t>Proceeding</w:t>
      </w:r>
      <w:r>
        <w:rPr>
          <w:rFonts w:ascii="Arial" w:cs="Arial" w:eastAsia="Arial" w:hAnsi="Arial"/>
          <w:sz w:val="13"/>
          <w:szCs w:val="13"/>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3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8.2 INDEMNIFICATION OF DIRECTORS AND OFFICERS IN ACTIONS BY OR IN THE RIGHT OF THE COMPANY</w:t>
      </w:r>
    </w:p>
    <w:p>
      <w:pPr>
        <w:spacing w:after="0" w:line="193" w:lineRule="exact"/>
        <w:rPr>
          <w:sz w:val="20"/>
          <w:szCs w:val="20"/>
          <w:color w:val="auto"/>
        </w:rPr>
      </w:pPr>
    </w:p>
    <w:p>
      <w:pPr>
        <w:ind w:right="80" w:firstLine="385"/>
        <w:spacing w:after="0" w:line="311" w:lineRule="auto"/>
        <w:rPr>
          <w:sz w:val="20"/>
          <w:szCs w:val="20"/>
          <w:color w:val="auto"/>
        </w:rPr>
      </w:pPr>
      <w:r>
        <w:rPr>
          <w:rFonts w:ascii="Arial" w:cs="Arial" w:eastAsia="Arial" w:hAnsi="Arial"/>
          <w:sz w:val="13"/>
          <w:szCs w:val="13"/>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8.3 SUCCESSFUL DEFENSE</w:t>
      </w:r>
    </w:p>
    <w:p>
      <w:pPr>
        <w:spacing w:after="0" w:line="193" w:lineRule="exact"/>
        <w:rPr>
          <w:sz w:val="20"/>
          <w:szCs w:val="20"/>
          <w:color w:val="auto"/>
        </w:rPr>
      </w:pPr>
    </w:p>
    <w:p>
      <w:pPr>
        <w:ind w:right="140" w:firstLine="385"/>
        <w:spacing w:after="0" w:line="253" w:lineRule="auto"/>
        <w:rPr>
          <w:sz w:val="20"/>
          <w:szCs w:val="20"/>
          <w:color w:val="auto"/>
        </w:rPr>
      </w:pPr>
      <w:r>
        <w:rPr>
          <w:rFonts w:ascii="Arial" w:cs="Arial" w:eastAsia="Arial" w:hAnsi="Arial"/>
          <w:sz w:val="16"/>
          <w:szCs w:val="16"/>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- 20 -</w:t>
      </w:r>
    </w:p>
    <w:p>
      <w:pPr>
        <w:sectPr>
          <w:pgSz w:w="11900" w:h="16838" w:orient="portrait"/>
          <w:cols w:equalWidth="0" w:num="1">
            <w:col w:w="9600"/>
          </w:cols>
          <w:pgMar w:left="1140" w:top="252" w:right="1159" w:bottom="1440" w:gutter="0" w:footer="0" w:header="0"/>
        </w:sectPr>
      </w:pPr>
    </w:p>
    <w:bookmarkStart w:id="381" w:name="page382"/>
    <w:bookmarkEnd w:id="381"/>
    <w:p>
      <w:pPr>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8.4 INDEMNIFICATION OF OTHERS</w:t>
      </w:r>
    </w:p>
    <w:p>
      <w:pPr>
        <w:spacing w:after="0" w:line="193" w:lineRule="exact"/>
        <w:rPr>
          <w:sz w:val="20"/>
          <w:szCs w:val="20"/>
          <w:color w:val="auto"/>
        </w:rPr>
      </w:pPr>
    </w:p>
    <w:p>
      <w:pPr>
        <w:ind w:right="60" w:firstLine="385"/>
        <w:spacing w:after="0" w:line="343" w:lineRule="auto"/>
        <w:rPr>
          <w:sz w:val="20"/>
          <w:szCs w:val="20"/>
          <w:color w:val="auto"/>
        </w:rPr>
      </w:pPr>
      <w:r>
        <w:rPr>
          <w:rFonts w:ascii="Arial" w:cs="Arial" w:eastAsia="Arial" w:hAnsi="Arial"/>
          <w:sz w:val="13"/>
          <w:szCs w:val="13"/>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8.5 ADVANCED PAYMENT OF EXPENSES</w:t>
      </w:r>
    </w:p>
    <w:p>
      <w:pPr>
        <w:spacing w:after="0" w:line="193" w:lineRule="exact"/>
        <w:rPr>
          <w:sz w:val="20"/>
          <w:szCs w:val="20"/>
          <w:color w:val="auto"/>
        </w:rPr>
      </w:pPr>
    </w:p>
    <w:p>
      <w:pPr>
        <w:ind w:right="100" w:firstLine="385"/>
        <w:spacing w:after="0" w:line="312" w:lineRule="auto"/>
        <w:rPr>
          <w:sz w:val="20"/>
          <w:szCs w:val="20"/>
          <w:color w:val="auto"/>
        </w:rPr>
      </w:pPr>
      <w:r>
        <w:rPr>
          <w:rFonts w:ascii="Arial" w:cs="Arial" w:eastAsia="Arial" w:hAnsi="Arial"/>
          <w:sz w:val="13"/>
          <w:szCs w:val="13"/>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37" w:lineRule="exact"/>
        <w:rPr>
          <w:sz w:val="20"/>
          <w:szCs w:val="20"/>
          <w:color w:val="auto"/>
        </w:rPr>
      </w:pPr>
    </w:p>
    <w:p>
      <w:pPr>
        <w:ind w:right="60" w:firstLine="385"/>
        <w:spacing w:after="0" w:line="268" w:lineRule="auto"/>
        <w:rPr>
          <w:sz w:val="20"/>
          <w:szCs w:val="20"/>
          <w:color w:val="auto"/>
        </w:rPr>
      </w:pPr>
      <w:r>
        <w:rPr>
          <w:rFonts w:ascii="Arial" w:cs="Arial" w:eastAsia="Arial" w:hAnsi="Arial"/>
          <w:sz w:val="15"/>
          <w:szCs w:val="15"/>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- 21 -</w:t>
      </w:r>
    </w:p>
    <w:p>
      <w:pPr>
        <w:sectPr>
          <w:pgSz w:w="11900" w:h="16838" w:orient="portrait"/>
          <w:cols w:equalWidth="0" w:num="1">
            <w:col w:w="9620"/>
          </w:cols>
          <w:pgMar w:left="1140" w:top="256" w:right="1139" w:bottom="1440" w:gutter="0" w:footer="0" w:header="0"/>
        </w:sectPr>
      </w:pPr>
    </w:p>
    <w:bookmarkStart w:id="382" w:name="page383"/>
    <w:bookmarkEnd w:id="382"/>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8.6 LIMITATION ON INDEMNIFICATION</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Subject to the requirements in Section 8.3 and the DGCL, the Company shall not be obligated to indemnify any person pursuant to this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Article VIII in connection with any Proceeding (or any part of any Proceeding):</w:t>
      </w:r>
    </w:p>
    <w:p>
      <w:pPr>
        <w:spacing w:after="0" w:line="182" w:lineRule="exact"/>
        <w:rPr>
          <w:sz w:val="20"/>
          <w:szCs w:val="20"/>
          <w:color w:val="auto"/>
        </w:rPr>
      </w:pPr>
    </w:p>
    <w:p>
      <w:pPr>
        <w:ind w:firstLine="860"/>
        <w:spacing w:after="0" w:line="266" w:lineRule="auto"/>
        <w:tabs>
          <w:tab w:leader="none" w:pos="107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for which payment has actually been made to or on behalf of such person under any statute, insurance policy, indemnity provision, vote or otherwise, except with respect to any excess beyond the amount paid;</w:t>
      </w:r>
    </w:p>
    <w:p>
      <w:pPr>
        <w:spacing w:after="0" w:line="158" w:lineRule="exact"/>
        <w:rPr>
          <w:rFonts w:ascii="Arial" w:cs="Arial" w:eastAsia="Arial" w:hAnsi="Arial"/>
          <w:sz w:val="16"/>
          <w:szCs w:val="16"/>
          <w:color w:val="auto"/>
        </w:rPr>
      </w:pPr>
    </w:p>
    <w:p>
      <w:pPr>
        <w:ind w:right="160" w:firstLine="860"/>
        <w:spacing w:after="0" w:line="266" w:lineRule="auto"/>
        <w:tabs>
          <w:tab w:leader="none" w:pos="108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58" w:lineRule="exact"/>
        <w:rPr>
          <w:rFonts w:ascii="Arial" w:cs="Arial" w:eastAsia="Arial" w:hAnsi="Arial"/>
          <w:sz w:val="16"/>
          <w:szCs w:val="16"/>
          <w:color w:val="auto"/>
        </w:rPr>
      </w:pPr>
    </w:p>
    <w:p>
      <w:pPr>
        <w:ind w:right="20" w:firstLine="860"/>
        <w:spacing w:after="0" w:line="272" w:lineRule="auto"/>
        <w:tabs>
          <w:tab w:leader="none" w:pos="1079" w:val="left"/>
        </w:tabs>
        <w:numPr>
          <w:ilvl w:val="0"/>
          <w:numId w:val="231"/>
        </w:numPr>
        <w:rPr>
          <w:rFonts w:ascii="Arial" w:cs="Arial" w:eastAsia="Arial" w:hAnsi="Arial"/>
          <w:sz w:val="15"/>
          <w:szCs w:val="15"/>
          <w:color w:val="auto"/>
        </w:rPr>
      </w:pPr>
      <w:r>
        <w:rPr>
          <w:rFonts w:ascii="Arial" w:cs="Arial" w:eastAsia="Arial" w:hAnsi="Arial"/>
          <w:sz w:val="15"/>
          <w:szCs w:val="15"/>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15"/>
          <w:szCs w:val="15"/>
          <w:b w:val="1"/>
          <w:bCs w:val="1"/>
          <w:color w:val="auto"/>
        </w:rPr>
        <w:t>Sarbanes-Oxley Act</w:t>
      </w:r>
      <w:r>
        <w:rPr>
          <w:rFonts w:ascii="Arial" w:cs="Arial" w:eastAsia="Arial" w:hAnsi="Arial"/>
          <w:sz w:val="15"/>
          <w:szCs w:val="15"/>
          <w:color w:val="auto"/>
        </w:rPr>
        <w:t>”), or the payment to the Company of profits arising from the purchase and sale by such person of securities in violation of Section 306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Sarbanes-Oxley Act), if such person is held liable therefor (including pursuant to any settlement arrangements);</w:t>
      </w:r>
    </w:p>
    <w:p>
      <w:pPr>
        <w:spacing w:after="0" w:line="154" w:lineRule="exact"/>
        <w:rPr>
          <w:rFonts w:ascii="Arial" w:cs="Arial" w:eastAsia="Arial" w:hAnsi="Arial"/>
          <w:sz w:val="15"/>
          <w:szCs w:val="15"/>
          <w:color w:val="auto"/>
        </w:rPr>
      </w:pPr>
    </w:p>
    <w:p>
      <w:pPr>
        <w:ind w:right="40" w:firstLine="860"/>
        <w:spacing w:after="0" w:line="329" w:lineRule="auto"/>
        <w:tabs>
          <w:tab w:leader="none" w:pos="1088" w:val="left"/>
        </w:tabs>
        <w:numPr>
          <w:ilvl w:val="0"/>
          <w:numId w:val="231"/>
        </w:numPr>
        <w:rPr>
          <w:rFonts w:ascii="Arial" w:cs="Arial" w:eastAsia="Arial" w:hAnsi="Arial"/>
          <w:sz w:val="13"/>
          <w:szCs w:val="13"/>
          <w:color w:val="auto"/>
        </w:rPr>
      </w:pPr>
      <w:r>
        <w:rPr>
          <w:rFonts w:ascii="Arial" w:cs="Arial" w:eastAsia="Arial" w:hAnsi="Arial"/>
          <w:sz w:val="13"/>
          <w:szCs w:val="13"/>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23" w:lineRule="exact"/>
        <w:rPr>
          <w:rFonts w:ascii="Arial" w:cs="Arial" w:eastAsia="Arial" w:hAnsi="Arial"/>
          <w:sz w:val="13"/>
          <w:szCs w:val="13"/>
          <w:color w:val="auto"/>
        </w:rPr>
      </w:pPr>
    </w:p>
    <w:p>
      <w:pPr>
        <w:ind w:left="1080" w:hanging="220"/>
        <w:spacing w:after="0"/>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prohibited by applicable law.</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8.7 DETERMINATION; CLAIM</w:t>
      </w:r>
    </w:p>
    <w:p>
      <w:pPr>
        <w:spacing w:after="0" w:line="193" w:lineRule="exact"/>
        <w:rPr>
          <w:sz w:val="20"/>
          <w:szCs w:val="20"/>
          <w:color w:val="auto"/>
        </w:rPr>
      </w:pPr>
    </w:p>
    <w:p>
      <w:pPr>
        <w:ind w:firstLine="385"/>
        <w:spacing w:after="0" w:line="319" w:lineRule="auto"/>
        <w:rPr>
          <w:sz w:val="20"/>
          <w:szCs w:val="20"/>
          <w:color w:val="auto"/>
        </w:rPr>
      </w:pPr>
      <w:r>
        <w:rPr>
          <w:rFonts w:ascii="Arial" w:cs="Arial" w:eastAsia="Arial" w:hAnsi="Arial"/>
          <w:sz w:val="13"/>
          <w:szCs w:val="13"/>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8.8 NON-EXCLUSIVITY OF RIGHTS</w:t>
      </w:r>
    </w:p>
    <w:p>
      <w:pPr>
        <w:spacing w:after="0" w:line="193" w:lineRule="exact"/>
        <w:rPr>
          <w:sz w:val="20"/>
          <w:szCs w:val="20"/>
          <w:color w:val="auto"/>
        </w:rPr>
      </w:pPr>
    </w:p>
    <w:p>
      <w:pPr>
        <w:jc w:val="both"/>
        <w:ind w:right="260" w:firstLine="385"/>
        <w:spacing w:after="0" w:line="256" w:lineRule="auto"/>
        <w:rPr>
          <w:sz w:val="20"/>
          <w:szCs w:val="20"/>
          <w:color w:val="auto"/>
        </w:rPr>
      </w:pPr>
      <w:r>
        <w:rPr>
          <w:rFonts w:ascii="Arial" w:cs="Arial" w:eastAsia="Arial" w:hAnsi="Arial"/>
          <w:sz w:val="16"/>
          <w:szCs w:val="16"/>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- 22 -</w:t>
      </w:r>
    </w:p>
    <w:p>
      <w:pPr>
        <w:sectPr>
          <w:pgSz w:w="11900" w:h="16838" w:orient="portrait"/>
          <w:cols w:equalWidth="0" w:num="1">
            <w:col w:w="9580"/>
          </w:cols>
          <w:pgMar w:left="1140" w:top="256" w:right="1179" w:bottom="1440" w:gutter="0" w:footer="0" w:header="0"/>
        </w:sectPr>
      </w:pPr>
    </w:p>
    <w:bookmarkStart w:id="383" w:name="page384"/>
    <w:bookmarkEnd w:id="383"/>
    <w:p>
      <w:pPr>
        <w:ind w:right="40"/>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8.9 INSURANCE</w:t>
      </w:r>
    </w:p>
    <w:p>
      <w:pPr>
        <w:spacing w:after="0" w:line="193" w:lineRule="exact"/>
        <w:rPr>
          <w:sz w:val="20"/>
          <w:szCs w:val="20"/>
          <w:color w:val="auto"/>
        </w:rPr>
      </w:pPr>
    </w:p>
    <w:p>
      <w:pPr>
        <w:ind w:firstLine="385"/>
        <w:spacing w:after="0" w:line="329" w:lineRule="auto"/>
        <w:rPr>
          <w:sz w:val="20"/>
          <w:szCs w:val="20"/>
          <w:color w:val="auto"/>
        </w:rPr>
      </w:pPr>
      <w:r>
        <w:rPr>
          <w:rFonts w:ascii="Arial" w:cs="Arial" w:eastAsia="Arial" w:hAnsi="Arial"/>
          <w:sz w:val="13"/>
          <w:szCs w:val="13"/>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8.10 SURVIVAL</w:t>
      </w:r>
    </w:p>
    <w:p>
      <w:pPr>
        <w:spacing w:after="0" w:line="193" w:lineRule="exact"/>
        <w:rPr>
          <w:sz w:val="20"/>
          <w:szCs w:val="20"/>
          <w:color w:val="auto"/>
        </w:rPr>
      </w:pPr>
    </w:p>
    <w:p>
      <w:pPr>
        <w:ind w:right="260" w:firstLine="385"/>
        <w:spacing w:after="0" w:line="300" w:lineRule="auto"/>
        <w:rPr>
          <w:sz w:val="20"/>
          <w:szCs w:val="20"/>
          <w:color w:val="auto"/>
        </w:rPr>
      </w:pPr>
      <w:r>
        <w:rPr>
          <w:rFonts w:ascii="Arial" w:cs="Arial" w:eastAsia="Arial" w:hAnsi="Arial"/>
          <w:sz w:val="15"/>
          <w:szCs w:val="15"/>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8.11 EFFECT OF REPEAL OR MODIFICATION</w:t>
      </w:r>
    </w:p>
    <w:p>
      <w:pPr>
        <w:spacing w:after="0" w:line="193" w:lineRule="exact"/>
        <w:rPr>
          <w:sz w:val="20"/>
          <w:szCs w:val="20"/>
          <w:color w:val="auto"/>
        </w:rPr>
      </w:pPr>
    </w:p>
    <w:p>
      <w:pPr>
        <w:ind w:right="20" w:firstLine="385"/>
        <w:spacing w:after="0" w:line="251" w:lineRule="auto"/>
        <w:rPr>
          <w:sz w:val="20"/>
          <w:szCs w:val="20"/>
          <w:color w:val="auto"/>
        </w:rPr>
      </w:pPr>
      <w:r>
        <w:rPr>
          <w:rFonts w:ascii="Arial" w:cs="Arial" w:eastAsia="Arial" w:hAnsi="Arial"/>
          <w:sz w:val="16"/>
          <w:szCs w:val="16"/>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8.12 CERTAIN DEFINITIONS</w:t>
      </w:r>
    </w:p>
    <w:p>
      <w:pPr>
        <w:spacing w:after="0" w:line="189" w:lineRule="exact"/>
        <w:rPr>
          <w:sz w:val="20"/>
          <w:szCs w:val="20"/>
          <w:color w:val="auto"/>
        </w:rPr>
      </w:pPr>
    </w:p>
    <w:p>
      <w:pPr>
        <w:ind w:firstLine="385"/>
        <w:spacing w:after="0" w:line="266" w:lineRule="auto"/>
        <w:rPr>
          <w:sz w:val="20"/>
          <w:szCs w:val="20"/>
          <w:color w:val="auto"/>
        </w:rPr>
      </w:pPr>
      <w:r>
        <w:rPr>
          <w:rFonts w:ascii="Arial" w:cs="Arial" w:eastAsia="Arial" w:hAnsi="Arial"/>
          <w:sz w:val="15"/>
          <w:szCs w:val="15"/>
          <w:color w:val="auto"/>
        </w:rPr>
        <w:t>For purposes of this Article VIII, references to the “</w:t>
      </w:r>
      <w:r>
        <w:rPr>
          <w:rFonts w:ascii="Arial" w:cs="Arial" w:eastAsia="Arial" w:hAnsi="Arial"/>
          <w:sz w:val="15"/>
          <w:szCs w:val="15"/>
          <w:b w:val="1"/>
          <w:bCs w:val="1"/>
          <w:color w:val="auto"/>
        </w:rPr>
        <w:t>Company</w:t>
      </w:r>
      <w:r>
        <w:rPr>
          <w:rFonts w:ascii="Arial" w:cs="Arial" w:eastAsia="Arial" w:hAnsi="Arial"/>
          <w:sz w:val="15"/>
          <w:szCs w:val="15"/>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Arial" w:cs="Arial" w:eastAsia="Arial" w:hAnsi="Arial"/>
          <w:sz w:val="15"/>
          <w:szCs w:val="15"/>
          <w:b w:val="1"/>
          <w:bCs w:val="1"/>
          <w:color w:val="auto"/>
        </w:rPr>
        <w:t>other enterprises</w:t>
      </w:r>
      <w:r>
        <w:rPr>
          <w:rFonts w:ascii="Arial" w:cs="Arial" w:eastAsia="Arial" w:hAnsi="Arial"/>
          <w:sz w:val="15"/>
          <w:szCs w:val="15"/>
          <w:color w:val="auto"/>
        </w:rPr>
        <w:t>” shall include employee benefit plans; references to “</w:t>
      </w:r>
      <w:r>
        <w:rPr>
          <w:rFonts w:ascii="Arial" w:cs="Arial" w:eastAsia="Arial" w:hAnsi="Arial"/>
          <w:sz w:val="15"/>
          <w:szCs w:val="15"/>
          <w:b w:val="1"/>
          <w:bCs w:val="1"/>
          <w:color w:val="auto"/>
        </w:rPr>
        <w:t>fines</w:t>
      </w:r>
      <w:r>
        <w:rPr>
          <w:rFonts w:ascii="Arial" w:cs="Arial" w:eastAsia="Arial" w:hAnsi="Arial"/>
          <w:sz w:val="15"/>
          <w:szCs w:val="15"/>
          <w:color w:val="auto"/>
        </w:rPr>
        <w:t>” shall include any excise taxes assessed on a person with respect to an employee benefit plan; and references to “</w:t>
      </w:r>
      <w:r>
        <w:rPr>
          <w:rFonts w:ascii="Arial" w:cs="Arial" w:eastAsia="Arial" w:hAnsi="Arial"/>
          <w:sz w:val="15"/>
          <w:szCs w:val="15"/>
          <w:b w:val="1"/>
          <w:bCs w:val="1"/>
          <w:color w:val="auto"/>
        </w:rPr>
        <w:t>serving at the request of the Company</w:t>
      </w:r>
      <w:r>
        <w:rPr>
          <w:rFonts w:ascii="Arial" w:cs="Arial" w:eastAsia="Arial" w:hAnsi="Arial"/>
          <w:sz w:val="15"/>
          <w:szCs w:val="15"/>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5"/>
          <w:szCs w:val="15"/>
          <w:b w:val="1"/>
          <w:bCs w:val="1"/>
          <w:color w:val="auto"/>
        </w:rPr>
        <w:t>not opposed to the best</w:t>
      </w:r>
      <w:r>
        <w:rPr>
          <w:rFonts w:ascii="Arial" w:cs="Arial" w:eastAsia="Arial" w:hAnsi="Arial"/>
          <w:sz w:val="15"/>
          <w:szCs w:val="15"/>
          <w:color w:val="auto"/>
        </w:rPr>
        <w:t xml:space="preserve"> </w:t>
      </w:r>
      <w:r>
        <w:rPr>
          <w:rFonts w:ascii="Arial" w:cs="Arial" w:eastAsia="Arial" w:hAnsi="Arial"/>
          <w:sz w:val="15"/>
          <w:szCs w:val="15"/>
          <w:b w:val="1"/>
          <w:bCs w:val="1"/>
          <w:color w:val="auto"/>
        </w:rPr>
        <w:t>interests of the Company</w:t>
      </w:r>
      <w:r>
        <w:rPr>
          <w:rFonts w:ascii="Arial" w:cs="Arial" w:eastAsia="Arial" w:hAnsi="Arial"/>
          <w:sz w:val="15"/>
          <w:szCs w:val="15"/>
          <w:color w:val="auto"/>
        </w:rPr>
        <w:t>” as referred to in this Article VIII.</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- 23 -</w:t>
      </w:r>
    </w:p>
    <w:p>
      <w:pPr>
        <w:sectPr>
          <w:pgSz w:w="11900" w:h="16838" w:orient="portrait"/>
          <w:cols w:equalWidth="0" w:num="1">
            <w:col w:w="9560"/>
          </w:cols>
          <w:pgMar w:left="1140" w:top="256" w:right="1199" w:bottom="1440" w:gutter="0" w:footer="0" w:header="0"/>
        </w:sectPr>
      </w:pPr>
    </w:p>
    <w:bookmarkStart w:id="384" w:name="page385"/>
    <w:bookmarkEnd w:id="384"/>
    <w:p>
      <w:pPr>
        <w:ind w:left="3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ARTICLE IX - GENERAL MATTERS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9.1 EXECUTION OF CORPORATE CONTRACTS AND INSTRUMENTS</w:t>
      </w:r>
    </w:p>
    <w:p>
      <w:pPr>
        <w:spacing w:after="0" w:line="193" w:lineRule="exact"/>
        <w:rPr>
          <w:sz w:val="20"/>
          <w:szCs w:val="20"/>
          <w:color w:val="auto"/>
        </w:rPr>
      </w:pPr>
    </w:p>
    <w:p>
      <w:pPr>
        <w:ind w:right="20" w:firstLine="385"/>
        <w:spacing w:after="0" w:line="251" w:lineRule="auto"/>
        <w:rPr>
          <w:sz w:val="20"/>
          <w:szCs w:val="20"/>
          <w:color w:val="auto"/>
        </w:rPr>
      </w:pPr>
      <w:r>
        <w:rPr>
          <w:rFonts w:ascii="Arial" w:cs="Arial" w:eastAsia="Arial" w:hAnsi="Arial"/>
          <w:sz w:val="16"/>
          <w:szCs w:val="16"/>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9.2 FISCAL YEAR</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fiscal year of the Company shall be fixed by resolution of the Board of Directors and may be changed by the Board of Directors.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9.3 SEAL</w:t>
      </w:r>
    </w:p>
    <w:p>
      <w:pPr>
        <w:spacing w:after="0" w:line="193" w:lineRule="exact"/>
        <w:rPr>
          <w:sz w:val="20"/>
          <w:szCs w:val="20"/>
          <w:color w:val="auto"/>
        </w:rPr>
      </w:pPr>
    </w:p>
    <w:p>
      <w:pPr>
        <w:ind w:firstLine="385"/>
        <w:spacing w:after="0" w:line="266" w:lineRule="auto"/>
        <w:rPr>
          <w:sz w:val="20"/>
          <w:szCs w:val="20"/>
          <w:color w:val="auto"/>
        </w:rPr>
      </w:pPr>
      <w:r>
        <w:rPr>
          <w:rFonts w:ascii="Arial" w:cs="Arial" w:eastAsia="Arial" w:hAnsi="Arial"/>
          <w:sz w:val="16"/>
          <w:szCs w:val="16"/>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9.4 CONSTRUCTION; DEFINITIONS</w:t>
      </w:r>
    </w:p>
    <w:p>
      <w:pPr>
        <w:spacing w:after="0" w:line="193" w:lineRule="exact"/>
        <w:rPr>
          <w:sz w:val="20"/>
          <w:szCs w:val="20"/>
          <w:color w:val="auto"/>
        </w:rPr>
      </w:pPr>
    </w:p>
    <w:p>
      <w:pPr>
        <w:jc w:val="both"/>
        <w:ind w:right="40" w:firstLine="385"/>
        <w:spacing w:after="0" w:line="329" w:lineRule="auto"/>
        <w:rPr>
          <w:sz w:val="20"/>
          <w:szCs w:val="20"/>
          <w:color w:val="auto"/>
        </w:rPr>
      </w:pPr>
      <w:r>
        <w:rPr>
          <w:rFonts w:ascii="Arial" w:cs="Arial" w:eastAsia="Arial" w:hAnsi="Arial"/>
          <w:sz w:val="13"/>
          <w:szCs w:val="13"/>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3"/>
          <w:szCs w:val="13"/>
          <w:b w:val="1"/>
          <w:bCs w:val="1"/>
          <w:color w:val="auto"/>
        </w:rPr>
        <w:t>person</w:t>
      </w:r>
      <w:r>
        <w:rPr>
          <w:rFonts w:ascii="Arial" w:cs="Arial" w:eastAsia="Arial" w:hAnsi="Arial"/>
          <w:sz w:val="13"/>
          <w:szCs w:val="13"/>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9.5 FORUM SELECTION</w:t>
      </w:r>
    </w:p>
    <w:p>
      <w:pPr>
        <w:spacing w:after="0" w:line="193" w:lineRule="exact"/>
        <w:rPr>
          <w:sz w:val="20"/>
          <w:szCs w:val="20"/>
          <w:color w:val="auto"/>
        </w:rPr>
      </w:pPr>
    </w:p>
    <w:p>
      <w:pPr>
        <w:ind w:right="40" w:firstLine="385"/>
        <w:spacing w:after="0" w:line="314" w:lineRule="auto"/>
        <w:rPr>
          <w:sz w:val="20"/>
          <w:szCs w:val="20"/>
          <w:color w:val="auto"/>
        </w:rPr>
      </w:pPr>
      <w:r>
        <w:rPr>
          <w:rFonts w:ascii="Arial" w:cs="Arial" w:eastAsia="Arial" w:hAnsi="Arial"/>
          <w:sz w:val="13"/>
          <w:szCs w:val="13"/>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- 24 -</w:t>
      </w:r>
    </w:p>
    <w:p>
      <w:pPr>
        <w:sectPr>
          <w:pgSz w:w="11900" w:h="16838" w:orient="portrait"/>
          <w:cols w:equalWidth="0" w:num="1">
            <w:col w:w="9580"/>
          </w:cols>
          <w:pgMar w:left="1140" w:top="252" w:right="1179" w:bottom="1440" w:gutter="0" w:footer="0" w:header="0"/>
        </w:sectPr>
      </w:pPr>
    </w:p>
    <w:bookmarkStart w:id="385" w:name="page386"/>
    <w:bookmarkEnd w:id="385"/>
    <w:p>
      <w:pPr>
        <w:ind w:firstLine="385"/>
        <w:spacing w:after="0" w:line="38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89" w:lineRule="exact"/>
        <w:rPr>
          <w:sz w:val="20"/>
          <w:szCs w:val="20"/>
          <w:color w:val="auto"/>
        </w:rPr>
      </w:pPr>
    </w:p>
    <w:p>
      <w:pPr>
        <w:ind w:right="280" w:firstLine="385"/>
        <w:spacing w:after="0" w:line="256" w:lineRule="auto"/>
        <w:rPr>
          <w:sz w:val="20"/>
          <w:szCs w:val="20"/>
          <w:color w:val="auto"/>
        </w:rPr>
      </w:pPr>
      <w:r>
        <w:rPr>
          <w:rFonts w:ascii="Arial" w:cs="Arial" w:eastAsia="Arial" w:hAnsi="Arial"/>
          <w:sz w:val="16"/>
          <w:szCs w:val="16"/>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 - AMENDMENTS</w:t>
      </w:r>
    </w:p>
    <w:p>
      <w:pPr>
        <w:spacing w:after="0" w:line="197" w:lineRule="exact"/>
        <w:rPr>
          <w:sz w:val="20"/>
          <w:szCs w:val="20"/>
          <w:color w:val="auto"/>
        </w:rPr>
      </w:pPr>
    </w:p>
    <w:p>
      <w:pPr>
        <w:ind w:right="80" w:firstLine="385"/>
        <w:spacing w:after="0" w:line="268" w:lineRule="auto"/>
        <w:rPr>
          <w:sz w:val="20"/>
          <w:szCs w:val="20"/>
          <w:color w:val="auto"/>
        </w:rPr>
      </w:pPr>
      <w:r>
        <w:rPr>
          <w:rFonts w:ascii="Arial" w:cs="Arial" w:eastAsia="Arial" w:hAnsi="Arial"/>
          <w:sz w:val="15"/>
          <w:szCs w:val="15"/>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ectPr>
          <w:pgSz w:w="11900" w:h="16838" w:orient="portrait"/>
          <w:cols w:equalWidth="0" w:num="1">
            <w:col w:w="9600"/>
          </w:cols>
          <w:pgMar w:left="1140" w:top="256" w:right="1159" w:bottom="1440" w:gutter="0" w:footer="0" w:header="0"/>
        </w:sectPr>
      </w:pPr>
    </w:p>
    <w:bookmarkStart w:id="386" w:name="page387"/>
    <w:bookmarkEnd w:id="386"/>
    <w:p>
      <w:pPr>
        <w:jc w:val="right"/>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155575</wp:posOffset>
            </wp:positionV>
            <wp:extent cx="610933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193040</wp:posOffset>
            </wp:positionV>
            <wp:extent cx="6109335"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TENAYA THERAPEUTICS, INC.</w:t>
      </w: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AMENDED AND RESTATED</w:t>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INVESTORS’ RIGHTS AGREEMENT</w:t>
      </w:r>
    </w:p>
    <w:p>
      <w:pPr>
        <w:spacing w:after="0" w:line="200" w:lineRule="exact"/>
        <w:rPr>
          <w:sz w:val="20"/>
          <w:szCs w:val="20"/>
          <w:color w:val="auto"/>
        </w:rPr>
      </w:pPr>
    </w:p>
    <w:p>
      <w:pPr>
        <w:spacing w:after="0" w:line="367"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December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1540510</wp:posOffset>
            </wp:positionV>
            <wp:extent cx="6109335"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1577975</wp:posOffset>
            </wp:positionV>
            <wp:extent cx="6109335"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ectPr>
          <w:pgSz w:w="11900" w:h="16838" w:orient="portrait"/>
          <w:cols w:equalWidth="0" w:num="1">
            <w:col w:w="9320"/>
          </w:cols>
          <w:pgMar w:left="1440" w:top="122" w:right="113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TENAYA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INVESTORS’ RIGHTS AGREEMENT</w:t>
      </w:r>
    </w:p>
    <w:p>
      <w:pPr>
        <w:spacing w:after="0" w:line="182" w:lineRule="exact"/>
        <w:rPr>
          <w:sz w:val="20"/>
          <w:szCs w:val="20"/>
          <w:color w:val="auto"/>
        </w:rPr>
      </w:pPr>
    </w:p>
    <w:p>
      <w:pPr>
        <w:ind w:right="140" w:firstLine="385"/>
        <w:spacing w:after="0" w:line="256" w:lineRule="auto"/>
        <w:rPr>
          <w:sz w:val="20"/>
          <w:szCs w:val="20"/>
          <w:color w:val="auto"/>
        </w:rPr>
      </w:pPr>
      <w:r>
        <w:rPr>
          <w:rFonts w:ascii="Arial" w:cs="Arial" w:eastAsia="Arial" w:hAnsi="Arial"/>
          <w:sz w:val="16"/>
          <w:szCs w:val="16"/>
          <w:color w:val="auto"/>
        </w:rPr>
        <w:t>This Amended and Restated Investors’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 December 17, 2020, and is between Tenaya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and the persons and entities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97" w:lineRule="exact"/>
        <w:rPr>
          <w:sz w:val="20"/>
          <w:szCs w:val="20"/>
          <w:color w:val="auto"/>
        </w:rPr>
      </w:pPr>
    </w:p>
    <w:p>
      <w:pPr>
        <w:ind w:firstLine="385"/>
        <w:spacing w:after="0" w:line="275" w:lineRule="auto"/>
        <w:rPr>
          <w:sz w:val="20"/>
          <w:szCs w:val="20"/>
          <w:color w:val="auto"/>
        </w:rPr>
      </w:pPr>
      <w:r>
        <w:rPr>
          <w:rFonts w:ascii="Arial" w:cs="Arial" w:eastAsia="Arial" w:hAnsi="Arial"/>
          <w:sz w:val="15"/>
          <w:szCs w:val="15"/>
          <w:color w:val="auto"/>
        </w:rPr>
        <w:t>Certain of the Investors are parties to the Series C Preferred Stock Purchase Agreement of even date herewith, among the Company and the Investors listed on the Schedule of Investors thereto (as may be amended from time to time, the “</w:t>
      </w:r>
      <w:r>
        <w:rPr>
          <w:rFonts w:ascii="Arial" w:cs="Arial" w:eastAsia="Arial" w:hAnsi="Arial"/>
          <w:sz w:val="15"/>
          <w:szCs w:val="15"/>
          <w:b w:val="1"/>
          <w:bCs w:val="1"/>
          <w:i w:val="1"/>
          <w:iCs w:val="1"/>
          <w:color w:val="auto"/>
        </w:rPr>
        <w:t>Purchase Agreement</w:t>
      </w:r>
      <w:r>
        <w:rPr>
          <w:rFonts w:ascii="Arial" w:cs="Arial" w:eastAsia="Arial" w:hAnsi="Arial"/>
          <w:sz w:val="15"/>
          <w:szCs w:val="15"/>
          <w:color w:val="auto"/>
        </w:rPr>
        <w:t>”), relating to the issue and sale of shares of the Company’s Series C Preferred Stock (the “</w:t>
      </w:r>
      <w:r>
        <w:rPr>
          <w:rFonts w:ascii="Arial" w:cs="Arial" w:eastAsia="Arial" w:hAnsi="Arial"/>
          <w:sz w:val="15"/>
          <w:szCs w:val="15"/>
          <w:b w:val="1"/>
          <w:bCs w:val="1"/>
          <w:i w:val="1"/>
          <w:iCs w:val="1"/>
          <w:color w:val="auto"/>
        </w:rPr>
        <w:t>Series C Preferred Stock</w:t>
      </w:r>
      <w:r>
        <w:rPr>
          <w:rFonts w:ascii="Arial" w:cs="Arial" w:eastAsia="Arial" w:hAnsi="Arial"/>
          <w:sz w:val="15"/>
          <w:szCs w:val="15"/>
          <w:color w:val="auto"/>
        </w:rPr>
        <w:t>”) and it is a condition to the obligations of Company and such Investors under the Purchase Agreement that the Investors and the Company execute and deliver this Agreement.</w:t>
      </w:r>
    </w:p>
    <w:p>
      <w:pPr>
        <w:spacing w:after="0" w:line="153" w:lineRule="exact"/>
        <w:rPr>
          <w:sz w:val="20"/>
          <w:szCs w:val="20"/>
          <w:color w:val="auto"/>
        </w:rPr>
      </w:pPr>
    </w:p>
    <w:p>
      <w:pPr>
        <w:ind w:firstLine="385"/>
        <w:spacing w:after="0" w:line="253" w:lineRule="auto"/>
        <w:rPr>
          <w:sz w:val="20"/>
          <w:szCs w:val="20"/>
          <w:color w:val="auto"/>
        </w:rPr>
      </w:pPr>
      <w:r>
        <w:rPr>
          <w:rFonts w:ascii="Arial" w:cs="Arial" w:eastAsia="Arial" w:hAnsi="Arial"/>
          <w:sz w:val="16"/>
          <w:szCs w:val="16"/>
          <w:color w:val="auto"/>
        </w:rPr>
        <w:t>Certain of the Investors hold shares of the Company’s Series A Preferred Stock (the “</w:t>
      </w:r>
      <w:r>
        <w:rPr>
          <w:rFonts w:ascii="Arial" w:cs="Arial" w:eastAsia="Arial" w:hAnsi="Arial"/>
          <w:sz w:val="16"/>
          <w:szCs w:val="16"/>
          <w:b w:val="1"/>
          <w:bCs w:val="1"/>
          <w:i w:val="1"/>
          <w:iCs w:val="1"/>
          <w:color w:val="auto"/>
        </w:rPr>
        <w:t>Series A Preferred Stock</w:t>
      </w:r>
      <w:r>
        <w:rPr>
          <w:rFonts w:ascii="Arial" w:cs="Arial" w:eastAsia="Arial" w:hAnsi="Arial"/>
          <w:sz w:val="16"/>
          <w:szCs w:val="16"/>
          <w:color w:val="auto"/>
        </w:rPr>
        <w:t>”) and Series B Preferred Stock (the “</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and together with the Series A Preferred Stock and the Series C Preferred Stock,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and are parties to that certain Amended and Restated Investors’ Rights Agreement dated August 30, 2019 (the “</w:t>
      </w:r>
      <w:r>
        <w:rPr>
          <w:rFonts w:ascii="Arial" w:cs="Arial" w:eastAsia="Arial" w:hAnsi="Arial"/>
          <w:sz w:val="16"/>
          <w:szCs w:val="16"/>
          <w:b w:val="1"/>
          <w:bCs w:val="1"/>
          <w:i w:val="1"/>
          <w:iCs w:val="1"/>
          <w:color w:val="auto"/>
        </w:rPr>
        <w:t>Prior Rights Agreement</w:t>
      </w:r>
      <w:r>
        <w:rPr>
          <w:rFonts w:ascii="Arial" w:cs="Arial" w:eastAsia="Arial" w:hAnsi="Arial"/>
          <w:sz w:val="16"/>
          <w:szCs w:val="16"/>
          <w:color w:val="auto"/>
        </w:rPr>
        <w:t>”) between the Company and such Investors (the “</w:t>
      </w:r>
      <w:r>
        <w:rPr>
          <w:rFonts w:ascii="Arial" w:cs="Arial" w:eastAsia="Arial" w:hAnsi="Arial"/>
          <w:sz w:val="16"/>
          <w:szCs w:val="16"/>
          <w:b w:val="1"/>
          <w:bCs w:val="1"/>
          <w:i w:val="1"/>
          <w:iCs w:val="1"/>
          <w:color w:val="auto"/>
        </w:rPr>
        <w:t>Prior Investors</w:t>
      </w:r>
      <w:r>
        <w:rPr>
          <w:rFonts w:ascii="Arial" w:cs="Arial" w:eastAsia="Arial" w:hAnsi="Arial"/>
          <w:sz w:val="16"/>
          <w:szCs w:val="16"/>
          <w:color w:val="auto"/>
        </w:rPr>
        <w:t>”).</w:t>
      </w:r>
    </w:p>
    <w:p>
      <w:pPr>
        <w:spacing w:after="0" w:line="167" w:lineRule="exact"/>
        <w:rPr>
          <w:sz w:val="20"/>
          <w:szCs w:val="20"/>
          <w:color w:val="auto"/>
        </w:rPr>
      </w:pPr>
    </w:p>
    <w:p>
      <w:pPr>
        <w:ind w:right="180" w:firstLine="385"/>
        <w:spacing w:after="0" w:line="266" w:lineRule="auto"/>
        <w:rPr>
          <w:sz w:val="20"/>
          <w:szCs w:val="20"/>
          <w:color w:val="auto"/>
        </w:rPr>
      </w:pPr>
      <w:r>
        <w:rPr>
          <w:rFonts w:ascii="Arial" w:cs="Arial" w:eastAsia="Arial" w:hAnsi="Arial"/>
          <w:sz w:val="16"/>
          <w:szCs w:val="16"/>
          <w:color w:val="auto"/>
        </w:rPr>
        <w:t>The Company and the Prior Investors, desire to amend and restate the Prior Rights Agreement, and further desire that this Agreement supersede and replace the Prior Rights Agreement, each in its entirety and as set forth in this Agreement.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parties therefore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93"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3"/>
          <w:szCs w:val="13"/>
          <w:b w:val="1"/>
          <w:bCs w:val="1"/>
          <w:color w:val="auto"/>
        </w:rPr>
        <w:t>Certain Definitions</w:t>
      </w:r>
      <w:r>
        <w:rPr>
          <w:rFonts w:ascii="Arial" w:cs="Arial" w:eastAsia="Arial" w:hAnsi="Arial"/>
          <w:sz w:val="13"/>
          <w:szCs w:val="13"/>
          <w:color w:val="auto"/>
        </w:rPr>
        <w:t>. As used in this Agreement, the following terms shall have the meanings set forth below:</w:t>
      </w:r>
    </w:p>
    <w:p>
      <w:pPr>
        <w:spacing w:after="0" w:line="197" w:lineRule="exact"/>
        <w:rPr>
          <w:sz w:val="20"/>
          <w:szCs w:val="20"/>
          <w:color w:val="auto"/>
        </w:rPr>
      </w:pPr>
    </w:p>
    <w:p>
      <w:pPr>
        <w:ind w:left="1200" w:hanging="340"/>
        <w:spacing w:after="0"/>
        <w:tabs>
          <w:tab w:leader="none" w:pos="12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shall mean the Company’s Board of Directors.</w:t>
      </w:r>
    </w:p>
    <w:p>
      <w:pPr>
        <w:spacing w:after="0" w:line="193" w:lineRule="exact"/>
        <w:rPr>
          <w:rFonts w:ascii="Arial" w:cs="Arial" w:eastAsia="Arial" w:hAnsi="Arial"/>
          <w:sz w:val="16"/>
          <w:szCs w:val="16"/>
          <w:color w:val="auto"/>
        </w:rPr>
      </w:pPr>
    </w:p>
    <w:p>
      <w:pPr>
        <w:ind w:right="500" w:firstLine="860"/>
        <w:spacing w:after="0" w:line="266" w:lineRule="auto"/>
        <w:tabs>
          <w:tab w:leader="none" w:pos="120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shall mean the Securities and Exchange Commission or any other federal agency at the time administering the Securities Act (as defined below).</w:t>
      </w:r>
    </w:p>
    <w:p>
      <w:pPr>
        <w:spacing w:after="0" w:line="158" w:lineRule="exact"/>
        <w:rPr>
          <w:rFonts w:ascii="Arial" w:cs="Arial" w:eastAsia="Arial" w:hAnsi="Arial"/>
          <w:sz w:val="16"/>
          <w:szCs w:val="16"/>
          <w:color w:val="auto"/>
        </w:rPr>
      </w:pPr>
    </w:p>
    <w:p>
      <w:pPr>
        <w:ind w:left="1200" w:hanging="340"/>
        <w:spacing w:after="0"/>
        <w:tabs>
          <w:tab w:leader="none" w:pos="12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Common Stock of the Company.</w:t>
      </w:r>
    </w:p>
    <w:p>
      <w:pPr>
        <w:spacing w:after="0" w:line="193" w:lineRule="exact"/>
        <w:rPr>
          <w:rFonts w:ascii="Arial" w:cs="Arial" w:eastAsia="Arial" w:hAnsi="Arial"/>
          <w:sz w:val="16"/>
          <w:szCs w:val="16"/>
          <w:color w:val="auto"/>
        </w:rPr>
      </w:pPr>
    </w:p>
    <w:p>
      <w:pPr>
        <w:ind w:right="120" w:firstLine="860"/>
        <w:spacing w:after="0" w:line="266" w:lineRule="auto"/>
        <w:tabs>
          <w:tab w:leader="none" w:pos="120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shall mean the Securities Exchange Act of 1934, as amended, or any similar successor federal statute and the rules and regulations thereunder, all as the same shall be in effect from time to time.</w:t>
      </w:r>
    </w:p>
    <w:p>
      <w:pPr>
        <w:sectPr>
          <w:pgSz w:w="11900" w:h="16838" w:orient="portrait"/>
          <w:cols w:equalWidth="0" w:num="1">
            <w:col w:w="9600"/>
          </w:cols>
          <w:pgMar w:left="1140" w:top="252" w:right="1159" w:bottom="1440" w:gutter="0" w:footer="0" w:header="0"/>
        </w:sectPr>
      </w:pPr>
    </w:p>
    <w:bookmarkStart w:id="388" w:name="page389"/>
    <w:bookmarkEnd w:id="388"/>
    <w:p>
      <w:pPr>
        <w:ind w:left="6" w:firstLine="860"/>
        <w:spacing w:after="0" w:line="300" w:lineRule="auto"/>
        <w:tabs>
          <w:tab w:leader="none" w:pos="1203" w:val="left"/>
        </w:tabs>
        <w:numPr>
          <w:ilvl w:val="0"/>
          <w:numId w:val="2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 shall mean any Investor who holds Registrable Securities and any holder of Registrable Securities to whom the registration rights conferred by this Agreement have been duly and validly transferred in accordance with Section 2.12 of this Agreement.</w:t>
      </w:r>
    </w:p>
    <w:p>
      <w:pPr>
        <w:spacing w:after="0" w:line="134" w:lineRule="exact"/>
        <w:rPr>
          <w:rFonts w:ascii="Arial" w:cs="Arial" w:eastAsia="Arial" w:hAnsi="Arial"/>
          <w:sz w:val="15"/>
          <w:szCs w:val="15"/>
          <w:color w:val="auto"/>
        </w:rPr>
      </w:pPr>
    </w:p>
    <w:p>
      <w:pPr>
        <w:ind w:left="1186" w:hanging="320"/>
        <w:spacing w:after="0"/>
        <w:tabs>
          <w:tab w:leader="none" w:pos="118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shall have the meaning set forth in Section 2.6(c).</w:t>
      </w:r>
    </w:p>
    <w:p>
      <w:pPr>
        <w:spacing w:after="0" w:line="193" w:lineRule="exact"/>
        <w:rPr>
          <w:rFonts w:ascii="Arial" w:cs="Arial" w:eastAsia="Arial" w:hAnsi="Arial"/>
          <w:sz w:val="16"/>
          <w:szCs w:val="16"/>
          <w:color w:val="auto"/>
        </w:rPr>
      </w:pPr>
    </w:p>
    <w:p>
      <w:pPr>
        <w:ind w:left="1206" w:hanging="340"/>
        <w:spacing w:after="0"/>
        <w:tabs>
          <w:tab w:leader="none" w:pos="120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shall have the meaning set forth in Section 2.6(c).</w:t>
      </w:r>
    </w:p>
    <w:p>
      <w:pPr>
        <w:spacing w:after="0" w:line="193" w:lineRule="exact"/>
        <w:rPr>
          <w:rFonts w:ascii="Arial" w:cs="Arial" w:eastAsia="Arial" w:hAnsi="Arial"/>
          <w:sz w:val="16"/>
          <w:szCs w:val="16"/>
          <w:color w:val="auto"/>
        </w:rPr>
      </w:pPr>
    </w:p>
    <w:p>
      <w:pPr>
        <w:ind w:left="6" w:right="520" w:firstLine="860"/>
        <w:spacing w:after="0" w:line="266" w:lineRule="auto"/>
        <w:tabs>
          <w:tab w:leader="none" w:pos="121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shall mean the closing of the Company’s first firm commitment underwritten public offering of the Company’s Common Stock registered under the Securities Act.</w:t>
      </w:r>
    </w:p>
    <w:p>
      <w:pPr>
        <w:spacing w:after="0" w:line="158" w:lineRule="exact"/>
        <w:rPr>
          <w:rFonts w:ascii="Arial" w:cs="Arial" w:eastAsia="Arial" w:hAnsi="Arial"/>
          <w:sz w:val="16"/>
          <w:szCs w:val="16"/>
          <w:color w:val="auto"/>
        </w:rPr>
      </w:pPr>
    </w:p>
    <w:p>
      <w:pPr>
        <w:ind w:left="6" w:right="20" w:firstLine="860"/>
        <w:spacing w:after="0" w:line="266" w:lineRule="auto"/>
        <w:tabs>
          <w:tab w:leader="none" w:pos="117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Initiating Holders</w:t>
      </w:r>
      <w:r>
        <w:rPr>
          <w:rFonts w:ascii="Arial" w:cs="Arial" w:eastAsia="Arial" w:hAnsi="Arial"/>
          <w:sz w:val="16"/>
          <w:szCs w:val="16"/>
          <w:color w:val="auto"/>
        </w:rPr>
        <w:t>” shall mean any Holder or Holders who in the aggregate hold not less than fifty percent (50%) of the outstanding Registrable Securities.</w:t>
      </w:r>
    </w:p>
    <w:p>
      <w:pPr>
        <w:spacing w:after="0" w:line="158" w:lineRule="exact"/>
        <w:rPr>
          <w:rFonts w:ascii="Arial" w:cs="Arial" w:eastAsia="Arial" w:hAnsi="Arial"/>
          <w:sz w:val="16"/>
          <w:szCs w:val="16"/>
          <w:color w:val="auto"/>
        </w:rPr>
      </w:pPr>
    </w:p>
    <w:p>
      <w:pPr>
        <w:ind w:left="1166" w:hanging="300"/>
        <w:spacing w:after="0"/>
        <w:tabs>
          <w:tab w:leader="none" w:pos="116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Major Investor</w:t>
      </w:r>
      <w:r>
        <w:rPr>
          <w:rFonts w:ascii="Arial" w:cs="Arial" w:eastAsia="Arial" w:hAnsi="Arial"/>
          <w:sz w:val="16"/>
          <w:szCs w:val="16"/>
          <w:color w:val="auto"/>
        </w:rPr>
        <w:t>” shall have the meaning set forth in Section 3.1(a).</w:t>
      </w:r>
    </w:p>
    <w:p>
      <w:pPr>
        <w:spacing w:after="0" w:line="193" w:lineRule="exact"/>
        <w:rPr>
          <w:rFonts w:ascii="Arial" w:cs="Arial" w:eastAsia="Arial" w:hAnsi="Arial"/>
          <w:sz w:val="16"/>
          <w:szCs w:val="16"/>
          <w:color w:val="auto"/>
        </w:rPr>
      </w:pPr>
    </w:p>
    <w:p>
      <w:pPr>
        <w:ind w:left="1206" w:hanging="340"/>
        <w:spacing w:after="0"/>
        <w:tabs>
          <w:tab w:leader="none" w:pos="120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Securities</w:t>
      </w:r>
      <w:r>
        <w:rPr>
          <w:rFonts w:ascii="Arial" w:cs="Arial" w:eastAsia="Arial" w:hAnsi="Arial"/>
          <w:sz w:val="16"/>
          <w:szCs w:val="16"/>
          <w:color w:val="auto"/>
        </w:rPr>
        <w:t>” shall have the meaning set forth in Section 4.1(b).</w:t>
      </w:r>
    </w:p>
    <w:p>
      <w:pPr>
        <w:spacing w:after="0" w:line="193" w:lineRule="exact"/>
        <w:rPr>
          <w:rFonts w:ascii="Arial" w:cs="Arial" w:eastAsia="Arial" w:hAnsi="Arial"/>
          <w:sz w:val="16"/>
          <w:szCs w:val="16"/>
          <w:color w:val="auto"/>
        </w:rPr>
      </w:pPr>
    </w:p>
    <w:p>
      <w:pPr>
        <w:ind w:left="6" w:right="60" w:firstLine="860"/>
        <w:spacing w:after="0" w:line="266" w:lineRule="auto"/>
        <w:tabs>
          <w:tab w:leader="none" w:pos="117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Selling Stockholders</w:t>
      </w:r>
      <w:r>
        <w:rPr>
          <w:rFonts w:ascii="Arial" w:cs="Arial" w:eastAsia="Arial" w:hAnsi="Arial"/>
          <w:sz w:val="16"/>
          <w:szCs w:val="16"/>
          <w:color w:val="auto"/>
        </w:rPr>
        <w:t>” shall mean persons other than Holders who, by virtue of agreements with the Company, are entitled to include their Other Shares in certain registrations hereunder.</w:t>
      </w:r>
    </w:p>
    <w:p>
      <w:pPr>
        <w:spacing w:after="0" w:line="158" w:lineRule="exact"/>
        <w:rPr>
          <w:rFonts w:ascii="Arial" w:cs="Arial" w:eastAsia="Arial" w:hAnsi="Arial"/>
          <w:sz w:val="16"/>
          <w:szCs w:val="16"/>
          <w:color w:val="auto"/>
        </w:rPr>
      </w:pPr>
    </w:p>
    <w:p>
      <w:pPr>
        <w:ind w:left="6" w:right="220" w:firstLine="860"/>
        <w:spacing w:after="0" w:line="266" w:lineRule="auto"/>
        <w:tabs>
          <w:tab w:leader="none" w:pos="125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Shares</w:t>
      </w:r>
      <w:r>
        <w:rPr>
          <w:rFonts w:ascii="Arial" w:cs="Arial" w:eastAsia="Arial" w:hAnsi="Arial"/>
          <w:sz w:val="16"/>
          <w:szCs w:val="16"/>
          <w:color w:val="auto"/>
        </w:rPr>
        <w:t>” shall mean shares of Common Stock, other than Registrable Securities (as defined below), with respect to which registration rights have been granted.</w:t>
      </w:r>
    </w:p>
    <w:p>
      <w:pPr>
        <w:spacing w:after="0" w:line="158" w:lineRule="exact"/>
        <w:rPr>
          <w:rFonts w:ascii="Arial" w:cs="Arial" w:eastAsia="Arial" w:hAnsi="Arial"/>
          <w:sz w:val="16"/>
          <w:szCs w:val="16"/>
          <w:color w:val="auto"/>
        </w:rPr>
      </w:pPr>
    </w:p>
    <w:p>
      <w:pPr>
        <w:ind w:left="1206" w:hanging="340"/>
        <w:spacing w:after="0"/>
        <w:tabs>
          <w:tab w:leader="none" w:pos="120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shall have the meaning set forth in the Recitals.</w:t>
      </w:r>
    </w:p>
    <w:p>
      <w:pPr>
        <w:spacing w:after="0" w:line="193" w:lineRule="exact"/>
        <w:rPr>
          <w:rFonts w:ascii="Arial" w:cs="Arial" w:eastAsia="Arial" w:hAnsi="Arial"/>
          <w:sz w:val="16"/>
          <w:szCs w:val="16"/>
          <w:color w:val="auto"/>
        </w:rPr>
      </w:pPr>
    </w:p>
    <w:p>
      <w:pPr>
        <w:ind w:left="1206" w:hanging="340"/>
        <w:spacing w:after="0"/>
        <w:tabs>
          <w:tab w:leader="none" w:pos="1206" w:val="left"/>
        </w:tabs>
        <w:numPr>
          <w:ilvl w:val="0"/>
          <w:numId w:val="23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Registrable Securities</w:t>
      </w:r>
      <w:r>
        <w:rPr>
          <w:rFonts w:ascii="Arial" w:cs="Arial" w:eastAsia="Arial" w:hAnsi="Arial"/>
          <w:sz w:val="13"/>
          <w:szCs w:val="13"/>
          <w:color w:val="auto"/>
        </w:rPr>
        <w:t>” shall mean (i) shares of Common Stock issued or issuable pursuant to the conversion of the Shares and</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5"/>
          <w:szCs w:val="15"/>
          <w:color w:val="auto"/>
        </w:rPr>
        <w:t>(ii) any Common Stock issued as a dividend or other distribution with respect to or in exchange for or in replacement of the shares referenced in</w:t>
      </w:r>
    </w:p>
    <w:p>
      <w:pPr>
        <w:spacing w:after="0" w:line="16" w:lineRule="exact"/>
        <w:rPr>
          <w:sz w:val="20"/>
          <w:szCs w:val="20"/>
          <w:color w:val="auto"/>
        </w:rPr>
      </w:pPr>
    </w:p>
    <w:p>
      <w:pPr>
        <w:ind w:left="6" w:right="60" w:hanging="6"/>
        <w:spacing w:after="0" w:line="334" w:lineRule="auto"/>
        <w:tabs>
          <w:tab w:leader="none" w:pos="194" w:val="left"/>
        </w:tabs>
        <w:numPr>
          <w:ilvl w:val="0"/>
          <w:numId w:val="234"/>
        </w:numPr>
        <w:rPr>
          <w:rFonts w:ascii="Arial" w:cs="Arial" w:eastAsia="Arial" w:hAnsi="Arial"/>
          <w:sz w:val="13"/>
          <w:szCs w:val="13"/>
          <w:color w:val="auto"/>
        </w:rPr>
      </w:pPr>
      <w:r>
        <w:rPr>
          <w:rFonts w:ascii="Arial" w:cs="Arial" w:eastAsia="Arial" w:hAnsi="Arial"/>
          <w:sz w:val="13"/>
          <w:szCs w:val="13"/>
          <w:color w:val="auto"/>
        </w:rPr>
        <w:t xml:space="preserve">above;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Registrable Securities shall not include any shares of Common Stock described in clause (i) or (ii) above which have previously been registered or which have been sold to the public either pursuant to a registration statement or Rule 144, or which have been sold in a private transaction in which the transferor’s rights under this Agreement are not validly assigned in accordance with this Agreement.</w:t>
      </w:r>
    </w:p>
    <w:p>
      <w:pPr>
        <w:spacing w:after="0" w:line="119" w:lineRule="exact"/>
        <w:rPr>
          <w:rFonts w:ascii="Arial" w:cs="Arial" w:eastAsia="Arial" w:hAnsi="Arial"/>
          <w:sz w:val="13"/>
          <w:szCs w:val="13"/>
          <w:color w:val="auto"/>
        </w:rPr>
      </w:pPr>
    </w:p>
    <w:p>
      <w:pPr>
        <w:ind w:left="6" w:right="160" w:firstLine="860"/>
        <w:spacing w:after="0" w:line="256" w:lineRule="auto"/>
        <w:tabs>
          <w:tab w:leader="none" w:pos="1209"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refer to a registration effected by preparing and filing a registration statement in compliance with the Securities Act (as defined below) and applicable rules and regulations thereunder, and the declaration or ordering of the effectiveness of such registration statement.</w:t>
      </w:r>
    </w:p>
    <w:p>
      <w:pPr>
        <w:spacing w:after="0" w:line="165" w:lineRule="exact"/>
        <w:rPr>
          <w:rFonts w:ascii="Arial" w:cs="Arial" w:eastAsia="Arial" w:hAnsi="Arial"/>
          <w:sz w:val="16"/>
          <w:szCs w:val="16"/>
          <w:color w:val="auto"/>
        </w:rPr>
      </w:pPr>
    </w:p>
    <w:p>
      <w:pPr>
        <w:ind w:left="6" w:right="60" w:firstLine="860"/>
        <w:spacing w:after="0" w:line="272" w:lineRule="auto"/>
        <w:tabs>
          <w:tab w:leader="none" w:pos="1212" w:val="left"/>
        </w:tabs>
        <w:numPr>
          <w:ilvl w:val="1"/>
          <w:numId w:val="2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Expenses</w:t>
      </w:r>
      <w:r>
        <w:rPr>
          <w:rFonts w:ascii="Arial" w:cs="Arial" w:eastAsia="Arial" w:hAnsi="Arial"/>
          <w:sz w:val="15"/>
          <w:szCs w:val="15"/>
          <w:color w:val="auto"/>
        </w:rPr>
        <w:t>” shall mean all expenses incurred in effecting any registration pursuant to this Agreement, including, without limitation, all registration, qualification, and filing fees, printing expenses, escrow fees, fees and disbursements of counsel for the Company, reasonable documented fees and disbursements of one special counsel for the Holders not to exceed $50,000, blue sky fees and expenses, and expenses of any regular or special audits incident to or required by any such registration, but shall not include Selling Expenses, and the compensation of regular employees of the Company, which shall be paid in any event by the Company.</w:t>
      </w:r>
    </w:p>
    <w:p>
      <w:pPr>
        <w:spacing w:after="0" w:line="95"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566"/>
          </w:cols>
          <w:pgMar w:left="1134" w:top="256" w:right="1199" w:bottom="1440" w:gutter="0" w:footer="0" w:header="0"/>
        </w:sectPr>
      </w:pPr>
    </w:p>
    <w:bookmarkStart w:id="389" w:name="page390"/>
    <w:bookmarkEnd w:id="389"/>
    <w:p>
      <w:pPr>
        <w:ind w:left="1180" w:hanging="320"/>
        <w:spacing w:after="0"/>
        <w:tabs>
          <w:tab w:leader="none" w:pos="1180" w:val="left"/>
        </w:tabs>
        <w:numPr>
          <w:ilvl w:val="0"/>
          <w:numId w:val="23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t>
      </w:r>
      <w:r>
        <w:rPr>
          <w:rFonts w:ascii="Arial" w:cs="Arial" w:eastAsia="Arial" w:hAnsi="Arial"/>
          <w:sz w:val="13"/>
          <w:szCs w:val="13"/>
          <w:b w:val="1"/>
          <w:bCs w:val="1"/>
          <w:i w:val="1"/>
          <w:iCs w:val="1"/>
          <w:color w:val="auto"/>
        </w:rPr>
        <w:t>Restated Certificate</w:t>
      </w:r>
      <w:r>
        <w:rPr>
          <w:rFonts w:ascii="Arial" w:cs="Arial" w:eastAsia="Arial" w:hAnsi="Arial"/>
          <w:sz w:val="13"/>
          <w:szCs w:val="13"/>
          <w:color w:val="auto"/>
        </w:rPr>
        <w:t>” shall mean the Company’s Amended and Restated Certificate of Incorporation, as the same may be amended</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from time to time.</w:t>
      </w:r>
    </w:p>
    <w:p>
      <w:pPr>
        <w:spacing w:after="0" w:line="181" w:lineRule="exact"/>
        <w:rPr>
          <w:rFonts w:ascii="Arial" w:cs="Arial" w:eastAsia="Arial" w:hAnsi="Arial"/>
          <w:sz w:val="13"/>
          <w:szCs w:val="13"/>
          <w:color w:val="auto"/>
        </w:rPr>
      </w:pPr>
    </w:p>
    <w:p>
      <w:pPr>
        <w:ind w:left="1180" w:hanging="320"/>
        <w:spacing w:after="0"/>
        <w:tabs>
          <w:tab w:leader="none" w:pos="118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Securities</w:t>
      </w:r>
      <w:r>
        <w:rPr>
          <w:rFonts w:ascii="Arial" w:cs="Arial" w:eastAsia="Arial" w:hAnsi="Arial"/>
          <w:sz w:val="15"/>
          <w:szCs w:val="15"/>
          <w:color w:val="auto"/>
        </w:rPr>
        <w:t>” shall mean any Registrable Securities required to bear the first legend set forth in Section 2.8(b).</w:t>
      </w:r>
    </w:p>
    <w:p>
      <w:pPr>
        <w:spacing w:after="0" w:line="204" w:lineRule="exact"/>
        <w:rPr>
          <w:rFonts w:ascii="Arial" w:cs="Arial" w:eastAsia="Arial" w:hAnsi="Arial"/>
          <w:sz w:val="15"/>
          <w:szCs w:val="15"/>
          <w:color w:val="auto"/>
        </w:rPr>
      </w:pPr>
    </w:p>
    <w:p>
      <w:pPr>
        <w:ind w:right="240" w:firstLine="860"/>
        <w:spacing w:after="0" w:line="266" w:lineRule="auto"/>
        <w:tabs>
          <w:tab w:leader="none" w:pos="117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shall mean Rule 144 as promulgated by the Commission under the Securities Act, as such Rule may be amended from time to time, or any similar successor rule that may be promulgated by the Commission.</w:t>
      </w:r>
    </w:p>
    <w:p>
      <w:pPr>
        <w:spacing w:after="0" w:line="158" w:lineRule="exact"/>
        <w:rPr>
          <w:rFonts w:ascii="Arial" w:cs="Arial" w:eastAsia="Arial" w:hAnsi="Arial"/>
          <w:sz w:val="16"/>
          <w:szCs w:val="16"/>
          <w:color w:val="auto"/>
        </w:rPr>
      </w:pPr>
    </w:p>
    <w:p>
      <w:pPr>
        <w:ind w:right="220" w:firstLine="860"/>
        <w:spacing w:after="0" w:line="266" w:lineRule="auto"/>
        <w:tabs>
          <w:tab w:leader="none" w:pos="120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145</w:t>
      </w:r>
      <w:r>
        <w:rPr>
          <w:rFonts w:ascii="Arial" w:cs="Arial" w:eastAsia="Arial" w:hAnsi="Arial"/>
          <w:sz w:val="16"/>
          <w:szCs w:val="16"/>
          <w:color w:val="auto"/>
        </w:rPr>
        <w:t>” shall mean Rule 145 as promulgated by the Commission under the Securities Act, as such Rule may be amended from time to time, or any similar successor rule that may be promulgated by the Commission</w:t>
      </w:r>
    </w:p>
    <w:p>
      <w:pPr>
        <w:spacing w:after="0" w:line="158" w:lineRule="exact"/>
        <w:rPr>
          <w:rFonts w:ascii="Arial" w:cs="Arial" w:eastAsia="Arial" w:hAnsi="Arial"/>
          <w:sz w:val="16"/>
          <w:szCs w:val="16"/>
          <w:color w:val="auto"/>
        </w:rPr>
      </w:pPr>
    </w:p>
    <w:p>
      <w:pPr>
        <w:ind w:right="220" w:firstLine="860"/>
        <w:spacing w:after="0" w:line="266" w:lineRule="auto"/>
        <w:tabs>
          <w:tab w:leader="none" w:pos="120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415</w:t>
      </w:r>
      <w:r>
        <w:rPr>
          <w:rFonts w:ascii="Arial" w:cs="Arial" w:eastAsia="Arial" w:hAnsi="Arial"/>
          <w:sz w:val="16"/>
          <w:szCs w:val="16"/>
          <w:color w:val="auto"/>
        </w:rPr>
        <w:t>” shall mean Rule 415 as promulgated by the Commission under the Securities Act, as such Rule may be amended from time to time, or any similar successor rule that may be promulgated by the Commission.</w:t>
      </w:r>
    </w:p>
    <w:p>
      <w:pPr>
        <w:spacing w:after="0" w:line="158" w:lineRule="exact"/>
        <w:rPr>
          <w:rFonts w:ascii="Arial" w:cs="Arial" w:eastAsia="Arial" w:hAnsi="Arial"/>
          <w:sz w:val="16"/>
          <w:szCs w:val="16"/>
          <w:color w:val="auto"/>
        </w:rPr>
      </w:pPr>
    </w:p>
    <w:p>
      <w:pPr>
        <w:ind w:right="500" w:firstLine="860"/>
        <w:spacing w:after="0" w:line="266" w:lineRule="auto"/>
        <w:tabs>
          <w:tab w:leader="none" w:pos="124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shall mean the Securities Act of 1933, as amended, or any similar successor federal statute and the rules and regulations thereunder, all as the same shall be in effect from time to time.</w:t>
      </w:r>
    </w:p>
    <w:p>
      <w:pPr>
        <w:spacing w:after="0" w:line="158" w:lineRule="exact"/>
        <w:rPr>
          <w:rFonts w:ascii="Arial" w:cs="Arial" w:eastAsia="Arial" w:hAnsi="Arial"/>
          <w:sz w:val="16"/>
          <w:szCs w:val="16"/>
          <w:color w:val="auto"/>
        </w:rPr>
      </w:pPr>
    </w:p>
    <w:p>
      <w:pPr>
        <w:ind w:firstLine="860"/>
        <w:spacing w:after="0" w:line="256" w:lineRule="auto"/>
        <w:tabs>
          <w:tab w:leader="none" w:pos="120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Selling Expenses</w:t>
      </w:r>
      <w:r>
        <w:rPr>
          <w:rFonts w:ascii="Arial" w:cs="Arial" w:eastAsia="Arial" w:hAnsi="Arial"/>
          <w:sz w:val="16"/>
          <w:szCs w:val="16"/>
          <w:color w:val="auto"/>
        </w:rPr>
        <w:t>” shall mean all underwriting discounts, selling commissions and stock transfer taxes applicable to the sale of Registrable Securities and fees and disbursements of counsel for any Holder (other than the fees and disbursements of one special counsel to the Holders included in Registration Expenses).</w:t>
      </w:r>
    </w:p>
    <w:p>
      <w:pPr>
        <w:spacing w:after="0" w:line="165" w:lineRule="exact"/>
        <w:rPr>
          <w:rFonts w:ascii="Arial" w:cs="Arial" w:eastAsia="Arial" w:hAnsi="Arial"/>
          <w:sz w:val="16"/>
          <w:szCs w:val="16"/>
          <w:color w:val="auto"/>
        </w:rPr>
      </w:pPr>
    </w:p>
    <w:p>
      <w:pPr>
        <w:ind w:left="1240" w:hanging="380"/>
        <w:spacing w:after="0"/>
        <w:tabs>
          <w:tab w:leader="none" w:pos="12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shall mean the Series A Preferred Stock, Series B Preferred Stock and Series C Preferred Stock.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w:t>
      </w:r>
    </w:p>
    <w:p>
      <w:pPr>
        <w:spacing w:after="0" w:line="193"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3"/>
          <w:szCs w:val="13"/>
          <w:b w:val="1"/>
          <w:bCs w:val="1"/>
          <w:color w:val="auto"/>
        </w:rPr>
        <w:t>Requested Registration</w:t>
      </w:r>
      <w:r>
        <w:rPr>
          <w:rFonts w:ascii="Arial" w:cs="Arial" w:eastAsia="Arial" w:hAnsi="Arial"/>
          <w:sz w:val="13"/>
          <w:szCs w:val="13"/>
          <w:color w:val="auto"/>
        </w:rPr>
        <w:t>.</w:t>
      </w:r>
    </w:p>
    <w:p>
      <w:pPr>
        <w:spacing w:after="0" w:line="197" w:lineRule="exact"/>
        <w:rPr>
          <w:sz w:val="20"/>
          <w:szCs w:val="20"/>
          <w:color w:val="auto"/>
        </w:rPr>
      </w:pPr>
    </w:p>
    <w:p>
      <w:pPr>
        <w:ind w:firstLine="860"/>
        <w:spacing w:after="0" w:line="253" w:lineRule="auto"/>
        <w:tabs>
          <w:tab w:leader="none" w:pos="1276" w:val="left"/>
        </w:tabs>
        <w:numPr>
          <w:ilvl w:val="0"/>
          <w:numId w:val="2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Request for Registration. </w:t>
      </w:r>
      <w:r>
        <w:rPr>
          <w:rFonts w:ascii="Arial" w:cs="Arial" w:eastAsia="Arial" w:hAnsi="Arial"/>
          <w:sz w:val="16"/>
          <w:szCs w:val="16"/>
          <w:color w:val="auto"/>
        </w:rPr>
        <w:t>Subject to the conditions set forth in this Section 2.1, if the Company shall receive from Initiating 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written request signed by such Initiating Holders that the Company effect any registration with respect to all or a part of the Registrable Securities (such request shall state the number of shares of Registrable Securities to be disposed of and the intended methods of disposition of such shares by such Initiating Holders), the Company will:</w:t>
      </w:r>
    </w:p>
    <w:p>
      <w:pPr>
        <w:spacing w:after="0" w:line="167" w:lineRule="exact"/>
        <w:rPr>
          <w:sz w:val="20"/>
          <w:szCs w:val="20"/>
          <w:color w:val="auto"/>
        </w:rPr>
      </w:pPr>
    </w:p>
    <w:p>
      <w:pPr>
        <w:ind w:left="4760" w:right="2920" w:hanging="3516"/>
        <w:spacing w:after="0" w:line="436" w:lineRule="auto"/>
        <w:tabs>
          <w:tab w:leader="none" w:pos="154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to all other Holders; and 3</w:t>
      </w:r>
    </w:p>
    <w:p>
      <w:pPr>
        <w:sectPr>
          <w:pgSz w:w="11900" w:h="16838" w:orient="portrait"/>
          <w:cols w:equalWidth="0" w:num="1">
            <w:col w:w="9600"/>
          </w:cols>
          <w:pgMar w:left="1140" w:top="257" w:right="1159" w:bottom="1440" w:gutter="0" w:footer="0" w:header="0"/>
        </w:sectPr>
      </w:pPr>
    </w:p>
    <w:bookmarkStart w:id="390" w:name="page391"/>
    <w:bookmarkEnd w:id="390"/>
    <w:p>
      <w:pPr>
        <w:ind w:firstLine="1244"/>
        <w:spacing w:after="0" w:line="323" w:lineRule="auto"/>
        <w:tabs>
          <w:tab w:leader="none" w:pos="1600" w:val="left"/>
        </w:tabs>
        <w:numPr>
          <w:ilvl w:val="1"/>
          <w:numId w:val="23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as soon as practicable, file and use its commercially reasonable efforts to effect such registration (including, without limitation, filing post-effective amendments, appropriate qualifications under applicable blue sky or other state securities laws, and appropriate compliance with the Securities Act) and to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such written notice from the Company is mailed or delivered.</w:t>
      </w:r>
    </w:p>
    <w:p>
      <w:pPr>
        <w:spacing w:after="0" w:line="125" w:lineRule="exact"/>
        <w:rPr>
          <w:rFonts w:ascii="Arial" w:cs="Arial" w:eastAsia="Arial" w:hAnsi="Arial"/>
          <w:sz w:val="13"/>
          <w:szCs w:val="13"/>
          <w:color w:val="auto"/>
        </w:rPr>
      </w:pPr>
    </w:p>
    <w:p>
      <w:pPr>
        <w:ind w:right="420" w:firstLine="860"/>
        <w:spacing w:after="0" w:line="266" w:lineRule="auto"/>
        <w:tabs>
          <w:tab w:leader="none" w:pos="1245" w:val="left"/>
        </w:tabs>
        <w:numPr>
          <w:ilvl w:val="0"/>
          <w:numId w:val="2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Limitations on Requested Registration. </w:t>
      </w:r>
      <w:r>
        <w:rPr>
          <w:rFonts w:ascii="Arial" w:cs="Arial" w:eastAsia="Arial" w:hAnsi="Arial"/>
          <w:sz w:val="16"/>
          <w:szCs w:val="16"/>
          <w:color w:val="auto"/>
        </w:rPr>
        <w:t>The Company shall not be obligated to effect, or to take any action to effect,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pursuant to this Section 2.1:</w:t>
      </w:r>
    </w:p>
    <w:p>
      <w:pPr>
        <w:spacing w:after="0" w:line="158" w:lineRule="exact"/>
        <w:rPr>
          <w:rFonts w:ascii="Arial" w:cs="Arial" w:eastAsia="Arial" w:hAnsi="Arial"/>
          <w:sz w:val="16"/>
          <w:szCs w:val="16"/>
          <w:color w:val="auto"/>
        </w:rPr>
      </w:pPr>
    </w:p>
    <w:p>
      <w:pPr>
        <w:ind w:right="140" w:firstLine="1244"/>
        <w:spacing w:after="0" w:line="281" w:lineRule="auto"/>
        <w:tabs>
          <w:tab w:leader="none" w:pos="1556" w:val="left"/>
        </w:tabs>
        <w:numPr>
          <w:ilvl w:val="1"/>
          <w:numId w:val="239"/>
        </w:numPr>
        <w:rPr>
          <w:rFonts w:ascii="Arial" w:cs="Arial" w:eastAsia="Arial" w:hAnsi="Arial"/>
          <w:sz w:val="15"/>
          <w:szCs w:val="15"/>
          <w:color w:val="auto"/>
        </w:rPr>
      </w:pPr>
      <w:r>
        <w:rPr>
          <w:rFonts w:ascii="Arial" w:cs="Arial" w:eastAsia="Arial" w:hAnsi="Arial"/>
          <w:sz w:val="15"/>
          <w:szCs w:val="15"/>
          <w:color w:val="auto"/>
        </w:rPr>
        <w:t>Prior to the earlier of (A) the five (5) year anniversary of the date of this Agreement or (B) one hundred and eighty (180) days following the effective date of the first registration statement filed by the Company covering an underwritten offering of any of its securities to the general public (or the subsequent date on which all market stand-off agreements applicable to the offering have terminated);</w:t>
      </w:r>
    </w:p>
    <w:p>
      <w:pPr>
        <w:spacing w:after="0" w:line="149" w:lineRule="exact"/>
        <w:rPr>
          <w:sz w:val="20"/>
          <w:szCs w:val="20"/>
          <w:color w:val="auto"/>
        </w:rPr>
      </w:pPr>
    </w:p>
    <w:p>
      <w:pPr>
        <w:ind w:right="160" w:firstLine="1244"/>
        <w:spacing w:after="0" w:line="256" w:lineRule="auto"/>
        <w:tabs>
          <w:tab w:leader="none" w:pos="160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If the Initiating Holders, together with the holders of any other securities of the Company entitled to inclusion in such registration statement, propose to sell Registrable Securities and such other securities (if any) the aggregate gross proceeds of which (before deduction for underwriter’s discounts and expenses related to the issuance) are less than $10,000,000;</w:t>
      </w:r>
    </w:p>
    <w:p>
      <w:pPr>
        <w:spacing w:after="0" w:line="165" w:lineRule="exact"/>
        <w:rPr>
          <w:rFonts w:ascii="Arial" w:cs="Arial" w:eastAsia="Arial" w:hAnsi="Arial"/>
          <w:sz w:val="16"/>
          <w:szCs w:val="16"/>
          <w:color w:val="auto"/>
        </w:rPr>
      </w:pPr>
    </w:p>
    <w:p>
      <w:pPr>
        <w:ind w:right="220" w:firstLine="1244"/>
        <w:spacing w:after="0" w:line="256" w:lineRule="auto"/>
        <w:tabs>
          <w:tab w:leader="none" w:pos="1643"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165" w:lineRule="exact"/>
        <w:rPr>
          <w:rFonts w:ascii="Arial" w:cs="Arial" w:eastAsia="Arial" w:hAnsi="Arial"/>
          <w:sz w:val="16"/>
          <w:szCs w:val="16"/>
          <w:color w:val="auto"/>
        </w:rPr>
      </w:pPr>
    </w:p>
    <w:p>
      <w:pPr>
        <w:ind w:right="440" w:firstLine="1244"/>
        <w:spacing w:after="0" w:line="266" w:lineRule="auto"/>
        <w:tabs>
          <w:tab w:leader="none" w:pos="1626" w:val="left"/>
        </w:tabs>
        <w:numPr>
          <w:ilvl w:val="1"/>
          <w:numId w:val="240"/>
        </w:numPr>
        <w:rPr>
          <w:rFonts w:ascii="Arial" w:cs="Arial" w:eastAsia="Arial" w:hAnsi="Arial"/>
          <w:sz w:val="16"/>
          <w:szCs w:val="16"/>
          <w:color w:val="auto"/>
        </w:rPr>
      </w:pPr>
      <w:r>
        <w:rPr>
          <w:rFonts w:ascii="Arial" w:cs="Arial" w:eastAsia="Arial" w:hAnsi="Arial"/>
          <w:sz w:val="16"/>
          <w:szCs w:val="16"/>
          <w:color w:val="auto"/>
        </w:rPr>
        <w:t>After the Company has effected two (2) such registrations pursuant to this Section 2.1 (and such registrations have been declared or ordered effective);</w:t>
      </w:r>
    </w:p>
    <w:p>
      <w:pPr>
        <w:spacing w:after="0" w:line="158" w:lineRule="exact"/>
        <w:rPr>
          <w:rFonts w:ascii="Arial" w:cs="Arial" w:eastAsia="Arial" w:hAnsi="Arial"/>
          <w:sz w:val="16"/>
          <w:szCs w:val="16"/>
          <w:color w:val="auto"/>
        </w:rPr>
      </w:pPr>
    </w:p>
    <w:p>
      <w:pPr>
        <w:jc w:val="both"/>
        <w:ind w:right="100" w:firstLine="1244"/>
        <w:spacing w:after="0" w:line="253" w:lineRule="auto"/>
        <w:tabs>
          <w:tab w:leader="none" w:pos="1591"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During the period starting with the date sixty (60) days prior to the Company’s good faith estimate of the date of filing of, and ending on a date one hundred eighty (180) days after the effective date of, a Company-initiated registration (or ending on the subsequent date on which all market stand-off agreements applicable to the offering have terminated);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w:t>
      </w:r>
    </w:p>
    <w:p>
      <w:pPr>
        <w:spacing w:after="0" w:line="167" w:lineRule="exact"/>
        <w:rPr>
          <w:rFonts w:ascii="Arial" w:cs="Arial" w:eastAsia="Arial" w:hAnsi="Arial"/>
          <w:sz w:val="16"/>
          <w:szCs w:val="16"/>
          <w:color w:val="auto"/>
        </w:rPr>
      </w:pPr>
    </w:p>
    <w:p>
      <w:pPr>
        <w:ind w:right="80" w:firstLine="1244"/>
        <w:spacing w:after="0" w:line="266" w:lineRule="auto"/>
        <w:tabs>
          <w:tab w:leader="none" w:pos="1635"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If the Initiating Holders propose to dispose of shares of Registrable Securities that may be registered on Form S-3 pursuant to a request made under Section 2.3.</w:t>
      </w:r>
    </w:p>
    <w:p>
      <w:pPr>
        <w:spacing w:after="0" w:line="158" w:lineRule="exact"/>
        <w:rPr>
          <w:rFonts w:ascii="Arial" w:cs="Arial" w:eastAsia="Arial" w:hAnsi="Arial"/>
          <w:sz w:val="16"/>
          <w:szCs w:val="16"/>
          <w:color w:val="auto"/>
        </w:rPr>
      </w:pPr>
    </w:p>
    <w:p>
      <w:pPr>
        <w:ind w:right="220" w:firstLine="860"/>
        <w:spacing w:after="0" w:line="253" w:lineRule="auto"/>
        <w:tabs>
          <w:tab w:leader="none" w:pos="1236" w:val="left"/>
        </w:tabs>
        <w:numPr>
          <w:ilvl w:val="0"/>
          <w:numId w:val="2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Deferral. </w:t>
      </w:r>
      <w:r>
        <w:rPr>
          <w:rFonts w:ascii="Arial" w:cs="Arial" w:eastAsia="Arial" w:hAnsi="Arial"/>
          <w:sz w:val="16"/>
          <w:szCs w:val="16"/>
          <w:color w:val="auto"/>
        </w:rPr>
        <w:t>If (i) in the good faith judgment of the Board of Directors, the filing of a registration statement covering the Registrable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would be materially detrimental to the Company and the Board of Directors concludes, as a result, that it is in the best interests of the Company to defer the filing of such registration statement at such time, and (ii) the Company shall furnish to such Holders a certificate signed by the President of the Company stating that in the good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00"/>
          </w:cols>
          <w:pgMar w:left="1140" w:top="256" w:right="1159" w:bottom="1440" w:gutter="0" w:footer="0" w:header="0"/>
        </w:sectPr>
      </w:pPr>
    </w:p>
    <w:bookmarkStart w:id="391" w:name="page392"/>
    <w:bookmarkEnd w:id="391"/>
    <w:p>
      <w:pPr>
        <w:ind w:right="4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faith judgment of the Board of Directors, it would be materially detrimental to the Company for such registration statement to be filed in the near future and that it is, therefore, in the best interests of the Company to defer the filing of such registration statement, then (in addition to the limitations set forth in Section 2.1(b)(v) above) the Company shall have the right to defer such filing for a period of not more than ninety (90) days after receipt of the request of the Initiating Holders,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not defer its obligation in this manner more than two (2) times in any twelve-month period.</w:t>
      </w:r>
    </w:p>
    <w:p>
      <w:pPr>
        <w:spacing w:after="0" w:line="170" w:lineRule="exact"/>
        <w:rPr>
          <w:sz w:val="20"/>
          <w:szCs w:val="20"/>
          <w:color w:val="auto"/>
        </w:rPr>
      </w:pPr>
    </w:p>
    <w:p>
      <w:pPr>
        <w:ind w:right="20" w:firstLine="860"/>
        <w:spacing w:after="0" w:line="265" w:lineRule="auto"/>
        <w:tabs>
          <w:tab w:leader="none" w:pos="1206" w:val="left"/>
        </w:tabs>
        <w:numPr>
          <w:ilvl w:val="0"/>
          <w:numId w:val="24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Underwriting. </w:t>
      </w:r>
      <w:r>
        <w:rPr>
          <w:rFonts w:ascii="Arial" w:cs="Arial" w:eastAsia="Arial" w:hAnsi="Arial"/>
          <w:sz w:val="15"/>
          <w:szCs w:val="15"/>
          <w:color w:val="auto"/>
        </w:rPr>
        <w:t>If the Initiating Holders intend to distribute the Registrable Securities covered by their request by means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underwriting, they shall so advise the Company as a part of their request made pursuant to this Section 2.1 and the Company shall include such information in the written notice given pursuant to Section 2.1(a)(i). In such event, the right of any Holder to include all or any portion of its Registrable Securities in such registration pursuant to this Section 2.1 shall be conditioned upon such Holder’s participation in such underwriting and the inclusion of such Holder’s Registrable Securities to the extent provided herein. If the Company shall request inclusion in any registration pursuant to Section 2.1 of securities being sold for its own account, or if other persons shall request inclusion in any registration pursuant to Section 2.1, the Initiating Holders shall, on behalf of all Holders, offer to include such securities in the underwriting and such offer shall be conditioned upon the participation of the Company or such other persons in such underwriting and the inclusion of the Company’s and such person’s other securities of the Company and their acceptance of the further applicable provisions of this Section 2 (including Section 2.10). The Company shall (together with all Holders and other persons proposing to distribute their securities through such underwriting) enter into an underwriting agreement in customary form with the representative of the underwriter or underwriters selected for such underwriting by the Company, which underwriters are reasonably acceptable to a majority-in-interest of the Initiating Holders.</w:t>
      </w:r>
    </w:p>
    <w:p>
      <w:pPr>
        <w:spacing w:after="0" w:line="167" w:lineRule="exact"/>
        <w:rPr>
          <w:sz w:val="20"/>
          <w:szCs w:val="20"/>
          <w:color w:val="auto"/>
        </w:rPr>
      </w:pPr>
    </w:p>
    <w:p>
      <w:pPr>
        <w:ind w:firstLine="385"/>
        <w:spacing w:after="0" w:line="323" w:lineRule="auto"/>
        <w:rPr>
          <w:sz w:val="20"/>
          <w:szCs w:val="20"/>
          <w:color w:val="auto"/>
        </w:rPr>
      </w:pPr>
      <w:r>
        <w:rPr>
          <w:rFonts w:ascii="Arial" w:cs="Arial" w:eastAsia="Arial" w:hAnsi="Arial"/>
          <w:sz w:val="13"/>
          <w:szCs w:val="13"/>
          <w:color w:val="auto"/>
        </w:rPr>
        <w:t xml:space="preserve">Notwithstanding any other provision of this Section 2.1, if the underwriters advise the Initiating Holders in writing that marketing factors require a limitation on the number of shares to be underwritten, the number of Registrable Securities and Other Shares that may be so included shall be allocated as follows: (i) first, among all Holders requesting to include Registrable Securities in such registration statement based on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percentage of Registrable Securities held by such Holders, assuming conversion; (ii) second, to the Other Selling Stockholders; and (iii) third, to the Company, which the Company may allocate, at its discretion, for its own account, or for the account of other holders or employees of the Company.</w:t>
      </w:r>
    </w:p>
    <w:p>
      <w:pPr>
        <w:spacing w:after="0" w:line="126" w:lineRule="exact"/>
        <w:rPr>
          <w:sz w:val="20"/>
          <w:szCs w:val="20"/>
          <w:color w:val="auto"/>
        </w:rPr>
      </w:pPr>
    </w:p>
    <w:p>
      <w:pPr>
        <w:ind w:right="20" w:firstLine="385"/>
        <w:spacing w:after="0" w:line="267" w:lineRule="auto"/>
        <w:rPr>
          <w:sz w:val="20"/>
          <w:szCs w:val="20"/>
          <w:color w:val="auto"/>
        </w:rPr>
      </w:pPr>
      <w:r>
        <w:rPr>
          <w:rFonts w:ascii="Arial" w:cs="Arial" w:eastAsia="Arial" w:hAnsi="Arial"/>
          <w:sz w:val="15"/>
          <w:szCs w:val="15"/>
          <w:color w:val="auto"/>
        </w:rPr>
        <w:t>If a person who has requested inclusion in such registration as provided above does not agree to the terms of any such underwriting, such person shall be excluded therefrom by written notice from the Company, the underwriter or the Initiating Holders. The securities so excluded shall also be withdrawn from registration. Any Registrable Securities or other securities excluded or withdrawn from such underwriting shall also be withdrawn from such registration. If shares are so withdrawn from the registration and if the number of shares to be included in such registration was previously reduced as a result of marketing factors pursuant to this Section 2.1(d), then the Company shall then offer to all Holders and Other Selling Stockholders who have retained rights to include securities in the registration the right to include additional Registrable Securities or Other Shares in the registration in an aggregate amount equal to the number of shares so withdrawn, with such shares to be allocated among such Holders and Other Selling Stockholders requesting additional inclusion, as set forth above.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00"/>
          </w:cols>
          <w:pgMar w:left="1140" w:top="256" w:right="1159" w:bottom="1440" w:gutter="0" w:footer="0" w:header="0"/>
        </w:sectPr>
      </w:pPr>
    </w:p>
    <w:bookmarkStart w:id="392" w:name="page393"/>
    <w:bookmarkEnd w:id="392"/>
    <w:p>
      <w:pPr>
        <w:ind w:left="386"/>
        <w:spacing w:after="0"/>
        <w:tabs>
          <w:tab w:leader="none" w:pos="866"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2.2</w:t>
      </w:r>
      <w:r>
        <w:rPr>
          <w:sz w:val="20"/>
          <w:szCs w:val="20"/>
          <w:color w:val="auto"/>
        </w:rPr>
        <w:tab/>
      </w:r>
      <w:r>
        <w:rPr>
          <w:rFonts w:ascii="Arial" w:cs="Arial" w:eastAsia="Arial" w:hAnsi="Arial"/>
          <w:sz w:val="13"/>
          <w:szCs w:val="13"/>
          <w:b w:val="1"/>
          <w:bCs w:val="1"/>
          <w:color w:val="auto"/>
        </w:rPr>
        <w:t>Company Registration</w:t>
      </w:r>
      <w:r>
        <w:rPr>
          <w:rFonts w:ascii="Arial" w:cs="Arial" w:eastAsia="Arial" w:hAnsi="Arial"/>
          <w:sz w:val="13"/>
          <w:szCs w:val="13"/>
          <w:color w:val="auto"/>
        </w:rPr>
        <w:t>.</w:t>
      </w:r>
    </w:p>
    <w:p>
      <w:pPr>
        <w:spacing w:after="0" w:line="197" w:lineRule="exact"/>
        <w:rPr>
          <w:sz w:val="20"/>
          <w:szCs w:val="20"/>
          <w:color w:val="auto"/>
        </w:rPr>
      </w:pPr>
    </w:p>
    <w:p>
      <w:pPr>
        <w:ind w:left="6" w:right="80" w:firstLine="860"/>
        <w:spacing w:after="0" w:line="275" w:lineRule="auto"/>
        <w:tabs>
          <w:tab w:leader="none" w:pos="1243" w:val="left"/>
        </w:tabs>
        <w:numPr>
          <w:ilvl w:val="0"/>
          <w:numId w:val="24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Company Registration. </w:t>
      </w:r>
      <w:r>
        <w:rPr>
          <w:rFonts w:ascii="Arial" w:cs="Arial" w:eastAsia="Arial" w:hAnsi="Arial"/>
          <w:sz w:val="15"/>
          <w:szCs w:val="15"/>
          <w:color w:val="auto"/>
        </w:rPr>
        <w:t>If the Company shall determine to register any of its securities either for its own account or the account of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security holder or holders, other than a registration pursuant to Section 2.1 or 2.3, a registration relating solely to employee benefit plans, a registration relating to the offer and sale of debt securities, a registration relating to a corporate reorganization or other Rule 145 transaction, or a registration on any registration form that does not permit secondary sales, the Company will:</w:t>
      </w:r>
    </w:p>
    <w:p>
      <w:pPr>
        <w:spacing w:after="0" w:line="152" w:lineRule="exact"/>
        <w:rPr>
          <w:rFonts w:ascii="Arial" w:cs="Arial" w:eastAsia="Arial" w:hAnsi="Arial"/>
          <w:sz w:val="15"/>
          <w:szCs w:val="15"/>
          <w:color w:val="auto"/>
        </w:rPr>
      </w:pPr>
    </w:p>
    <w:p>
      <w:pPr>
        <w:ind w:left="1546" w:hanging="296"/>
        <w:spacing w:after="0"/>
        <w:tabs>
          <w:tab w:leader="none" w:pos="1546" w:val="left"/>
        </w:tabs>
        <w:numPr>
          <w:ilvl w:val="1"/>
          <w:numId w:val="243"/>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to all Holders; and</w:t>
      </w:r>
    </w:p>
    <w:p>
      <w:pPr>
        <w:spacing w:after="0" w:line="193" w:lineRule="exact"/>
        <w:rPr>
          <w:rFonts w:ascii="Arial" w:cs="Arial" w:eastAsia="Arial" w:hAnsi="Arial"/>
          <w:sz w:val="16"/>
          <w:szCs w:val="16"/>
          <w:color w:val="auto"/>
        </w:rPr>
      </w:pPr>
    </w:p>
    <w:p>
      <w:pPr>
        <w:ind w:left="6" w:right="200" w:firstLine="1244"/>
        <w:spacing w:after="0" w:line="329" w:lineRule="auto"/>
        <w:tabs>
          <w:tab w:leader="none" w:pos="1606" w:val="left"/>
        </w:tabs>
        <w:numPr>
          <w:ilvl w:val="1"/>
          <w:numId w:val="243"/>
        </w:numPr>
        <w:rPr>
          <w:rFonts w:ascii="Arial" w:cs="Arial" w:eastAsia="Arial" w:hAnsi="Arial"/>
          <w:sz w:val="13"/>
          <w:szCs w:val="13"/>
          <w:color w:val="auto"/>
        </w:rPr>
      </w:pPr>
      <w:r>
        <w:rPr>
          <w:rFonts w:ascii="Arial" w:cs="Arial" w:eastAsia="Arial" w:hAnsi="Arial"/>
          <w:sz w:val="13"/>
          <w:szCs w:val="13"/>
          <w:color w:val="auto"/>
        </w:rPr>
        <w:t>use its commercially reasonable efforts to include in such registration (and any related qualification under blue sky laws or other compliance), except as set forth in Section 2.2(b) below, and in any underwriting involved therein, all of such Registrable Securities as are specified in a written request or requests made by any Holder or Holders received by the Company within ten (10) days after such written notice from the Company is mailed or delivered. Such written request may specify all or a part of a Holder’s Registrable Securities.</w:t>
      </w:r>
    </w:p>
    <w:p>
      <w:pPr>
        <w:spacing w:after="0" w:line="123" w:lineRule="exact"/>
        <w:rPr>
          <w:rFonts w:ascii="Arial" w:cs="Arial" w:eastAsia="Arial" w:hAnsi="Arial"/>
          <w:sz w:val="13"/>
          <w:szCs w:val="13"/>
          <w:color w:val="auto"/>
        </w:rPr>
      </w:pPr>
    </w:p>
    <w:p>
      <w:pPr>
        <w:ind w:left="6" w:firstLine="860"/>
        <w:spacing w:after="0" w:line="249" w:lineRule="auto"/>
        <w:tabs>
          <w:tab w:leader="none" w:pos="1251" w:val="left"/>
        </w:tabs>
        <w:numPr>
          <w:ilvl w:val="0"/>
          <w:numId w:val="2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Underwriting. </w:t>
      </w:r>
      <w:r>
        <w:rPr>
          <w:rFonts w:ascii="Arial" w:cs="Arial" w:eastAsia="Arial" w:hAnsi="Arial"/>
          <w:sz w:val="16"/>
          <w:szCs w:val="16"/>
          <w:color w:val="auto"/>
        </w:rPr>
        <w:t>If the registration of which the Company gives notice is for a registered public offering involving an underwriting,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so advise the Holders as a part of the written notice given pursuant to Section 2.2(a)(i). In such event, the right of any Holder to registration pursuant to this Section 2.2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and the other holders of securities of the Company with registration rights to participate therein distributing their securities through such underwriting) enter into an underwriting agreement in customary form with the representative of the underwriter or underwriters selected by the Company.</w:t>
      </w:r>
    </w:p>
    <w:p>
      <w:pPr>
        <w:spacing w:after="0" w:line="173" w:lineRule="exact"/>
        <w:rPr>
          <w:sz w:val="20"/>
          <w:szCs w:val="20"/>
          <w:color w:val="auto"/>
        </w:rPr>
      </w:pPr>
    </w:p>
    <w:p>
      <w:pPr>
        <w:ind w:left="6" w:right="40" w:firstLine="385"/>
        <w:spacing w:after="0" w:line="305" w:lineRule="auto"/>
        <w:rPr>
          <w:sz w:val="20"/>
          <w:szCs w:val="20"/>
          <w:color w:val="auto"/>
        </w:rPr>
      </w:pPr>
      <w:r>
        <w:rPr>
          <w:rFonts w:ascii="Arial" w:cs="Arial" w:eastAsia="Arial" w:hAnsi="Arial"/>
          <w:sz w:val="13"/>
          <w:szCs w:val="13"/>
          <w:color w:val="auto"/>
        </w:rPr>
        <w:t xml:space="preserve">Notwithstanding any other provision of this Section 2.2, if the underwriters advise the Company in writing that marketing factors require a limitation on the number of shares to be underwritten, the underwriters may (subject to the limitations set forth below) exclude all Registrable Securities from, or limit the number of Registrable Securities to be included in, the registration and underwriting. The Company shall so advise all holders of securities requesting registration, and the number of shares of securities that are entitled to be included in the registration and underwriting shall be allocated, as follows: (i) first, to the Company for securities being sold for its own account, (ii) second, to the Holders requesting to include Registrable Securities in such registration statement based on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percentage of Registrable Securities held by such Holders, assuming conversion and</w:t>
      </w:r>
    </w:p>
    <w:p>
      <w:pPr>
        <w:spacing w:after="0" w:line="3" w:lineRule="exact"/>
        <w:rPr>
          <w:sz w:val="20"/>
          <w:szCs w:val="20"/>
          <w:color w:val="auto"/>
        </w:rPr>
      </w:pPr>
    </w:p>
    <w:p>
      <w:pPr>
        <w:ind w:left="6" w:right="120" w:hanging="6"/>
        <w:spacing w:after="0" w:line="273" w:lineRule="auto"/>
        <w:tabs>
          <w:tab w:leader="none" w:pos="281" w:val="left"/>
        </w:tabs>
        <w:numPr>
          <w:ilvl w:val="0"/>
          <w:numId w:val="244"/>
        </w:numPr>
        <w:rPr>
          <w:rFonts w:ascii="Arial" w:cs="Arial" w:eastAsia="Arial" w:hAnsi="Arial"/>
          <w:sz w:val="15"/>
          <w:szCs w:val="15"/>
          <w:color w:val="auto"/>
        </w:rPr>
      </w:pPr>
      <w:r>
        <w:rPr>
          <w:rFonts w:ascii="Arial" w:cs="Arial" w:eastAsia="Arial" w:hAnsi="Arial"/>
          <w:sz w:val="15"/>
          <w:szCs w:val="15"/>
          <w:color w:val="auto"/>
        </w:rPr>
        <w:t xml:space="preserve">third, to the Other Selling Stockholders requesting to include Other Shares in such registration statement based on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percentage of Other Shares held by such Other Selling Stockholders, assuming conversion. Notwithstanding the foregoing, no such reduction shall reduce the value of the Registrable Securities of the Holders included in such registration below twenty five percent (25%) of</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26"/>
          </w:cols>
          <w:pgMar w:left="1134" w:top="252" w:right="1139" w:bottom="1440" w:gutter="0" w:footer="0" w:header="0"/>
        </w:sectPr>
      </w:pPr>
    </w:p>
    <w:bookmarkStart w:id="393" w:name="page394"/>
    <w:bookmarkEnd w:id="393"/>
    <w:p>
      <w:pPr>
        <w:jc w:val="both"/>
        <w:ind w:right="2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total value of securities included in such registration, unless (A) such offering is the Company’s Initial Public Offering, and (B) and such registration does not include shares of any Other Selling Stockholders (excluding shares registered for the account of the Company), in which event any or all of the Registrable Securities of the Holders may be excluded.</w:t>
      </w:r>
    </w:p>
    <w:p>
      <w:pPr>
        <w:spacing w:after="0" w:line="166" w:lineRule="exact"/>
        <w:rPr>
          <w:sz w:val="20"/>
          <w:szCs w:val="20"/>
          <w:color w:val="auto"/>
        </w:rPr>
      </w:pPr>
    </w:p>
    <w:p>
      <w:pPr>
        <w:ind w:right="20" w:firstLine="385"/>
        <w:spacing w:after="0" w:line="316" w:lineRule="auto"/>
        <w:rPr>
          <w:sz w:val="20"/>
          <w:szCs w:val="20"/>
          <w:color w:val="auto"/>
        </w:rPr>
      </w:pPr>
      <w:r>
        <w:rPr>
          <w:rFonts w:ascii="Arial" w:cs="Arial" w:eastAsia="Arial" w:hAnsi="Arial"/>
          <w:sz w:val="13"/>
          <w:szCs w:val="13"/>
          <w:color w:val="auto"/>
        </w:rPr>
        <w:t>If a person who has requested inclusion in such registration as provided above does not agree to the terms of any such underwriting, such person shall also be excluded therefrom by written notice from the Company or the underwriter. The Registrable Securities or other securities so excluded shall also be withdrawn from such registration. Any Registrable Securities or other securities excluded or withdrawn from such underwriting shall be withdrawn from such registration. If shares are so withdrawn from the registration and if the number of shares of Registrable Securities to be included in such registration was previously reduced as a result of marketing factors pursuant to Section 2.2(b), the Company shall then offer to all persons who have retained the right to include securities in the registration the right to include additional securities in the registration in an aggregate amount equal to the number of shares so withdrawn, with such shares to be allocated among the persons requesting additional inclusion, in the manner set forth above.</w:t>
      </w:r>
    </w:p>
    <w:p>
      <w:pPr>
        <w:spacing w:after="0" w:line="131" w:lineRule="exact"/>
        <w:rPr>
          <w:sz w:val="20"/>
          <w:szCs w:val="20"/>
          <w:color w:val="auto"/>
        </w:rPr>
      </w:pPr>
    </w:p>
    <w:p>
      <w:pPr>
        <w:ind w:right="180" w:firstLine="860"/>
        <w:spacing w:after="0" w:line="281" w:lineRule="auto"/>
        <w:tabs>
          <w:tab w:leader="none" w:pos="1276" w:val="left"/>
        </w:tabs>
        <w:numPr>
          <w:ilvl w:val="0"/>
          <w:numId w:val="24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Right to Terminate Registration. </w:t>
      </w:r>
      <w:r>
        <w:rPr>
          <w:rFonts w:ascii="Arial" w:cs="Arial" w:eastAsia="Arial" w:hAnsi="Arial"/>
          <w:sz w:val="15"/>
          <w:szCs w:val="15"/>
          <w:color w:val="auto"/>
        </w:rPr>
        <w:t>The Company shall have the right to terminate or withdraw any registration initiated by it under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Section 2.2 prior to the effectiveness of such registration whether or not any Holder has elected to include securities in such registration. The Registration Expenses of any such terminated or withdrawn registration shall be borne by the Company.</w:t>
      </w:r>
    </w:p>
    <w:p>
      <w:pPr>
        <w:spacing w:after="0" w:line="145"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3"/>
          <w:szCs w:val="13"/>
          <w:b w:val="1"/>
          <w:bCs w:val="1"/>
          <w:color w:val="auto"/>
        </w:rPr>
        <w:t>Registration on Form S-3</w:t>
      </w:r>
      <w:r>
        <w:rPr>
          <w:rFonts w:ascii="Arial" w:cs="Arial" w:eastAsia="Arial" w:hAnsi="Arial"/>
          <w:sz w:val="13"/>
          <w:szCs w:val="13"/>
          <w:color w:val="auto"/>
        </w:rPr>
        <w:t>.</w:t>
      </w:r>
    </w:p>
    <w:p>
      <w:pPr>
        <w:spacing w:after="0" w:line="197" w:lineRule="exact"/>
        <w:rPr>
          <w:sz w:val="20"/>
          <w:szCs w:val="20"/>
          <w:color w:val="auto"/>
        </w:rPr>
      </w:pPr>
    </w:p>
    <w:p>
      <w:pPr>
        <w:ind w:firstLine="860"/>
        <w:spacing w:after="0" w:line="268" w:lineRule="auto"/>
        <w:tabs>
          <w:tab w:leader="none" w:pos="1276" w:val="left"/>
        </w:tabs>
        <w:numPr>
          <w:ilvl w:val="0"/>
          <w:numId w:val="2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Request for Form S-3 Registration. </w:t>
      </w:r>
      <w:r>
        <w:rPr>
          <w:rFonts w:ascii="Arial" w:cs="Arial" w:eastAsia="Arial" w:hAnsi="Arial"/>
          <w:sz w:val="15"/>
          <w:szCs w:val="15"/>
          <w:color w:val="auto"/>
        </w:rPr>
        <w:t>After its Initial Public Offering, the Company shall use its commercially reasonable efforts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qualify for registration on Form S-3 or any comparable or successor form or forms. After the Company has qualified for the use of Form S-3, in addition to the rights contained in the foregoing provisions of this Section 2 and subject to the conditions set forth in this Section 2.3, if the Company shall receive from a Holder or Holders of Registrable Securities a written request that the Company effect any registration on Form S-3 or any similar short form registration statement with respect to all or part of the Registrable Securities (such request shall state the number of shares of Registrable Securities to be disposed of and the intended methods of disposition of such shares by such Holder or Holders), the Company will take all such action with respect to such Registrable Securities as required by Section 2.1(a)(i) and 2.1(a)(ii).</w:t>
      </w:r>
    </w:p>
    <w:p>
      <w:pPr>
        <w:spacing w:after="0" w:line="160" w:lineRule="exact"/>
        <w:rPr>
          <w:rFonts w:ascii="Arial" w:cs="Arial" w:eastAsia="Arial" w:hAnsi="Arial"/>
          <w:sz w:val="15"/>
          <w:szCs w:val="15"/>
          <w:color w:val="auto"/>
        </w:rPr>
      </w:pPr>
    </w:p>
    <w:p>
      <w:pPr>
        <w:ind w:right="580" w:firstLine="860"/>
        <w:spacing w:after="0" w:line="266" w:lineRule="auto"/>
        <w:tabs>
          <w:tab w:leader="none" w:pos="1285" w:val="left"/>
        </w:tabs>
        <w:numPr>
          <w:ilvl w:val="0"/>
          <w:numId w:val="2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Limitations on Form S-3 Registration. </w:t>
      </w:r>
      <w:r>
        <w:rPr>
          <w:rFonts w:ascii="Arial" w:cs="Arial" w:eastAsia="Arial" w:hAnsi="Arial"/>
          <w:sz w:val="16"/>
          <w:szCs w:val="16"/>
          <w:color w:val="auto"/>
        </w:rPr>
        <w:t>The Company shall not be obligated to effect, or take any action to effect,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pursuant to this Section 2.3:</w:t>
      </w:r>
    </w:p>
    <w:p>
      <w:pPr>
        <w:spacing w:after="0" w:line="158" w:lineRule="exact"/>
        <w:rPr>
          <w:rFonts w:ascii="Arial" w:cs="Arial" w:eastAsia="Arial" w:hAnsi="Arial"/>
          <w:sz w:val="16"/>
          <w:szCs w:val="16"/>
          <w:color w:val="auto"/>
        </w:rPr>
      </w:pPr>
    </w:p>
    <w:p>
      <w:pPr>
        <w:ind w:left="1540" w:hanging="296"/>
        <w:spacing w:after="0"/>
        <w:tabs>
          <w:tab w:leader="none" w:pos="154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In the circumstances described in either Sections 2.1(b)(i), 2.1(b)(iii) or 2.1(b)(v);</w:t>
      </w:r>
    </w:p>
    <w:p>
      <w:pPr>
        <w:spacing w:after="0" w:line="193" w:lineRule="exact"/>
        <w:rPr>
          <w:rFonts w:ascii="Arial" w:cs="Arial" w:eastAsia="Arial" w:hAnsi="Arial"/>
          <w:sz w:val="16"/>
          <w:szCs w:val="16"/>
          <w:color w:val="auto"/>
        </w:rPr>
      </w:pPr>
    </w:p>
    <w:p>
      <w:pPr>
        <w:ind w:right="300" w:firstLine="1244"/>
        <w:spacing w:after="0" w:line="256" w:lineRule="auto"/>
        <w:tabs>
          <w:tab w:leader="none" w:pos="160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If the Holders, together with the holders of any other securities of the Company entitled to inclusion in such registration, propose to sell Registrable Securities and such other securities (if any) on Form S-3 for aggregate gross proceeds (before deduction of underwriter’s commissions and expenses) of less than $1,000,000;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00"/>
          </w:cols>
          <w:pgMar w:left="1140" w:top="256" w:right="1159" w:bottom="1440" w:gutter="0" w:footer="0" w:header="0"/>
        </w:sectPr>
      </w:pPr>
    </w:p>
    <w:bookmarkStart w:id="394" w:name="page395"/>
    <w:bookmarkEnd w:id="394"/>
    <w:p>
      <w:pPr>
        <w:ind w:left="1640" w:hanging="396"/>
        <w:spacing w:after="0"/>
        <w:tabs>
          <w:tab w:leader="none" w:pos="1640" w:val="left"/>
        </w:tabs>
        <w:numPr>
          <w:ilvl w:val="1"/>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If, in a given twelve-month period, the Company has effected two (2) such registrations in such period.</w:t>
      </w:r>
    </w:p>
    <w:p>
      <w:pPr>
        <w:spacing w:after="0" w:line="193" w:lineRule="exact"/>
        <w:rPr>
          <w:rFonts w:ascii="Arial" w:cs="Arial" w:eastAsia="Arial" w:hAnsi="Arial"/>
          <w:sz w:val="16"/>
          <w:szCs w:val="16"/>
          <w:color w:val="auto"/>
        </w:rPr>
      </w:pPr>
    </w:p>
    <w:p>
      <w:pPr>
        <w:ind w:left="1260" w:hanging="400"/>
        <w:spacing w:after="0"/>
        <w:tabs>
          <w:tab w:leader="none" w:pos="1260" w:val="left"/>
        </w:tabs>
        <w:numPr>
          <w:ilvl w:val="0"/>
          <w:numId w:val="2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Deferral. </w:t>
      </w:r>
      <w:r>
        <w:rPr>
          <w:rFonts w:ascii="Arial" w:cs="Arial" w:eastAsia="Arial" w:hAnsi="Arial"/>
          <w:sz w:val="16"/>
          <w:szCs w:val="16"/>
          <w:color w:val="auto"/>
        </w:rPr>
        <w:t>The provisions of Section 2.1(c) shall apply to any registration pursuant to this Section 2.3.</w:t>
      </w:r>
    </w:p>
    <w:p>
      <w:pPr>
        <w:spacing w:after="0" w:line="193" w:lineRule="exact"/>
        <w:rPr>
          <w:rFonts w:ascii="Arial" w:cs="Arial" w:eastAsia="Arial" w:hAnsi="Arial"/>
          <w:sz w:val="16"/>
          <w:szCs w:val="16"/>
          <w:color w:val="auto"/>
        </w:rPr>
      </w:pPr>
    </w:p>
    <w:p>
      <w:pPr>
        <w:ind w:right="540" w:firstLine="860"/>
        <w:spacing w:after="0" w:line="253" w:lineRule="auto"/>
        <w:tabs>
          <w:tab w:leader="none" w:pos="1285" w:val="left"/>
        </w:tabs>
        <w:numPr>
          <w:ilvl w:val="0"/>
          <w:numId w:val="2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Underwriting. </w:t>
      </w:r>
      <w:r>
        <w:rPr>
          <w:rFonts w:ascii="Arial" w:cs="Arial" w:eastAsia="Arial" w:hAnsi="Arial"/>
          <w:sz w:val="16"/>
          <w:szCs w:val="16"/>
          <w:color w:val="auto"/>
        </w:rPr>
        <w:t>If the Holders of Registrable Securities requesting registration under this Section 2.3 intend to distribute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Registrable Securities covered by their request by means of an underwriting, the provisions of Section 2.1(d) shall apply to such registration. Notwithstanding anything contained herein to the contrary, registrations effected pursuant to this Section 2.3 shall not be counted as requests for registration or registrations effected pursuant to Section 2.1.</w:t>
      </w:r>
    </w:p>
    <w:p>
      <w:pPr>
        <w:spacing w:after="0" w:line="163" w:lineRule="exact"/>
        <w:rPr>
          <w:sz w:val="20"/>
          <w:szCs w:val="20"/>
          <w:color w:val="auto"/>
        </w:rPr>
      </w:pPr>
    </w:p>
    <w:p>
      <w:pPr>
        <w:ind w:right="100" w:firstLine="385"/>
        <w:spacing w:after="0" w:line="311" w:lineRule="auto"/>
        <w:rPr>
          <w:sz w:val="20"/>
          <w:szCs w:val="20"/>
          <w:color w:val="auto"/>
        </w:rPr>
      </w:pPr>
      <w:r>
        <w:rPr>
          <w:rFonts w:ascii="Arial" w:cs="Arial" w:eastAsia="Arial" w:hAnsi="Arial"/>
          <w:sz w:val="13"/>
          <w:szCs w:val="13"/>
          <w:b w:val="1"/>
          <w:bCs w:val="1"/>
          <w:color w:val="auto"/>
        </w:rPr>
        <w:t>2.4 Expenses of Registration</w:t>
      </w:r>
      <w:r>
        <w:rPr>
          <w:rFonts w:ascii="Arial" w:cs="Arial" w:eastAsia="Arial" w:hAnsi="Arial"/>
          <w:sz w:val="13"/>
          <w:szCs w:val="13"/>
          <w:color w:val="auto"/>
        </w:rPr>
        <w:t>. All Registration Expenses incurred in connection with registrations pursuant to Sections 2.1, 2.2 and 2.3 shall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be borne by the Company;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the Company shall not be required to pay for any expenses of any registration proceeding begun pursuant to Sections 2.1 and 2.3 if the registration request is subsequently withdrawn at the request of the Holders of a majority of the Registrable Securities to be registered or because a sufficient number of Holders shall have withdrawn so that the minimum offering conditions set forth in Sections 2.1 and 2.3 are no longer satisfied (in which case all participating Holders shall bear such expenses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among each other based on the number of Registrable Securities requested to be so registered), unless the Holders of a majority of the Registrable Securities agree to forfeit their right to a demand registration pursuant to Section 2.1;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in the event that a withdrawal by the Holders is based upon material adverse information relating to the Company that is different from the information known or available (upon request from the Company or otherwise) to the Holders requesting registration at the time of their request for registration under Section 2.1, such registration shall not be treated as a counted registration for purposes of Section 2.1, even though the Holders do not bear the Registration Expenses for such registration. All Selling Expenses relating to securities registered on behalf of the Holders shall be borne by the holders of securities included in such registration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among each other on the basis of the number of Registrable Securities so registered.</w:t>
      </w:r>
    </w:p>
    <w:p>
      <w:pPr>
        <w:spacing w:after="0" w:line="321" w:lineRule="exact"/>
        <w:rPr>
          <w:sz w:val="20"/>
          <w:szCs w:val="20"/>
          <w:color w:val="auto"/>
        </w:rPr>
      </w:pPr>
    </w:p>
    <w:p>
      <w:pPr>
        <w:ind w:firstLine="385"/>
        <w:spacing w:after="0" w:line="259" w:lineRule="auto"/>
        <w:rPr>
          <w:sz w:val="20"/>
          <w:szCs w:val="20"/>
          <w:color w:val="auto"/>
        </w:rPr>
      </w:pPr>
      <w:r>
        <w:rPr>
          <w:rFonts w:ascii="Arial" w:cs="Arial" w:eastAsia="Arial" w:hAnsi="Arial"/>
          <w:sz w:val="16"/>
          <w:szCs w:val="16"/>
          <w:b w:val="1"/>
          <w:bCs w:val="1"/>
          <w:color w:val="auto"/>
        </w:rPr>
        <w:t>2.5 Registration Procedures</w:t>
      </w:r>
      <w:r>
        <w:rPr>
          <w:rFonts w:ascii="Arial" w:cs="Arial" w:eastAsia="Arial" w:hAnsi="Arial"/>
          <w:sz w:val="16"/>
          <w:szCs w:val="16"/>
          <w:color w:val="auto"/>
        </w:rPr>
        <w:t>. In the case of each registration effected by the Company pursuant to Section 2, the Company will keep each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 advised in writing as to the initiation of each registration and as to the completion thereof. At its expense, the Company will use its commercially reasonable efforts to:</w:t>
      </w:r>
    </w:p>
    <w:p>
      <w:pPr>
        <w:spacing w:after="0" w:line="163" w:lineRule="exact"/>
        <w:rPr>
          <w:sz w:val="20"/>
          <w:szCs w:val="20"/>
          <w:color w:val="auto"/>
        </w:rPr>
      </w:pPr>
    </w:p>
    <w:p>
      <w:pPr>
        <w:ind w:right="20" w:firstLine="860"/>
        <w:spacing w:after="0" w:line="383" w:lineRule="auto"/>
        <w:tabs>
          <w:tab w:leader="none" w:pos="1197" w:val="left"/>
        </w:tabs>
        <w:numPr>
          <w:ilvl w:val="0"/>
          <w:numId w:val="249"/>
        </w:numPr>
        <w:rPr>
          <w:rFonts w:ascii="Arial" w:cs="Arial" w:eastAsia="Arial" w:hAnsi="Arial"/>
          <w:sz w:val="13"/>
          <w:szCs w:val="13"/>
          <w:color w:val="auto"/>
        </w:rPr>
      </w:pPr>
      <w:r>
        <w:rPr>
          <w:rFonts w:ascii="Arial" w:cs="Arial" w:eastAsia="Arial" w:hAnsi="Arial"/>
          <w:sz w:val="13"/>
          <w:szCs w:val="13"/>
          <w:color w:val="auto"/>
        </w:rPr>
        <w:t>Keep such registration effective for a period of ending on the earlier of the date which is sixty (60) days from the effective date of the registration statement or such time as the Holder or Holders have completed the distribution described in the registration statement relating thereto;</w:t>
      </w:r>
    </w:p>
    <w:p>
      <w:pPr>
        <w:spacing w:after="0" w:line="88" w:lineRule="exact"/>
        <w:rPr>
          <w:rFonts w:ascii="Arial" w:cs="Arial" w:eastAsia="Arial" w:hAnsi="Arial"/>
          <w:sz w:val="13"/>
          <w:szCs w:val="13"/>
          <w:color w:val="auto"/>
        </w:rPr>
      </w:pPr>
    </w:p>
    <w:p>
      <w:pPr>
        <w:ind w:right="20" w:firstLine="860"/>
        <w:spacing w:after="0" w:line="256" w:lineRule="auto"/>
        <w:tabs>
          <w:tab w:leader="none" w:pos="120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00"/>
          </w:cols>
          <w:pgMar w:left="1140" w:top="256" w:right="1159" w:bottom="1440" w:gutter="0" w:footer="0" w:header="0"/>
        </w:sectPr>
      </w:pPr>
    </w:p>
    <w:bookmarkStart w:id="395" w:name="page396"/>
    <w:bookmarkEnd w:id="395"/>
    <w:p>
      <w:pPr>
        <w:ind w:left="-40" w:right="140" w:firstLine="860"/>
        <w:spacing w:after="0" w:line="266" w:lineRule="auto"/>
        <w:tabs>
          <w:tab w:leader="none" w:pos="1157" w:val="left"/>
        </w:tabs>
        <w:numPr>
          <w:ilvl w:val="0"/>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Furnish such number of prospectuses, including any preliminary prospectuses, and other documents incident thereto, including any amendment of or supplement to the prospectus, as a Holder from time to time may reasonably request;</w:t>
      </w:r>
    </w:p>
    <w:p>
      <w:pPr>
        <w:spacing w:after="0" w:line="158" w:lineRule="exact"/>
        <w:rPr>
          <w:rFonts w:ascii="Arial" w:cs="Arial" w:eastAsia="Arial" w:hAnsi="Arial"/>
          <w:sz w:val="16"/>
          <w:szCs w:val="16"/>
          <w:color w:val="auto"/>
        </w:rPr>
      </w:pPr>
    </w:p>
    <w:p>
      <w:pPr>
        <w:ind w:left="-40" w:right="40" w:firstLine="860"/>
        <w:spacing w:after="0" w:line="343" w:lineRule="auto"/>
        <w:tabs>
          <w:tab w:leader="none" w:pos="1166" w:val="left"/>
        </w:tabs>
        <w:numPr>
          <w:ilvl w:val="0"/>
          <w:numId w:val="250"/>
        </w:numPr>
        <w:rPr>
          <w:rFonts w:ascii="Arial" w:cs="Arial" w:eastAsia="Arial" w:hAnsi="Arial"/>
          <w:sz w:val="13"/>
          <w:szCs w:val="13"/>
          <w:color w:val="auto"/>
        </w:rPr>
      </w:pPr>
      <w:r>
        <w:rPr>
          <w:rFonts w:ascii="Arial" w:cs="Arial" w:eastAsia="Arial" w:hAnsi="Arial"/>
          <w:sz w:val="13"/>
          <w:szCs w:val="13"/>
          <w:color w:val="auto"/>
        </w:rPr>
        <w:t xml:space="preserve">Use its reasonable best efforts to register and qualify the securities covered by such registration statement under such other securities or Blue Sky laws of such jurisdiction as shall be reasonably requested by the Holders; </w:t>
      </w:r>
      <w:r>
        <w:rPr>
          <w:rFonts w:ascii="Arial" w:cs="Arial" w:eastAsia="Arial" w:hAnsi="Arial"/>
          <w:sz w:val="13"/>
          <w:szCs w:val="13"/>
          <w:i w:val="1"/>
          <w:iCs w:val="1"/>
          <w:color w:val="auto"/>
        </w:rPr>
        <w:t>provided</w:t>
      </w:r>
      <w:r>
        <w:rPr>
          <w:rFonts w:ascii="Arial" w:cs="Arial" w:eastAsia="Arial" w:hAnsi="Arial"/>
          <w:sz w:val="13"/>
          <w:szCs w:val="13"/>
          <w:color w:val="auto"/>
        </w:rPr>
        <w:t>, that the Company shall not be required in connection therewith or as a condition thereto to qualify to do business or to file a general consent to service of process in any such states or jurisdictions;</w:t>
      </w:r>
    </w:p>
    <w:p>
      <w:pPr>
        <w:spacing w:after="0" w:line="113" w:lineRule="exact"/>
        <w:rPr>
          <w:rFonts w:ascii="Arial" w:cs="Arial" w:eastAsia="Arial" w:hAnsi="Arial"/>
          <w:sz w:val="13"/>
          <w:szCs w:val="13"/>
          <w:color w:val="auto"/>
        </w:rPr>
      </w:pPr>
    </w:p>
    <w:p>
      <w:pPr>
        <w:ind w:left="-40" w:right="120" w:firstLine="860"/>
        <w:spacing w:after="0" w:line="316" w:lineRule="auto"/>
        <w:tabs>
          <w:tab w:leader="none" w:pos="1157" w:val="left"/>
        </w:tabs>
        <w:numPr>
          <w:ilvl w:val="0"/>
          <w:numId w:val="250"/>
        </w:numPr>
        <w:rPr>
          <w:rFonts w:ascii="Arial" w:cs="Arial" w:eastAsia="Arial" w:hAnsi="Arial"/>
          <w:sz w:val="13"/>
          <w:szCs w:val="13"/>
          <w:color w:val="auto"/>
        </w:rPr>
      </w:pPr>
      <w:r>
        <w:rPr>
          <w:rFonts w:ascii="Arial" w:cs="Arial" w:eastAsia="Arial" w:hAnsi="Arial"/>
          <w:sz w:val="13"/>
          <w:szCs w:val="13"/>
          <w:color w:val="auto"/>
        </w:rPr>
        <w:t>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following such notification promptly prepare and furnish to such seller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light of the circumstances then existing;</w:t>
      </w:r>
    </w:p>
    <w:p>
      <w:pPr>
        <w:spacing w:after="0" w:line="131" w:lineRule="exact"/>
        <w:rPr>
          <w:rFonts w:ascii="Arial" w:cs="Arial" w:eastAsia="Arial" w:hAnsi="Arial"/>
          <w:sz w:val="13"/>
          <w:szCs w:val="13"/>
          <w:color w:val="auto"/>
        </w:rPr>
      </w:pPr>
    </w:p>
    <w:p>
      <w:pPr>
        <w:ind w:left="-40" w:right="260" w:firstLine="860"/>
        <w:spacing w:after="0" w:line="300" w:lineRule="auto"/>
        <w:tabs>
          <w:tab w:leader="none" w:pos="11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134" w:lineRule="exact"/>
        <w:rPr>
          <w:rFonts w:ascii="Arial" w:cs="Arial" w:eastAsia="Arial" w:hAnsi="Arial"/>
          <w:sz w:val="15"/>
          <w:szCs w:val="15"/>
          <w:color w:val="auto"/>
        </w:rPr>
      </w:pPr>
    </w:p>
    <w:p>
      <w:pPr>
        <w:ind w:left="-40" w:right="540" w:firstLine="860"/>
        <w:spacing w:after="0" w:line="266" w:lineRule="auto"/>
        <w:tabs>
          <w:tab w:leader="none" w:pos="116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Cause all such Registrable Securities registered pursuant hereunder to be listed on each securities exchange on which similar securities issued by the Company are then listed; and</w:t>
      </w:r>
    </w:p>
    <w:p>
      <w:pPr>
        <w:spacing w:after="0" w:line="158" w:lineRule="exact"/>
        <w:rPr>
          <w:rFonts w:ascii="Arial" w:cs="Arial" w:eastAsia="Arial" w:hAnsi="Arial"/>
          <w:sz w:val="16"/>
          <w:szCs w:val="16"/>
          <w:color w:val="auto"/>
        </w:rPr>
      </w:pPr>
    </w:p>
    <w:p>
      <w:pPr>
        <w:ind w:left="-40" w:right="260" w:firstLine="860"/>
        <w:spacing w:after="0" w:line="253" w:lineRule="auto"/>
        <w:tabs>
          <w:tab w:leader="none" w:pos="116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In connection with any underwritten offering pursuant to a registration statement filed pursuant to Section 2.1, enter into an underwriting agreement in form reasonably necessary to effect the offer and sale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underwriting agreement contains reasonable and customary provisions,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each Holder participating in such underwriting shall also enter into and perform its obligations under such an agreement.</w:t>
      </w:r>
    </w:p>
    <w:p>
      <w:pPr>
        <w:spacing w:after="0" w:line="163"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3"/>
          <w:szCs w:val="13"/>
          <w:b w:val="1"/>
          <w:bCs w:val="1"/>
          <w:color w:val="auto"/>
        </w:rPr>
        <w:t>Indemnification</w:t>
      </w:r>
      <w:r>
        <w:rPr>
          <w:rFonts w:ascii="Arial" w:cs="Arial" w:eastAsia="Arial" w:hAnsi="Arial"/>
          <w:sz w:val="13"/>
          <w:szCs w:val="13"/>
          <w:color w:val="auto"/>
        </w:rPr>
        <w:t>.</w:t>
      </w:r>
    </w:p>
    <w:p>
      <w:pPr>
        <w:spacing w:after="0" w:line="197" w:lineRule="exact"/>
        <w:rPr>
          <w:sz w:val="20"/>
          <w:szCs w:val="20"/>
          <w:color w:val="auto"/>
        </w:rPr>
      </w:pPr>
    </w:p>
    <w:p>
      <w:pPr>
        <w:ind w:left="-40" w:firstLine="860"/>
        <w:spacing w:after="0" w:line="319" w:lineRule="auto"/>
        <w:tabs>
          <w:tab w:leader="none" w:pos="1154" w:val="left"/>
        </w:tabs>
        <w:numPr>
          <w:ilvl w:val="0"/>
          <w:numId w:val="251"/>
        </w:numPr>
        <w:rPr>
          <w:rFonts w:ascii="Arial" w:cs="Arial" w:eastAsia="Arial" w:hAnsi="Arial"/>
          <w:sz w:val="13"/>
          <w:szCs w:val="13"/>
          <w:color w:val="auto"/>
        </w:rPr>
      </w:pPr>
      <w:r>
        <w:rPr>
          <w:rFonts w:ascii="Arial" w:cs="Arial" w:eastAsia="Arial" w:hAnsi="Arial"/>
          <w:sz w:val="13"/>
          <w:szCs w:val="13"/>
          <w:color w:val="auto"/>
        </w:rPr>
        <w:t>To the extent permitted by law, the Company will indemnify and hold harmless each Holder, each of its officers, directors, members and partners, legal counsel, investment advisers and accountants and each person controlling such Holder within the meaning of Section 15 of the Securities Act, with respect to which registration, qualification or compliance has been effected pursuant to this Section 2, and each underwriter, if any, and each person who controls within the meaning of Section 15 of the Securities Act any underwriter, against all expenses, claims, losses, damages and liabilities (or actions, proceedings or settlements in respect thereof) arising out of or based on: (i) any untrue statement (or alleged untrue statement) of a material fact contained or incorporated by reference in any prospectus, offering circular, or other document (including any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540"/>
          </w:cols>
          <w:pgMar w:left="1180" w:top="256" w:right="1179" w:bottom="1440" w:gutter="0" w:footer="0" w:header="0"/>
        </w:sectPr>
      </w:pPr>
    </w:p>
    <w:bookmarkStart w:id="396" w:name="page397"/>
    <w:bookmarkEnd w:id="396"/>
    <w:p>
      <w:pPr>
        <w:spacing w:after="0" w:line="31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related registration statement, notification or the like) incident to any such registration, qualification or compliance, (ii) any omission (or alleged omission) to state therein a material fact required to be stated therein or necessary to make the statements therein not misleading, or (iii) any violation (or alleged violation) by the Company of the Securities Act, any state securities laws or any rule or regulation thereunder applicable to the Company and relating to action or inaction required of the Company in connection with any offering covered by such registration, qualification or compliance, and the Company will reimburse each such Holder, each of its officers, directors, members, partners, legal counsel, investment advisers and accountants and each person controlling such Holder, each such underwriter and each person who controls any such underwriter, for any legal and any other expenses reasonably incurred in connection with investigating and defending or settling any such claim, loss, damage, liability or 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Company will not be liable in any such case to the extent that any such claim, loss, damage, liability, or action arises out of or is based on any untrue statement or omission based upon written information furnished to the Company by such Holder, any of such Holder’s officers, directors, members, partners, legal counsel, investment advisers or accountants, any person controlling such Holder, such underwriter or any person who controls any such underwriter, and stated to be specifically for use therein;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xml:space="preserve"> that, the indemnity agreement contained in this Section 2.6(a) shall not apply to amounts paid in settlement of any such loss, claim, damage, liability or action if such settlement is effected without the consent of the Company (which consent shall not be unreasonably withheld).</w:t>
      </w:r>
    </w:p>
    <w:p>
      <w:pPr>
        <w:spacing w:after="0" w:line="324" w:lineRule="exact"/>
        <w:rPr>
          <w:sz w:val="20"/>
          <w:szCs w:val="20"/>
          <w:color w:val="auto"/>
        </w:rPr>
      </w:pPr>
    </w:p>
    <w:p>
      <w:pPr>
        <w:ind w:right="40" w:firstLine="860"/>
        <w:spacing w:after="0" w:line="308" w:lineRule="auto"/>
        <w:tabs>
          <w:tab w:leader="none" w:pos="1203" w:val="left"/>
        </w:tabs>
        <w:numPr>
          <w:ilvl w:val="0"/>
          <w:numId w:val="252"/>
        </w:numPr>
        <w:rPr>
          <w:rFonts w:ascii="Arial" w:cs="Arial" w:eastAsia="Arial" w:hAnsi="Arial"/>
          <w:sz w:val="13"/>
          <w:szCs w:val="13"/>
          <w:color w:val="auto"/>
        </w:rPr>
      </w:pPr>
      <w:r>
        <w:rPr>
          <w:rFonts w:ascii="Arial" w:cs="Arial" w:eastAsia="Arial" w:hAnsi="Arial"/>
          <w:sz w:val="13"/>
          <w:szCs w:val="13"/>
          <w:color w:val="auto"/>
        </w:rPr>
        <w:t xml:space="preserve">To the extent permitted by law, each Holder, severally and not jointly, will, if Registrable Securities held by such Holder are included in the securities as to which such registration, qualification or compliance is being effected, indemnify and hold harmless the Company, each of its directors, officers, partners, legal counsel and accountants and each underwriter, if any, of the Company’s securities covered by such a registration statement, each person who controls the Company or such underwriter within the meaning of Section 15 of the Securities Act, each other such Holder, and each of their officers, directors, members and partners, and each person controlling each other such Holder, against all claims, losses, damages and liabilities (or actions in respect thereof) arising out of or based on: (i) any untrue statement (or alleged untrue statement) of a material fact contained or incorporated by reference in any prospectus, offering circular or other document (including any related registration statement, notification, or the like) incident to any such registration, qualification or compliance, or (ii) any omission (or alleged omission) to state therein a material fact required to be stated therein or necessary to make the statements therein not misleading, and will reimburse the Company and such Holders, officers, directors, members, partners, legal counsel and accountants,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the obligations of such Holder hereunder shall not apply to amounts paid in settlement of any such claims, losses, damages or liabilities (or actions in respect thereof) if such settlement is effected without the consent of such Holder (which consent shall not be unreasonably withheld);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any indemnity under this Section 2.6(b) (taken together with amounts paid pursuant to Section 2.6(d)) exceed the net proceeds from the offering received by such Holder, except in the case of fraud or willful misconduct by such Holder.</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600"/>
          </w:cols>
          <w:pgMar w:left="1140" w:top="256" w:right="1159" w:bottom="1440" w:gutter="0" w:footer="0" w:header="0"/>
        </w:sectPr>
      </w:pPr>
    </w:p>
    <w:bookmarkStart w:id="397" w:name="page398"/>
    <w:bookmarkEnd w:id="397"/>
    <w:p>
      <w:pPr>
        <w:ind w:firstLine="860"/>
        <w:spacing w:after="0" w:line="311" w:lineRule="auto"/>
        <w:tabs>
          <w:tab w:leader="none" w:pos="1197" w:val="left"/>
        </w:tabs>
        <w:numPr>
          <w:ilvl w:val="0"/>
          <w:numId w:val="25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90105" cy="34290"/>
                    </a:xfrm>
                    <a:prstGeom prst="rect">
                      <a:avLst/>
                    </a:prstGeom>
                    <a:noFill/>
                  </pic:spPr>
                </pic:pic>
              </a:graphicData>
            </a:graphic>
          </wp:anchor>
        </w:drawing>
        <w:t>Each party entitled to indemnification under this Section 2.6 (the “</w:t>
      </w:r>
      <w:r>
        <w:rPr>
          <w:rFonts w:ascii="Arial" w:cs="Arial" w:eastAsia="Arial" w:hAnsi="Arial"/>
          <w:sz w:val="13"/>
          <w:szCs w:val="13"/>
          <w:b w:val="1"/>
          <w:bCs w:val="1"/>
          <w:i w:val="1"/>
          <w:iCs w:val="1"/>
          <w:color w:val="auto"/>
        </w:rPr>
        <w:t>Indemnified Party</w:t>
      </w:r>
      <w:r>
        <w:rPr>
          <w:rFonts w:ascii="Arial" w:cs="Arial" w:eastAsia="Arial" w:hAnsi="Arial"/>
          <w:sz w:val="13"/>
          <w:szCs w:val="13"/>
          <w:color w:val="auto"/>
        </w:rPr>
        <w:t>”) shall give notice to the party required to provide indemnification (the “</w:t>
      </w:r>
      <w:r>
        <w:rPr>
          <w:rFonts w:ascii="Arial" w:cs="Arial" w:eastAsia="Arial" w:hAnsi="Arial"/>
          <w:sz w:val="13"/>
          <w:szCs w:val="13"/>
          <w:b w:val="1"/>
          <w:bCs w:val="1"/>
          <w:i w:val="1"/>
          <w:iCs w:val="1"/>
          <w:color w:val="auto"/>
        </w:rPr>
        <w:t>Indemnifying Party</w:t>
      </w:r>
      <w:r>
        <w:rPr>
          <w:rFonts w:ascii="Arial" w:cs="Arial" w:eastAsia="Arial" w:hAnsi="Arial"/>
          <w:sz w:val="13"/>
          <w:szCs w:val="13"/>
          <w:color w:val="auto"/>
        </w:rPr>
        <w:t xml:space="preserve">”) promptly after such Indemnified Party has actual knowledge of any claim as to which indemnity may be sought, and shall permit the Indemnifying Party to assume the defense of such claim or any litigation resulting therefrom;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counsel for the Indemnifying Party, who shall conduct the defense of such claim or any litigation resulting therefrom, shall be approved by the Indemnified Party (whose approval shall not be unreasonably withheld), and the Indemnified Party may participate in such defense at such party’s expense;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further </w:t>
      </w:r>
      <w:r>
        <w:rPr>
          <w:rFonts w:ascii="Arial" w:cs="Arial" w:eastAsia="Arial" w:hAnsi="Arial"/>
          <w:sz w:val="13"/>
          <w:szCs w:val="13"/>
          <w:color w:val="auto"/>
        </w:rPr>
        <w:t>that the failure of any Indemnified Party to give notice as provided herein shall not relieve the Indemnifying Party of its obligations under this</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2.6, to the extent such failure is not prejudicial.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 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326" w:lineRule="exact"/>
        <w:rPr>
          <w:rFonts w:ascii="Arial" w:cs="Arial" w:eastAsia="Arial" w:hAnsi="Arial"/>
          <w:sz w:val="13"/>
          <w:szCs w:val="13"/>
          <w:color w:val="auto"/>
        </w:rPr>
      </w:pPr>
    </w:p>
    <w:p>
      <w:pPr>
        <w:ind w:right="20" w:firstLine="860"/>
        <w:spacing w:after="0" w:line="310" w:lineRule="auto"/>
        <w:tabs>
          <w:tab w:leader="none" w:pos="1206" w:val="left"/>
        </w:tabs>
        <w:numPr>
          <w:ilvl w:val="0"/>
          <w:numId w:val="253"/>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2.6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 Holder will be required under this Section 2.6(d) to contribute any amount (taken together with amounts paid pursuant to Section 2.6(b)) in excess of the net proceeds from the offering received by such person or entity, except in the case of fraud or willful misconduct by such Holder. No person or entity guilty of fraudulent misrepresentation (within the meaning of Section 11(f) of the Securities Act) will be entitled to contribution from any person or entity who was not guilty of such fraudulent misrepresentation.</w:t>
      </w:r>
    </w:p>
    <w:p>
      <w:pPr>
        <w:spacing w:after="0" w:line="328" w:lineRule="exact"/>
        <w:rPr>
          <w:rFonts w:ascii="Arial" w:cs="Arial" w:eastAsia="Arial" w:hAnsi="Arial"/>
          <w:sz w:val="13"/>
          <w:szCs w:val="13"/>
          <w:color w:val="auto"/>
        </w:rPr>
      </w:pPr>
    </w:p>
    <w:p>
      <w:pPr>
        <w:ind w:right="220" w:firstLine="860"/>
        <w:spacing w:after="0" w:line="256" w:lineRule="auto"/>
        <w:tabs>
          <w:tab w:leader="none" w:pos="119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62" w:lineRule="exact"/>
        <w:rPr>
          <w:sz w:val="20"/>
          <w:szCs w:val="20"/>
          <w:color w:val="auto"/>
        </w:rPr>
      </w:pPr>
    </w:p>
    <w:p>
      <w:pPr>
        <w:jc w:val="both"/>
        <w:ind w:right="80" w:firstLine="385"/>
        <w:spacing w:after="0" w:line="259" w:lineRule="auto"/>
        <w:rPr>
          <w:sz w:val="20"/>
          <w:szCs w:val="20"/>
          <w:color w:val="auto"/>
        </w:rPr>
      </w:pPr>
      <w:r>
        <w:rPr>
          <w:rFonts w:ascii="Arial" w:cs="Arial" w:eastAsia="Arial" w:hAnsi="Arial"/>
          <w:sz w:val="16"/>
          <w:szCs w:val="16"/>
          <w:b w:val="1"/>
          <w:bCs w:val="1"/>
          <w:color w:val="auto"/>
        </w:rPr>
        <w:t>2.7 Information by Holder</w:t>
      </w:r>
      <w:r>
        <w:rPr>
          <w:rFonts w:ascii="Arial" w:cs="Arial" w:eastAsia="Arial" w:hAnsi="Arial"/>
          <w:sz w:val="16"/>
          <w:szCs w:val="16"/>
          <w:color w:val="auto"/>
        </w:rPr>
        <w:t>. Each Holder of Registrable Securities shall furnish to the Company such information regarding such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distribution proposed by such Holder as the Company may reasonably request in writing and as shall be reasonably required in connection with any registration, qualification, or compliance referred to in this Section 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600"/>
          </w:cols>
          <w:pgMar w:left="1140" w:top="256" w:right="1159" w:bottom="1440" w:gutter="0" w:footer="0" w:header="0"/>
        </w:sectPr>
      </w:pPr>
    </w:p>
    <w:bookmarkStart w:id="398" w:name="page399"/>
    <w:bookmarkEnd w:id="398"/>
    <w:p>
      <w:pPr>
        <w:ind w:left="380"/>
        <w:spacing w:after="0"/>
        <w:tabs>
          <w:tab w:leader="none" w:pos="82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2.8</w:t>
      </w:r>
      <w:r>
        <w:rPr>
          <w:sz w:val="20"/>
          <w:szCs w:val="20"/>
          <w:color w:val="auto"/>
        </w:rPr>
        <w:tab/>
      </w:r>
      <w:r>
        <w:rPr>
          <w:rFonts w:ascii="Arial" w:cs="Arial" w:eastAsia="Arial" w:hAnsi="Arial"/>
          <w:sz w:val="13"/>
          <w:szCs w:val="13"/>
          <w:b w:val="1"/>
          <w:bCs w:val="1"/>
          <w:color w:val="auto"/>
        </w:rPr>
        <w:t>Restrictions on Transfer</w:t>
      </w:r>
      <w:r>
        <w:rPr>
          <w:rFonts w:ascii="Arial" w:cs="Arial" w:eastAsia="Arial" w:hAnsi="Arial"/>
          <w:sz w:val="13"/>
          <w:szCs w:val="13"/>
          <w:color w:val="auto"/>
        </w:rPr>
        <w:t>.</w:t>
      </w:r>
    </w:p>
    <w:p>
      <w:pPr>
        <w:spacing w:after="0" w:line="197" w:lineRule="exact"/>
        <w:rPr>
          <w:sz w:val="20"/>
          <w:szCs w:val="20"/>
          <w:color w:val="auto"/>
        </w:rPr>
      </w:pPr>
    </w:p>
    <w:p>
      <w:pPr>
        <w:ind w:right="80" w:firstLine="860"/>
        <w:spacing w:after="0" w:line="249" w:lineRule="auto"/>
        <w:tabs>
          <w:tab w:leader="none" w:pos="123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holder of each certificate representing Registrable Securities by acceptance thereof agrees to comply in all respects with the provisions of this Section 2.8. Each Holder agrees not to make any sale, assignment, transfer, pledge or other disposition of all or any portion of the Restricted Securities, or any beneficial interest therein, unless and until the transferee thereof has agreed in writing for the benefit of the Company to take and hold such Restricted Securities subject to, and to be bound by, the terms and conditions set forth in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transferee need not be subject to, and bound by, the terms and conditions set forth in this Agreement following the Company’s first underwritten public offering of Common Stock under the Securities Act, so long as such transfer is compliant with Rule 144) including, without limitation, this Section 2.8 and Section 2.10, and:</w:t>
      </w:r>
    </w:p>
    <w:p>
      <w:pPr>
        <w:spacing w:after="0" w:line="172" w:lineRule="exact"/>
        <w:rPr>
          <w:rFonts w:ascii="Arial" w:cs="Arial" w:eastAsia="Arial" w:hAnsi="Arial"/>
          <w:sz w:val="16"/>
          <w:szCs w:val="16"/>
          <w:color w:val="auto"/>
        </w:rPr>
      </w:pPr>
    </w:p>
    <w:p>
      <w:pPr>
        <w:ind w:right="60" w:firstLine="1244"/>
        <w:spacing w:after="0" w:line="266" w:lineRule="auto"/>
        <w:tabs>
          <w:tab w:leader="none" w:pos="1556"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there is then in effect a registration statement under the Securities Act covering such proposed disposition and such disposition is made in accordance with such registration statement; or</w:t>
      </w:r>
    </w:p>
    <w:p>
      <w:pPr>
        <w:spacing w:after="0" w:line="158" w:lineRule="exact"/>
        <w:rPr>
          <w:rFonts w:ascii="Arial" w:cs="Arial" w:eastAsia="Arial" w:hAnsi="Arial"/>
          <w:sz w:val="16"/>
          <w:szCs w:val="16"/>
          <w:color w:val="auto"/>
        </w:rPr>
      </w:pPr>
    </w:p>
    <w:p>
      <w:pPr>
        <w:ind w:firstLine="1244"/>
        <w:spacing w:after="0" w:line="268" w:lineRule="auto"/>
        <w:tabs>
          <w:tab w:leader="none" w:pos="1560" w:val="left"/>
        </w:tabs>
        <w:numPr>
          <w:ilvl w:val="1"/>
          <w:numId w:val="254"/>
        </w:numPr>
        <w:rPr>
          <w:rFonts w:ascii="Arial" w:cs="Arial" w:eastAsia="Arial" w:hAnsi="Arial"/>
          <w:sz w:val="15"/>
          <w:szCs w:val="15"/>
          <w:color w:val="auto"/>
        </w:rPr>
      </w:pPr>
      <w:r>
        <w:rPr>
          <w:rFonts w:ascii="Arial" w:cs="Arial" w:eastAsia="Arial" w:hAnsi="Arial"/>
          <w:sz w:val="15"/>
          <w:szCs w:val="15"/>
          <w:color w:val="auto"/>
        </w:rPr>
        <w:t>such Holder shall have given prior written notice to the Company of the Holder’s intention to make such disposition and shall have furnished the Company with a detailed description of the manner and circumstances of the proposed disposition, and, if requested by the Company, such Holder shall have furnished the Company, at the Holder’s expense, with (A) an opinion of counsel, reasonably satisfactory to the Company, to the effect that such disposition will not require registration of such Restricted Securities under the Securities Act, (B) a “no action” letter from the Commission to the effect that the transfer of such securities without registration will not result in a recommendation by the staff of the Commission that action be taken with respect thereto or (C) any other evidence reasonably satisfactory to counsel to the Company to the effect that the proposed sale, pledge, or transfer of such Restricted Securities may be effected without registration under the Securities Act;</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whereupon the holder of such Restricted Securities shall be entitled to transfer such Restricted Securities in accordance with the terms of the notice delivered by the Holder to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notice, opinion of counsel or “no action” letter shall be required if the intended sale, pledge or transfer complies with Rule 144.</w:t>
      </w:r>
    </w:p>
    <w:p>
      <w:pPr>
        <w:spacing w:after="0" w:line="166" w:lineRule="exact"/>
        <w:rPr>
          <w:sz w:val="20"/>
          <w:szCs w:val="20"/>
          <w:color w:val="auto"/>
        </w:rPr>
      </w:pPr>
    </w:p>
    <w:p>
      <w:pPr>
        <w:ind w:right="20" w:firstLine="860"/>
        <w:spacing w:after="0" w:line="315" w:lineRule="auto"/>
        <w:tabs>
          <w:tab w:leader="none" w:pos="1245" w:val="left"/>
        </w:tabs>
        <w:numPr>
          <w:ilvl w:val="0"/>
          <w:numId w:val="255"/>
        </w:numPr>
        <w:rPr>
          <w:rFonts w:ascii="Arial" w:cs="Arial" w:eastAsia="Arial" w:hAnsi="Arial"/>
          <w:sz w:val="13"/>
          <w:szCs w:val="13"/>
          <w:color w:val="auto"/>
        </w:rPr>
      </w:pPr>
      <w:r>
        <w:rPr>
          <w:rFonts w:ascii="Arial" w:cs="Arial" w:eastAsia="Arial" w:hAnsi="Arial"/>
          <w:sz w:val="13"/>
          <w:szCs w:val="13"/>
          <w:color w:val="auto"/>
        </w:rPr>
        <w:t>Notwithstanding the provisions of Section 2.8(a), no such registration statement, opinion of counsel or “no action” letter shall be necessary for (i) a transfer not involving a change in beneficial ownership, or (ii) transactions involving the distribution without consideration of Restricted Securities by any Holder to (x) a parent, subsidiary or other affiliate of the Holder, if the Holder is a corporation, (y) any of the Holder’s partners, members or other equity owners, or retired partners, retired members or other equity owners, or to the estate of any of the Holder’s partners, members or other equity owners or retired partners, retired members or other equity owners, or (z) a venture capital fund that is controlled by or under common control with one or more general partners or managing members of, or shares the same management company with, the Holder; provided, in each case, that the Holder thereof shall give written notice to the Company of such Holder’s intention to effect such disposition and shall have furnished the Company with a detailed description of the manner and circumstances of the proposed disposition.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580"/>
          </w:cols>
          <w:pgMar w:left="1140" w:top="252" w:right="1179" w:bottom="1440" w:gutter="0" w:footer="0" w:header="0"/>
        </w:sectPr>
      </w:pPr>
    </w:p>
    <w:bookmarkStart w:id="399" w:name="page400"/>
    <w:bookmarkEnd w:id="399"/>
    <w:p>
      <w:pPr>
        <w:ind w:firstLine="860"/>
        <w:spacing w:after="0" w:line="378" w:lineRule="auto"/>
        <w:tabs>
          <w:tab w:leader="none" w:pos="1197" w:val="left"/>
        </w:tabs>
        <w:numPr>
          <w:ilvl w:val="0"/>
          <w:numId w:val="25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Each certificate representing Registrable Securities shall (unless otherwise permitted by the provisions of this Agreement) be stamped or otherwise imprinted with a legend substantially similar to the following (in addition to any legend required under applicable state securities laws):</w:t>
      </w:r>
    </w:p>
    <w:p>
      <w:pPr>
        <w:spacing w:after="0" w:line="1" w:lineRule="exact"/>
        <w:rPr>
          <w:sz w:val="20"/>
          <w:szCs w:val="20"/>
          <w:color w:val="auto"/>
        </w:rPr>
      </w:pPr>
    </w:p>
    <w:p>
      <w:pPr>
        <w:ind w:left="860" w:right="40"/>
        <w:spacing w:after="0" w:line="268" w:lineRule="auto"/>
        <w:rPr>
          <w:sz w:val="20"/>
          <w:szCs w:val="20"/>
          <w:color w:val="auto"/>
        </w:rPr>
      </w:pPr>
      <w:r>
        <w:rPr>
          <w:rFonts w:ascii="Arial" w:cs="Arial" w:eastAsia="Arial" w:hAnsi="Arial"/>
          <w:sz w:val="15"/>
          <w:szCs w:val="15"/>
          <w:color w:val="auto"/>
        </w:rPr>
        <w:t>THE SHARES REPRESENTED BY THIS CERTIFICATE HAVE NOT BEEN REGISTERED UNDER THE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 OR UNDER THE SECURITIES LAWS OF ANY STATE. THESE SECURITIES MAY NOT BE OFFERED, SOLD OR OTHERWISE TRANSFERRED, PLEDGED OR HYPOTHECATED EXCEPT AS PERMITTED UNDER THE ACT AND APPLICABLE STATE SECURITIES LAWS PURSUANT TO REGISTRATION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67" w:lineRule="exact"/>
        <w:rPr>
          <w:sz w:val="20"/>
          <w:szCs w:val="20"/>
          <w:color w:val="auto"/>
        </w:rPr>
      </w:pPr>
    </w:p>
    <w:p>
      <w:pPr>
        <w:ind w:left="860" w:right="180"/>
        <w:spacing w:after="0" w:line="253" w:lineRule="auto"/>
        <w:rPr>
          <w:sz w:val="20"/>
          <w:szCs w:val="20"/>
          <w:color w:val="auto"/>
        </w:rPr>
      </w:pPr>
      <w:r>
        <w:rPr>
          <w:rFonts w:ascii="Arial" w:cs="Arial" w:eastAsia="Arial" w:hAnsi="Arial"/>
          <w:sz w:val="16"/>
          <w:szCs w:val="16"/>
          <w:color w:val="auto"/>
        </w:rPr>
        <w:t>THE SHARES REPRESENTED BY THIS CERTIFICATE ARE SUBJECT TO RESTRICTIONS ON TRANSFERABILITY AND RESALE, INCLUDING A LOCK-UP PERIOD IN THE EVENT OF A PUBLIC OFFERING, AS SET FORTH IN AN INVESTORS’ RIGHTS AGREEMENT BY AND AMONG THE COMPANY AND THE ORIGINAL HOLDERS OF THESE SHARES, A COPY OF WHICH MAY BE OBTAINED AT THE PRINCIPAL OFFICE OF THE COMPANY.</w:t>
      </w:r>
    </w:p>
    <w:p>
      <w:pPr>
        <w:spacing w:after="0" w:line="167" w:lineRule="exact"/>
        <w:rPr>
          <w:sz w:val="20"/>
          <w:szCs w:val="20"/>
          <w:color w:val="auto"/>
        </w:rPr>
      </w:pPr>
    </w:p>
    <w:p>
      <w:pPr>
        <w:ind w:right="140" w:firstLine="385"/>
        <w:spacing w:after="0" w:line="266" w:lineRule="auto"/>
        <w:rPr>
          <w:sz w:val="20"/>
          <w:szCs w:val="20"/>
          <w:color w:val="auto"/>
        </w:rPr>
      </w:pPr>
      <w:r>
        <w:rPr>
          <w:rFonts w:ascii="Arial" w:cs="Arial" w:eastAsia="Arial" w:hAnsi="Arial"/>
          <w:sz w:val="16"/>
          <w:szCs w:val="16"/>
          <w:color w:val="auto"/>
        </w:rPr>
        <w:t>The Holders consent to the Company making a notation on its records and giving instructions to any transfer agent of the Restricted Securities in order to implement the restrictions on transfer established in this Section 2.8.</w:t>
      </w:r>
    </w:p>
    <w:p>
      <w:pPr>
        <w:spacing w:after="0" w:line="158" w:lineRule="exact"/>
        <w:rPr>
          <w:sz w:val="20"/>
          <w:szCs w:val="20"/>
          <w:color w:val="auto"/>
        </w:rPr>
      </w:pPr>
    </w:p>
    <w:p>
      <w:pPr>
        <w:ind w:right="180" w:firstLine="860"/>
        <w:spacing w:after="0" w:line="270" w:lineRule="auto"/>
        <w:tabs>
          <w:tab w:leader="none" w:pos="1203"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first legend referring to federal and state securities laws identified in Section 2.8(c) stamped on a certificate evidencing the Restricted Securities and the stock transfer instructions and record notations with respect to such Restricted Securities shall be removed and the Company shall issue a certificate without such legend to the holder of such Restricted Securities (i) following the Company’s first underwritten public offering of its Common Stock under the Securities Act, if such securities are transferred in connection with a sale, pledge or transfer pursuant to Rule 144, (ii) if such securities are registered under the Securities Act, or (iii) if, in the opinion of counsel for such Holder and the Company, such legend is not required in order to establish compliance with any provisions of the Securities Act.</w:t>
      </w:r>
    </w:p>
    <w:p>
      <w:pPr>
        <w:spacing w:after="0" w:line="152" w:lineRule="exact"/>
        <w:rPr>
          <w:sz w:val="20"/>
          <w:szCs w:val="20"/>
          <w:color w:val="auto"/>
        </w:rPr>
      </w:pPr>
    </w:p>
    <w:p>
      <w:pPr>
        <w:ind w:right="100" w:firstLine="385"/>
        <w:spacing w:after="0" w:line="306" w:lineRule="auto"/>
        <w:rPr>
          <w:sz w:val="20"/>
          <w:szCs w:val="20"/>
          <w:color w:val="auto"/>
        </w:rPr>
      </w:pPr>
      <w:r>
        <w:rPr>
          <w:rFonts w:ascii="Arial" w:cs="Arial" w:eastAsia="Arial" w:hAnsi="Arial"/>
          <w:sz w:val="15"/>
          <w:szCs w:val="15"/>
          <w:b w:val="1"/>
          <w:bCs w:val="1"/>
          <w:color w:val="auto"/>
        </w:rPr>
        <w:t>2.9 Rule 144 Reporting</w:t>
      </w:r>
      <w:r>
        <w:rPr>
          <w:rFonts w:ascii="Arial" w:cs="Arial" w:eastAsia="Arial" w:hAnsi="Arial"/>
          <w:sz w:val="15"/>
          <w:szCs w:val="15"/>
          <w:color w:val="auto"/>
        </w:rPr>
        <w:t>. With a view to making available the benefits of certain rules and regulations of the Commission that may permit the</w:t>
      </w:r>
      <w:r>
        <w:rPr>
          <w:rFonts w:ascii="Arial" w:cs="Arial" w:eastAsia="Arial" w:hAnsi="Arial"/>
          <w:sz w:val="15"/>
          <w:szCs w:val="15"/>
          <w:b w:val="1"/>
          <w:bCs w:val="1"/>
          <w:color w:val="auto"/>
        </w:rPr>
        <w:t xml:space="preserve"> </w:t>
      </w:r>
      <w:r>
        <w:rPr>
          <w:rFonts w:ascii="Arial" w:cs="Arial" w:eastAsia="Arial" w:hAnsi="Arial"/>
          <w:sz w:val="15"/>
          <w:szCs w:val="15"/>
          <w:color w:val="auto"/>
        </w:rPr>
        <w:t>sale of the Restricted Securities to the public without registration, the Company agrees to use its commercially reasonable efforts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620"/>
          </w:cols>
          <w:pgMar w:left="1140" w:top="256" w:right="1139" w:bottom="1440" w:gutter="0" w:footer="0" w:header="0"/>
        </w:sectPr>
      </w:pPr>
    </w:p>
    <w:bookmarkStart w:id="400" w:name="page401"/>
    <w:bookmarkEnd w:id="400"/>
    <w:p>
      <w:pPr>
        <w:ind w:right="240" w:firstLine="860"/>
        <w:spacing w:after="0" w:line="266" w:lineRule="auto"/>
        <w:tabs>
          <w:tab w:leader="none" w:pos="1197" w:val="left"/>
        </w:tabs>
        <w:numPr>
          <w:ilvl w:val="0"/>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Make and keep adequate current public information with respect to the Company available in accordance with Rule 144 under the Securities Act, at all times from and after the effective date of the Company’s Initial Public Offering;</w:t>
      </w:r>
    </w:p>
    <w:p>
      <w:pPr>
        <w:spacing w:after="0" w:line="158" w:lineRule="exact"/>
        <w:rPr>
          <w:rFonts w:ascii="Arial" w:cs="Arial" w:eastAsia="Arial" w:hAnsi="Arial"/>
          <w:sz w:val="16"/>
          <w:szCs w:val="16"/>
          <w:color w:val="auto"/>
        </w:rPr>
      </w:pPr>
    </w:p>
    <w:p>
      <w:pPr>
        <w:ind w:right="100" w:firstLine="860"/>
        <w:spacing w:after="0" w:line="266" w:lineRule="auto"/>
        <w:tabs>
          <w:tab w:leader="none" w:pos="120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File with the Commission in a timely manner all reports and other documents required of the Company under the Securities Act and the Exchange Act at any time after it has become subject to such reporting requirements; and</w:t>
      </w:r>
    </w:p>
    <w:p>
      <w:pPr>
        <w:spacing w:after="0" w:line="158" w:lineRule="exact"/>
        <w:rPr>
          <w:rFonts w:ascii="Arial" w:cs="Arial" w:eastAsia="Arial" w:hAnsi="Arial"/>
          <w:sz w:val="16"/>
          <w:szCs w:val="16"/>
          <w:color w:val="auto"/>
        </w:rPr>
      </w:pPr>
    </w:p>
    <w:p>
      <w:pPr>
        <w:jc w:val="both"/>
        <w:ind w:right="140" w:firstLine="860"/>
        <w:spacing w:after="0" w:line="270" w:lineRule="auto"/>
        <w:tabs>
          <w:tab w:leader="none" w:pos="1197" w:val="left"/>
        </w:tabs>
        <w:numPr>
          <w:ilvl w:val="0"/>
          <w:numId w:val="258"/>
        </w:numPr>
        <w:rPr>
          <w:rFonts w:ascii="Arial" w:cs="Arial" w:eastAsia="Arial" w:hAnsi="Arial"/>
          <w:sz w:val="15"/>
          <w:szCs w:val="15"/>
          <w:color w:val="auto"/>
        </w:rPr>
      </w:pPr>
      <w:r>
        <w:rPr>
          <w:rFonts w:ascii="Arial" w:cs="Arial" w:eastAsia="Arial" w:hAnsi="Arial"/>
          <w:sz w:val="15"/>
          <w:szCs w:val="15"/>
          <w:color w:val="auto"/>
        </w:rPr>
        <w:t>So long as a Holder owns any Restricted Securities, furnish to the Holder forthwith upon written request a written statement by the Company as to its compliance with the reporting requirements of Rule 144 (at any time from and after ninety (90) days following the effective date of the first registration statement filed by the Company for an offering of its securities to the general public), and of the Securities Act and the Exchange Act (at any time after it has become subject to such reporting requirements), a copy of the most recent annual or quarterly report of the Company, and such other reports and documents so filed as a Holder may reasonably request in availing itself of any rule or regulation of the Commission allowing a Holder to sell any such securities without registration.</w:t>
      </w:r>
    </w:p>
    <w:p>
      <w:pPr>
        <w:spacing w:after="0" w:line="152"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b w:val="1"/>
          <w:bCs w:val="1"/>
          <w:color w:val="auto"/>
        </w:rPr>
        <w:t>2.10 Market Stand-Off Agreement</w:t>
      </w:r>
      <w:r>
        <w:rPr>
          <w:rFonts w:ascii="Arial" w:cs="Arial" w:eastAsia="Arial" w:hAnsi="Arial"/>
          <w:sz w:val="13"/>
          <w:szCs w:val="13"/>
          <w:color w:val="auto"/>
        </w:rPr>
        <w:t>. Each Holder and transferee thereof hereby agrees that such Holder or transferee shall not sell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transfer, make any short sale of, grant any option for the purchase of, or enter into any hedging or similar transaction with the same economic effect as a sale, of any Common Stock (or other securities) of the Company held immediately before the effective date of the registration statement for the Company’s Initial Public Offering by such Holder or transferee (other than those included for sale by such Holder in the registration) during the one hundred and eighty (180)-day period following the effective date of the registration statement for the Company’s Initial Public Offering,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all officers and directors of the Company and all holders of more than one percent (1%) of the Company’s voting securities are bound by and have entered into similar agreements. The obligations described in this Section 2.10 shall not apply to (i) the sale of any shares to an underwriter pursuant to an underwriting agreement, (ii) a registration relating solely to employee benefit plans on Form S-l or Form S-8 or similar forms that may be promulgated in the future, or (iii) a registration relating solely to a transaction on Form S-4 or similar forms that may be promulgated in the future. The Company may impose stop-transfer instructions and may stamp each such certificate with the second legend set forth in Section 2.8(c) with respect to the shares of Common Stock (or other securities) subject to the foregoing restriction until the end of such one hundred and eighty (180) day (or other) period. Each Holder agrees to execute a market standoff agreement with said underwriters in customary form consistent with and no more burdensome to such Holder than the provisions of this Section 2.10.In the event that the Company or the managing underwriter waives or terminates any of the restrictions contained in this Section 2.10 or in a lock-up agreement with respect to the securities of any Holder, officer, director or greater than one-percent stockholder of the Company (in any such case, the “</w:t>
      </w:r>
      <w:r>
        <w:rPr>
          <w:rFonts w:ascii="Arial" w:cs="Arial" w:eastAsia="Arial" w:hAnsi="Arial"/>
          <w:sz w:val="13"/>
          <w:szCs w:val="13"/>
          <w:b w:val="1"/>
          <w:bCs w:val="1"/>
          <w:i w:val="1"/>
          <w:iCs w:val="1"/>
          <w:color w:val="auto"/>
        </w:rPr>
        <w:t>Released Securities</w:t>
      </w:r>
      <w:r>
        <w:rPr>
          <w:rFonts w:ascii="Arial" w:cs="Arial" w:eastAsia="Arial" w:hAnsi="Arial"/>
          <w:sz w:val="13"/>
          <w:szCs w:val="13"/>
          <w:color w:val="auto"/>
        </w:rPr>
        <w:t>”), the restrictions contained in this Section 2.10 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600"/>
          </w:cols>
          <w:pgMar w:left="1140" w:top="256" w:right="1159" w:bottom="1440" w:gutter="0" w:footer="0" w:header="0"/>
        </w:sectPr>
      </w:pPr>
    </w:p>
    <w:bookmarkStart w:id="401" w:name="page402"/>
    <w:bookmarkEnd w:id="401"/>
    <w:p>
      <w:pPr>
        <w:ind w:right="360" w:firstLine="385"/>
        <w:spacing w:after="0" w:line="27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2.11 Delay of Registration</w:t>
      </w:r>
      <w:r>
        <w:rPr>
          <w:rFonts w:ascii="Arial" w:cs="Arial" w:eastAsia="Arial" w:hAnsi="Arial"/>
          <w:sz w:val="16"/>
          <w:szCs w:val="16"/>
          <w:color w:val="auto"/>
        </w:rPr>
        <w:t>. No Holder shall have any right to take any action to restrain, enjoin, or otherwise delay any registration as the</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any controversy that might arise with respect to the interpretation or implementation of this Section 2.</w:t>
      </w:r>
    </w:p>
    <w:p>
      <w:pPr>
        <w:spacing w:after="0" w:line="149" w:lineRule="exact"/>
        <w:rPr>
          <w:sz w:val="20"/>
          <w:szCs w:val="20"/>
          <w:color w:val="auto"/>
        </w:rPr>
      </w:pPr>
    </w:p>
    <w:p>
      <w:pPr>
        <w:ind w:right="40" w:firstLine="385"/>
        <w:spacing w:after="0" w:line="312" w:lineRule="auto"/>
        <w:rPr>
          <w:sz w:val="20"/>
          <w:szCs w:val="20"/>
          <w:color w:val="auto"/>
        </w:rPr>
      </w:pPr>
      <w:r>
        <w:rPr>
          <w:rFonts w:ascii="Arial" w:cs="Arial" w:eastAsia="Arial" w:hAnsi="Arial"/>
          <w:sz w:val="13"/>
          <w:szCs w:val="13"/>
          <w:b w:val="1"/>
          <w:bCs w:val="1"/>
          <w:color w:val="auto"/>
        </w:rPr>
        <w:t>2.12 Transfer or Assignment of Registration Rights</w:t>
      </w:r>
      <w:r>
        <w:rPr>
          <w:rFonts w:ascii="Arial" w:cs="Arial" w:eastAsia="Arial" w:hAnsi="Arial"/>
          <w:sz w:val="13"/>
          <w:szCs w:val="13"/>
          <w:color w:val="auto"/>
        </w:rPr>
        <w:t>. The rights to cause the Company to register securities granted to a Holder by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Company under this Section 2 may be transferred or assigned by a Holder only to (a) a transferee or assignee of at least 250,000 shares of Registrable Securities (as presently constituted and subject to subsequent adjustments for stock splits, stock dividends, reverse stock splits, and the like) (or all shares of Registrable Securities held by the transferring Holder, if less than 250,000) or (b) any of the Holder’s partners, members or other equity owners, or retired partners, retired members or other equity owners, or, if the Holder is a venture capital fund or other investment fund, then to an entity that is controlled by or under common control with one or more general partners or managing members of, or shares the same management company or investment adviser with, the Holder;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such transfer or assignment of Registrable Securities is effected in accordance with the terms of Section 2.8, the Right of First Refusal and Co-Sale Agreement (as may be amended from time to time), and applicable securities laws, (ii) the Company is given written notice prior to said transfer or assignment, stating the name and address of the transferee or assignee and identifying the securities with respect to which such registration rights are intended to be transferred or assigned and (iii) the transferee or assignee of such rights assumes in writing the obligations of such Holder under this Agreement, including without limitation the obligations set forth in Section 2.10.</w:t>
      </w:r>
    </w:p>
    <w:p>
      <w:pPr>
        <w:spacing w:after="0" w:line="320" w:lineRule="exact"/>
        <w:rPr>
          <w:sz w:val="20"/>
          <w:szCs w:val="20"/>
          <w:color w:val="auto"/>
        </w:rPr>
      </w:pPr>
    </w:p>
    <w:p>
      <w:pPr>
        <w:ind w:firstLine="385"/>
        <w:spacing w:after="0" w:line="273" w:lineRule="auto"/>
        <w:rPr>
          <w:sz w:val="20"/>
          <w:szCs w:val="20"/>
          <w:color w:val="auto"/>
        </w:rPr>
      </w:pPr>
      <w:r>
        <w:rPr>
          <w:rFonts w:ascii="Arial" w:cs="Arial" w:eastAsia="Arial" w:hAnsi="Arial"/>
          <w:sz w:val="15"/>
          <w:szCs w:val="15"/>
          <w:b w:val="1"/>
          <w:bCs w:val="1"/>
          <w:color w:val="auto"/>
        </w:rPr>
        <w:t>2.13 Limitations on Subsequent Registration Rights</w:t>
      </w:r>
      <w:r>
        <w:rPr>
          <w:rFonts w:ascii="Arial" w:cs="Arial" w:eastAsia="Arial" w:hAnsi="Arial"/>
          <w:sz w:val="15"/>
          <w:szCs w:val="15"/>
          <w:color w:val="auto"/>
        </w:rPr>
        <w:t>. From and after the date of this Agreement, the Company shall not, without the prior</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consent of Holders holding a majority of the Registrable Securities (excluding any of such shares held by any Holders whose rights to request registration or inclusion in any registration pursuant to this Section 2 have terminated in accordance with Section 2.14), enter into any agreement with any holder or prospective holder of any securities of the Company giving such holder or prospective holder any registration rights the terms of which are senior to or on parity with the registration rights granted to the Holders hereunder.</w:t>
      </w:r>
    </w:p>
    <w:p>
      <w:pPr>
        <w:spacing w:after="0" w:line="15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b w:val="1"/>
          <w:bCs w:val="1"/>
          <w:color w:val="auto"/>
        </w:rPr>
        <w:t>2.14</w:t>
      </w:r>
      <w:r>
        <w:rPr>
          <w:sz w:val="20"/>
          <w:szCs w:val="20"/>
          <w:color w:val="auto"/>
        </w:rPr>
        <w:tab/>
      </w:r>
      <w:r>
        <w:rPr>
          <w:rFonts w:ascii="Arial" w:cs="Arial" w:eastAsia="Arial" w:hAnsi="Arial"/>
          <w:sz w:val="13"/>
          <w:szCs w:val="13"/>
          <w:b w:val="1"/>
          <w:bCs w:val="1"/>
          <w:color w:val="auto"/>
        </w:rPr>
        <w:t>Termination of Registration Rights</w:t>
      </w:r>
      <w:r>
        <w:rPr>
          <w:rFonts w:ascii="Arial" w:cs="Arial" w:eastAsia="Arial" w:hAnsi="Arial"/>
          <w:sz w:val="13"/>
          <w:szCs w:val="13"/>
          <w:color w:val="auto"/>
        </w:rPr>
        <w:t>. The right of any Holder to request registration or inclusion in any registration pursuant to</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Sections 2.1, 2.2 or 2.3 shall terminate on the earlier of (i) such date, on or after the closing of the Company’s Initial Public Offering, on which all shares</w:t>
      </w:r>
    </w:p>
    <w:p>
      <w:pPr>
        <w:spacing w:after="0" w:line="3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of Registrable Securities held or entitled to be held upon conversion by such Holder may immediately be sold under Rule 144 during any ninety (90)-day period, (ii) four (4) years after the closing of the Company’s Initial Public Offering, and (iii) immediately prior to, but subject to, the closing of a Deemed Liquidation Event (as defined in the Restated Certificate).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00"/>
          </w:cols>
          <w:pgMar w:left="1140" w:top="252" w:right="1159" w:bottom="1440" w:gutter="0" w:footer="0" w:header="0"/>
        </w:sectPr>
      </w:pPr>
    </w:p>
    <w:bookmarkStart w:id="402" w:name="page403"/>
    <w:bookmarkEnd w:id="402"/>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SECTION 3</w:t>
      </w:r>
    </w:p>
    <w:p>
      <w:pPr>
        <w:spacing w:after="0" w:line="193" w:lineRule="exact"/>
        <w:rPr>
          <w:sz w:val="20"/>
          <w:szCs w:val="20"/>
          <w:color w:val="auto"/>
        </w:rPr>
      </w:pPr>
    </w:p>
    <w:p>
      <w:pPr>
        <w:ind w:left="3586"/>
        <w:spacing w:after="0"/>
        <w:rPr>
          <w:sz w:val="20"/>
          <w:szCs w:val="20"/>
          <w:color w:val="auto"/>
        </w:rPr>
      </w:pPr>
      <w:r>
        <w:rPr>
          <w:rFonts w:ascii="Arial" w:cs="Arial" w:eastAsia="Arial" w:hAnsi="Arial"/>
          <w:sz w:val="16"/>
          <w:szCs w:val="16"/>
          <w:b w:val="1"/>
          <w:bCs w:val="1"/>
          <w:color w:val="auto"/>
        </w:rPr>
        <w:t>COVENANTS OF THE COMPANY</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Company hereby covenants and agrees, as follows:</w:t>
      </w:r>
    </w:p>
    <w:p>
      <w:pPr>
        <w:spacing w:after="0" w:line="189"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3"/>
          <w:szCs w:val="13"/>
          <w:b w:val="1"/>
          <w:bCs w:val="1"/>
          <w:color w:val="auto"/>
        </w:rPr>
        <w:t>Basic Financial Information and Inspection Rights</w:t>
      </w:r>
      <w:r>
        <w:rPr>
          <w:rFonts w:ascii="Arial" w:cs="Arial" w:eastAsia="Arial" w:hAnsi="Arial"/>
          <w:sz w:val="13"/>
          <w:szCs w:val="13"/>
          <w:color w:val="auto"/>
        </w:rPr>
        <w:t>.</w:t>
      </w:r>
    </w:p>
    <w:p>
      <w:pPr>
        <w:spacing w:after="0" w:line="197" w:lineRule="exact"/>
        <w:rPr>
          <w:sz w:val="20"/>
          <w:szCs w:val="20"/>
          <w:color w:val="auto"/>
        </w:rPr>
      </w:pPr>
    </w:p>
    <w:p>
      <w:pPr>
        <w:ind w:left="6" w:right="20" w:firstLine="860"/>
        <w:spacing w:after="0" w:line="253" w:lineRule="auto"/>
        <w:tabs>
          <w:tab w:leader="none" w:pos="1243" w:val="left"/>
        </w:tabs>
        <w:numPr>
          <w:ilvl w:val="1"/>
          <w:numId w:val="2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Basic Financial Information. </w:t>
      </w:r>
      <w:r>
        <w:rPr>
          <w:rFonts w:ascii="Arial" w:cs="Arial" w:eastAsia="Arial" w:hAnsi="Arial"/>
          <w:sz w:val="16"/>
          <w:szCs w:val="16"/>
          <w:color w:val="auto"/>
        </w:rPr>
        <w:t>The Company will furnish the following reports to each Holder who (together with its affiliates) owns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is obligated to purchase under the Purchase Agreement an aggregate of at least 3,000,000 Shares and/or shares of Common Stock issued upon conversion of Shares (in each case as presently constituted and subject to subsequent adjustments for stock splits, stock dividends, reverse stock splits, and the like) (each a “</w:t>
      </w:r>
      <w:r>
        <w:rPr>
          <w:rFonts w:ascii="Arial" w:cs="Arial" w:eastAsia="Arial" w:hAnsi="Arial"/>
          <w:sz w:val="16"/>
          <w:szCs w:val="16"/>
          <w:b w:val="1"/>
          <w:bCs w:val="1"/>
          <w:i w:val="1"/>
          <w:iCs w:val="1"/>
          <w:color w:val="auto"/>
        </w:rPr>
        <w:t>Major Investor</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546" w:hanging="296"/>
        <w:spacing w:after="0"/>
        <w:tabs>
          <w:tab w:leader="none" w:pos="1546" w:val="left"/>
        </w:tabs>
        <w:numPr>
          <w:ilvl w:val="2"/>
          <w:numId w:val="259"/>
        </w:numPr>
        <w:rPr>
          <w:rFonts w:ascii="Arial" w:cs="Arial" w:eastAsia="Arial" w:hAnsi="Arial"/>
          <w:sz w:val="15"/>
          <w:szCs w:val="15"/>
          <w:color w:val="auto"/>
        </w:rPr>
      </w:pPr>
      <w:r>
        <w:rPr>
          <w:rFonts w:ascii="Arial" w:cs="Arial" w:eastAsia="Arial" w:hAnsi="Arial"/>
          <w:sz w:val="15"/>
          <w:szCs w:val="15"/>
          <w:color w:val="auto"/>
        </w:rPr>
        <w:t>As soon as practicable after the end of each fiscal year of the Company, and in any event within one hundred and twenty</w:t>
      </w:r>
    </w:p>
    <w:p>
      <w:pPr>
        <w:spacing w:after="0" w:line="27" w:lineRule="exact"/>
        <w:rPr>
          <w:rFonts w:ascii="Arial" w:cs="Arial" w:eastAsia="Arial" w:hAnsi="Arial"/>
          <w:sz w:val="15"/>
          <w:szCs w:val="15"/>
          <w:color w:val="auto"/>
        </w:rPr>
      </w:pPr>
    </w:p>
    <w:p>
      <w:pPr>
        <w:ind w:left="6" w:right="160" w:hanging="6"/>
        <w:spacing w:after="0" w:line="248" w:lineRule="auto"/>
        <w:tabs>
          <w:tab w:leader="none" w:pos="38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days after the end of each fiscal year of the Company, an audited consolidated balance sheet of the Company and its subsidiaries, if any, as at the end of such fiscal year, and consolidated statements of income and cash flows of the Company and its subsidiaries, if any, for such year, prepared in accordance with U.S. generally accepted accounting principles consistently applied, certified by independent public accountants selected by the Company;</w:t>
      </w:r>
    </w:p>
    <w:p>
      <w:pPr>
        <w:spacing w:after="0" w:line="171" w:lineRule="exact"/>
        <w:rPr>
          <w:rFonts w:ascii="Arial" w:cs="Arial" w:eastAsia="Arial" w:hAnsi="Arial"/>
          <w:sz w:val="16"/>
          <w:szCs w:val="16"/>
          <w:color w:val="auto"/>
        </w:rPr>
      </w:pPr>
    </w:p>
    <w:p>
      <w:pPr>
        <w:ind w:left="6" w:right="80" w:firstLine="1244"/>
        <w:spacing w:after="0" w:line="270" w:lineRule="auto"/>
        <w:tabs>
          <w:tab w:leader="none" w:pos="1597" w:val="left"/>
        </w:tabs>
        <w:numPr>
          <w:ilvl w:val="2"/>
          <w:numId w:val="260"/>
        </w:numPr>
        <w:rPr>
          <w:rFonts w:ascii="Arial" w:cs="Arial" w:eastAsia="Arial" w:hAnsi="Arial"/>
          <w:sz w:val="15"/>
          <w:szCs w:val="15"/>
          <w:color w:val="auto"/>
        </w:rPr>
      </w:pPr>
      <w:r>
        <w:rPr>
          <w:rFonts w:ascii="Arial" w:cs="Arial" w:eastAsia="Arial" w:hAnsi="Arial"/>
          <w:sz w:val="15"/>
          <w:szCs w:val="15"/>
          <w:color w:val="auto"/>
        </w:rPr>
        <w:t>As soon as practicable after the end of the first, second, third, and fourth quarterly accounting periods in each fiscal year of the Company, and in any event within thirty (30) days after the end of the first, second, third, and fourth quarterly accounting periods in each fiscal year of the Company, (A) an unaudited consolidated balance sheet of the Company and its subsidiaries, if any, as of the end of each such quarterly period, and unaudited consolidated statements of income and cash flows of the Company and its subsidiaries, if any, for such period, prepared in accordance with U.S. generally accepted accounting principles consistently applied, subject to changes resulting from normal year-end audit adjustments and (B) the capitalization table of the Company;</w:t>
      </w:r>
    </w:p>
    <w:p>
      <w:pPr>
        <w:spacing w:after="0" w:line="156" w:lineRule="exact"/>
        <w:rPr>
          <w:rFonts w:ascii="Arial" w:cs="Arial" w:eastAsia="Arial" w:hAnsi="Arial"/>
          <w:sz w:val="15"/>
          <w:szCs w:val="15"/>
          <w:color w:val="auto"/>
        </w:rPr>
      </w:pPr>
    </w:p>
    <w:p>
      <w:pPr>
        <w:ind w:left="6" w:right="60" w:firstLine="1244"/>
        <w:spacing w:after="0" w:line="329" w:lineRule="auto"/>
        <w:tabs>
          <w:tab w:leader="none" w:pos="1650" w:val="left"/>
        </w:tabs>
        <w:numPr>
          <w:ilvl w:val="2"/>
          <w:numId w:val="260"/>
        </w:numPr>
        <w:rPr>
          <w:rFonts w:ascii="Arial" w:cs="Arial" w:eastAsia="Arial" w:hAnsi="Arial"/>
          <w:sz w:val="13"/>
          <w:szCs w:val="13"/>
          <w:color w:val="auto"/>
        </w:rPr>
      </w:pPr>
      <w:r>
        <w:rPr>
          <w:rFonts w:ascii="Arial" w:cs="Arial" w:eastAsia="Arial" w:hAnsi="Arial"/>
          <w:sz w:val="13"/>
          <w:szCs w:val="13"/>
          <w:color w:val="auto"/>
        </w:rPr>
        <w:t>Upon request, as soon as practicable after the end of each month, and in any event within thirty (30) days after the end of each month, an unaudited consolidated balance sheet of the Company and its subsidiaries, if any, as of the end of such monthly period, and unaudited consolidated statements of income and cash flows of the Company and its subsidiaries, if any, for such period, prepared in accordance with U.S. generally accepted accounting principles consistently applied, subject to changes resulting from normal year-end audit adjustments; and</w:t>
      </w:r>
    </w:p>
    <w:p>
      <w:pPr>
        <w:spacing w:after="0" w:line="123" w:lineRule="exact"/>
        <w:rPr>
          <w:rFonts w:ascii="Arial" w:cs="Arial" w:eastAsia="Arial" w:hAnsi="Arial"/>
          <w:sz w:val="13"/>
          <w:szCs w:val="13"/>
          <w:color w:val="auto"/>
        </w:rPr>
      </w:pPr>
    </w:p>
    <w:p>
      <w:pPr>
        <w:ind w:left="6" w:firstLine="1244"/>
        <w:spacing w:after="0" w:line="275" w:lineRule="auto"/>
        <w:tabs>
          <w:tab w:leader="none" w:pos="1632" w:val="left"/>
        </w:tabs>
        <w:numPr>
          <w:ilvl w:val="2"/>
          <w:numId w:val="260"/>
        </w:numPr>
        <w:rPr>
          <w:rFonts w:ascii="Arial" w:cs="Arial" w:eastAsia="Arial" w:hAnsi="Arial"/>
          <w:sz w:val="15"/>
          <w:szCs w:val="15"/>
          <w:color w:val="auto"/>
        </w:rPr>
      </w:pPr>
      <w:r>
        <w:rPr>
          <w:rFonts w:ascii="Arial" w:cs="Arial" w:eastAsia="Arial" w:hAnsi="Arial"/>
          <w:sz w:val="15"/>
          <w:szCs w:val="15"/>
          <w:color w:val="auto"/>
        </w:rPr>
        <w:t>At least thirty (30) days before the end of each fiscal year of the Company, a business plan and budget, including monthly projections in substantially the same format of the unaudited financial statements, in each case for the next fiscal year of the Company; provided that, solely with respect to the business and plan for fiscal year 2020, the Company may elect to prepare such business plan and budget in a manner other than with U.S. generally accepted accounting principles (e.g., through use of cash basis accounting).</w:t>
      </w:r>
    </w:p>
    <w:p>
      <w:pPr>
        <w:spacing w:after="0" w:line="152" w:lineRule="exact"/>
        <w:rPr>
          <w:rFonts w:ascii="Arial" w:cs="Arial" w:eastAsia="Arial" w:hAnsi="Arial"/>
          <w:sz w:val="15"/>
          <w:szCs w:val="15"/>
          <w:color w:val="auto"/>
        </w:rPr>
      </w:pPr>
    </w:p>
    <w:p>
      <w:pPr>
        <w:ind w:left="6" w:right="440" w:firstLine="860"/>
        <w:spacing w:after="0" w:line="266" w:lineRule="auto"/>
        <w:tabs>
          <w:tab w:leader="none" w:pos="1251" w:val="left"/>
        </w:tabs>
        <w:numPr>
          <w:ilvl w:val="1"/>
          <w:numId w:val="2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Inspection Rights. </w:t>
      </w:r>
      <w:r>
        <w:rPr>
          <w:rFonts w:ascii="Arial" w:cs="Arial" w:eastAsia="Arial" w:hAnsi="Arial"/>
          <w:sz w:val="16"/>
          <w:szCs w:val="16"/>
          <w:color w:val="auto"/>
        </w:rPr>
        <w:t>The Company will afford to each Major Investor and its accountants and counsel, reasonable access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normal business hours to all of the Company’s</w:t>
      </w:r>
    </w:p>
    <w:p>
      <w:pPr>
        <w:spacing w:after="0" w:line="9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626"/>
          </w:cols>
          <w:pgMar w:left="1134" w:top="253" w:right="1139" w:bottom="1440" w:gutter="0" w:footer="0" w:header="0"/>
        </w:sectPr>
      </w:pPr>
    </w:p>
    <w:bookmarkStart w:id="403" w:name="page404"/>
    <w:bookmarkEnd w:id="403"/>
    <w:p>
      <w:pPr>
        <w:ind w:right="60"/>
        <w:spacing w:after="0" w:line="31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respective properties, books and records. Each Major Investor shall have such other access to management and information as is necessary for it to comply with applicable laws and regulations and reporting obligations. The Company shall not be required to disclose details of contracts with or work performed for specific customers and other business partners where to do so would violate confidentiality obligations to those parties. Major Investors may exercise their rights under this Section 3.1(b) only for purposes reasonably related to their interests under this Agreement and related agreements. The rights granted pursuant to this Section 3.1(b) may not be assigned or otherwise conveyed by the Major Investors or by any subsequent transferee of any such rights without the prior written consent of the Company except as authorized in this Section 3.1(b).</w:t>
      </w:r>
    </w:p>
    <w:p>
      <w:pPr>
        <w:spacing w:after="0" w:line="128" w:lineRule="exact"/>
        <w:rPr>
          <w:sz w:val="20"/>
          <w:szCs w:val="20"/>
          <w:color w:val="auto"/>
        </w:rPr>
      </w:pPr>
    </w:p>
    <w:p>
      <w:pPr>
        <w:ind w:right="80" w:firstLine="860"/>
        <w:spacing w:after="0" w:line="316" w:lineRule="auto"/>
        <w:tabs>
          <w:tab w:leader="none" w:pos="1197" w:val="left"/>
        </w:tabs>
        <w:numPr>
          <w:ilvl w:val="0"/>
          <w:numId w:val="2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Observer Rights. </w:t>
      </w:r>
      <w:r>
        <w:rPr>
          <w:rFonts w:ascii="Arial" w:cs="Arial" w:eastAsia="Arial" w:hAnsi="Arial"/>
          <w:sz w:val="13"/>
          <w:szCs w:val="13"/>
          <w:color w:val="auto"/>
        </w:rPr>
        <w:t>As long as RTW Investments, LP, together with its affiliates (collectively, “</w:t>
      </w:r>
      <w:r>
        <w:rPr>
          <w:rFonts w:ascii="Arial" w:cs="Arial" w:eastAsia="Arial" w:hAnsi="Arial"/>
          <w:sz w:val="13"/>
          <w:szCs w:val="13"/>
          <w:b w:val="1"/>
          <w:bCs w:val="1"/>
          <w:i w:val="1"/>
          <w:iCs w:val="1"/>
          <w:color w:val="auto"/>
        </w:rPr>
        <w:t>RTW</w:t>
      </w:r>
      <w:r>
        <w:rPr>
          <w:rFonts w:ascii="Arial" w:cs="Arial" w:eastAsia="Arial" w:hAnsi="Arial"/>
          <w:sz w:val="13"/>
          <w:szCs w:val="13"/>
          <w:color w:val="auto"/>
        </w:rPr>
        <w:t>”), owns at least 4,826,255 shares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Preferred Stock (or Common Stock issued upon conversion thereof) the Company shall invite a representative of RTW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all information so provided; and provided further, that the Company reserves the right to withhold any information and to exclude such representative from any meeting or portion thereof if access to such information or attendance at such meeting would adversely affect the attorney-client privilege between the Company and its counsel or result in disclosure of trade secrets or a conflict of interest.</w:t>
      </w:r>
    </w:p>
    <w:p>
      <w:pPr>
        <w:spacing w:after="0" w:line="127" w:lineRule="exact"/>
        <w:rPr>
          <w:sz w:val="20"/>
          <w:szCs w:val="20"/>
          <w:color w:val="auto"/>
        </w:rPr>
      </w:pPr>
    </w:p>
    <w:p>
      <w:pPr>
        <w:ind w:firstLine="385"/>
        <w:spacing w:after="0" w:line="310" w:lineRule="auto"/>
        <w:rPr>
          <w:sz w:val="20"/>
          <w:szCs w:val="20"/>
          <w:color w:val="auto"/>
        </w:rPr>
      </w:pPr>
      <w:r>
        <w:rPr>
          <w:rFonts w:ascii="Arial" w:cs="Arial" w:eastAsia="Arial" w:hAnsi="Arial"/>
          <w:sz w:val="13"/>
          <w:szCs w:val="13"/>
          <w:b w:val="1"/>
          <w:bCs w:val="1"/>
          <w:color w:val="auto"/>
        </w:rPr>
        <w:t xml:space="preserve">3.2 Confidentiality. </w:t>
      </w:r>
      <w:r>
        <w:rPr>
          <w:rFonts w:ascii="Arial" w:cs="Arial" w:eastAsia="Arial" w:hAnsi="Arial"/>
          <w:sz w:val="13"/>
          <w:szCs w:val="13"/>
          <w:color w:val="auto"/>
        </w:rPr>
        <w:t>Each Holder agrees that such Holder will keep confidential and will not disclose, divulge, or use for any purpose (other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than to monitor or make decisions with respect to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3.2 by such Holder),(b) is or has been independently developed or conceived by such Holder without use of the Company’s confidential information, or (c) is or has been made known or disclosed to such Holder by a third party without a breach of any obligation of confidentiality such third party may have to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 Holder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Holder, if such prospective purchaser agrees to be bound by the provisions of this Section 3.2; (iii) to any affiliate, partner, member, stockholder, or wholly owned subsidiary of such Holder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Holder informs such person that such information is confidential and directs such person to maintain the confidentiality of such information; or(iv) as may otherwise be required by law, regulation, rule, court order or subpoena,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to the extent legally permissible, such Holder promptly notifies the Company of such disclosure and takes reasonable steps to minimize the extent of any such required disclosure.</w:t>
      </w:r>
    </w:p>
    <w:p>
      <w:pPr>
        <w:spacing w:after="0" w:line="324" w:lineRule="exact"/>
        <w:rPr>
          <w:sz w:val="20"/>
          <w:szCs w:val="20"/>
          <w:color w:val="auto"/>
        </w:rPr>
      </w:pPr>
    </w:p>
    <w:p>
      <w:pPr>
        <w:ind w:firstLine="385"/>
        <w:spacing w:after="0" w:line="284" w:lineRule="auto"/>
        <w:rPr>
          <w:sz w:val="20"/>
          <w:szCs w:val="20"/>
          <w:color w:val="auto"/>
        </w:rPr>
      </w:pPr>
      <w:r>
        <w:rPr>
          <w:rFonts w:ascii="Arial" w:cs="Arial" w:eastAsia="Arial" w:hAnsi="Arial"/>
          <w:sz w:val="15"/>
          <w:szCs w:val="15"/>
          <w:b w:val="1"/>
          <w:bCs w:val="1"/>
          <w:color w:val="auto"/>
        </w:rPr>
        <w:t xml:space="preserve">3.3 Confidential Information and Invention Assignment Agreements. </w:t>
      </w:r>
      <w:r>
        <w:rPr>
          <w:rFonts w:ascii="Arial" w:cs="Arial" w:eastAsia="Arial" w:hAnsi="Arial"/>
          <w:sz w:val="15"/>
          <w:szCs w:val="15"/>
          <w:color w:val="auto"/>
        </w:rPr>
        <w:t>The Company shall require all new employees to execute and</w:t>
      </w:r>
      <w:r>
        <w:rPr>
          <w:rFonts w:ascii="Arial" w:cs="Arial" w:eastAsia="Arial" w:hAnsi="Arial"/>
          <w:sz w:val="15"/>
          <w:szCs w:val="15"/>
          <w:b w:val="1"/>
          <w:bCs w:val="1"/>
          <w:color w:val="auto"/>
        </w:rPr>
        <w:t xml:space="preserve"> </w:t>
      </w:r>
      <w:r>
        <w:rPr>
          <w:rFonts w:ascii="Arial" w:cs="Arial" w:eastAsia="Arial" w:hAnsi="Arial"/>
          <w:sz w:val="15"/>
          <w:szCs w:val="15"/>
          <w:color w:val="auto"/>
        </w:rPr>
        <w:t>deliver the Company’s standard form of Confidential Information and Invention Assignment Agreement and all new consultants and advisors to execute and deliver appropriate confidential information and invention assignment agreements with the Company.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580"/>
          </w:cols>
          <w:pgMar w:left="1140" w:top="256" w:right="1179" w:bottom="1440" w:gutter="0" w:footer="0" w:header="0"/>
        </w:sectPr>
      </w:pPr>
    </w:p>
    <w:bookmarkStart w:id="404" w:name="page405"/>
    <w:bookmarkEnd w:id="404"/>
    <w:p>
      <w:pPr>
        <w:ind w:right="60" w:firstLine="385"/>
        <w:spacing w:after="0" w:line="267"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3.4 Stock Option Vesting</w:t>
      </w:r>
      <w:r>
        <w:rPr>
          <w:rFonts w:ascii="Arial" w:cs="Arial" w:eastAsia="Arial" w:hAnsi="Arial"/>
          <w:sz w:val="15"/>
          <w:szCs w:val="15"/>
          <w:color w:val="auto"/>
        </w:rPr>
        <w:t>. Except as may be approved by the Board of Directors, all stock options, restricted stock and similar equity grants</w:t>
      </w:r>
      <w:r>
        <w:rPr>
          <w:rFonts w:ascii="Arial" w:cs="Arial" w:eastAsia="Arial" w:hAnsi="Arial"/>
          <w:sz w:val="15"/>
          <w:szCs w:val="15"/>
          <w:b w:val="1"/>
          <w:bCs w:val="1"/>
          <w:color w:val="auto"/>
        </w:rPr>
        <w:t xml:space="preserve"> </w:t>
      </w:r>
      <w:r>
        <w:rPr>
          <w:rFonts w:ascii="Arial" w:cs="Arial" w:eastAsia="Arial" w:hAnsi="Arial"/>
          <w:sz w:val="15"/>
          <w:szCs w:val="15"/>
          <w:color w:val="auto"/>
        </w:rPr>
        <w:t>issued after the date of this Agreement by the Company to employees, officers and consultants shall be subject to vesting as follows: (i) twenty-five percent (25%) of such stock shall vest on the one (1)-year anniversary of such person’s service commencement date with the Company and (ii) the remaining seventy-five percent (75%) of such stock shall vest monthly over the remaining thirty-six (36) months. The Company shall retain a repurchase option with respect to any unvested shares of restricted stock and similar equity grants of the Company (to the extent exercised), pursuant to which the Company (or its assignee, subject to compliance with applicable federal and state securities laws) shall be entitled to repurchase such shares of restricted stock upon the termination of employment or the provision of services of such stockholder, with or without cause, at a purchase price per share equal to the lower of the original purchase price paid by such stockholder for such shares or the then fair market value of such shares. No stock option, restricted stock or similar equity grant issued to officers or consultants shall be transferable until such time as such stock option, restricted stock or similar equity grant is fully vested.</w:t>
      </w:r>
    </w:p>
    <w:p>
      <w:pPr>
        <w:spacing w:after="0" w:line="156" w:lineRule="exact"/>
        <w:rPr>
          <w:sz w:val="20"/>
          <w:szCs w:val="20"/>
          <w:color w:val="auto"/>
        </w:rPr>
      </w:pPr>
    </w:p>
    <w:p>
      <w:pPr>
        <w:ind w:right="100" w:firstLine="385"/>
        <w:spacing w:after="0" w:line="254" w:lineRule="auto"/>
        <w:rPr>
          <w:sz w:val="20"/>
          <w:szCs w:val="20"/>
          <w:color w:val="auto"/>
        </w:rPr>
      </w:pPr>
      <w:r>
        <w:rPr>
          <w:rFonts w:ascii="Arial" w:cs="Arial" w:eastAsia="Arial" w:hAnsi="Arial"/>
          <w:sz w:val="16"/>
          <w:szCs w:val="16"/>
          <w:b w:val="1"/>
          <w:bCs w:val="1"/>
          <w:color w:val="auto"/>
        </w:rPr>
        <w:t>3.5 Directors and Officers Insurance</w:t>
      </w:r>
      <w:r>
        <w:rPr>
          <w:rFonts w:ascii="Arial" w:cs="Arial" w:eastAsia="Arial" w:hAnsi="Arial"/>
          <w:sz w:val="16"/>
          <w:szCs w:val="16"/>
          <w:color w:val="auto"/>
        </w:rPr>
        <w:t>. To the extent that coverage is available upon commercially reasonable terms, as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Company shall maintain directors and officers liability insurance with coverage limits customary for similarly situated companies on terms and conditions reasonably acceptable to the Board of Directors, including all of the then-serving Preferred Directors (as defined in the Restated Certificate).</w:t>
      </w:r>
    </w:p>
    <w:p>
      <w:pPr>
        <w:spacing w:after="0" w:line="164" w:lineRule="exact"/>
        <w:rPr>
          <w:sz w:val="20"/>
          <w:szCs w:val="20"/>
          <w:color w:val="auto"/>
        </w:rPr>
      </w:pPr>
    </w:p>
    <w:p>
      <w:pPr>
        <w:ind w:firstLine="385"/>
        <w:spacing w:after="0" w:line="309" w:lineRule="auto"/>
        <w:rPr>
          <w:sz w:val="20"/>
          <w:szCs w:val="20"/>
          <w:color w:val="auto"/>
        </w:rPr>
      </w:pPr>
      <w:r>
        <w:rPr>
          <w:rFonts w:ascii="Arial" w:cs="Arial" w:eastAsia="Arial" w:hAnsi="Arial"/>
          <w:sz w:val="13"/>
          <w:szCs w:val="13"/>
          <w:b w:val="1"/>
          <w:bCs w:val="1"/>
          <w:color w:val="auto"/>
        </w:rPr>
        <w:t>3.6 Future IPO Opportunity</w:t>
      </w:r>
      <w:r>
        <w:rPr>
          <w:rFonts w:ascii="Arial" w:cs="Arial" w:eastAsia="Arial" w:hAnsi="Arial"/>
          <w:sz w:val="13"/>
          <w:szCs w:val="13"/>
          <w:color w:val="auto"/>
        </w:rPr>
        <w:t>. In connection with the Initial Public Offering, if any, in the event that any holder, together with its affiliates, of</w:t>
      </w:r>
      <w:r>
        <w:rPr>
          <w:rFonts w:ascii="Arial" w:cs="Arial" w:eastAsia="Arial" w:hAnsi="Arial"/>
          <w:sz w:val="13"/>
          <w:szCs w:val="13"/>
          <w:b w:val="1"/>
          <w:bCs w:val="1"/>
          <w:color w:val="auto"/>
        </w:rPr>
        <w:t xml:space="preserve"> </w:t>
      </w:r>
      <w:r>
        <w:rPr>
          <w:rFonts w:ascii="Arial" w:cs="Arial" w:eastAsia="Arial" w:hAnsi="Arial"/>
          <w:sz w:val="13"/>
          <w:szCs w:val="13"/>
          <w:color w:val="auto"/>
        </w:rPr>
        <w:t>at least 9,396,829 shares Preferred Stock (an “</w:t>
      </w:r>
      <w:r>
        <w:rPr>
          <w:rFonts w:ascii="Arial" w:cs="Arial" w:eastAsia="Arial" w:hAnsi="Arial"/>
          <w:sz w:val="13"/>
          <w:szCs w:val="13"/>
          <w:b w:val="1"/>
          <w:bCs w:val="1"/>
          <w:i w:val="1"/>
          <w:iCs w:val="1"/>
          <w:color w:val="auto"/>
        </w:rPr>
        <w:t>Institutional Investor</w:t>
      </w:r>
      <w:r>
        <w:rPr>
          <w:rFonts w:ascii="Arial" w:cs="Arial" w:eastAsia="Arial" w:hAnsi="Arial"/>
          <w:sz w:val="13"/>
          <w:szCs w:val="13"/>
          <w:color w:val="auto"/>
        </w:rPr>
        <w:t>,” which shall in any event include RTW) outstanding as of the final Closing (as defined in the Purchase Agreement) indicates a desire to purchase shares of the Company in such Initial Public Offering, then, subject to compliance with all applicable securities laws and regulations, the Company shall use its commercially reasonable best efforts to advocate to the managing underwriter(s) of such Initial Public Offering to offer to each Institutional Investor, on terms at least as favorable as those granted to any other participant in the Initial Public Offering, the opportunity to purchase up to such Institutional Investor’s ownership percentage of the Company, as of immediately prior to the effective time of the registration statement for such Initial Public Offering, of the number of shares of capital stock of the Company issued in the Initial Public Offering (excluding any shares attributable to any green shoe overallotment) (the “</w:t>
      </w:r>
      <w:r>
        <w:rPr>
          <w:rFonts w:ascii="Arial" w:cs="Arial" w:eastAsia="Arial" w:hAnsi="Arial"/>
          <w:sz w:val="13"/>
          <w:szCs w:val="13"/>
          <w:b w:val="1"/>
          <w:bCs w:val="1"/>
          <w:i w:val="1"/>
          <w:iCs w:val="1"/>
          <w:color w:val="auto"/>
        </w:rPr>
        <w:t>Potential IPO Opportunity</w:t>
      </w:r>
      <w:r>
        <w:rPr>
          <w:rFonts w:ascii="Arial" w:cs="Arial" w:eastAsia="Arial" w:hAnsi="Arial"/>
          <w:sz w:val="13"/>
          <w:szCs w:val="13"/>
          <w:color w:val="auto"/>
        </w:rPr>
        <w:t>”). Each Institutional Investor acknowledges and agrees that the Potential IPO Opportunity does not constitute an offer to sell securities of the Company and any sale of shares pursuant to the Potential IPO Opportunity remains at the discretion of the managing underwriter(s) to the extent such underwriter(s) reasonably determine that such Institutional Investor’s participation in the Initial Public Offering would materially and adversely affect the Initial Public Offering, and any purchase of shares pursuant to the Potential IPO Opportunity remains at the discretion of each Institutional Investor, as applicable. In the event the Company enters into a merger or other business combination or similar transaction with a special purpose acquisition company (“</w:t>
      </w:r>
      <w:r>
        <w:rPr>
          <w:rFonts w:ascii="Arial" w:cs="Arial" w:eastAsia="Arial" w:hAnsi="Arial"/>
          <w:sz w:val="13"/>
          <w:szCs w:val="13"/>
          <w:b w:val="1"/>
          <w:bCs w:val="1"/>
          <w:i w:val="1"/>
          <w:iCs w:val="1"/>
          <w:color w:val="auto"/>
        </w:rPr>
        <w:t>SPAC</w:t>
      </w:r>
      <w:r>
        <w:rPr>
          <w:rFonts w:ascii="Arial" w:cs="Arial" w:eastAsia="Arial" w:hAnsi="Arial"/>
          <w:sz w:val="13"/>
          <w:szCs w:val="13"/>
          <w:color w:val="auto"/>
        </w:rPr>
        <w:t>”) or a reverse merger with a public company (the “</w:t>
      </w:r>
      <w:r>
        <w:rPr>
          <w:rFonts w:ascii="Arial" w:cs="Arial" w:eastAsia="Arial" w:hAnsi="Arial"/>
          <w:sz w:val="13"/>
          <w:szCs w:val="13"/>
          <w:b w:val="1"/>
          <w:bCs w:val="1"/>
          <w:i w:val="1"/>
          <w:iCs w:val="1"/>
          <w:color w:val="auto"/>
        </w:rPr>
        <w:t>Public Transaction</w:t>
      </w:r>
      <w:r>
        <w:rPr>
          <w:rFonts w:ascii="Arial" w:cs="Arial" w:eastAsia="Arial" w:hAnsi="Arial"/>
          <w:sz w:val="13"/>
          <w:szCs w:val="13"/>
          <w:color w:val="auto"/>
        </w:rPr>
        <w:t>”), the Company shall permit each Institutional Investor to purchase up to an additional number of shares in the SPAC or public company, as applicable, having a value (based upon the price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580"/>
          </w:cols>
          <w:pgMar w:left="1140" w:top="252" w:right="1179" w:bottom="1440" w:gutter="0" w:footer="0" w:header="0"/>
        </w:sectPr>
      </w:pPr>
    </w:p>
    <w:bookmarkStart w:id="405" w:name="page406"/>
    <w:bookmarkEnd w:id="405"/>
    <w:p>
      <w:pPr>
        <w:ind w:right="6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per share implied by the SPAC transaction or Public Transaction) equal to the value of such Institutional Investor’s ownership of the Company (as of immediately prior to the closing of the SPAC transaction or Public Transaction) which purchase shall be effective as of immediately prior to the closing of the Public Transaction.</w:t>
      </w:r>
    </w:p>
    <w:p>
      <w:pPr>
        <w:spacing w:after="0" w:line="162" w:lineRule="exact"/>
        <w:rPr>
          <w:sz w:val="20"/>
          <w:szCs w:val="20"/>
          <w:color w:val="auto"/>
        </w:rPr>
      </w:pPr>
    </w:p>
    <w:p>
      <w:pPr>
        <w:ind w:firstLine="385"/>
        <w:spacing w:after="0" w:line="265" w:lineRule="auto"/>
        <w:rPr>
          <w:sz w:val="20"/>
          <w:szCs w:val="20"/>
          <w:color w:val="auto"/>
        </w:rPr>
      </w:pPr>
      <w:r>
        <w:rPr>
          <w:rFonts w:ascii="Arial" w:cs="Arial" w:eastAsia="Arial" w:hAnsi="Arial"/>
          <w:sz w:val="15"/>
          <w:szCs w:val="15"/>
          <w:b w:val="1"/>
          <w:bCs w:val="1"/>
          <w:color w:val="auto"/>
        </w:rPr>
        <w:t>3.7 FCPA</w:t>
      </w:r>
      <w:r>
        <w:rPr>
          <w:rFonts w:ascii="Arial" w:cs="Arial" w:eastAsia="Arial" w:hAnsi="Arial"/>
          <w:sz w:val="15"/>
          <w:szCs w:val="15"/>
          <w:color w:val="auto"/>
        </w:rPr>
        <w:t>. The Company covenants that it shall not (and shall not permit any of its subsidiaries or affiliates or any of its or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5"/>
          <w:szCs w:val="15"/>
          <w:b w:val="1"/>
          <w:bCs w:val="1"/>
          <w:i w:val="1"/>
          <w:iCs w:val="1"/>
          <w:color w:val="auto"/>
        </w:rPr>
        <w:t>FCPA</w:t>
      </w:r>
      <w:r>
        <w:rPr>
          <w:rFonts w:ascii="Arial" w:cs="Arial" w:eastAsia="Arial" w:hAnsi="Arial"/>
          <w:sz w:val="15"/>
          <w:szCs w:val="15"/>
          <w:color w:val="auto"/>
        </w:rPr>
        <w:t>”)),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related to the FCPA or any other anti-corruption law.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61"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3"/>
          <w:szCs w:val="13"/>
          <w:b w:val="1"/>
          <w:bCs w:val="1"/>
          <w:color w:val="auto"/>
        </w:rPr>
        <w:t>Termination of Covenants</w:t>
      </w:r>
      <w:r>
        <w:rPr>
          <w:rFonts w:ascii="Arial" w:cs="Arial" w:eastAsia="Arial" w:hAnsi="Arial"/>
          <w:sz w:val="13"/>
          <w:szCs w:val="13"/>
          <w:color w:val="auto"/>
        </w:rPr>
        <w:t>.</w:t>
      </w:r>
    </w:p>
    <w:p>
      <w:pPr>
        <w:spacing w:after="0" w:line="197" w:lineRule="exact"/>
        <w:rPr>
          <w:sz w:val="20"/>
          <w:szCs w:val="20"/>
          <w:color w:val="auto"/>
        </w:rPr>
      </w:pPr>
    </w:p>
    <w:p>
      <w:pPr>
        <w:ind w:right="40" w:firstLine="860"/>
        <w:spacing w:after="0" w:line="256" w:lineRule="auto"/>
        <w:tabs>
          <w:tab w:leader="none" w:pos="119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covenants set forth in this Section 3 shall terminate and be of no further force and effect upon the earlier of (i) immediately prior to the closing of the Company’s Initial Public Offering and (ii) immediately prior to the closing of a Deemed Liquidation Event (as defined in the Restated Certificate).</w:t>
      </w:r>
    </w:p>
    <w:p>
      <w:pPr>
        <w:spacing w:after="0" w:line="165" w:lineRule="exact"/>
        <w:rPr>
          <w:rFonts w:ascii="Arial" w:cs="Arial" w:eastAsia="Arial" w:hAnsi="Arial"/>
          <w:sz w:val="16"/>
          <w:szCs w:val="16"/>
          <w:color w:val="auto"/>
        </w:rPr>
      </w:pPr>
    </w:p>
    <w:p>
      <w:pPr>
        <w:ind w:right="140" w:firstLine="860"/>
        <w:spacing w:after="0" w:line="311" w:lineRule="auto"/>
        <w:tabs>
          <w:tab w:leader="none" w:pos="1203" w:val="left"/>
        </w:tabs>
        <w:numPr>
          <w:ilvl w:val="0"/>
          <w:numId w:val="262"/>
        </w:numPr>
        <w:rPr>
          <w:rFonts w:ascii="Arial" w:cs="Arial" w:eastAsia="Arial" w:hAnsi="Arial"/>
          <w:sz w:val="13"/>
          <w:szCs w:val="13"/>
          <w:color w:val="auto"/>
        </w:rPr>
      </w:pPr>
      <w:r>
        <w:rPr>
          <w:rFonts w:ascii="Arial" w:cs="Arial" w:eastAsia="Arial" w:hAnsi="Arial"/>
          <w:sz w:val="13"/>
          <w:szCs w:val="13"/>
          <w:color w:val="auto"/>
        </w:rPr>
        <w:t>The covenants set forth in Section 3.1 shall terminate as to each Holder and be of no further force or effect when the Company first becomes subject to the periodic reporting requirements of Sections 12 or 15(d) of the Exchange Act, if earlier than the events described in</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Section 3.8(a).</w:t>
      </w:r>
    </w:p>
    <w:p>
      <w:pPr>
        <w:spacing w:after="0" w:line="178" w:lineRule="exact"/>
        <w:rPr>
          <w:sz w:val="20"/>
          <w:szCs w:val="20"/>
          <w:color w:val="auto"/>
        </w:rPr>
      </w:pPr>
    </w:p>
    <w:p>
      <w:pPr>
        <w:ind w:right="120" w:firstLine="385"/>
        <w:spacing w:after="0" w:line="254" w:lineRule="auto"/>
        <w:rPr>
          <w:sz w:val="20"/>
          <w:szCs w:val="20"/>
          <w:color w:val="auto"/>
        </w:rPr>
      </w:pPr>
      <w:r>
        <w:rPr>
          <w:rFonts w:ascii="Arial" w:cs="Arial" w:eastAsia="Arial" w:hAnsi="Arial"/>
          <w:sz w:val="16"/>
          <w:szCs w:val="16"/>
          <w:b w:val="1"/>
          <w:bCs w:val="1"/>
          <w:color w:val="auto"/>
        </w:rPr>
        <w:t>3.9 UC Regents</w:t>
      </w:r>
      <w:r>
        <w:rPr>
          <w:rFonts w:ascii="Arial" w:cs="Arial" w:eastAsia="Arial" w:hAnsi="Arial"/>
          <w:sz w:val="16"/>
          <w:szCs w:val="16"/>
          <w:color w:val="auto"/>
        </w:rPr>
        <w:t>. Notwithstanding anything to the contrary herein, (a) The Regents of the University of California’s (“</w:t>
      </w:r>
      <w:r>
        <w:rPr>
          <w:rFonts w:ascii="Arial" w:cs="Arial" w:eastAsia="Arial" w:hAnsi="Arial"/>
          <w:sz w:val="16"/>
          <w:szCs w:val="16"/>
          <w:b w:val="1"/>
          <w:bCs w:val="1"/>
          <w:color w:val="auto"/>
        </w:rPr>
        <w:t>UC Regents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obligations under Section 3.2 are subject to UC Regents’ obligations under the California Public Records Act and (b) the Company and each Holder hereby agree that he, she or it will not, without the prior consent of UC Regents, disclose the fact of UC Regents’ investment in the Company or any other relationship between UC Regents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580"/>
          </w:cols>
          <w:pgMar w:left="1140" w:top="256" w:right="1179" w:bottom="1440" w:gutter="0" w:footer="0" w:header="0"/>
        </w:sectPr>
      </w:pPr>
    </w:p>
    <w:bookmarkStart w:id="406" w:name="page407"/>
    <w:bookmarkEnd w:id="406"/>
    <w:p>
      <w:pPr>
        <w:ind w:right="10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Company to persons or entities that are not Investors or affiliates, agents or representatives (including attorneys or accountants) of such Investor or the Company, in each case except to the extent required by applicable laws or that the foregoing is publicly known.</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4</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RIGHT OF FIRST REFUSAL</w:t>
      </w:r>
    </w:p>
    <w:p>
      <w:pPr>
        <w:spacing w:after="0" w:line="193"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3"/>
          <w:szCs w:val="13"/>
          <w:b w:val="1"/>
          <w:bCs w:val="1"/>
          <w:color w:val="auto"/>
        </w:rPr>
        <w:t>Right of First Refusal to Major Investors</w:t>
      </w:r>
      <w:r>
        <w:rPr>
          <w:rFonts w:ascii="Arial" w:cs="Arial" w:eastAsia="Arial" w:hAnsi="Arial"/>
          <w:sz w:val="13"/>
          <w:szCs w:val="13"/>
          <w:color w:val="auto"/>
        </w:rPr>
        <w:t>.</w:t>
      </w:r>
    </w:p>
    <w:p>
      <w:pPr>
        <w:spacing w:after="0" w:line="197" w:lineRule="exact"/>
        <w:rPr>
          <w:sz w:val="20"/>
          <w:szCs w:val="20"/>
          <w:color w:val="auto"/>
        </w:rPr>
      </w:pPr>
    </w:p>
    <w:p>
      <w:pPr>
        <w:ind w:firstLine="860"/>
        <w:spacing w:after="0" w:line="314" w:lineRule="auto"/>
        <w:tabs>
          <w:tab w:leader="none" w:pos="1194" w:val="left"/>
        </w:tabs>
        <w:numPr>
          <w:ilvl w:val="0"/>
          <w:numId w:val="263"/>
        </w:numPr>
        <w:rPr>
          <w:rFonts w:ascii="Arial" w:cs="Arial" w:eastAsia="Arial" w:hAnsi="Arial"/>
          <w:sz w:val="13"/>
          <w:szCs w:val="13"/>
          <w:color w:val="auto"/>
        </w:rPr>
      </w:pPr>
      <w:r>
        <w:rPr>
          <w:rFonts w:ascii="Arial" w:cs="Arial" w:eastAsia="Arial" w:hAnsi="Arial"/>
          <w:sz w:val="13"/>
          <w:szCs w:val="13"/>
          <w:color w:val="auto"/>
        </w:rPr>
        <w:t xml:space="preserve">Without limitation of any rights of holders of Series C Preferred Stock under the Purchase Agreement, the Company hereby grants to each Major Investor the right of first refusal to purchase its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New Securities (as defined in Section 4.1(b)) which the Company may, from time to time, propose to sell and issue after the date of this Agreement. A Major Investor’s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for purposes of this right of first refusal, is equal to the ratio of (i) the number of shares of Common Stock issued or issuable upon conversion of the shares of Preferred Stock then held by such Major Investor to (ii) the total number of shares of Common Stock outstanding immediately prior to the issuance of such New Securities (assuming full conversion of the Shares and full conversion or exercise of all outstanding convertible securities, rights, options and warrants). Each Major Investor shall have a right of overallotment such that if any Major Investor fails to exercise its right hereunder to purchase its full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any New Securities, the fully-participating Major Investors may purchase such remaining New Securities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w:t>
      </w:r>
    </w:p>
    <w:p>
      <w:pPr>
        <w:spacing w:after="0" w:line="133" w:lineRule="exact"/>
        <w:rPr>
          <w:rFonts w:ascii="Arial" w:cs="Arial" w:eastAsia="Arial" w:hAnsi="Arial"/>
          <w:sz w:val="13"/>
          <w:szCs w:val="13"/>
          <w:color w:val="auto"/>
        </w:rPr>
      </w:pPr>
    </w:p>
    <w:p>
      <w:pPr>
        <w:ind w:right="20" w:firstLine="860"/>
        <w:spacing w:after="0" w:line="251" w:lineRule="auto"/>
        <w:tabs>
          <w:tab w:leader="none" w:pos="120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Securities</w:t>
      </w:r>
      <w:r>
        <w:rPr>
          <w:rFonts w:ascii="Arial" w:cs="Arial" w:eastAsia="Arial" w:hAnsi="Arial"/>
          <w:sz w:val="16"/>
          <w:szCs w:val="16"/>
          <w:color w:val="auto"/>
        </w:rPr>
        <w:t xml:space="preserve">” shall mean any capital stock (including Common Stock and/or Preferred Stock) of the Company whether now authorized or not, and rights, convertible securities, options or warrants to purchase such capital stock, and securities of any type whatsoever that are, or may become, exercisable or convertible into capital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w:t>
      </w:r>
      <w:r>
        <w:rPr>
          <w:rFonts w:ascii="Arial" w:cs="Arial" w:eastAsia="Arial" w:hAnsi="Arial"/>
          <w:sz w:val="16"/>
          <w:szCs w:val="16"/>
          <w:b w:val="1"/>
          <w:bCs w:val="1"/>
          <w:i w:val="1"/>
          <w:iCs w:val="1"/>
          <w:color w:val="auto"/>
        </w:rPr>
        <w:t>New Securities</w:t>
      </w:r>
      <w:r>
        <w:rPr>
          <w:rFonts w:ascii="Arial" w:cs="Arial" w:eastAsia="Arial" w:hAnsi="Arial"/>
          <w:sz w:val="16"/>
          <w:szCs w:val="16"/>
          <w:color w:val="auto"/>
        </w:rPr>
        <w:t>” does not include: (i) securities or rights to acquire securities that are excluded from the definition of Additional Shares of Common in the Restated Certificate, and (ii) shares of Series C Preferred Stock issued pursuant to the Purchase Agreement.</w:t>
      </w:r>
    </w:p>
    <w:p>
      <w:pPr>
        <w:spacing w:after="0" w:line="169" w:lineRule="exact"/>
        <w:rPr>
          <w:rFonts w:ascii="Arial" w:cs="Arial" w:eastAsia="Arial" w:hAnsi="Arial"/>
          <w:sz w:val="16"/>
          <w:szCs w:val="16"/>
          <w:color w:val="auto"/>
        </w:rPr>
      </w:pPr>
    </w:p>
    <w:p>
      <w:pPr>
        <w:jc w:val="both"/>
        <w:ind w:firstLine="860"/>
        <w:spacing w:after="0" w:line="272" w:lineRule="auto"/>
        <w:tabs>
          <w:tab w:leader="none" w:pos="1197" w:val="left"/>
        </w:tabs>
        <w:numPr>
          <w:ilvl w:val="0"/>
          <w:numId w:val="263"/>
        </w:numPr>
        <w:rPr>
          <w:rFonts w:ascii="Arial" w:cs="Arial" w:eastAsia="Arial" w:hAnsi="Arial"/>
          <w:sz w:val="15"/>
          <w:szCs w:val="15"/>
          <w:color w:val="auto"/>
        </w:rPr>
      </w:pPr>
      <w:r>
        <w:rPr>
          <w:rFonts w:ascii="Arial" w:cs="Arial" w:eastAsia="Arial" w:hAnsi="Arial"/>
          <w:sz w:val="15"/>
          <w:szCs w:val="15"/>
          <w:color w:val="auto"/>
        </w:rPr>
        <w:t xml:space="preserve">In the event the Company proposes to undertake an issuance of New Securities, it shall give each Major Investor written notice of its intention, describing the type of New Securities, and their price and the general terms upon which the Company proposes to issue the same. Each Major Investor shall have fifteen (15) business days after any such notice is mailed or delivered to agree to purchase such Holder’s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of such New Securities for the price and upon the terms specified in the notice by giving written notice to the Company stating therein the quantity of New Securities to be purchased (including with respect to the overallotment option).</w:t>
      </w:r>
    </w:p>
    <w:p>
      <w:pPr>
        <w:spacing w:after="0" w:line="154" w:lineRule="exact"/>
        <w:rPr>
          <w:rFonts w:ascii="Arial" w:cs="Arial" w:eastAsia="Arial" w:hAnsi="Arial"/>
          <w:sz w:val="15"/>
          <w:szCs w:val="15"/>
          <w:color w:val="auto"/>
        </w:rPr>
      </w:pPr>
    </w:p>
    <w:p>
      <w:pPr>
        <w:ind w:firstLine="860"/>
        <w:spacing w:after="0" w:line="272" w:lineRule="auto"/>
        <w:tabs>
          <w:tab w:leader="none" w:pos="1206"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In the event the Holders fail to exercise fully the right of first refusal within said fifteen (15) business day period (the “</w:t>
      </w:r>
      <w:r>
        <w:rPr>
          <w:rFonts w:ascii="Arial" w:cs="Arial" w:eastAsia="Arial" w:hAnsi="Arial"/>
          <w:sz w:val="15"/>
          <w:szCs w:val="15"/>
          <w:b w:val="1"/>
          <w:bCs w:val="1"/>
          <w:i w:val="1"/>
          <w:iCs w:val="1"/>
          <w:color w:val="auto"/>
        </w:rPr>
        <w:t>Election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Period</w:t>
      </w:r>
      <w:r>
        <w:rPr>
          <w:rFonts w:ascii="Arial" w:cs="Arial" w:eastAsia="Arial" w:hAnsi="Arial"/>
          <w:sz w:val="15"/>
          <w:szCs w:val="15"/>
          <w:color w:val="auto"/>
        </w:rPr>
        <w:t>”), the Company shall have ninety (90) days thereafter to sell or enter into an agreement (pursuant to which the sale of New Securities covered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thereby shall be closed, if at all, within ninety (90) days from the date of said agreement) to sell that portion of the New Securities with respect to which the Major Investors’ right of first refusal option and overallotment option set forth in this Section 4.1 was not exercised, at a price and upon terms no more favorable to the purchasers thereof than specified in the Company’s notice to Major Investors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560"/>
          </w:cols>
          <w:pgMar w:left="1140" w:top="256" w:right="1199" w:bottom="1440" w:gutter="0" w:footer="0" w:header="0"/>
        </w:sectPr>
      </w:pPr>
    </w:p>
    <w:bookmarkStart w:id="407" w:name="page408"/>
    <w:bookmarkEnd w:id="407"/>
    <w:p>
      <w:pPr>
        <w:ind w:right="24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delivered pursuant to Section 4.1(c). In the event the Company has not sold within such ninety (90) day period following the Election Period, or such ninety (90) day period following the date of said agreement, the Company shall not thereafter issue or sell any New Securities, without first again offering such securities to the Major Investors in the manner provided in this Section 4.1.</w:t>
      </w:r>
    </w:p>
    <w:p>
      <w:pPr>
        <w:spacing w:after="0" w:line="166" w:lineRule="exact"/>
        <w:rPr>
          <w:sz w:val="20"/>
          <w:szCs w:val="20"/>
          <w:color w:val="auto"/>
        </w:rPr>
      </w:pPr>
    </w:p>
    <w:p>
      <w:pPr>
        <w:ind w:right="240" w:firstLine="860"/>
        <w:spacing w:after="0" w:line="256" w:lineRule="auto"/>
        <w:tabs>
          <w:tab w:leader="none" w:pos="119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right of first refusal granted under this Agreement shall expire upon the earlier of (i) immediately prior to the closing of the Company’s Initial Public Offering and (ii) immediately prior to, but subject to, the closing of a Deemed Liquidation Event (as defined in the Restated Certificate).</w:t>
      </w:r>
    </w:p>
    <w:p>
      <w:pPr>
        <w:spacing w:after="0" w:line="165" w:lineRule="exact"/>
        <w:rPr>
          <w:rFonts w:ascii="Arial" w:cs="Arial" w:eastAsia="Arial" w:hAnsi="Arial"/>
          <w:sz w:val="16"/>
          <w:szCs w:val="16"/>
          <w:color w:val="auto"/>
        </w:rPr>
      </w:pPr>
    </w:p>
    <w:p>
      <w:pPr>
        <w:ind w:right="200" w:firstLine="860"/>
        <w:spacing w:after="0" w:line="253" w:lineRule="auto"/>
        <w:tabs>
          <w:tab w:leader="none" w:pos="11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Notwithstanding the foregoing, the right of first refusal granted under this Agreement shall not be applicable with respect to any Major Investor if, (i) at the time of the proposed sale and issuance of New Securities, such Major Investor is not an “accredited investor” as defined in Section 501 of Regulation D of the Exchange Act and (ii) such sale and issuance of New Securities is otherwise only being offered to accredited investors.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93"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b w:val="1"/>
          <w:bCs w:val="1"/>
          <w:color w:val="auto"/>
        </w:rPr>
        <w:t>5.1 Amendment</w:t>
      </w:r>
      <w:r>
        <w:rPr>
          <w:rFonts w:ascii="Arial" w:cs="Arial" w:eastAsia="Arial" w:hAnsi="Arial"/>
          <w:sz w:val="13"/>
          <w:szCs w:val="13"/>
          <w:color w:val="auto"/>
        </w:rPr>
        <w:t>. Except as expressly provided herein, neither this Agreement nor any term hereof may be amended, waived, discharged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terminated other than by a written instrument referencing this Agreement and signed by the Company and the Holders holding a majority of the Registrable Securities (excluding any of such shares that have been sold to the public or pursuant to Rule 144, and excluding, with respect to Section 2 (other than Sections 2.8, 2.9 and 2.10), any of such shares held by any Holders whose rights to request registration or inclusion in any registration pursuant to Section 2 have terminated in accordance with Section 2.14);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Holders purchasing Shares in a Closing under the Purchase Agreement after the Initial Closing (each as defined in the Purchase Agreement) may become parties to this Agreement by executing a counterpart of this Agreement without any amendment of this Agreement pursuant to this paragraph or any consent or approval of any other Holder;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w:t>
      </w:r>
      <w:r>
        <w:rPr>
          <w:rFonts w:ascii="Arial" w:cs="Arial" w:eastAsia="Arial" w:hAnsi="Arial"/>
          <w:sz w:val="13"/>
          <w:szCs w:val="13"/>
          <w:color w:val="auto"/>
        </w:rPr>
        <w:t>, that if any amendment, waiver, discharge or termination operates in a manner that treats any Holder or class of Holders different from</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other Holders, the consent of such Holder or class of Holders shall also be required for such amendment, waiver, discharge or termination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further, </w:t>
      </w:r>
      <w:r>
        <w:rPr>
          <w:rFonts w:ascii="Arial" w:cs="Arial" w:eastAsia="Arial" w:hAnsi="Arial"/>
          <w:sz w:val="13"/>
          <w:szCs w:val="13"/>
          <w:color w:val="auto"/>
        </w:rPr>
        <w:t>that with respect to UC Regents, Sections 3.9 and 5.11 (solely with respect to the final sentence thereof), and this clause of this Section 5.1, may</w:t>
      </w:r>
      <w:r>
        <w:rPr>
          <w:rFonts w:ascii="Arial" w:cs="Arial" w:eastAsia="Arial" w:hAnsi="Arial"/>
          <w:sz w:val="13"/>
          <w:szCs w:val="13"/>
          <w:i w:val="1"/>
          <w:iCs w:val="1"/>
          <w:color w:val="auto"/>
        </w:rPr>
        <w:t xml:space="preserve"> </w:t>
      </w:r>
      <w:r>
        <w:rPr>
          <w:rFonts w:ascii="Arial" w:cs="Arial" w:eastAsia="Arial" w:hAnsi="Arial"/>
          <w:sz w:val="13"/>
          <w:szCs w:val="13"/>
          <w:color w:val="auto"/>
        </w:rPr>
        <w:t>not be amended, waived, discharged or terminated other than by a written instrument referencing this Agreement and signed by UC Regents. Notwithstanding the foregoing, the amendment, waiver, discharge or termination of Section 3.1 and Section 4 of this Agreement shall require the written consent of the Company and the Major Investors holding a majority of the Registrable Securities then held by all Major Investors (excluding any of such shares that have been sold to the public or pursuant to Rule 144, and excluding, with respect to Section 2 (other than Sections 2.8, 2.9 and 2.10), any of such shares held by any Holders whose rights to request registration or inclusion in any registration pursuant to Section 2 have terminated in accordance with Section 2.14). Any such amendment, waiver, discharge or termination effected in accordance with this paragraph shall be binding upon each Holder and each future holder of all such securities of Holder. Each Holder acknowledges that by the operation of this paragraph, the Holders holding a majority of the Registrable Securities (excluding any of such</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620"/>
          </w:cols>
          <w:pgMar w:left="1140" w:top="256" w:right="1139" w:bottom="1440" w:gutter="0" w:footer="0" w:header="0"/>
        </w:sectPr>
      </w:pPr>
    </w:p>
    <w:bookmarkStart w:id="408" w:name="page409"/>
    <w:bookmarkEnd w:id="408"/>
    <w:p>
      <w:pPr>
        <w:jc w:val="both"/>
        <w:ind w:left="6" w:right="40"/>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shares that have been sold to the public or pursuant to Rule 144, and excluding, with respect to Section 2 (other than Sections 2.8, 2.9 and 2.10), any of such shares held by any Holders whose rights to request registration or inclusion in any registration pursuant to Section 2 have terminated in accordance with Section 2.14) will have the right and power to diminish or eliminate all rights of such Holder under this Agreement.</w:t>
      </w:r>
    </w:p>
    <w:p>
      <w:pPr>
        <w:spacing w:after="0" w:line="110" w:lineRule="exact"/>
        <w:rPr>
          <w:sz w:val="20"/>
          <w:szCs w:val="20"/>
          <w:color w:val="auto"/>
        </w:rPr>
      </w:pPr>
    </w:p>
    <w:p>
      <w:pPr>
        <w:jc w:val="both"/>
        <w:ind w:left="6" w:right="240" w:firstLine="385"/>
        <w:spacing w:after="0" w:line="259" w:lineRule="auto"/>
        <w:rPr>
          <w:sz w:val="20"/>
          <w:szCs w:val="20"/>
          <w:color w:val="auto"/>
        </w:rPr>
      </w:pPr>
      <w:r>
        <w:rPr>
          <w:rFonts w:ascii="Arial" w:cs="Arial" w:eastAsia="Arial" w:hAnsi="Arial"/>
          <w:sz w:val="16"/>
          <w:szCs w:val="16"/>
          <w:b w:val="1"/>
          <w:bCs w:val="1"/>
          <w:color w:val="auto"/>
        </w:rPr>
        <w:t>5.2 Notices</w:t>
      </w:r>
      <w:r>
        <w:rPr>
          <w:rFonts w:ascii="Arial" w:cs="Arial" w:eastAsia="Arial" w:hAnsi="Arial"/>
          <w:sz w:val="16"/>
          <w:szCs w:val="16"/>
          <w:color w:val="auto"/>
        </w:rPr>
        <w:t>. All notices and other communications required or permitted hereunder shall be in writing and shall be mailed by registered or</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mail, postage prepaid, sent by facsimile or electronic mail (if to an Investor or Holder) or otherwise delivered by hand, messenger or courier service addressed:</w:t>
      </w:r>
    </w:p>
    <w:p>
      <w:pPr>
        <w:spacing w:after="0" w:line="163" w:lineRule="exact"/>
        <w:rPr>
          <w:sz w:val="20"/>
          <w:szCs w:val="20"/>
          <w:color w:val="auto"/>
        </w:rPr>
      </w:pPr>
    </w:p>
    <w:p>
      <w:pPr>
        <w:ind w:left="6" w:firstLine="860"/>
        <w:spacing w:after="0" w:line="266" w:lineRule="auto"/>
        <w:tabs>
          <w:tab w:leader="none" w:pos="120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to an Investor, to the Investor’s address, facsimile number or electronic mail address as shown in the Company’s records, as may be updated in accordance with the provisions hereof;</w:t>
      </w:r>
    </w:p>
    <w:p>
      <w:pPr>
        <w:spacing w:after="0" w:line="158" w:lineRule="exact"/>
        <w:rPr>
          <w:rFonts w:ascii="Arial" w:cs="Arial" w:eastAsia="Arial" w:hAnsi="Arial"/>
          <w:sz w:val="16"/>
          <w:szCs w:val="16"/>
          <w:color w:val="auto"/>
        </w:rPr>
      </w:pPr>
    </w:p>
    <w:p>
      <w:pPr>
        <w:ind w:left="6" w:right="240" w:firstLine="860"/>
        <w:spacing w:after="0" w:line="343" w:lineRule="auto"/>
        <w:tabs>
          <w:tab w:leader="none" w:pos="1212" w:val="left"/>
        </w:tabs>
        <w:numPr>
          <w:ilvl w:val="0"/>
          <w:numId w:val="265"/>
        </w:numPr>
        <w:rPr>
          <w:rFonts w:ascii="Arial" w:cs="Arial" w:eastAsia="Arial" w:hAnsi="Arial"/>
          <w:sz w:val="13"/>
          <w:szCs w:val="13"/>
          <w:color w:val="auto"/>
        </w:rPr>
      </w:pPr>
      <w:r>
        <w:rPr>
          <w:rFonts w:ascii="Arial" w:cs="Arial" w:eastAsia="Arial" w:hAnsi="Arial"/>
          <w:sz w:val="13"/>
          <w:szCs w:val="13"/>
          <w:color w:val="auto"/>
        </w:rPr>
        <w:t>if to any Holder, to such address, facsimile number or electronic mail address or facsimile number as shown in the Company’s records, or, until any such Holder so furnishes an address, facsimile number or electronic mail address to the Company, then to the address, facsimile number or electronic mail address of the last holder of such shares for which the Company has contact information in its records; or</w:t>
      </w:r>
    </w:p>
    <w:p>
      <w:pPr>
        <w:spacing w:after="0" w:line="113" w:lineRule="exact"/>
        <w:rPr>
          <w:rFonts w:ascii="Arial" w:cs="Arial" w:eastAsia="Arial" w:hAnsi="Arial"/>
          <w:sz w:val="13"/>
          <w:szCs w:val="13"/>
          <w:color w:val="auto"/>
        </w:rPr>
      </w:pPr>
    </w:p>
    <w:p>
      <w:pPr>
        <w:jc w:val="both"/>
        <w:ind w:left="6" w:right="240" w:firstLine="860"/>
        <w:spacing w:after="0" w:line="281" w:lineRule="auto"/>
        <w:tabs>
          <w:tab w:leader="none" w:pos="1203" w:val="left"/>
        </w:tabs>
        <w:numPr>
          <w:ilvl w:val="0"/>
          <w:numId w:val="265"/>
        </w:numPr>
        <w:rPr>
          <w:rFonts w:ascii="Arial" w:cs="Arial" w:eastAsia="Arial" w:hAnsi="Arial"/>
          <w:sz w:val="15"/>
          <w:szCs w:val="15"/>
          <w:color w:val="auto"/>
        </w:rPr>
      </w:pPr>
      <w:r>
        <w:rPr>
          <w:rFonts w:ascii="Arial" w:cs="Arial" w:eastAsia="Arial" w:hAnsi="Arial"/>
          <w:sz w:val="15"/>
          <w:szCs w:val="15"/>
          <w:color w:val="auto"/>
        </w:rPr>
        <w:t>if to the Company, to the attention of the Chief Executive Officer of the Company, at 171 Oyster Point Blvd, Suite 500, South San Francisco, CA 94080, or at such other current address as the Company shall have furnished to the Investors or Holders, with a copy (which shall not constitute notice) to Ken Clark, Wilson Sonsini Goodrich &amp; Rosati, P.C., 650 Page Mill Road, Palo Alto, CA 94304.</w:t>
      </w:r>
    </w:p>
    <w:p>
      <w:pPr>
        <w:spacing w:after="0" w:line="149" w:lineRule="exact"/>
        <w:rPr>
          <w:sz w:val="20"/>
          <w:szCs w:val="20"/>
          <w:color w:val="auto"/>
        </w:rPr>
      </w:pPr>
    </w:p>
    <w:p>
      <w:pPr>
        <w:ind w:left="6" w:right="60" w:firstLine="385"/>
        <w:spacing w:after="0" w:line="267" w:lineRule="auto"/>
        <w:rPr>
          <w:sz w:val="20"/>
          <w:szCs w:val="20"/>
          <w:color w:val="auto"/>
        </w:rPr>
      </w:pPr>
      <w:r>
        <w:rPr>
          <w:rFonts w:ascii="Arial" w:cs="Arial" w:eastAsia="Arial" w:hAnsi="Arial"/>
          <w:sz w:val="15"/>
          <w:szCs w:val="15"/>
          <w:color w:val="auto"/>
        </w:rPr>
        <w:t>Each such notice or other communication shall for all purposes of this Agreement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Agreement or any notice delivered hereunder, the Company’s books and records will control absent fraud or error.</w:t>
      </w:r>
    </w:p>
    <w:p>
      <w:pPr>
        <w:spacing w:after="0" w:line="163" w:lineRule="exact"/>
        <w:rPr>
          <w:sz w:val="20"/>
          <w:szCs w:val="20"/>
          <w:color w:val="auto"/>
        </w:rPr>
      </w:pPr>
    </w:p>
    <w:p>
      <w:pPr>
        <w:ind w:left="6" w:right="60" w:firstLine="385"/>
        <w:spacing w:after="0" w:line="311" w:lineRule="auto"/>
        <w:rPr>
          <w:sz w:val="20"/>
          <w:szCs w:val="20"/>
          <w:color w:val="auto"/>
        </w:rPr>
      </w:pPr>
      <w:r>
        <w:rPr>
          <w:rFonts w:ascii="Arial" w:cs="Arial" w:eastAsia="Arial" w:hAnsi="Arial"/>
          <w:sz w:val="13"/>
          <w:szCs w:val="13"/>
          <w:color w:val="auto"/>
        </w:rPr>
        <w:t>Subject to the limitations set forth in Delaware General Corporation Law §232(e), each Investor and Holder consents to the delivery of any notice to stockholders given by the Company under the Delaware General Corporation Law or the Company’s certificate of incorporation or bylaws by</w:t>
      </w:r>
    </w:p>
    <w:p>
      <w:pPr>
        <w:spacing w:after="0" w:line="1" w:lineRule="exact"/>
        <w:rPr>
          <w:sz w:val="20"/>
          <w:szCs w:val="20"/>
          <w:color w:val="auto"/>
        </w:rPr>
      </w:pPr>
    </w:p>
    <w:p>
      <w:pPr>
        <w:ind w:left="186" w:hanging="186"/>
        <w:spacing w:after="0"/>
        <w:tabs>
          <w:tab w:leader="none" w:pos="186" w:val="left"/>
        </w:tabs>
        <w:numPr>
          <w:ilvl w:val="0"/>
          <w:numId w:val="266"/>
        </w:numPr>
        <w:rPr>
          <w:rFonts w:ascii="Arial" w:cs="Arial" w:eastAsia="Arial" w:hAnsi="Arial"/>
          <w:sz w:val="15"/>
          <w:szCs w:val="15"/>
          <w:color w:val="auto"/>
        </w:rPr>
      </w:pPr>
      <w:r>
        <w:rPr>
          <w:rFonts w:ascii="Arial" w:cs="Arial" w:eastAsia="Arial" w:hAnsi="Arial"/>
          <w:sz w:val="15"/>
          <w:szCs w:val="15"/>
          <w:color w:val="auto"/>
        </w:rPr>
        <w:t>facsimile telecommunication to the facsimile number set forth on Exhibit A (or to any other facsimile number for the Investor or Holder in the</w:t>
      </w:r>
    </w:p>
    <w:p>
      <w:pPr>
        <w:spacing w:after="0" w:line="16"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3"/>
          <w:szCs w:val="13"/>
          <w:color w:val="auto"/>
        </w:rPr>
        <w:t>Company’s records), (ii) electronic mail to the electronic mail address set forth on Exhibit A (or to any other electronic mail address for the Investor</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606"/>
          </w:cols>
          <w:pgMar w:left="1134" w:top="257" w:right="1159" w:bottom="1440" w:gutter="0" w:footer="0" w:header="0"/>
        </w:sectPr>
      </w:pPr>
    </w:p>
    <w:bookmarkStart w:id="409" w:name="page410"/>
    <w:bookmarkEnd w:id="409"/>
    <w:p>
      <w:pPr>
        <w:ind w:right="12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 Holder in the Company’s records), (iii) posting on an electronic network together with separate notice to the Investor or Holder of such specific posting or (iv) any other form of electronic transmission (as defined in the Delaware General Corporation Law) directed to the Investor or Holder. This consent may be revoked by an Investor or Holder by written notice to the Company and may be deemed revoked in the circumstances specified in Delaware General Corporation Law §232.</w:t>
      </w:r>
    </w:p>
    <w:p>
      <w:pPr>
        <w:spacing w:after="0" w:line="163" w:lineRule="exact"/>
        <w:rPr>
          <w:sz w:val="20"/>
          <w:szCs w:val="20"/>
          <w:color w:val="auto"/>
        </w:rPr>
      </w:pPr>
    </w:p>
    <w:p>
      <w:pPr>
        <w:ind w:right="80" w:firstLine="385"/>
        <w:spacing w:after="0" w:line="306" w:lineRule="auto"/>
        <w:rPr>
          <w:sz w:val="20"/>
          <w:szCs w:val="20"/>
          <w:color w:val="auto"/>
        </w:rPr>
      </w:pPr>
      <w:r>
        <w:rPr>
          <w:rFonts w:ascii="Arial" w:cs="Arial" w:eastAsia="Arial" w:hAnsi="Arial"/>
          <w:sz w:val="15"/>
          <w:szCs w:val="15"/>
          <w:b w:val="1"/>
          <w:bCs w:val="1"/>
          <w:color w:val="auto"/>
        </w:rPr>
        <w:t>5.3 Governing Law</w:t>
      </w:r>
      <w:r>
        <w:rPr>
          <w:rFonts w:ascii="Arial" w:cs="Arial" w:eastAsia="Arial" w:hAnsi="Arial"/>
          <w:sz w:val="15"/>
          <w:szCs w:val="15"/>
          <w:color w:val="auto"/>
        </w:rPr>
        <w:t>. This Agreement shall be governed in all respects by the internal laws of the State of Delaware as applied to agreements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entered into among Delaware residents to be performed entirely within Delaware, without regard to principles of conflicts of law.</w:t>
      </w:r>
    </w:p>
    <w:p>
      <w:pPr>
        <w:spacing w:after="0" w:line="126" w:lineRule="exact"/>
        <w:rPr>
          <w:sz w:val="20"/>
          <w:szCs w:val="20"/>
          <w:color w:val="auto"/>
        </w:rPr>
      </w:pPr>
    </w:p>
    <w:p>
      <w:pPr>
        <w:ind w:right="40" w:firstLine="385"/>
        <w:spacing w:after="0" w:line="317" w:lineRule="auto"/>
        <w:rPr>
          <w:sz w:val="20"/>
          <w:szCs w:val="20"/>
          <w:color w:val="auto"/>
        </w:rPr>
      </w:pPr>
      <w:r>
        <w:rPr>
          <w:rFonts w:ascii="Arial" w:cs="Arial" w:eastAsia="Arial" w:hAnsi="Arial"/>
          <w:sz w:val="13"/>
          <w:szCs w:val="13"/>
          <w:b w:val="1"/>
          <w:bCs w:val="1"/>
          <w:color w:val="auto"/>
        </w:rPr>
        <w:t>5.4 Successors and Assigns</w:t>
      </w:r>
      <w:r>
        <w:rPr>
          <w:rFonts w:ascii="Arial" w:cs="Arial" w:eastAsia="Arial" w:hAnsi="Arial"/>
          <w:sz w:val="13"/>
          <w:szCs w:val="13"/>
          <w:color w:val="auto"/>
        </w:rPr>
        <w:t>. This Agreement, and any and all rights, duties and obligations hereunder, shall not be assigned, transferred,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delegated or sublicensed by any Investor without the prior written consent of the Company. Any attempt by an Investor without such permission to assign, transfer, delegate or sublicense any rights, duties or obligations that arise under this Agreement shall be void. Notwithstanding the foregoing, an Investor may assign its rights hereunder to an affiliate of such Investor without the prior written consent of the Company;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assignee shall promptly provide a written instrument to the Company notifying the Company of such transfer or assignment and agreeing in writing to be bound by the terms of this Agreement. Subject to the foregoing and except as otherwise provided herein, the provisions of this Agreement shall inure to the benefit of, and be binding upon, the successors, assigns, heirs, executors and administrators of the parties hereto.</w:t>
      </w:r>
    </w:p>
    <w:p>
      <w:pPr>
        <w:spacing w:after="0" w:line="127" w:lineRule="exact"/>
        <w:rPr>
          <w:sz w:val="20"/>
          <w:szCs w:val="20"/>
          <w:color w:val="auto"/>
        </w:rPr>
      </w:pPr>
    </w:p>
    <w:p>
      <w:pPr>
        <w:ind w:firstLine="385"/>
        <w:spacing w:after="0" w:line="254" w:lineRule="auto"/>
        <w:rPr>
          <w:sz w:val="20"/>
          <w:szCs w:val="20"/>
          <w:color w:val="auto"/>
        </w:rPr>
      </w:pPr>
      <w:r>
        <w:rPr>
          <w:rFonts w:ascii="Arial" w:cs="Arial" w:eastAsia="Arial" w:hAnsi="Arial"/>
          <w:sz w:val="16"/>
          <w:szCs w:val="16"/>
          <w:b w:val="1"/>
          <w:bCs w:val="1"/>
          <w:color w:val="auto"/>
        </w:rPr>
        <w:t>5.5 Entire Agreement</w:t>
      </w:r>
      <w:r>
        <w:rPr>
          <w:rFonts w:ascii="Arial" w:cs="Arial" w:eastAsia="Arial" w:hAnsi="Arial"/>
          <w:sz w:val="16"/>
          <w:szCs w:val="16"/>
          <w:color w:val="auto"/>
        </w:rPr>
        <w:t>. This Agreement and the exhibits hereto constitute the full and entire understanding and agreement between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regard to the subjects hereof, and supersedes in its entirety the Prior Rights Agreement, which shall have no further force and effect. No party hereto shall be liable or bound to any other party in any manner with regard to the subjects hereof or thereof by any warranties, representations or covenants except as specifically set forth herein.</w:t>
      </w:r>
    </w:p>
    <w:p>
      <w:pPr>
        <w:spacing w:after="0" w:line="164" w:lineRule="exact"/>
        <w:rPr>
          <w:sz w:val="20"/>
          <w:szCs w:val="20"/>
          <w:color w:val="auto"/>
        </w:rPr>
      </w:pPr>
    </w:p>
    <w:p>
      <w:pPr>
        <w:ind w:right="120" w:firstLine="385"/>
        <w:spacing w:after="0" w:line="268" w:lineRule="auto"/>
        <w:rPr>
          <w:sz w:val="20"/>
          <w:szCs w:val="20"/>
          <w:color w:val="auto"/>
        </w:rPr>
      </w:pPr>
      <w:r>
        <w:rPr>
          <w:rFonts w:ascii="Arial" w:cs="Arial" w:eastAsia="Arial" w:hAnsi="Arial"/>
          <w:sz w:val="15"/>
          <w:szCs w:val="15"/>
          <w:b w:val="1"/>
          <w:bCs w:val="1"/>
          <w:color w:val="auto"/>
        </w:rPr>
        <w:t>5.6 Delays or Omissions</w:t>
      </w:r>
      <w:r>
        <w:rPr>
          <w:rFonts w:ascii="Arial" w:cs="Arial" w:eastAsia="Arial" w:hAnsi="Arial"/>
          <w:sz w:val="15"/>
          <w:szCs w:val="15"/>
          <w:color w:val="auto"/>
        </w:rPr>
        <w:t>. Except as expressly provided herein, no delay or omission to exercise any right, power or remedy accruing to any</w:t>
      </w:r>
      <w:r>
        <w:rPr>
          <w:rFonts w:ascii="Arial" w:cs="Arial" w:eastAsia="Arial" w:hAnsi="Arial"/>
          <w:sz w:val="15"/>
          <w:szCs w:val="15"/>
          <w:b w:val="1"/>
          <w:bCs w:val="1"/>
          <w:color w:val="auto"/>
        </w:rPr>
        <w:t xml:space="preserve"> </w:t>
      </w:r>
      <w:r>
        <w:rPr>
          <w:rFonts w:ascii="Arial" w:cs="Arial" w:eastAsia="Arial" w:hAnsi="Arial"/>
          <w:sz w:val="15"/>
          <w:szCs w:val="15"/>
          <w:color w:val="auto"/>
        </w:rPr>
        <w:t>party 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157" w:lineRule="exact"/>
        <w:rPr>
          <w:sz w:val="20"/>
          <w:szCs w:val="20"/>
          <w:color w:val="auto"/>
        </w:rPr>
      </w:pPr>
    </w:p>
    <w:p>
      <w:pPr>
        <w:jc w:val="both"/>
        <w:ind w:right="140" w:firstLine="385"/>
        <w:spacing w:after="0" w:line="252" w:lineRule="auto"/>
        <w:rPr>
          <w:sz w:val="20"/>
          <w:szCs w:val="20"/>
          <w:color w:val="auto"/>
        </w:rPr>
      </w:pPr>
      <w:r>
        <w:rPr>
          <w:rFonts w:ascii="Arial" w:cs="Arial" w:eastAsia="Arial" w:hAnsi="Arial"/>
          <w:sz w:val="16"/>
          <w:szCs w:val="16"/>
          <w:b w:val="1"/>
          <w:bCs w:val="1"/>
          <w:color w:val="auto"/>
        </w:rPr>
        <w:t>5.7 Severability</w:t>
      </w:r>
      <w:r>
        <w:rPr>
          <w:rFonts w:ascii="Arial" w:cs="Arial" w:eastAsia="Arial" w:hAnsi="Arial"/>
          <w:sz w:val="16"/>
          <w:szCs w:val="16"/>
          <w:color w:val="auto"/>
        </w:rPr>
        <w:t>. If any provision of this Agreement becomes or is declared by a court of competent jurisdiction to be illegal,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600"/>
          </w:cols>
          <w:pgMar w:left="1140" w:top="256" w:right="1159" w:bottom="1440" w:gutter="0" w:footer="0" w:header="0"/>
        </w:sectPr>
      </w:pPr>
    </w:p>
    <w:bookmarkStart w:id="410" w:name="page411"/>
    <w:bookmarkEnd w:id="410"/>
    <w:p>
      <w:pPr>
        <w:ind w:firstLine="385"/>
        <w:spacing w:after="0" w:line="25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5.8 Titles and Subtitles</w:t>
      </w:r>
      <w:r>
        <w:rPr>
          <w:rFonts w:ascii="Arial" w:cs="Arial" w:eastAsia="Arial" w:hAnsi="Arial"/>
          <w:sz w:val="16"/>
          <w:szCs w:val="16"/>
          <w:color w:val="auto"/>
        </w:rPr>
        <w:t>. The titles and subtitles used in this Agreement are used for convenience only and are not to be considered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construing or interpreting this Agreement. All references in this Agreement to sections, paragraphs and exhibits shall, unless otherwise provided, refer to sections and paragraphs hereof and exhibits attached hereto.</w:t>
      </w:r>
    </w:p>
    <w:p>
      <w:pPr>
        <w:spacing w:after="0" w:line="159" w:lineRule="exact"/>
        <w:rPr>
          <w:sz w:val="20"/>
          <w:szCs w:val="20"/>
          <w:color w:val="auto"/>
        </w:rPr>
      </w:pPr>
    </w:p>
    <w:p>
      <w:pPr>
        <w:ind w:right="260" w:firstLine="385"/>
        <w:spacing w:after="0" w:line="272" w:lineRule="auto"/>
        <w:rPr>
          <w:sz w:val="20"/>
          <w:szCs w:val="20"/>
          <w:color w:val="auto"/>
        </w:rPr>
      </w:pPr>
      <w:r>
        <w:rPr>
          <w:rFonts w:ascii="Arial" w:cs="Arial" w:eastAsia="Arial" w:hAnsi="Arial"/>
          <w:sz w:val="16"/>
          <w:szCs w:val="16"/>
          <w:b w:val="1"/>
          <w:bCs w:val="1"/>
          <w:color w:val="auto"/>
        </w:rPr>
        <w:t>5.9 Counterparts</w:t>
      </w:r>
      <w:r>
        <w:rPr>
          <w:rFonts w:ascii="Arial" w:cs="Arial" w:eastAsia="Arial" w:hAnsi="Arial"/>
          <w:sz w:val="16"/>
          <w:szCs w:val="16"/>
          <w:color w:val="auto"/>
        </w:rPr>
        <w:t>. This Agreement may be executed in any number of counterparts, each of which shall be enforceable against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execute such counterparts, and all of which together shall constitute one instrument.</w:t>
      </w:r>
    </w:p>
    <w:p>
      <w:pPr>
        <w:spacing w:after="0" w:line="149" w:lineRule="exact"/>
        <w:rPr>
          <w:sz w:val="20"/>
          <w:szCs w:val="20"/>
          <w:color w:val="auto"/>
        </w:rPr>
      </w:pPr>
    </w:p>
    <w:p>
      <w:pPr>
        <w:ind w:firstLine="385"/>
        <w:spacing w:after="0" w:line="332" w:lineRule="auto"/>
        <w:rPr>
          <w:sz w:val="20"/>
          <w:szCs w:val="20"/>
          <w:color w:val="auto"/>
        </w:rPr>
      </w:pPr>
      <w:r>
        <w:rPr>
          <w:rFonts w:ascii="Arial" w:cs="Arial" w:eastAsia="Arial" w:hAnsi="Arial"/>
          <w:sz w:val="13"/>
          <w:szCs w:val="13"/>
          <w:b w:val="1"/>
          <w:bCs w:val="1"/>
          <w:color w:val="auto"/>
        </w:rPr>
        <w:t>5.10 Telecopy Execution and Delivery</w:t>
      </w:r>
      <w:r>
        <w:rPr>
          <w:rFonts w:ascii="Arial" w:cs="Arial" w:eastAsia="Arial" w:hAnsi="Arial"/>
          <w:sz w:val="13"/>
          <w:szCs w:val="13"/>
          <w:color w:val="auto"/>
        </w:rPr>
        <w:t>. A facsimile, telecopy or other reproduction of this Agreement may be executed by one or more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hereto and delivered by such party by facsimile or any similar electronic transmission device pursuant to which the signature of or on behalf of such party can be seen. Such execution and delivery shall be considered valid, binding and effective for all purposes. At the request of any party hereto, all parties hereto agree to execute and deliver an original of this Agreement as well as any facsimile, telecopy or other reproduction hereof.</w:t>
      </w:r>
    </w:p>
    <w:p>
      <w:pPr>
        <w:spacing w:after="0" w:line="116" w:lineRule="exact"/>
        <w:rPr>
          <w:sz w:val="20"/>
          <w:szCs w:val="20"/>
          <w:color w:val="auto"/>
        </w:rPr>
      </w:pPr>
    </w:p>
    <w:p>
      <w:pPr>
        <w:ind w:right="220" w:firstLine="385"/>
        <w:spacing w:after="0" w:line="332" w:lineRule="auto"/>
        <w:rPr>
          <w:sz w:val="20"/>
          <w:szCs w:val="20"/>
          <w:color w:val="auto"/>
        </w:rPr>
      </w:pPr>
      <w:r>
        <w:rPr>
          <w:rFonts w:ascii="Arial" w:cs="Arial" w:eastAsia="Arial" w:hAnsi="Arial"/>
          <w:sz w:val="13"/>
          <w:szCs w:val="13"/>
          <w:b w:val="1"/>
          <w:bCs w:val="1"/>
          <w:color w:val="auto"/>
        </w:rPr>
        <w:t>5.11 Jurisdiction; Venue</w:t>
      </w:r>
      <w:r>
        <w:rPr>
          <w:rFonts w:ascii="Arial" w:cs="Arial" w:eastAsia="Arial" w:hAnsi="Arial"/>
          <w:sz w:val="13"/>
          <w:szCs w:val="13"/>
          <w:color w:val="auto"/>
        </w:rPr>
        <w:t>. With respect to any disputes arising out of or related to this Agreement, each of the parties hereto irrevocably</w:t>
      </w:r>
      <w:r>
        <w:rPr>
          <w:rFonts w:ascii="Arial" w:cs="Arial" w:eastAsia="Arial" w:hAnsi="Arial"/>
          <w:sz w:val="13"/>
          <w:szCs w:val="13"/>
          <w:b w:val="1"/>
          <w:bCs w:val="1"/>
          <w:color w:val="auto"/>
        </w:rPr>
        <w:t xml:space="preserve"> </w:t>
      </w:r>
      <w:r>
        <w:rPr>
          <w:rFonts w:ascii="Arial" w:cs="Arial" w:eastAsia="Arial" w:hAnsi="Arial"/>
          <w:sz w:val="13"/>
          <w:szCs w:val="13"/>
          <w:color w:val="auto"/>
        </w:rPr>
        <w:t>consents to the exclusive jurisdiction of, and venue in, the courts of the State of Delaware and the United States District Court for the District of Delaware. Notwithstanding the foregoing, the parties hereto acknowledge and agree that UC Regents, as an instrumentality of the State of California, maintains its rights under the Eleventh Amendment of the United States Constitution to decline to be sued in United States federal courts.</w:t>
      </w:r>
    </w:p>
    <w:p>
      <w:pPr>
        <w:spacing w:after="0" w:line="116" w:lineRule="exact"/>
        <w:rPr>
          <w:sz w:val="20"/>
          <w:szCs w:val="20"/>
          <w:color w:val="auto"/>
        </w:rPr>
      </w:pPr>
    </w:p>
    <w:p>
      <w:pPr>
        <w:ind w:right="100" w:firstLine="385"/>
        <w:spacing w:after="0" w:line="259" w:lineRule="auto"/>
        <w:rPr>
          <w:sz w:val="20"/>
          <w:szCs w:val="20"/>
          <w:color w:val="auto"/>
        </w:rPr>
      </w:pPr>
      <w:r>
        <w:rPr>
          <w:rFonts w:ascii="Arial" w:cs="Arial" w:eastAsia="Arial" w:hAnsi="Arial"/>
          <w:sz w:val="16"/>
          <w:szCs w:val="16"/>
          <w:b w:val="1"/>
          <w:bCs w:val="1"/>
          <w:color w:val="auto"/>
        </w:rPr>
        <w:t>5.12 Further Assurances</w:t>
      </w:r>
      <w:r>
        <w:rPr>
          <w:rFonts w:ascii="Arial" w:cs="Arial" w:eastAsia="Arial" w:hAnsi="Arial"/>
          <w:sz w:val="16"/>
          <w:szCs w:val="16"/>
          <w:color w:val="auto"/>
        </w:rPr>
        <w:t>. Each party hereto agrees to execute and deliver, by the proper exercise of its corporate, limited liability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or other powers, all such other and additional instruments and documents and do all such other acts and things as may be necessary to more fully effectuate this Agreement.</w:t>
      </w:r>
    </w:p>
    <w:p>
      <w:pPr>
        <w:spacing w:after="0" w:line="159" w:lineRule="exact"/>
        <w:rPr>
          <w:sz w:val="20"/>
          <w:szCs w:val="20"/>
          <w:color w:val="auto"/>
        </w:rPr>
      </w:pPr>
    </w:p>
    <w:p>
      <w:pPr>
        <w:ind w:right="360" w:firstLine="385"/>
        <w:spacing w:after="0" w:line="272" w:lineRule="auto"/>
        <w:rPr>
          <w:sz w:val="20"/>
          <w:szCs w:val="20"/>
          <w:color w:val="auto"/>
        </w:rPr>
      </w:pPr>
      <w:r>
        <w:rPr>
          <w:rFonts w:ascii="Arial" w:cs="Arial" w:eastAsia="Arial" w:hAnsi="Arial"/>
          <w:sz w:val="16"/>
          <w:szCs w:val="16"/>
          <w:b w:val="1"/>
          <w:bCs w:val="1"/>
          <w:color w:val="auto"/>
        </w:rPr>
        <w:t>5.13 Conflict</w:t>
      </w:r>
      <w:r>
        <w:rPr>
          <w:rFonts w:ascii="Arial" w:cs="Arial" w:eastAsia="Arial" w:hAnsi="Arial"/>
          <w:sz w:val="16"/>
          <w:szCs w:val="16"/>
          <w:color w:val="auto"/>
        </w:rPr>
        <w:t>. In the event of any conflict between the terms of this Agreement and the Restated Certificate or its bylaws,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Certificate or its bylaws, as the case may be, will control.</w:t>
      </w:r>
    </w:p>
    <w:p>
      <w:pPr>
        <w:spacing w:after="0" w:line="149" w:lineRule="exact"/>
        <w:rPr>
          <w:sz w:val="20"/>
          <w:szCs w:val="20"/>
          <w:color w:val="auto"/>
        </w:rPr>
      </w:pPr>
    </w:p>
    <w:p>
      <w:pPr>
        <w:jc w:val="both"/>
        <w:ind w:right="20" w:firstLine="385"/>
        <w:spacing w:after="0" w:line="254" w:lineRule="auto"/>
        <w:rPr>
          <w:sz w:val="20"/>
          <w:szCs w:val="20"/>
          <w:color w:val="auto"/>
        </w:rPr>
      </w:pPr>
      <w:r>
        <w:rPr>
          <w:rFonts w:ascii="Arial" w:cs="Arial" w:eastAsia="Arial" w:hAnsi="Arial"/>
          <w:sz w:val="16"/>
          <w:szCs w:val="16"/>
          <w:b w:val="1"/>
          <w:bCs w:val="1"/>
          <w:color w:val="auto"/>
        </w:rPr>
        <w:t>5.14 Attorney’s Fees</w:t>
      </w:r>
      <w:r>
        <w:rPr>
          <w:rFonts w:ascii="Arial" w:cs="Arial" w:eastAsia="Arial" w:hAnsi="Arial"/>
          <w:sz w:val="16"/>
          <w:szCs w:val="16"/>
          <w:color w:val="auto"/>
        </w:rPr>
        <w:t>. In the event that any suit or action is instituted to enforce any provisions in this Agreement, the prevailing party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64" w:lineRule="exact"/>
        <w:rPr>
          <w:sz w:val="20"/>
          <w:szCs w:val="20"/>
          <w:color w:val="auto"/>
        </w:rPr>
      </w:pPr>
    </w:p>
    <w:p>
      <w:pPr>
        <w:ind w:right="140" w:firstLine="385"/>
        <w:spacing w:after="0" w:line="272" w:lineRule="auto"/>
        <w:rPr>
          <w:sz w:val="20"/>
          <w:szCs w:val="20"/>
          <w:color w:val="auto"/>
        </w:rPr>
      </w:pPr>
      <w:r>
        <w:rPr>
          <w:rFonts w:ascii="Arial" w:cs="Arial" w:eastAsia="Arial" w:hAnsi="Arial"/>
          <w:sz w:val="16"/>
          <w:szCs w:val="16"/>
          <w:b w:val="1"/>
          <w:bCs w:val="1"/>
          <w:color w:val="auto"/>
        </w:rPr>
        <w:t>5.15 Aggregation of Stock</w:t>
      </w:r>
      <w:r>
        <w:rPr>
          <w:rFonts w:ascii="Arial" w:cs="Arial" w:eastAsia="Arial" w:hAnsi="Arial"/>
          <w:sz w:val="16"/>
          <w:szCs w:val="16"/>
          <w:color w:val="auto"/>
        </w:rPr>
        <w:t>. All securities held or acquired by affiliated entities (including affiliated venture capital funds) or persons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aggregated together for purposes of determining the availability of any rights under this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600"/>
          </w:cols>
          <w:pgMar w:left="1140" w:top="252" w:right="1159" w:bottom="1440" w:gutter="0" w:footer="0" w:header="0"/>
        </w:sectPr>
      </w:pPr>
    </w:p>
    <w:bookmarkStart w:id="411" w:name="page412"/>
    <w:bookmarkEnd w:id="411"/>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COMPANY</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TENAYA THERAPEUTICS, INC.,</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Faraz Ali, Chief Executive Officer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2" w:name="page413"/>
    <w:bookmarkEnd w:id="412"/>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INVESTORS</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RTW MASTER FUND, LTD.</w:t>
      </w:r>
    </w:p>
    <w:p>
      <w:pPr>
        <w:spacing w:after="0" w:line="193" w:lineRule="exact"/>
        <w:rPr>
          <w:sz w:val="20"/>
          <w:szCs w:val="20"/>
          <w:color w:val="auto"/>
        </w:rPr>
      </w:pPr>
    </w:p>
    <w:p>
      <w:pPr>
        <w:ind w:left="5480"/>
        <w:spacing w:after="0"/>
        <w:tabs>
          <w:tab w:leader="none" w:pos="5920" w:val="left"/>
        </w:tabs>
        <w:rPr>
          <w:sz w:val="20"/>
          <w:szCs w:val="20"/>
          <w:color w:val="auto"/>
        </w:rPr>
      </w:pPr>
      <w:r>
        <w:rPr>
          <w:rFonts w:ascii="Arial" w:cs="Arial" w:eastAsia="Arial" w:hAnsi="Arial"/>
          <w:sz w:val="16"/>
          <w:szCs w:val="16"/>
          <w:color w:val="auto"/>
        </w:rPr>
        <w:t>By:</w:t>
        <w:tab/>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Roderick Wong, M.D., Director</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RTW INNOVATION MASTER FUND, LTD.</w:t>
      </w:r>
    </w:p>
    <w:p>
      <w:pPr>
        <w:spacing w:after="0" w:line="193" w:lineRule="exact"/>
        <w:rPr>
          <w:sz w:val="20"/>
          <w:szCs w:val="20"/>
          <w:color w:val="auto"/>
        </w:rPr>
      </w:pPr>
    </w:p>
    <w:p>
      <w:pPr>
        <w:ind w:left="5480"/>
        <w:spacing w:after="0"/>
        <w:tabs>
          <w:tab w:leader="none" w:pos="5920" w:val="left"/>
        </w:tabs>
        <w:rPr>
          <w:sz w:val="20"/>
          <w:szCs w:val="20"/>
          <w:color w:val="auto"/>
        </w:rPr>
      </w:pPr>
      <w:r>
        <w:rPr>
          <w:rFonts w:ascii="Arial" w:cs="Arial" w:eastAsia="Arial" w:hAnsi="Arial"/>
          <w:sz w:val="16"/>
          <w:szCs w:val="16"/>
          <w:color w:val="auto"/>
        </w:rPr>
        <w:t>By:</w:t>
        <w:tab/>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Roderick Wong, M.D., Director</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RTW VENTURE FUND LIMITED</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By: RTW Investments, LP, its Investment Manager</w:t>
      </w:r>
    </w:p>
    <w:p>
      <w:pPr>
        <w:spacing w:after="0" w:line="228" w:lineRule="exact"/>
        <w:rPr>
          <w:sz w:val="20"/>
          <w:szCs w:val="20"/>
          <w:color w:val="auto"/>
        </w:rPr>
      </w:pPr>
    </w:p>
    <w:p>
      <w:pPr>
        <w:ind w:left="5480"/>
        <w:spacing w:after="0"/>
        <w:tabs>
          <w:tab w:leader="none" w:pos="5920" w:val="left"/>
        </w:tabs>
        <w:rPr>
          <w:sz w:val="20"/>
          <w:szCs w:val="20"/>
          <w:color w:val="auto"/>
        </w:rPr>
      </w:pPr>
      <w:r>
        <w:rPr>
          <w:rFonts w:ascii="Arial" w:cs="Arial" w:eastAsia="Arial" w:hAnsi="Arial"/>
          <w:sz w:val="16"/>
          <w:szCs w:val="16"/>
          <w:color w:val="auto"/>
        </w:rPr>
        <w:t>By:</w:t>
        <w:tab/>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Roderick Wong, M.D., Managing Partner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3" w:name="page414"/>
    <w:bookmarkEnd w:id="413"/>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RA CAPITAL HEALTHCARE FUND, L.P.</w:t>
      </w:r>
    </w:p>
    <w:p>
      <w:pPr>
        <w:spacing w:after="0" w:line="193"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auto"/>
        </w:rPr>
        <w:t>By: RA Capital Healthcare Fund GP, LLC, its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General Partner</w:t>
      </w:r>
    </w:p>
    <w:p>
      <w:pPr>
        <w:spacing w:after="0" w:line="194" w:lineRule="exact"/>
        <w:rPr>
          <w:sz w:val="20"/>
          <w:szCs w:val="20"/>
          <w:color w:val="auto"/>
        </w:rPr>
      </w:pPr>
    </w:p>
    <w:p>
      <w:pPr>
        <w:ind w:left="5480"/>
        <w:spacing w:after="0"/>
        <w:tabs>
          <w:tab w:leader="none" w:pos="5920" w:val="left"/>
        </w:tabs>
        <w:rPr>
          <w:sz w:val="20"/>
          <w:szCs w:val="20"/>
          <w:color w:val="auto"/>
        </w:rPr>
      </w:pPr>
      <w:r>
        <w:rPr>
          <w:rFonts w:ascii="Arial" w:cs="Arial" w:eastAsia="Arial" w:hAnsi="Arial"/>
          <w:sz w:val="16"/>
          <w:szCs w:val="16"/>
          <w:color w:val="auto"/>
        </w:rPr>
        <w:t>By:</w:t>
        <w:tab/>
        <w:t>/s/ Rajeev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tabs>
          <w:tab w:leader="none" w:pos="6540" w:val="left"/>
        </w:tabs>
        <w:rPr>
          <w:sz w:val="20"/>
          <w:szCs w:val="20"/>
          <w:color w:val="auto"/>
        </w:rPr>
      </w:pPr>
      <w:r>
        <w:rPr>
          <w:rFonts w:ascii="Arial" w:cs="Arial" w:eastAsia="Arial" w:hAnsi="Arial"/>
          <w:sz w:val="16"/>
          <w:szCs w:val="16"/>
          <w:color w:val="auto"/>
        </w:rPr>
        <w:t>Printed Name:</w:t>
      </w:r>
      <w:r>
        <w:rPr>
          <w:sz w:val="20"/>
          <w:szCs w:val="20"/>
          <w:color w:val="auto"/>
        </w:rPr>
        <w:tab/>
      </w:r>
      <w:r>
        <w:rPr>
          <w:rFonts w:ascii="Arial" w:cs="Arial" w:eastAsia="Arial" w:hAnsi="Arial"/>
          <w:sz w:val="13"/>
          <w:szCs w:val="13"/>
          <w:color w:val="auto"/>
        </w:rPr>
        <w:t>Rajeev Smith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Manager</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RA CAPITAL NEXUS FUND II, L.P.</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By: RA Capital Nexus Fund II GP, LLC, its</w:t>
      </w:r>
    </w:p>
    <w:p>
      <w:pPr>
        <w:spacing w:after="0" w:line="2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General Partner</w:t>
      </w:r>
    </w:p>
    <w:p>
      <w:pPr>
        <w:spacing w:after="0" w:line="194" w:lineRule="exact"/>
        <w:rPr>
          <w:sz w:val="20"/>
          <w:szCs w:val="20"/>
          <w:color w:val="auto"/>
        </w:rPr>
      </w:pPr>
    </w:p>
    <w:p>
      <w:pPr>
        <w:ind w:left="5480"/>
        <w:spacing w:after="0"/>
        <w:tabs>
          <w:tab w:leader="none" w:pos="5920" w:val="left"/>
        </w:tabs>
        <w:rPr>
          <w:sz w:val="20"/>
          <w:szCs w:val="20"/>
          <w:color w:val="auto"/>
        </w:rPr>
      </w:pPr>
      <w:r>
        <w:rPr>
          <w:rFonts w:ascii="Arial" w:cs="Arial" w:eastAsia="Arial" w:hAnsi="Arial"/>
          <w:sz w:val="16"/>
          <w:szCs w:val="16"/>
          <w:color w:val="auto"/>
        </w:rPr>
        <w:t>By:</w:t>
        <w:tab/>
        <w:t>/s/ Rajeev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tabs>
          <w:tab w:leader="none" w:pos="6540" w:val="left"/>
        </w:tabs>
        <w:rPr>
          <w:sz w:val="20"/>
          <w:szCs w:val="20"/>
          <w:color w:val="auto"/>
        </w:rPr>
      </w:pPr>
      <w:r>
        <w:rPr>
          <w:rFonts w:ascii="Arial" w:cs="Arial" w:eastAsia="Arial" w:hAnsi="Arial"/>
          <w:sz w:val="16"/>
          <w:szCs w:val="16"/>
          <w:color w:val="auto"/>
        </w:rPr>
        <w:t>Printed Name:</w:t>
      </w:r>
      <w:r>
        <w:rPr>
          <w:sz w:val="20"/>
          <w:szCs w:val="20"/>
          <w:color w:val="auto"/>
        </w:rPr>
        <w:tab/>
      </w:r>
      <w:r>
        <w:rPr>
          <w:rFonts w:ascii="Arial" w:cs="Arial" w:eastAsia="Arial" w:hAnsi="Arial"/>
          <w:sz w:val="13"/>
          <w:szCs w:val="13"/>
          <w:color w:val="auto"/>
        </w:rPr>
        <w:t>Rajeev Smith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Manager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4" w:name="page415"/>
    <w:bookmarkEnd w:id="414"/>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THE COLUMN GROUP III, LP</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The Column Group III GP, LP, its</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General Partner</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By: The Column Group, LLC, its General</w:t>
      </w:r>
    </w:p>
    <w:p>
      <w:pPr>
        <w:spacing w:after="0" w:line="5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Partner</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James Evangelista, CFO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5" w:name="page416"/>
    <w:bookmarkEnd w:id="415"/>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THE COLUMN GROUP III-A, LP</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The Column Group III GP, LP, its</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General Partner</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By: The Column Group, LLC, its General</w:t>
      </w:r>
    </w:p>
    <w:p>
      <w:pPr>
        <w:spacing w:after="0" w:line="5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Partner</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James Evangelista, CFO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6" w:name="page417"/>
    <w:bookmarkEnd w:id="416"/>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INVESTORS</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FIDELITY ADVISOR SERIES VII: FIDELITY</w:t>
      </w:r>
    </w:p>
    <w:p>
      <w:pPr>
        <w:spacing w:after="0" w:line="2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ADVISOR BIOTECHNOLOGY FUND</w:t>
      </w:r>
    </w:p>
    <w:p>
      <w:pPr>
        <w:spacing w:after="0" w:line="194"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10795</wp:posOffset>
            </wp:positionV>
            <wp:extent cx="2118995"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18995" cy="7620"/>
                    </a:xfrm>
                    <a:prstGeom prst="rect">
                      <a:avLst/>
                    </a:prstGeom>
                    <a:noFill/>
                  </pic:spPr>
                </pic:pic>
              </a:graphicData>
            </a:graphic>
          </wp:anchor>
        </w:drawing>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Chris Maher</w:t>
      </w:r>
    </w:p>
    <w:p>
      <w:pPr>
        <w:spacing w:after="0" w:line="16"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6"/>
          <w:szCs w:val="16"/>
          <w:color w:val="auto"/>
        </w:rPr>
        <w:t>Title:</w:t>
        <w:tab/>
        <w:t>Authorized Signatory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7" w:name="page418"/>
    <w:bookmarkEnd w:id="417"/>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INVESTORS</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FIDELITY SELECT PORTFOLIOS:</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BIOTECHNOLOGY PORTFOLIO</w:t>
      </w:r>
    </w:p>
    <w:p>
      <w:pPr>
        <w:spacing w:after="0" w:line="182"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10795</wp:posOffset>
            </wp:positionV>
            <wp:extent cx="2118995"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18995" cy="7620"/>
                    </a:xfrm>
                    <a:prstGeom prst="rect">
                      <a:avLst/>
                    </a:prstGeom>
                    <a:noFill/>
                  </pic:spPr>
                </pic:pic>
              </a:graphicData>
            </a:graphic>
          </wp:anchor>
        </w:drawing>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Chris Maher</w:t>
      </w:r>
    </w:p>
    <w:p>
      <w:pPr>
        <w:spacing w:after="0" w:line="16"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6"/>
          <w:szCs w:val="16"/>
          <w:color w:val="auto"/>
        </w:rPr>
        <w:t>Title:</w:t>
        <w:tab/>
        <w:t>Authorized Signatory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8" w:name="page419"/>
    <w:bookmarkEnd w:id="418"/>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GREENLAND NFP B LTD.</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By: Euclidean Capital LLC, its Manager</w:t>
      </w:r>
    </w:p>
    <w:p>
      <w:pPr>
        <w:spacing w:after="0" w:line="20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Monique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jc w:val="right"/>
        <w:ind w:right="799"/>
        <w:spacing w:after="0"/>
        <w:rPr>
          <w:sz w:val="20"/>
          <w:szCs w:val="20"/>
          <w:color w:val="auto"/>
        </w:rPr>
      </w:pPr>
      <w:r>
        <w:rPr>
          <w:rFonts w:ascii="Arial" w:cs="Arial" w:eastAsia="Arial" w:hAnsi="Arial"/>
          <w:sz w:val="16"/>
          <w:szCs w:val="16"/>
          <w:color w:val="auto"/>
        </w:rPr>
        <w:t>Monique Miller, Senior Vice President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19" w:name="page420"/>
    <w:bookmarkEnd w:id="419"/>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WAYCROSS VENTURES LLC</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Brook Byers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Brook Byers, Managing Member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20" w:name="page421"/>
    <w:bookmarkEnd w:id="420"/>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CASDIN PARTNERS MASTER FUND, L.P.</w:t>
      </w:r>
    </w:p>
    <w:p>
      <w:pPr>
        <w:spacing w:after="0" w:line="22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By: Casdin Partners GP, LLC, its General</w:t>
      </w:r>
    </w:p>
    <w:p>
      <w:pPr>
        <w:spacing w:after="0" w:line="2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Partner</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Kevin O’Brien, General Counsel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21" w:name="page422"/>
    <w:bookmarkEnd w:id="421"/>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CASDIN PRIVATE GROWTH EQUITY FUND, L.P.</w:t>
      </w:r>
    </w:p>
    <w:p>
      <w:pPr>
        <w:spacing w:after="0" w:line="22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Casdin Private Growth Equity Fund GP,</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LLC, its General Partner</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Kevin O’Brien, General Counsel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22" w:name="page423"/>
    <w:bookmarkEnd w:id="422"/>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SYMBIOSIS II, LLC</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Erron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tabs>
          <w:tab w:leader="none" w:pos="6540" w:val="left"/>
        </w:tabs>
        <w:rPr>
          <w:sz w:val="20"/>
          <w:szCs w:val="20"/>
          <w:color w:val="auto"/>
        </w:rPr>
      </w:pPr>
      <w:r>
        <w:rPr>
          <w:rFonts w:ascii="Arial" w:cs="Arial" w:eastAsia="Arial" w:hAnsi="Arial"/>
          <w:sz w:val="16"/>
          <w:szCs w:val="16"/>
          <w:color w:val="auto"/>
        </w:rPr>
        <w:t>Printed Name:</w:t>
      </w:r>
      <w:r>
        <w:rPr>
          <w:sz w:val="20"/>
          <w:szCs w:val="20"/>
          <w:color w:val="auto"/>
        </w:rPr>
        <w:tab/>
      </w:r>
      <w:r>
        <w:rPr>
          <w:rFonts w:ascii="Arial" w:cs="Arial" w:eastAsia="Arial" w:hAnsi="Arial"/>
          <w:sz w:val="13"/>
          <w:szCs w:val="13"/>
          <w:color w:val="auto"/>
        </w:rPr>
        <w:t>Erron Smith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Secretary</w:t>
      </w:r>
    </w:p>
    <w:p>
      <w:pPr>
        <w:spacing w:after="0" w:line="123"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23" w:name="page424"/>
    <w:bookmarkEnd w:id="423"/>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HARVARD MANAGEMENT PRIVATE EQUITY</w:t>
      </w:r>
    </w:p>
    <w:p>
      <w:pPr>
        <w:spacing w:after="0" w:line="2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CORPORATION</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Richard Slocum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tabs>
          <w:tab w:leader="none" w:pos="6540" w:val="left"/>
        </w:tabs>
        <w:rPr>
          <w:sz w:val="20"/>
          <w:szCs w:val="20"/>
          <w:color w:val="auto"/>
        </w:rPr>
      </w:pPr>
      <w:r>
        <w:rPr>
          <w:rFonts w:ascii="Arial" w:cs="Arial" w:eastAsia="Arial" w:hAnsi="Arial"/>
          <w:sz w:val="16"/>
          <w:szCs w:val="16"/>
          <w:color w:val="auto"/>
        </w:rPr>
        <w:t>Printed Name:</w:t>
      </w:r>
      <w:r>
        <w:rPr>
          <w:sz w:val="20"/>
          <w:szCs w:val="20"/>
          <w:color w:val="auto"/>
        </w:rPr>
        <w:tab/>
      </w:r>
      <w:r>
        <w:rPr>
          <w:rFonts w:ascii="Arial" w:cs="Arial" w:eastAsia="Arial" w:hAnsi="Arial"/>
          <w:sz w:val="13"/>
          <w:szCs w:val="13"/>
          <w:color w:val="auto"/>
        </w:rPr>
        <w:t>Richard Slocum</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Authorized Signatory</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Kathryn Murtagh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tabs>
          <w:tab w:leader="none" w:pos="6540" w:val="left"/>
        </w:tabs>
        <w:rPr>
          <w:sz w:val="20"/>
          <w:szCs w:val="20"/>
          <w:color w:val="auto"/>
        </w:rPr>
      </w:pPr>
      <w:r>
        <w:rPr>
          <w:rFonts w:ascii="Arial" w:cs="Arial" w:eastAsia="Arial" w:hAnsi="Arial"/>
          <w:sz w:val="16"/>
          <w:szCs w:val="16"/>
          <w:color w:val="auto"/>
        </w:rPr>
        <w:t>Printed Name:</w:t>
      </w:r>
      <w:r>
        <w:rPr>
          <w:sz w:val="20"/>
          <w:szCs w:val="20"/>
          <w:color w:val="auto"/>
        </w:rPr>
        <w:tab/>
      </w:r>
      <w:r>
        <w:rPr>
          <w:rFonts w:ascii="Arial" w:cs="Arial" w:eastAsia="Arial" w:hAnsi="Arial"/>
          <w:sz w:val="13"/>
          <w:szCs w:val="13"/>
          <w:color w:val="auto"/>
        </w:rPr>
        <w:t>Kathryn Murtagh</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Authorized Signatory</w:t>
      </w:r>
    </w:p>
    <w:p>
      <w:pPr>
        <w:spacing w:after="0" w:line="123"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24" w:name="page425"/>
    <w:bookmarkEnd w:id="424"/>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GV 2019, L.P.</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By: GV 2019 GP, L.P., its General Partner</w:t>
      </w:r>
    </w:p>
    <w:p>
      <w:pPr>
        <w:spacing w:after="0" w:line="205"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By: GV 2019 GP, L.L.C., its General Partner</w:t>
      </w:r>
    </w:p>
    <w:p>
      <w:pPr>
        <w:spacing w:after="0" w:line="22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Daphne M.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jc w:val="right"/>
        <w:ind w:right="639"/>
        <w:spacing w:after="0"/>
        <w:rPr>
          <w:sz w:val="20"/>
          <w:szCs w:val="20"/>
          <w:color w:val="auto"/>
        </w:rPr>
      </w:pPr>
      <w:r>
        <w:rPr>
          <w:rFonts w:ascii="Arial" w:cs="Arial" w:eastAsia="Arial" w:hAnsi="Arial"/>
          <w:sz w:val="16"/>
          <w:szCs w:val="16"/>
          <w:color w:val="auto"/>
        </w:rPr>
        <w:t>Daphne M. Chang, Authorized Signatory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25" w:name="page426"/>
    <w:bookmarkEnd w:id="425"/>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HARTFORD HEALTHCARE ENDOWMENT, LLC</w:t>
      </w:r>
    </w:p>
    <w:p>
      <w:pPr>
        <w:spacing w:after="0" w:line="20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David J.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David J. Holmgren, Chief Investment Officer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26" w:name="page427"/>
    <w:bookmarkEnd w:id="426"/>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HARTFORD HEALTHCARE CORPORATION DEFINED</w:t>
      </w:r>
    </w:p>
    <w:p>
      <w:pPr>
        <w:spacing w:after="0" w:line="2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BENEFIT MASTER TRUST</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David J.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David J. Holmgren, Chief Investment Officer</w:t>
      </w:r>
    </w:p>
    <w:p>
      <w:pPr>
        <w:spacing w:after="0" w:line="13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240"/>
          </w:cols>
          <w:pgMar w:left="1440" w:top="256" w:right="1219" w:bottom="1440" w:gutter="0" w:footer="0" w:header="0"/>
        </w:sectPr>
      </w:pPr>
    </w:p>
    <w:bookmarkStart w:id="427" w:name="page428"/>
    <w:bookmarkEnd w:id="427"/>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GREENSPRING EARLY STAGE I, L.P.</w:t>
      </w:r>
    </w:p>
    <w:p>
      <w:pPr>
        <w:spacing w:after="0" w:line="193" w:lineRule="exact"/>
        <w:rPr>
          <w:sz w:val="20"/>
          <w:szCs w:val="20"/>
          <w:color w:val="auto"/>
        </w:rPr>
      </w:pPr>
    </w:p>
    <w:p>
      <w:pPr>
        <w:jc w:val="right"/>
        <w:ind w:right="1380"/>
        <w:spacing w:after="0"/>
        <w:tabs>
          <w:tab w:leader="none" w:pos="3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Greenspring Early Stage General</w:t>
      </w:r>
    </w:p>
    <w:p>
      <w:pPr>
        <w:spacing w:after="0" w:line="16" w:lineRule="exact"/>
        <w:rPr>
          <w:sz w:val="20"/>
          <w:szCs w:val="20"/>
          <w:color w:val="auto"/>
        </w:rPr>
      </w:pPr>
    </w:p>
    <w:p>
      <w:pPr>
        <w:jc w:val="right"/>
        <w:ind w:right="1380"/>
        <w:spacing w:after="0"/>
        <w:rPr>
          <w:sz w:val="20"/>
          <w:szCs w:val="20"/>
          <w:color w:val="auto"/>
        </w:rPr>
      </w:pPr>
      <w:r>
        <w:rPr>
          <w:rFonts w:ascii="Arial" w:cs="Arial" w:eastAsia="Arial" w:hAnsi="Arial"/>
          <w:sz w:val="16"/>
          <w:szCs w:val="16"/>
          <w:color w:val="auto"/>
        </w:rPr>
        <w:t>Partner I, L.P., its general partner</w:t>
      </w:r>
    </w:p>
    <w:p>
      <w:pPr>
        <w:spacing w:after="0" w:line="182" w:lineRule="exact"/>
        <w:rPr>
          <w:sz w:val="20"/>
          <w:szCs w:val="20"/>
          <w:color w:val="auto"/>
        </w:rPr>
      </w:pPr>
    </w:p>
    <w:p>
      <w:pPr>
        <w:ind w:left="5480"/>
        <w:spacing w:after="0"/>
        <w:tabs>
          <w:tab w:leader="none" w:pos="58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Greenspring Early Stage GP I, LLC, its general partner</w:t>
      </w:r>
    </w:p>
    <w:p>
      <w:pPr>
        <w:spacing w:after="0" w:line="193" w:lineRule="exact"/>
        <w:rPr>
          <w:sz w:val="20"/>
          <w:szCs w:val="20"/>
          <w:color w:val="auto"/>
        </w:rPr>
      </w:pPr>
    </w:p>
    <w:p>
      <w:pPr>
        <w:ind w:left="5480"/>
        <w:spacing w:after="0"/>
        <w:tabs>
          <w:tab w:leader="none" w:pos="58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Greenspring Associates, LLC, its sole member</w:t>
      </w:r>
    </w:p>
    <w:p>
      <w:pPr>
        <w:spacing w:after="0" w:line="193" w:lineRule="exact"/>
        <w:rPr>
          <w:sz w:val="20"/>
          <w:szCs w:val="20"/>
          <w:color w:val="auto"/>
        </w:rPr>
      </w:pPr>
    </w:p>
    <w:p>
      <w:pPr>
        <w:ind w:left="5480"/>
        <w:spacing w:after="0"/>
        <w:tabs>
          <w:tab w:leader="none" w:pos="58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10795</wp:posOffset>
            </wp:positionV>
            <wp:extent cx="221615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216150" cy="7620"/>
                    </a:xfrm>
                    <a:prstGeom prst="rect">
                      <a:avLst/>
                    </a:prstGeom>
                    <a:noFill/>
                  </pic:spPr>
                </pic:pic>
              </a:graphicData>
            </a:graphic>
          </wp:anchor>
        </w:drawing>
      </w:r>
    </w:p>
    <w:p>
      <w:pPr>
        <w:spacing w:after="0" w:line="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Eric Thompson, Chief Operating Officer</w:t>
      </w:r>
    </w:p>
    <w:p>
      <w:pPr>
        <w:spacing w:after="0" w:line="134"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280"/>
          </w:cols>
          <w:pgMar w:left="1440" w:top="257" w:right="1179" w:bottom="1440" w:gutter="0" w:footer="0" w:header="0"/>
        </w:sectPr>
      </w:pPr>
    </w:p>
    <w:bookmarkStart w:id="428" w:name="page429"/>
    <w:bookmarkEnd w:id="428"/>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GREENSPRING EARLY STAGE I-G, L.P.</w:t>
      </w:r>
    </w:p>
    <w:p>
      <w:pPr>
        <w:spacing w:after="0" w:line="193" w:lineRule="exact"/>
        <w:rPr>
          <w:sz w:val="20"/>
          <w:szCs w:val="20"/>
          <w:color w:val="auto"/>
        </w:rPr>
      </w:pPr>
    </w:p>
    <w:p>
      <w:pPr>
        <w:jc w:val="right"/>
        <w:ind w:right="1380"/>
        <w:spacing w:after="0"/>
        <w:tabs>
          <w:tab w:leader="none" w:pos="3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Greenspring Early Stage General</w:t>
      </w:r>
    </w:p>
    <w:p>
      <w:pPr>
        <w:spacing w:after="0" w:line="16" w:lineRule="exact"/>
        <w:rPr>
          <w:sz w:val="20"/>
          <w:szCs w:val="20"/>
          <w:color w:val="auto"/>
        </w:rPr>
      </w:pPr>
    </w:p>
    <w:p>
      <w:pPr>
        <w:jc w:val="right"/>
        <w:ind w:right="1380"/>
        <w:spacing w:after="0"/>
        <w:rPr>
          <w:sz w:val="20"/>
          <w:szCs w:val="20"/>
          <w:color w:val="auto"/>
        </w:rPr>
      </w:pPr>
      <w:r>
        <w:rPr>
          <w:rFonts w:ascii="Arial" w:cs="Arial" w:eastAsia="Arial" w:hAnsi="Arial"/>
          <w:sz w:val="16"/>
          <w:szCs w:val="16"/>
          <w:color w:val="auto"/>
        </w:rPr>
        <w:t>Partner I, L.P., its general partner</w:t>
      </w:r>
    </w:p>
    <w:p>
      <w:pPr>
        <w:spacing w:after="0" w:line="182" w:lineRule="exact"/>
        <w:rPr>
          <w:sz w:val="20"/>
          <w:szCs w:val="20"/>
          <w:color w:val="auto"/>
        </w:rPr>
      </w:pPr>
    </w:p>
    <w:p>
      <w:pPr>
        <w:ind w:left="5480"/>
        <w:spacing w:after="0"/>
        <w:tabs>
          <w:tab w:leader="none" w:pos="58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Greenspring Early Stage GP I, LLC, its general partner</w:t>
      </w:r>
    </w:p>
    <w:p>
      <w:pPr>
        <w:spacing w:after="0" w:line="193" w:lineRule="exact"/>
        <w:rPr>
          <w:sz w:val="20"/>
          <w:szCs w:val="20"/>
          <w:color w:val="auto"/>
        </w:rPr>
      </w:pPr>
    </w:p>
    <w:p>
      <w:pPr>
        <w:ind w:left="5480"/>
        <w:spacing w:after="0"/>
        <w:tabs>
          <w:tab w:leader="none" w:pos="58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Greenspring Associates, LLC, its sole member</w:t>
      </w:r>
    </w:p>
    <w:p>
      <w:pPr>
        <w:spacing w:after="0" w:line="193" w:lineRule="exact"/>
        <w:rPr>
          <w:sz w:val="20"/>
          <w:szCs w:val="20"/>
          <w:color w:val="auto"/>
        </w:rPr>
      </w:pPr>
    </w:p>
    <w:p>
      <w:pPr>
        <w:ind w:left="5480"/>
        <w:spacing w:after="0"/>
        <w:tabs>
          <w:tab w:leader="none" w:pos="58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10795</wp:posOffset>
            </wp:positionV>
            <wp:extent cx="221615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216150" cy="7620"/>
                    </a:xfrm>
                    <a:prstGeom prst="rect">
                      <a:avLst/>
                    </a:prstGeom>
                    <a:noFill/>
                  </pic:spPr>
                </pic:pic>
              </a:graphicData>
            </a:graphic>
          </wp:anchor>
        </w:drawing>
      </w:r>
    </w:p>
    <w:p>
      <w:pPr>
        <w:spacing w:after="0" w:line="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Eric Thompson, Chief Operating Officer</w:t>
      </w:r>
    </w:p>
    <w:p>
      <w:pPr>
        <w:spacing w:after="0" w:line="134"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280"/>
          </w:cols>
          <w:pgMar w:left="1440" w:top="256" w:right="1179" w:bottom="1440" w:gutter="0" w:footer="0" w:header="0"/>
        </w:sectPr>
      </w:pPr>
    </w:p>
    <w:bookmarkStart w:id="429" w:name="page430"/>
    <w:bookmarkEnd w:id="429"/>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INVESTORS:</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T. Rowe Price Health Sciences Fund, Inc.</w:t>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TD Mutual Funds – TD Health Sciences Fund</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T. Rowe Price Health Sciences Portfolio</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Each account, severally not jointly</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T. Rowe Price Associates, Inc., Investment Adviser or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Subadviser, as applicable</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Andrew Baek</w:t>
      </w:r>
    </w:p>
    <w:p>
      <w:pPr>
        <w:spacing w:after="0" w:line="16" w:lineRule="exact"/>
        <w:rPr>
          <w:sz w:val="20"/>
          <w:szCs w:val="20"/>
          <w:color w:val="auto"/>
        </w:rPr>
      </w:pPr>
    </w:p>
    <w:p>
      <w:pPr>
        <w:jc w:val="both"/>
        <w:ind w:left="5480"/>
        <w:spacing w:after="0"/>
        <w:tabs>
          <w:tab w:leader="none" w:pos="5960" w:val="left"/>
        </w:tabs>
        <w:rPr>
          <w:sz w:val="20"/>
          <w:szCs w:val="20"/>
          <w:color w:val="auto"/>
        </w:rPr>
      </w:pPr>
      <w:r>
        <w:rPr>
          <w:rFonts w:ascii="Arial" w:cs="Arial" w:eastAsia="Arial" w:hAnsi="Arial"/>
          <w:sz w:val="16"/>
          <w:szCs w:val="16"/>
          <w:color w:val="auto"/>
        </w:rPr>
        <w:t>Title:</w:t>
        <w:tab/>
        <w:t>Vice President</w:t>
      </w:r>
    </w:p>
    <w:p>
      <w:pPr>
        <w:spacing w:after="0" w:line="123" w:lineRule="exact"/>
        <w:rPr>
          <w:sz w:val="20"/>
          <w:szCs w:val="20"/>
          <w:color w:val="auto"/>
        </w:rPr>
      </w:pPr>
    </w:p>
    <w:p>
      <w:pPr>
        <w:jc w:val="right"/>
        <w:ind w:right="2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200"/>
          </w:cols>
          <w:pgMar w:left="1440" w:top="256" w:right="1259" w:bottom="1440" w:gutter="0" w:footer="0" w:header="0"/>
        </w:sectPr>
      </w:pPr>
    </w:p>
    <w:bookmarkStart w:id="430" w:name="page431"/>
    <w:bookmarkEnd w:id="430"/>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INVESTORS:</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T. Rowe Price New Horizons Fund, Inc.</w:t>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T. Rowe Price New Horizons Trust</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T. Rowe Price U.S. Equities Trust</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MassMutual Select Funds – MassMutual Select T. Rowe</w:t>
      </w:r>
    </w:p>
    <w:p>
      <w:pPr>
        <w:spacing w:after="0" w:line="39"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Price Small and Mid Cap Blend Fund</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Each account, severally not jointly</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By: T. Rowe Price Associates, Inc., Investment Adviser or</w:t>
      </w:r>
    </w:p>
    <w:p>
      <w:pPr>
        <w:spacing w:after="0" w:line="5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Subadviser, as applicable</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Andrew Baek</w:t>
      </w:r>
    </w:p>
    <w:p>
      <w:pPr>
        <w:spacing w:after="0" w:line="16" w:lineRule="exact"/>
        <w:rPr>
          <w:sz w:val="20"/>
          <w:szCs w:val="20"/>
          <w:color w:val="auto"/>
        </w:rPr>
      </w:pPr>
    </w:p>
    <w:p>
      <w:pPr>
        <w:jc w:val="both"/>
        <w:ind w:left="5480"/>
        <w:spacing w:after="0"/>
        <w:tabs>
          <w:tab w:leader="none" w:pos="5960" w:val="left"/>
        </w:tabs>
        <w:rPr>
          <w:sz w:val="20"/>
          <w:szCs w:val="20"/>
          <w:color w:val="auto"/>
        </w:rPr>
      </w:pPr>
      <w:r>
        <w:rPr>
          <w:rFonts w:ascii="Arial" w:cs="Arial" w:eastAsia="Arial" w:hAnsi="Arial"/>
          <w:sz w:val="16"/>
          <w:szCs w:val="16"/>
          <w:color w:val="auto"/>
        </w:rPr>
        <w:t>Title:</w:t>
        <w:tab/>
        <w:t>Vice President</w:t>
      </w:r>
    </w:p>
    <w:p>
      <w:pPr>
        <w:spacing w:after="0" w:line="123" w:lineRule="exact"/>
        <w:rPr>
          <w:sz w:val="20"/>
          <w:szCs w:val="20"/>
          <w:color w:val="auto"/>
        </w:rPr>
      </w:pPr>
    </w:p>
    <w:p>
      <w:pPr>
        <w:jc w:val="right"/>
        <w:ind w:right="2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240"/>
          </w:cols>
          <w:pgMar w:left="1440" w:top="256" w:right="1219" w:bottom="1440" w:gutter="0" w:footer="0" w:header="0"/>
        </w:sectPr>
      </w:pPr>
    </w:p>
    <w:bookmarkStart w:id="431" w:name="page432"/>
    <w:bookmarkEnd w:id="431"/>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The parties are signing this Amended and Restated Investors’ Rights Agreement as of the date stated in the introductory clause.</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THE TRUSTEES OF COLUMBIA UNIVERSITY IN THE</w:t>
      </w:r>
    </w:p>
    <w:p>
      <w:pPr>
        <w:spacing w:after="0" w:line="2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CITY OF NEW YORK</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Julius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Printed Name: Julius Mercado</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COO, Columbia Investment Mgmt Co., LLC</w:t>
      </w:r>
    </w:p>
    <w:p>
      <w:pPr>
        <w:spacing w:after="0" w:line="18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240"/>
          </w:cols>
          <w:pgMar w:left="1440" w:top="256" w:right="1219" w:bottom="1440" w:gutter="0" w:footer="0" w:header="0"/>
        </w:sectPr>
      </w:pPr>
    </w:p>
    <w:bookmarkStart w:id="432" w:name="page433"/>
    <w:bookmarkEnd w:id="432"/>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GREENLAND FP LLC</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By: Euclidean Capital LLC, its Manager</w:t>
      </w:r>
    </w:p>
    <w:p>
      <w:pPr>
        <w:spacing w:after="0" w:line="20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Monique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jc w:val="right"/>
        <w:ind w:right="799"/>
        <w:spacing w:after="0"/>
        <w:rPr>
          <w:sz w:val="20"/>
          <w:szCs w:val="20"/>
          <w:color w:val="auto"/>
        </w:rPr>
      </w:pPr>
      <w:r>
        <w:rPr>
          <w:rFonts w:ascii="Arial" w:cs="Arial" w:eastAsia="Arial" w:hAnsi="Arial"/>
          <w:sz w:val="16"/>
          <w:szCs w:val="16"/>
          <w:color w:val="auto"/>
        </w:rPr>
        <w:t>Monique Miller, Senior Vice President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33" w:name="page434"/>
    <w:bookmarkEnd w:id="433"/>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SCHRODER ADVEQ TECHNOLOGY IX S.C.S.</w:t>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Schroder Adveq Management</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Luxembourg S.à r.l., its General Partner</w:t>
      </w:r>
    </w:p>
    <w:p>
      <w:pPr>
        <w:spacing w:after="0" w:line="18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Viswanathan Parameswar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10795</wp:posOffset>
            </wp:positionV>
            <wp:extent cx="207391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Printed Name: Viswanathan Parameswar</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Manager</w:t>
      </w:r>
    </w:p>
    <w:p>
      <w:pPr>
        <w:spacing w:after="0" w:line="18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Mark Nieuwenhuis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10795</wp:posOffset>
            </wp:positionV>
            <wp:extent cx="207391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Printed Name: Mark Nieuwenhuis</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Authorized Signatory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34" w:name="page435"/>
    <w:bookmarkEnd w:id="434"/>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are signing this Amended and Restated Investors’ Rights Agreement as of the date stated in the introductory clause.</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INVESTOR</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THE REGENTS OF THE UNIVERSITY OF</w:t>
      </w:r>
    </w:p>
    <w:p>
      <w:pPr>
        <w:spacing w:after="0" w:line="5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CALIFORNIA</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Jagdeep Singh Bachher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10795</wp:posOffset>
            </wp:positionV>
            <wp:extent cx="223837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Printed Name: Jagdeep Singh Bachher</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Chief Investment Officer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Amended and Restated Investors’ Rights Agreement</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35" w:name="page436"/>
    <w:bookmarkEnd w:id="435"/>
    <w:p>
      <w:pPr>
        <w:jc w:val="center"/>
        <w:ind w:right="-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8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INVESTORS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RA CAPITAL HEALTHCARE FUND, 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RA CAPITAL NEXUS FUND II, 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 ROWE PRICE NEW HORIZONS FUND, INC.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 ROWE PRICE NEW HORIZONS TRUST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 ROWE PRICE U.S. EQUITIES TRUST</w:t>
      </w:r>
    </w:p>
    <w:p>
      <w:pPr>
        <w:spacing w:after="0" w:line="193" w:lineRule="exact"/>
        <w:rPr>
          <w:sz w:val="20"/>
          <w:szCs w:val="20"/>
          <w:color w:val="auto"/>
        </w:rPr>
      </w:pPr>
    </w:p>
    <w:p>
      <w:pPr>
        <w:ind w:right="1339"/>
        <w:spacing w:after="0" w:line="492" w:lineRule="auto"/>
        <w:rPr>
          <w:sz w:val="20"/>
          <w:szCs w:val="20"/>
          <w:color w:val="auto"/>
        </w:rPr>
      </w:pPr>
      <w:r>
        <w:rPr>
          <w:rFonts w:ascii="Arial" w:cs="Arial" w:eastAsia="Arial" w:hAnsi="Arial"/>
          <w:sz w:val="16"/>
          <w:szCs w:val="16"/>
          <w:color w:val="auto"/>
        </w:rPr>
        <w:t>MASSMUTUAL SELECT FUNDS - MASS MUTUAL SELECT T. ROWE PRICE SMALL AND MID CAP BLEND FUND T. ROWE PRICE HEALTH SCIENCES FUND, INC.</w:t>
      </w:r>
    </w:p>
    <w:p>
      <w:pPr>
        <w:spacing w:after="0"/>
        <w:rPr>
          <w:sz w:val="20"/>
          <w:szCs w:val="20"/>
          <w:color w:val="auto"/>
        </w:rPr>
      </w:pPr>
      <w:r>
        <w:rPr>
          <w:rFonts w:ascii="Arial" w:cs="Arial" w:eastAsia="Arial" w:hAnsi="Arial"/>
          <w:sz w:val="16"/>
          <w:szCs w:val="16"/>
          <w:color w:val="auto"/>
        </w:rPr>
        <w:t>TD MUTUAL FUNDS - TD HEALTH SCIENCES FUND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T.ROWE PRICE HEALTH SCIENCES PORTFOLIO</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COLUMN GROUP III, 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COLUMN GROUP III-A, L.P.</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GRANT HEIDRICH III AND JEANNETTE YVONNE HEIDRICH COMMUNITY PROPERTY TRUST, UDT AUGUST 9, 1984</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JEENJOO KANG</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WAYCROSS VENTURES LLC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CASDIN PARTNERS MASTER FUND, 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CASDIN PRIVATE GROWTH EQUITY FUND, L.P.</w:t>
      </w:r>
    </w:p>
    <w:p>
      <w:pPr>
        <w:sectPr>
          <w:pgSz w:w="11900" w:h="16838" w:orient="portrait"/>
          <w:cols w:equalWidth="0" w:num="1">
            <w:col w:w="9319"/>
          </w:cols>
          <w:pgMar w:left="1140" w:top="256" w:right="1440" w:bottom="1440" w:gutter="0" w:footer="0" w:header="0"/>
        </w:sectPr>
      </w:pPr>
    </w:p>
    <w:bookmarkStart w:id="436" w:name="page437"/>
    <w:bookmarkEnd w:id="4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SYMBIOSIS II, LLC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GV 2019, 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HARTFORD HEALTHCARE ENDOWMENT, LLC</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HARTFORD HEALTHCARE CORPORATION DEFINED BENEFIT MASTER TRUST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GREENSPRING EARLY STAGE I, 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GREENSPRING EARLY STAGE I-G, 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UNIVERSITY OF CALIFORNIA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GREENLAND FP LLC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GREENLAND NFP B LTD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SCHRODER ADVEQ TECHNOLOGY IX S.C.S.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SCHRODER ADVEQ TECHNOLOGY VIII L.P.</w:t>
      </w:r>
    </w:p>
    <w:p>
      <w:pPr>
        <w:spacing w:after="0" w:line="193" w:lineRule="exact"/>
        <w:rPr>
          <w:sz w:val="20"/>
          <w:szCs w:val="20"/>
          <w:color w:val="auto"/>
        </w:rPr>
      </w:pPr>
    </w:p>
    <w:p>
      <w:pPr>
        <w:ind w:right="4019"/>
        <w:spacing w:after="0" w:line="492" w:lineRule="auto"/>
        <w:rPr>
          <w:sz w:val="20"/>
          <w:szCs w:val="20"/>
          <w:color w:val="auto"/>
        </w:rPr>
      </w:pPr>
      <w:r>
        <w:rPr>
          <w:rFonts w:ascii="Arial" w:cs="Arial" w:eastAsia="Arial" w:hAnsi="Arial"/>
          <w:sz w:val="16"/>
          <w:szCs w:val="16"/>
          <w:color w:val="auto"/>
        </w:rPr>
        <w:t>THE TRUSTEES OF COLUMBIA UNIVERSITY IN THE CITY OF NEW YORK HARVARD MANAGEMENT PRIVATE EQUITY CORPORATION RTW MASTER FUND, LTD.</w:t>
      </w:r>
    </w:p>
    <w:p>
      <w:pPr>
        <w:spacing w:after="0"/>
        <w:rPr>
          <w:sz w:val="20"/>
          <w:szCs w:val="20"/>
          <w:color w:val="auto"/>
        </w:rPr>
      </w:pPr>
      <w:r>
        <w:rPr>
          <w:rFonts w:ascii="Arial" w:cs="Arial" w:eastAsia="Arial" w:hAnsi="Arial"/>
          <w:sz w:val="16"/>
          <w:szCs w:val="16"/>
          <w:color w:val="auto"/>
        </w:rPr>
        <w:t>RTW INNOVATION MASTER FUND, LTD.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RTW VENTURE FUND LIMITED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FIDELITY ADVISOR SERIES VII: FIDELITY ADVISOR BIOTECHNOLOGY FUND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FIDELITY SELECT PORTFOLIOS: BIOTECHNOLOGY PORTFOLIO</w:t>
      </w:r>
    </w:p>
    <w:p>
      <w:pPr>
        <w:sectPr>
          <w:pgSz w:w="11900" w:h="16838" w:orient="portrait"/>
          <w:cols w:equalWidth="0" w:num="1">
            <w:col w:w="9319"/>
          </w:cols>
          <w:pgMar w:left="1140" w:top="256" w:right="1440" w:bottom="1440" w:gutter="0" w:footer="0" w:header="0"/>
        </w:sectPr>
      </w:pPr>
    </w:p>
    <w:bookmarkStart w:id="437" w:name="page438"/>
    <w:bookmarkEnd w:id="437"/>
    <w:p>
      <w:pPr>
        <w:jc w:val="right"/>
        <w:spacing w:after="0"/>
        <w:rPr>
          <w:sz w:val="20"/>
          <w:szCs w:val="20"/>
          <w:color w:val="auto"/>
        </w:rPr>
      </w:pPr>
      <w:r>
        <w:rPr>
          <w:rFonts w:ascii="Arial" w:cs="Arial" w:eastAsia="Arial" w:hAnsi="Arial"/>
          <w:sz w:val="16"/>
          <w:szCs w:val="16"/>
          <w:b w:val="1"/>
          <w:bCs w:val="1"/>
          <w:color w:val="auto"/>
        </w:rPr>
        <w:t>Exhibit 10.1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AGREEMENT</w:t>
      </w:r>
    </w:p>
    <w:p>
      <w:pPr>
        <w:spacing w:after="0" w:line="197" w:lineRule="exact"/>
        <w:rPr>
          <w:sz w:val="20"/>
          <w:szCs w:val="20"/>
          <w:color w:val="auto"/>
        </w:rPr>
      </w:pPr>
    </w:p>
    <w:p>
      <w:pPr>
        <w:jc w:val="both"/>
        <w:ind w:right="20" w:firstLine="385"/>
        <w:spacing w:after="0" w:line="266" w:lineRule="auto"/>
        <w:rPr>
          <w:sz w:val="20"/>
          <w:szCs w:val="20"/>
          <w:color w:val="auto"/>
        </w:rPr>
      </w:pPr>
      <w:r>
        <w:rPr>
          <w:rFonts w:ascii="Arial" w:cs="Arial" w:eastAsia="Arial" w:hAnsi="Arial"/>
          <w:sz w:val="16"/>
          <w:szCs w:val="16"/>
          <w:color w:val="auto"/>
        </w:rPr>
        <w:t>This Indemnification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 [</w:t>
      </w:r>
      <w:r>
        <w:rPr>
          <w:rFonts w:ascii="Arial" w:cs="Arial" w:eastAsia="Arial" w:hAnsi="Arial"/>
          <w:sz w:val="16"/>
          <w:szCs w:val="16"/>
          <w:i w:val="1"/>
          <w:iCs w:val="1"/>
          <w:color w:val="auto"/>
        </w:rPr>
        <w:t>insert date</w:t>
      </w:r>
      <w:r>
        <w:rPr>
          <w:rFonts w:ascii="Arial" w:cs="Arial" w:eastAsia="Arial" w:hAnsi="Arial"/>
          <w:sz w:val="16"/>
          <w:szCs w:val="16"/>
          <w:color w:val="auto"/>
        </w:rPr>
        <w:t>], and is between Tenaya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w:t>
      </w:r>
      <w:r>
        <w:rPr>
          <w:rFonts w:ascii="Arial" w:cs="Arial" w:eastAsia="Arial" w:hAnsi="Arial"/>
          <w:sz w:val="16"/>
          <w:szCs w:val="16"/>
          <w:i w:val="1"/>
          <w:iCs w:val="1"/>
          <w:color w:val="auto"/>
        </w:rPr>
        <w:t>insert name of indemnitee</w:t>
      </w:r>
      <w:r>
        <w:rPr>
          <w:rFonts w:ascii="Arial" w:cs="Arial" w:eastAsia="Arial" w:hAnsi="Arial"/>
          <w:sz w:val="16"/>
          <w:szCs w:val="16"/>
          <w:color w:val="auto"/>
        </w:rPr>
        <w:t>]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p>
    <w:p>
      <w:pPr>
        <w:spacing w:after="0" w:line="343"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RECITALS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Indemnitee’s service to the Company substantially benefits the Company.</w:t>
      </w:r>
    </w:p>
    <w:p>
      <w:pPr>
        <w:spacing w:after="0" w:line="193" w:lineRule="exact"/>
        <w:rPr>
          <w:sz w:val="20"/>
          <w:szCs w:val="20"/>
          <w:color w:val="auto"/>
        </w:rPr>
      </w:pPr>
    </w:p>
    <w:p>
      <w:pPr>
        <w:ind w:right="260" w:firstLine="385"/>
        <w:spacing w:after="0" w:line="300" w:lineRule="auto"/>
        <w:rPr>
          <w:sz w:val="20"/>
          <w:szCs w:val="20"/>
          <w:color w:val="auto"/>
        </w:rPr>
      </w:pPr>
      <w:r>
        <w:rPr>
          <w:rFonts w:ascii="Arial" w:cs="Arial" w:eastAsia="Arial" w:hAnsi="Arial"/>
          <w:sz w:val="15"/>
          <w:szCs w:val="15"/>
          <w:color w:val="auto"/>
        </w:rPr>
        <w:t>B. 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135" w:lineRule="exact"/>
        <w:rPr>
          <w:sz w:val="20"/>
          <w:szCs w:val="20"/>
          <w:color w:val="auto"/>
        </w:rPr>
      </w:pPr>
    </w:p>
    <w:p>
      <w:pPr>
        <w:ind w:right="320" w:firstLine="385"/>
        <w:spacing w:after="0" w:line="383" w:lineRule="auto"/>
        <w:rPr>
          <w:sz w:val="20"/>
          <w:szCs w:val="20"/>
          <w:color w:val="auto"/>
        </w:rPr>
      </w:pPr>
      <w:r>
        <w:rPr>
          <w:rFonts w:ascii="Arial" w:cs="Arial" w:eastAsia="Arial" w:hAnsi="Arial"/>
          <w:sz w:val="13"/>
          <w:szCs w:val="13"/>
          <w:color w:val="auto"/>
        </w:rPr>
        <w:t>C. 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89" w:lineRule="exact"/>
        <w:rPr>
          <w:sz w:val="20"/>
          <w:szCs w:val="20"/>
          <w:color w:val="auto"/>
        </w:rPr>
      </w:pPr>
    </w:p>
    <w:p>
      <w:pPr>
        <w:ind w:right="420" w:firstLine="385"/>
        <w:spacing w:after="0" w:line="300" w:lineRule="auto"/>
        <w:rPr>
          <w:sz w:val="20"/>
          <w:szCs w:val="20"/>
          <w:color w:val="auto"/>
        </w:rPr>
      </w:pPr>
      <w:r>
        <w:rPr>
          <w:rFonts w:ascii="Arial" w:cs="Arial" w:eastAsia="Arial" w:hAnsi="Arial"/>
          <w:sz w:val="15"/>
          <w:szCs w:val="15"/>
          <w:color w:val="auto"/>
        </w:rPr>
        <w:t>D. 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 This Agreement shall supersede any prior indemnification agreement between the Company and the Indemnitee, which is hereby terminated.</w:t>
      </w:r>
    </w:p>
    <w:p>
      <w:pPr>
        <w:spacing w:after="0" w:line="228" w:lineRule="exact"/>
        <w:rPr>
          <w:sz w:val="20"/>
          <w:szCs w:val="20"/>
          <w:color w:val="auto"/>
        </w:rPr>
      </w:pPr>
    </w:p>
    <w:p>
      <w:pPr>
        <w:jc w:val="both"/>
        <w:ind w:right="20" w:firstLine="385"/>
        <w:spacing w:after="0" w:line="256" w:lineRule="auto"/>
        <w:rPr>
          <w:sz w:val="20"/>
          <w:szCs w:val="20"/>
          <w:color w:val="auto"/>
        </w:rPr>
      </w:pPr>
      <w:r>
        <w:rPr>
          <w:rFonts w:ascii="Arial" w:cs="Arial" w:eastAsia="Arial" w:hAnsi="Arial"/>
          <w:sz w:val="16"/>
          <w:szCs w:val="16"/>
          <w:color w:val="auto"/>
        </w:rPr>
        <w:t>F. 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parties therefore agree as follows:</w:t>
      </w:r>
    </w:p>
    <w:p>
      <w:pPr>
        <w:spacing w:after="0" w:line="189" w:lineRule="exact"/>
        <w:rPr>
          <w:sz w:val="20"/>
          <w:szCs w:val="20"/>
          <w:color w:val="auto"/>
        </w:rPr>
      </w:pPr>
    </w:p>
    <w:p>
      <w:pPr>
        <w:ind w:left="540" w:hanging="162"/>
        <w:spacing w:after="0"/>
        <w:tabs>
          <w:tab w:leader="none" w:pos="540" w:val="left"/>
        </w:tabs>
        <w:numPr>
          <w:ilvl w:val="0"/>
          <w:numId w:val="267"/>
        </w:numPr>
        <w:rPr>
          <w:rFonts w:ascii="Arial" w:cs="Arial" w:eastAsia="Arial" w:hAnsi="Arial"/>
          <w:sz w:val="16"/>
          <w:szCs w:val="16"/>
          <w:color w:val="auto"/>
        </w:rPr>
      </w:pPr>
      <w:r>
        <w:rPr>
          <w:rFonts w:ascii="Arial" w:cs="Arial" w:eastAsia="Arial" w:hAnsi="Arial"/>
          <w:sz w:val="16"/>
          <w:szCs w:val="16"/>
          <w:b w:val="1"/>
          <w:bCs w:val="1"/>
          <w:color w:val="auto"/>
        </w:rPr>
        <w:t>Definitions.</w:t>
      </w:r>
    </w:p>
    <w:p>
      <w:pPr>
        <w:spacing w:after="0" w:line="197" w:lineRule="exact"/>
        <w:rPr>
          <w:rFonts w:ascii="Arial" w:cs="Arial" w:eastAsia="Arial" w:hAnsi="Arial"/>
          <w:sz w:val="16"/>
          <w:szCs w:val="16"/>
          <w:color w:val="auto"/>
        </w:rPr>
      </w:pPr>
    </w:p>
    <w:p>
      <w:pPr>
        <w:ind w:left="1080" w:hanging="220"/>
        <w:spacing w:after="0"/>
        <w:tabs>
          <w:tab w:leader="none" w:pos="108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A “</w:t>
      </w:r>
      <w:r>
        <w:rPr>
          <w:rFonts w:ascii="Arial" w:cs="Arial" w:eastAsia="Arial" w:hAnsi="Arial"/>
          <w:sz w:val="13"/>
          <w:szCs w:val="13"/>
          <w:b w:val="1"/>
          <w:bCs w:val="1"/>
          <w:i w:val="1"/>
          <w:iCs w:val="1"/>
          <w:color w:val="auto"/>
        </w:rPr>
        <w:t>Change in Control</w:t>
      </w:r>
      <w:r>
        <w:rPr>
          <w:rFonts w:ascii="Arial" w:cs="Arial" w:eastAsia="Arial" w:hAnsi="Arial"/>
          <w:sz w:val="13"/>
          <w:szCs w:val="13"/>
          <w:color w:val="auto"/>
        </w:rPr>
        <w:t>” shall be deemed to occur upon the earliest to occur after the date of this Agreement of any of the following</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events:</w:t>
      </w:r>
    </w:p>
    <w:p>
      <w:pPr>
        <w:spacing w:after="0" w:line="181" w:lineRule="exact"/>
        <w:rPr>
          <w:rFonts w:ascii="Arial" w:cs="Arial" w:eastAsia="Arial" w:hAnsi="Arial"/>
          <w:sz w:val="13"/>
          <w:szCs w:val="13"/>
          <w:color w:val="auto"/>
        </w:rPr>
      </w:pPr>
    </w:p>
    <w:p>
      <w:pPr>
        <w:ind w:right="40" w:firstLine="1244"/>
        <w:spacing w:after="0" w:line="256" w:lineRule="auto"/>
        <w:tabs>
          <w:tab w:leader="none" w:pos="1438" w:val="left"/>
        </w:tabs>
        <w:numPr>
          <w:ilvl w:val="2"/>
          <w:numId w:val="267"/>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Stock by Third Party. </w:t>
      </w:r>
      <w:r>
        <w:rPr>
          <w:rFonts w:ascii="Arial" w:cs="Arial" w:eastAsia="Arial" w:hAnsi="Arial"/>
          <w:sz w:val="16"/>
          <w:szCs w:val="16"/>
          <w:color w:val="auto"/>
        </w:rPr>
        <w:t>Any Person (as defined below) becomes the Beneficial Owner (as defined below),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of securities of the Company representing fifteen percent (15%) or more of the combined voting power of the Company’s then outstanding securities;</w:t>
      </w:r>
    </w:p>
    <w:p>
      <w:pPr>
        <w:spacing w:after="0" w:line="165" w:lineRule="exact"/>
        <w:rPr>
          <w:rFonts w:ascii="Arial" w:cs="Arial" w:eastAsia="Arial" w:hAnsi="Arial"/>
          <w:sz w:val="16"/>
          <w:szCs w:val="16"/>
          <w:color w:val="auto"/>
        </w:rPr>
      </w:pPr>
    </w:p>
    <w:p>
      <w:pPr>
        <w:ind w:right="200" w:firstLine="1244"/>
        <w:spacing w:after="0" w:line="251" w:lineRule="auto"/>
        <w:tabs>
          <w:tab w:leader="none" w:pos="1482" w:val="left"/>
        </w:tabs>
        <w:numPr>
          <w:ilvl w:val="2"/>
          <w:numId w:val="267"/>
        </w:numPr>
        <w:rPr>
          <w:rFonts w:ascii="Arial" w:cs="Arial" w:eastAsia="Arial" w:hAnsi="Arial"/>
          <w:sz w:val="16"/>
          <w:szCs w:val="16"/>
          <w:color w:val="auto"/>
        </w:rPr>
      </w:pPr>
      <w:r>
        <w:rPr>
          <w:rFonts w:ascii="Arial" w:cs="Arial" w:eastAsia="Arial" w:hAnsi="Arial"/>
          <w:sz w:val="16"/>
          <w:szCs w:val="16"/>
          <w:i w:val="1"/>
          <w:iCs w:val="1"/>
          <w:color w:val="auto"/>
        </w:rPr>
        <w:t xml:space="preserve">Change in Board Composition. </w:t>
      </w:r>
      <w:r>
        <w:rPr>
          <w:rFonts w:ascii="Arial" w:cs="Arial" w:eastAsia="Arial" w:hAnsi="Arial"/>
          <w:sz w:val="16"/>
          <w:szCs w:val="16"/>
          <w:color w:val="auto"/>
        </w:rPr>
        <w:t>During any period of two consecutive years (not including any period prior to the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w:t>
      </w:r>
    </w:p>
    <w:p>
      <w:pPr>
        <w:sectPr>
          <w:pgSz w:w="11900" w:h="16838" w:orient="portrait"/>
          <w:cols w:equalWidth="0" w:num="1">
            <w:col w:w="9620"/>
          </w:cols>
          <w:pgMar w:left="1140" w:top="122" w:right="1139" w:bottom="1440" w:gutter="0" w:footer="0" w:header="0"/>
        </w:sectPr>
      </w:pPr>
    </w:p>
    <w:bookmarkStart w:id="438" w:name="page439"/>
    <w:bookmarkEnd w:id="438"/>
    <w:p>
      <w:pPr>
        <w:ind w:right="30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58" w:lineRule="exact"/>
        <w:rPr>
          <w:sz w:val="20"/>
          <w:szCs w:val="20"/>
          <w:color w:val="auto"/>
        </w:rPr>
      </w:pPr>
    </w:p>
    <w:p>
      <w:pPr>
        <w:ind w:firstLine="1244"/>
        <w:spacing w:after="0" w:line="272" w:lineRule="auto"/>
        <w:tabs>
          <w:tab w:leader="none" w:pos="1525" w:val="left"/>
        </w:tabs>
        <w:numPr>
          <w:ilvl w:val="0"/>
          <w:numId w:val="268"/>
        </w:numPr>
        <w:rPr>
          <w:rFonts w:ascii="Arial" w:cs="Arial" w:eastAsia="Arial" w:hAnsi="Arial"/>
          <w:sz w:val="15"/>
          <w:szCs w:val="15"/>
          <w:color w:val="auto"/>
        </w:rPr>
      </w:pPr>
      <w:r>
        <w:rPr>
          <w:rFonts w:ascii="Arial" w:cs="Arial" w:eastAsia="Arial" w:hAnsi="Arial"/>
          <w:sz w:val="15"/>
          <w:szCs w:val="15"/>
          <w:i w:val="1"/>
          <w:iCs w:val="1"/>
          <w:color w:val="auto"/>
        </w:rPr>
        <w:t xml:space="preserve">Corporate Transactions. </w:t>
      </w:r>
      <w:r>
        <w:rPr>
          <w:rFonts w:ascii="Arial" w:cs="Arial" w:eastAsia="Arial" w:hAnsi="Arial"/>
          <w:sz w:val="15"/>
          <w:szCs w:val="15"/>
          <w:color w:val="auto"/>
        </w:rPr>
        <w:t>The effective date of a merger or consolidation of the Company with any other entity, other than a</w:t>
      </w:r>
      <w:r>
        <w:rPr>
          <w:rFonts w:ascii="Arial" w:cs="Arial" w:eastAsia="Arial" w:hAnsi="Arial"/>
          <w:sz w:val="15"/>
          <w:szCs w:val="15"/>
          <w:i w:val="1"/>
          <w:iCs w:val="1"/>
          <w:color w:val="auto"/>
        </w:rPr>
        <w:t xml:space="preserve"> </w:t>
      </w:r>
      <w:r>
        <w:rPr>
          <w:rFonts w:ascii="Arial" w:cs="Arial" w:eastAsia="Arial" w:hAnsi="Arial"/>
          <w:sz w:val="15"/>
          <w:szCs w:val="15"/>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54" w:lineRule="exact"/>
        <w:rPr>
          <w:rFonts w:ascii="Arial" w:cs="Arial" w:eastAsia="Arial" w:hAnsi="Arial"/>
          <w:sz w:val="15"/>
          <w:szCs w:val="15"/>
          <w:color w:val="auto"/>
        </w:rPr>
      </w:pPr>
    </w:p>
    <w:p>
      <w:pPr>
        <w:ind w:right="200" w:firstLine="1244"/>
        <w:spacing w:after="0" w:line="266" w:lineRule="auto"/>
        <w:tabs>
          <w:tab w:leader="none" w:pos="1517"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The approval by the stockholders of the Company of a complete liquidation of the Company or an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or disposition by the Company of all or substantially all of the Company’s assets; and</w:t>
      </w:r>
    </w:p>
    <w:p>
      <w:pPr>
        <w:spacing w:after="0" w:line="158" w:lineRule="exact"/>
        <w:rPr>
          <w:rFonts w:ascii="Arial" w:cs="Arial" w:eastAsia="Arial" w:hAnsi="Arial"/>
          <w:sz w:val="16"/>
          <w:szCs w:val="16"/>
          <w:color w:val="auto"/>
        </w:rPr>
      </w:pPr>
    </w:p>
    <w:p>
      <w:pPr>
        <w:ind w:right="340" w:firstLine="1244"/>
        <w:spacing w:after="0" w:line="256" w:lineRule="auto"/>
        <w:tabs>
          <w:tab w:leader="none" w:pos="1473"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 xml:space="preserve">Other Events. </w:t>
      </w:r>
      <w:r>
        <w:rPr>
          <w:rFonts w:ascii="Arial" w:cs="Arial" w:eastAsia="Arial" w:hAnsi="Arial"/>
          <w:sz w:val="16"/>
          <w:szCs w:val="16"/>
          <w:color w:val="auto"/>
        </w:rPr>
        <w:t>Any other event of a nature that would be required to be reported in response to Item 6(e) of Schedule 14A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14A (or in response to any similar item on any similar schedule or form) promulgated under the Securities Exchange Act of 1934, as amended, whether or not the Company is then subject to such reporting requirement.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purposes of this Section 1(a), the following terms shall have the following meanings:</w:t>
      </w:r>
    </w:p>
    <w:p>
      <w:pPr>
        <w:spacing w:after="0" w:line="193" w:lineRule="exact"/>
        <w:rPr>
          <w:sz w:val="20"/>
          <w:szCs w:val="20"/>
          <w:color w:val="auto"/>
        </w:rPr>
      </w:pPr>
    </w:p>
    <w:p>
      <w:pPr>
        <w:jc w:val="both"/>
        <w:ind w:right="360" w:firstLine="1725"/>
        <w:spacing w:after="0" w:line="253" w:lineRule="auto"/>
        <w:tabs>
          <w:tab w:leader="none" w:pos="1954" w:val="left"/>
        </w:tabs>
        <w:numPr>
          <w:ilvl w:val="1"/>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have the meaning as set forth in Sections 13(d) and 14(d) of the Securities Exchange Act of 1934, as amended;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67" w:lineRule="exact"/>
        <w:rPr>
          <w:rFonts w:ascii="Arial" w:cs="Arial" w:eastAsia="Arial" w:hAnsi="Arial"/>
          <w:sz w:val="16"/>
          <w:szCs w:val="16"/>
          <w:color w:val="auto"/>
        </w:rPr>
      </w:pPr>
    </w:p>
    <w:p>
      <w:pPr>
        <w:ind w:firstLine="1725"/>
        <w:spacing w:after="0" w:line="253" w:lineRule="auto"/>
        <w:tabs>
          <w:tab w:leader="none" w:pos="1954" w:val="left"/>
        </w:tabs>
        <w:numPr>
          <w:ilvl w:val="1"/>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xml:space="preserve">” shall have the meaning given to such term in Rule 13d-3 under the Securities Exchange Act of 1934, as amended;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67" w:lineRule="exact"/>
        <w:rPr>
          <w:rFonts w:ascii="Arial" w:cs="Arial" w:eastAsia="Arial" w:hAnsi="Arial"/>
          <w:sz w:val="16"/>
          <w:szCs w:val="16"/>
          <w:color w:val="auto"/>
        </w:rPr>
      </w:pPr>
    </w:p>
    <w:p>
      <w:pPr>
        <w:ind w:right="460" w:firstLine="860"/>
        <w:spacing w:after="0" w:line="266" w:lineRule="auto"/>
        <w:tabs>
          <w:tab w:leader="none" w:pos="108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trustee, general partner, managing member, officer, employee, agent or fiduciary of the Company or any other Enterprise.</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DGCL</w:t>
      </w:r>
      <w:r>
        <w:rPr>
          <w:rFonts w:ascii="Arial" w:cs="Arial" w:eastAsia="Arial" w:hAnsi="Arial"/>
          <w:sz w:val="16"/>
          <w:szCs w:val="16"/>
          <w:color w:val="auto"/>
        </w:rPr>
        <w:t>” means the General Corporation Law of the State of Delaware.</w:t>
      </w:r>
    </w:p>
    <w:p>
      <w:pPr>
        <w:spacing w:after="0" w:line="193" w:lineRule="exact"/>
        <w:rPr>
          <w:rFonts w:ascii="Arial" w:cs="Arial" w:eastAsia="Arial" w:hAnsi="Arial"/>
          <w:sz w:val="16"/>
          <w:szCs w:val="16"/>
          <w:color w:val="auto"/>
        </w:rPr>
      </w:pPr>
    </w:p>
    <w:p>
      <w:pPr>
        <w:ind w:right="480" w:firstLine="860"/>
        <w:spacing w:after="0" w:line="266" w:lineRule="auto"/>
        <w:tabs>
          <w:tab w:leader="none" w:pos="108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Disinterested Director</w:t>
      </w:r>
      <w:r>
        <w:rPr>
          <w:rFonts w:ascii="Arial" w:cs="Arial" w:eastAsia="Arial" w:hAnsi="Arial"/>
          <w:sz w:val="16"/>
          <w:szCs w:val="16"/>
          <w:color w:val="auto"/>
        </w:rPr>
        <w:t>” means a director of the Company who is not and was not a party to the Proceeding in respect of which indemnification is sought by Indemnitee.</w:t>
      </w:r>
    </w:p>
    <w:p>
      <w:pPr>
        <w:spacing w:after="0" w:line="158" w:lineRule="exact"/>
        <w:rPr>
          <w:rFonts w:ascii="Arial" w:cs="Arial" w:eastAsia="Arial" w:hAnsi="Arial"/>
          <w:sz w:val="16"/>
          <w:szCs w:val="16"/>
          <w:color w:val="auto"/>
        </w:rPr>
      </w:pPr>
    </w:p>
    <w:p>
      <w:pPr>
        <w:ind w:right="280" w:firstLine="860"/>
        <w:spacing w:after="0" w:line="256" w:lineRule="auto"/>
        <w:tabs>
          <w:tab w:leader="none" w:pos="107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Enterprise</w:t>
      </w:r>
      <w:r>
        <w:rPr>
          <w:rFonts w:ascii="Arial" w:cs="Arial" w:eastAsia="Arial" w:hAnsi="Arial"/>
          <w:sz w:val="16"/>
          <w:szCs w:val="16"/>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65" w:lineRule="exact"/>
        <w:rPr>
          <w:rFonts w:ascii="Arial" w:cs="Arial" w:eastAsia="Arial" w:hAnsi="Arial"/>
          <w:sz w:val="16"/>
          <w:szCs w:val="16"/>
          <w:color w:val="auto"/>
        </w:rPr>
      </w:pPr>
    </w:p>
    <w:p>
      <w:pPr>
        <w:ind w:firstLine="860"/>
        <w:spacing w:after="0" w:line="266" w:lineRule="auto"/>
        <w:tabs>
          <w:tab w:leader="none" w:pos="106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include all reasonable and actually incurred attorneys’ fees, retainers, court costs, transcript costs, fees and costs of experts, witness fees, travel expenses, duplicating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00"/>
          </w:cols>
          <w:pgMar w:left="1140" w:top="256" w:right="1159" w:bottom="1440" w:gutter="0" w:footer="0" w:header="0"/>
        </w:sectPr>
      </w:pPr>
    </w:p>
    <w:bookmarkStart w:id="439" w:name="page440"/>
    <w:bookmarkEnd w:id="439"/>
    <w:p>
      <w:pPr>
        <w:ind w:left="6" w:right="140"/>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w:t>
      </w:r>
    </w:p>
    <w:p>
      <w:pPr>
        <w:spacing w:after="0" w:line="1" w:lineRule="exact"/>
        <w:rPr>
          <w:sz w:val="20"/>
          <w:szCs w:val="20"/>
          <w:color w:val="auto"/>
        </w:rPr>
      </w:pPr>
    </w:p>
    <w:p>
      <w:pPr>
        <w:jc w:val="both"/>
        <w:ind w:left="6" w:right="20" w:hanging="6"/>
        <w:spacing w:after="0" w:line="273" w:lineRule="auto"/>
        <w:tabs>
          <w:tab w:leader="none" w:pos="237" w:val="left"/>
        </w:tabs>
        <w:numPr>
          <w:ilvl w:val="0"/>
          <w:numId w:val="271"/>
        </w:numPr>
        <w:rPr>
          <w:rFonts w:ascii="Arial" w:cs="Arial" w:eastAsia="Arial" w:hAnsi="Arial"/>
          <w:sz w:val="15"/>
          <w:szCs w:val="15"/>
          <w:color w:val="auto"/>
        </w:rPr>
      </w:pPr>
      <w:r>
        <w:rPr>
          <w:rFonts w:ascii="Arial" w:cs="Arial" w:eastAsia="Arial" w:hAnsi="Arial"/>
          <w:sz w:val="15"/>
          <w:szCs w:val="15"/>
          <w:color w:val="auto"/>
        </w:rPr>
        <w:t>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54" w:lineRule="exact"/>
        <w:rPr>
          <w:rFonts w:ascii="Arial" w:cs="Arial" w:eastAsia="Arial" w:hAnsi="Arial"/>
          <w:sz w:val="15"/>
          <w:szCs w:val="15"/>
          <w:color w:val="auto"/>
        </w:rPr>
      </w:pPr>
    </w:p>
    <w:p>
      <w:pPr>
        <w:ind w:left="6" w:right="100" w:firstLine="860"/>
        <w:spacing w:after="0" w:line="319" w:lineRule="auto"/>
        <w:tabs>
          <w:tab w:leader="none" w:pos="1094" w:val="left"/>
        </w:tabs>
        <w:numPr>
          <w:ilvl w:val="2"/>
          <w:numId w:val="2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Independent Counsel</w:t>
      </w:r>
      <w:r>
        <w:rPr>
          <w:rFonts w:ascii="Arial" w:cs="Arial" w:eastAsia="Arial" w:hAnsi="Arial"/>
          <w:sz w:val="13"/>
          <w:szCs w:val="13"/>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3"/>
          <w:szCs w:val="13"/>
          <w:b w:val="1"/>
          <w:bCs w:val="1"/>
          <w:i w:val="1"/>
          <w:iCs w:val="1"/>
          <w:color w:val="auto"/>
        </w:rPr>
        <w:t>Independent Counsel</w:t>
      </w:r>
      <w:r>
        <w:rPr>
          <w:rFonts w:ascii="Arial" w:cs="Arial" w:eastAsia="Arial" w:hAnsi="Arial"/>
          <w:sz w:val="13"/>
          <w:szCs w:val="13"/>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28" w:lineRule="exact"/>
        <w:rPr>
          <w:rFonts w:ascii="Arial" w:cs="Arial" w:eastAsia="Arial" w:hAnsi="Arial"/>
          <w:sz w:val="13"/>
          <w:szCs w:val="13"/>
          <w:color w:val="auto"/>
        </w:rPr>
      </w:pPr>
    </w:p>
    <w:p>
      <w:pPr>
        <w:ind w:left="6" w:firstLine="860"/>
        <w:spacing w:after="0" w:line="314" w:lineRule="auto"/>
        <w:tabs>
          <w:tab w:leader="none" w:pos="1094" w:val="left"/>
        </w:tabs>
        <w:numPr>
          <w:ilvl w:val="2"/>
          <w:numId w:val="2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Proceeding</w:t>
      </w:r>
      <w:r>
        <w:rPr>
          <w:rFonts w:ascii="Arial" w:cs="Arial" w:eastAsia="Arial" w:hAnsi="Arial"/>
          <w:sz w:val="13"/>
          <w:szCs w:val="13"/>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33" w:lineRule="exact"/>
        <w:rPr>
          <w:rFonts w:ascii="Arial" w:cs="Arial" w:eastAsia="Arial" w:hAnsi="Arial"/>
          <w:sz w:val="13"/>
          <w:szCs w:val="13"/>
          <w:color w:val="auto"/>
        </w:rPr>
      </w:pPr>
    </w:p>
    <w:p>
      <w:pPr>
        <w:ind w:left="6" w:firstLine="860"/>
        <w:spacing w:after="0" w:line="270" w:lineRule="auto"/>
        <w:tabs>
          <w:tab w:leader="none" w:pos="1060" w:val="left"/>
        </w:tabs>
        <w:numPr>
          <w:ilvl w:val="2"/>
          <w:numId w:val="271"/>
        </w:numPr>
        <w:rPr>
          <w:rFonts w:ascii="Arial" w:cs="Arial" w:eastAsia="Arial" w:hAnsi="Arial"/>
          <w:sz w:val="15"/>
          <w:szCs w:val="15"/>
          <w:color w:val="auto"/>
        </w:rPr>
      </w:pPr>
      <w:r>
        <w:rPr>
          <w:rFonts w:ascii="Arial" w:cs="Arial" w:eastAsia="Arial" w:hAnsi="Arial"/>
          <w:sz w:val="15"/>
          <w:szCs w:val="15"/>
          <w:color w:val="auto"/>
        </w:rPr>
        <w:t>Reference to “</w:t>
      </w:r>
      <w:r>
        <w:rPr>
          <w:rFonts w:ascii="Arial" w:cs="Arial" w:eastAsia="Arial" w:hAnsi="Arial"/>
          <w:sz w:val="15"/>
          <w:szCs w:val="15"/>
          <w:b w:val="1"/>
          <w:bCs w:val="1"/>
          <w:i w:val="1"/>
          <w:iCs w:val="1"/>
          <w:color w:val="auto"/>
        </w:rPr>
        <w:t>other enterprises</w:t>
      </w:r>
      <w:r>
        <w:rPr>
          <w:rFonts w:ascii="Arial" w:cs="Arial" w:eastAsia="Arial" w:hAnsi="Arial"/>
          <w:sz w:val="15"/>
          <w:szCs w:val="15"/>
          <w:color w:val="auto"/>
        </w:rPr>
        <w:t>” shall include employee benefit plans; references to “</w:t>
      </w:r>
      <w:r>
        <w:rPr>
          <w:rFonts w:ascii="Arial" w:cs="Arial" w:eastAsia="Arial" w:hAnsi="Arial"/>
          <w:sz w:val="15"/>
          <w:szCs w:val="15"/>
          <w:b w:val="1"/>
          <w:bCs w:val="1"/>
          <w:i w:val="1"/>
          <w:iCs w:val="1"/>
          <w:color w:val="auto"/>
        </w:rPr>
        <w:t>fines</w:t>
      </w:r>
      <w:r>
        <w:rPr>
          <w:rFonts w:ascii="Arial" w:cs="Arial" w:eastAsia="Arial" w:hAnsi="Arial"/>
          <w:sz w:val="15"/>
          <w:szCs w:val="15"/>
          <w:color w:val="auto"/>
        </w:rPr>
        <w:t>” shall include any excise taxes assessed on a person with respect to any employee benefit plan; references to “</w:t>
      </w:r>
      <w:r>
        <w:rPr>
          <w:rFonts w:ascii="Arial" w:cs="Arial" w:eastAsia="Arial" w:hAnsi="Arial"/>
          <w:sz w:val="15"/>
          <w:szCs w:val="15"/>
          <w:b w:val="1"/>
          <w:bCs w:val="1"/>
          <w:i w:val="1"/>
          <w:iCs w:val="1"/>
          <w:color w:val="auto"/>
        </w:rPr>
        <w:t>serving at the request of the Company</w:t>
      </w:r>
      <w:r>
        <w:rPr>
          <w:rFonts w:ascii="Arial" w:cs="Arial" w:eastAsia="Arial" w:hAnsi="Arial"/>
          <w:sz w:val="15"/>
          <w:szCs w:val="15"/>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5"/>
          <w:szCs w:val="15"/>
          <w:b w:val="1"/>
          <w:bCs w:val="1"/>
          <w:i w:val="1"/>
          <w:iCs w:val="1"/>
          <w:color w:val="auto"/>
        </w:rPr>
        <w:t>not opposed to the best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interests of the Company</w:t>
      </w:r>
      <w:r>
        <w:rPr>
          <w:rFonts w:ascii="Arial" w:cs="Arial" w:eastAsia="Arial" w:hAnsi="Arial"/>
          <w:sz w:val="15"/>
          <w:szCs w:val="15"/>
          <w:color w:val="auto"/>
        </w:rPr>
        <w:t>” as referred to in this Agreement.</w:t>
      </w:r>
    </w:p>
    <w:p>
      <w:pPr>
        <w:spacing w:after="0" w:line="152" w:lineRule="exact"/>
        <w:rPr>
          <w:rFonts w:ascii="Arial" w:cs="Arial" w:eastAsia="Arial" w:hAnsi="Arial"/>
          <w:sz w:val="15"/>
          <w:szCs w:val="15"/>
          <w:color w:val="auto"/>
        </w:rPr>
      </w:pPr>
    </w:p>
    <w:p>
      <w:pPr>
        <w:ind w:left="6" w:right="160" w:firstLine="378"/>
        <w:spacing w:after="0" w:line="250" w:lineRule="auto"/>
        <w:tabs>
          <w:tab w:leader="none" w:pos="548" w:val="left"/>
        </w:tabs>
        <w:numPr>
          <w:ilvl w:val="1"/>
          <w:numId w:val="271"/>
        </w:numPr>
        <w:rPr>
          <w:rFonts w:ascii="Arial" w:cs="Arial" w:eastAsia="Arial" w:hAnsi="Arial"/>
          <w:sz w:val="16"/>
          <w:szCs w:val="16"/>
          <w:color w:val="auto"/>
        </w:rPr>
      </w:pPr>
      <w:r>
        <w:rPr>
          <w:rFonts w:ascii="Arial" w:cs="Arial" w:eastAsia="Arial" w:hAnsi="Arial"/>
          <w:sz w:val="16"/>
          <w:szCs w:val="16"/>
          <w:b w:val="1"/>
          <w:bCs w:val="1"/>
          <w:color w:val="auto"/>
        </w:rPr>
        <w:t xml:space="preserve">Indemnity in Third-Party Proceedings. </w:t>
      </w:r>
      <w:r>
        <w:rPr>
          <w:rFonts w:ascii="Arial" w:cs="Arial" w:eastAsia="Arial" w:hAnsi="Arial"/>
          <w:sz w:val="16"/>
          <w:szCs w:val="16"/>
          <w:color w:val="auto"/>
        </w:rPr>
        <w:t>The Company shall indemnify Indemnitee in accordance with the provisions of this Section 2 if</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06"/>
          </w:cols>
          <w:pgMar w:left="1134" w:top="256" w:right="1159" w:bottom="1440" w:gutter="0" w:footer="0" w:header="0"/>
        </w:sectPr>
      </w:pPr>
    </w:p>
    <w:bookmarkStart w:id="440" w:name="page441"/>
    <w:bookmarkEnd w:id="440"/>
    <w:p>
      <w:pPr>
        <w:ind w:firstLine="378"/>
        <w:spacing w:after="0" w:line="267" w:lineRule="auto"/>
        <w:tabs>
          <w:tab w:leader="none" w:pos="542" w:val="left"/>
        </w:tabs>
        <w:numPr>
          <w:ilvl w:val="0"/>
          <w:numId w:val="272"/>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Indemnity in Proceedings by or in the Right of the Company. </w:t>
      </w:r>
      <w:r>
        <w:rPr>
          <w:rFonts w:ascii="Arial" w:cs="Arial" w:eastAsia="Arial" w:hAnsi="Arial"/>
          <w:sz w:val="15"/>
          <w:szCs w:val="15"/>
          <w:color w:val="auto"/>
        </w:rPr>
        <w:t>The Company shall indemnify Indemnitee in accordance with the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56" w:lineRule="exact"/>
        <w:rPr>
          <w:rFonts w:ascii="Arial" w:cs="Arial" w:eastAsia="Arial" w:hAnsi="Arial"/>
          <w:sz w:val="15"/>
          <w:szCs w:val="15"/>
          <w:color w:val="auto"/>
        </w:rPr>
      </w:pPr>
    </w:p>
    <w:p>
      <w:pPr>
        <w:ind w:right="60" w:firstLine="378"/>
        <w:spacing w:after="0" w:line="252" w:lineRule="auto"/>
        <w:tabs>
          <w:tab w:leader="none" w:pos="542"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for Expenses of a Party Who is Wholly or Partly Successful. </w:t>
      </w:r>
      <w:r>
        <w:rPr>
          <w:rFonts w:ascii="Arial" w:cs="Arial" w:eastAsia="Arial" w:hAnsi="Arial"/>
          <w:sz w:val="16"/>
          <w:szCs w:val="16"/>
          <w:color w:val="auto"/>
        </w:rPr>
        <w:t>To the extent that Indemnitee is a party to or a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For purposes of this section, the termination of any claim, issue or matter in such a Proceeding by dismissal, with or without prejudice, shall be deemed to be a successful result as to such claim, issue or matter.</w:t>
      </w:r>
    </w:p>
    <w:p>
      <w:pPr>
        <w:spacing w:after="0" w:line="165" w:lineRule="exact"/>
        <w:rPr>
          <w:rFonts w:ascii="Arial" w:cs="Arial" w:eastAsia="Arial" w:hAnsi="Arial"/>
          <w:sz w:val="16"/>
          <w:szCs w:val="16"/>
          <w:color w:val="auto"/>
        </w:rPr>
      </w:pPr>
    </w:p>
    <w:p>
      <w:pPr>
        <w:ind w:right="160" w:firstLine="378"/>
        <w:spacing w:after="0" w:line="259" w:lineRule="auto"/>
        <w:tabs>
          <w:tab w:leader="none" w:pos="542"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for Expenses of a Witness. </w:t>
      </w:r>
      <w:r>
        <w:rPr>
          <w:rFonts w:ascii="Arial" w:cs="Arial" w:eastAsia="Arial" w:hAnsi="Arial"/>
          <w:sz w:val="16"/>
          <w:szCs w:val="16"/>
          <w:color w:val="auto"/>
        </w:rPr>
        <w:t>To the extent that Indemnitee is, by reason of his or her Corporate Status, a witness in any</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158" w:lineRule="exact"/>
        <w:rPr>
          <w:rFonts w:ascii="Arial" w:cs="Arial" w:eastAsia="Arial" w:hAnsi="Arial"/>
          <w:sz w:val="16"/>
          <w:szCs w:val="16"/>
          <w:color w:val="auto"/>
        </w:rPr>
      </w:pPr>
    </w:p>
    <w:p>
      <w:pPr>
        <w:ind w:left="540" w:hanging="162"/>
        <w:spacing w:after="0"/>
        <w:tabs>
          <w:tab w:leader="none" w:pos="540"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Additional Indemnification.</w:t>
      </w:r>
    </w:p>
    <w:p>
      <w:pPr>
        <w:spacing w:after="0" w:line="197" w:lineRule="exact"/>
        <w:rPr>
          <w:rFonts w:ascii="Arial" w:cs="Arial" w:eastAsia="Arial" w:hAnsi="Arial"/>
          <w:sz w:val="16"/>
          <w:szCs w:val="16"/>
          <w:color w:val="auto"/>
        </w:rPr>
      </w:pPr>
    </w:p>
    <w:p>
      <w:pPr>
        <w:ind w:right="20" w:firstLine="860"/>
        <w:spacing w:after="0" w:line="275" w:lineRule="auto"/>
        <w:tabs>
          <w:tab w:leader="none" w:pos="1079" w:val="left"/>
        </w:tabs>
        <w:numPr>
          <w:ilvl w:val="1"/>
          <w:numId w:val="272"/>
        </w:numPr>
        <w:rPr>
          <w:rFonts w:ascii="Arial" w:cs="Arial" w:eastAsia="Arial" w:hAnsi="Arial"/>
          <w:sz w:val="15"/>
          <w:szCs w:val="15"/>
          <w:color w:val="auto"/>
        </w:rPr>
      </w:pPr>
      <w:r>
        <w:rPr>
          <w:rFonts w:ascii="Arial" w:cs="Arial" w:eastAsia="Arial" w:hAnsi="Arial"/>
          <w:sz w:val="15"/>
          <w:szCs w:val="15"/>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52" w:lineRule="exact"/>
        <w:rPr>
          <w:rFonts w:ascii="Arial" w:cs="Arial" w:eastAsia="Arial" w:hAnsi="Arial"/>
          <w:sz w:val="15"/>
          <w:szCs w:val="15"/>
          <w:color w:val="auto"/>
        </w:rPr>
      </w:pPr>
    </w:p>
    <w:p>
      <w:pPr>
        <w:ind w:left="1080" w:hanging="220"/>
        <w:spacing w:after="0"/>
        <w:tabs>
          <w:tab w:leader="none" w:pos="1080" w:val="left"/>
        </w:tabs>
        <w:numPr>
          <w:ilvl w:val="1"/>
          <w:numId w:val="272"/>
        </w:numPr>
        <w:rPr>
          <w:rFonts w:ascii="Arial" w:cs="Arial" w:eastAsia="Arial" w:hAnsi="Arial"/>
          <w:sz w:val="13"/>
          <w:szCs w:val="13"/>
          <w:color w:val="auto"/>
        </w:rPr>
      </w:pPr>
      <w:r>
        <w:rPr>
          <w:rFonts w:ascii="Arial" w:cs="Arial" w:eastAsia="Arial" w:hAnsi="Arial"/>
          <w:sz w:val="13"/>
          <w:szCs w:val="13"/>
          <w:color w:val="auto"/>
        </w:rPr>
        <w:t>For purposes of Section 6(a), the meaning of the phrase “</w:t>
      </w:r>
      <w:r>
        <w:rPr>
          <w:rFonts w:ascii="Arial" w:cs="Arial" w:eastAsia="Arial" w:hAnsi="Arial"/>
          <w:sz w:val="13"/>
          <w:szCs w:val="13"/>
          <w:b w:val="1"/>
          <w:bCs w:val="1"/>
          <w:i w:val="1"/>
          <w:iCs w:val="1"/>
          <w:color w:val="auto"/>
        </w:rPr>
        <w:t>to the fullest extent permitted by applicable law</w:t>
      </w:r>
      <w:r>
        <w:rPr>
          <w:rFonts w:ascii="Arial" w:cs="Arial" w:eastAsia="Arial" w:hAnsi="Arial"/>
          <w:sz w:val="13"/>
          <w:szCs w:val="13"/>
          <w:color w:val="auto"/>
        </w:rPr>
        <w:t>” shall include, but not be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limited to:</w:t>
      </w:r>
    </w:p>
    <w:p>
      <w:pPr>
        <w:spacing w:after="0" w:line="181" w:lineRule="exact"/>
        <w:rPr>
          <w:rFonts w:ascii="Arial" w:cs="Arial" w:eastAsia="Arial" w:hAnsi="Arial"/>
          <w:sz w:val="13"/>
          <w:szCs w:val="13"/>
          <w:color w:val="auto"/>
        </w:rPr>
      </w:pPr>
    </w:p>
    <w:p>
      <w:pPr>
        <w:ind w:right="660" w:firstLine="1244"/>
        <w:spacing w:after="0" w:line="266" w:lineRule="auto"/>
        <w:tabs>
          <w:tab w:leader="none" w:pos="1438" w:val="left"/>
        </w:tabs>
        <w:numPr>
          <w:ilvl w:val="2"/>
          <w:numId w:val="272"/>
        </w:numPr>
        <w:rPr>
          <w:rFonts w:ascii="Arial" w:cs="Arial" w:eastAsia="Arial" w:hAnsi="Arial"/>
          <w:sz w:val="16"/>
          <w:szCs w:val="16"/>
          <w:color w:val="auto"/>
        </w:rPr>
      </w:pPr>
      <w:r>
        <w:rPr>
          <w:rFonts w:ascii="Arial" w:cs="Arial" w:eastAsia="Arial" w:hAnsi="Arial"/>
          <w:sz w:val="16"/>
          <w:szCs w:val="16"/>
          <w:color w:val="auto"/>
        </w:rPr>
        <w:t>the fullest extent permitted by the provision of the DGCL that authorizes or contemplates additional indemnification by agreement, or the corresponding provision of any amendment to or replacement of the DGCL; and</w:t>
      </w:r>
    </w:p>
    <w:p>
      <w:pPr>
        <w:spacing w:after="0" w:line="158" w:lineRule="exact"/>
        <w:rPr>
          <w:rFonts w:ascii="Arial" w:cs="Arial" w:eastAsia="Arial" w:hAnsi="Arial"/>
          <w:sz w:val="16"/>
          <w:szCs w:val="16"/>
          <w:color w:val="auto"/>
        </w:rPr>
      </w:pPr>
    </w:p>
    <w:p>
      <w:pPr>
        <w:ind w:right="360" w:firstLine="1244"/>
        <w:spacing w:after="0" w:line="266" w:lineRule="auto"/>
        <w:tabs>
          <w:tab w:leader="none" w:pos="1482" w:val="left"/>
        </w:tabs>
        <w:numPr>
          <w:ilvl w:val="2"/>
          <w:numId w:val="272"/>
        </w:numPr>
        <w:rPr>
          <w:rFonts w:ascii="Arial" w:cs="Arial" w:eastAsia="Arial" w:hAnsi="Arial"/>
          <w:sz w:val="16"/>
          <w:szCs w:val="16"/>
          <w:color w:val="auto"/>
        </w:rPr>
      </w:pPr>
      <w:r>
        <w:rPr>
          <w:rFonts w:ascii="Arial" w:cs="Arial" w:eastAsia="Arial" w:hAnsi="Arial"/>
          <w:sz w:val="16"/>
          <w:szCs w:val="16"/>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00"/>
          </w:cols>
          <w:pgMar w:left="1140" w:top="252" w:right="1159" w:bottom="1440" w:gutter="0" w:footer="0" w:header="0"/>
        </w:sectPr>
      </w:pPr>
    </w:p>
    <w:bookmarkStart w:id="441" w:name="page442"/>
    <w:bookmarkEnd w:id="441"/>
    <w:p>
      <w:pPr>
        <w:ind w:right="660" w:firstLine="378"/>
        <w:spacing w:after="0" w:line="272" w:lineRule="auto"/>
        <w:tabs>
          <w:tab w:leader="none" w:pos="542" w:val="left"/>
        </w:tabs>
        <w:numPr>
          <w:ilvl w:val="0"/>
          <w:numId w:val="27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Exclusions. </w:t>
      </w:r>
      <w:r>
        <w:rPr>
          <w:rFonts w:ascii="Arial" w:cs="Arial" w:eastAsia="Arial" w:hAnsi="Arial"/>
          <w:sz w:val="16"/>
          <w:szCs w:val="16"/>
          <w:color w:val="auto"/>
        </w:rPr>
        <w:t>Notwithstanding any provision in this Agreement, the Company shall not be obligated under this Agreement to make any</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indemnity in connection with any Proceeding (or any part of any Proceeding):</w:t>
      </w:r>
    </w:p>
    <w:p>
      <w:pPr>
        <w:spacing w:after="0" w:line="152" w:lineRule="exact"/>
        <w:rPr>
          <w:rFonts w:ascii="Arial" w:cs="Arial" w:eastAsia="Arial" w:hAnsi="Arial"/>
          <w:sz w:val="16"/>
          <w:szCs w:val="16"/>
          <w:color w:val="auto"/>
        </w:rPr>
      </w:pPr>
    </w:p>
    <w:p>
      <w:pPr>
        <w:ind w:right="60" w:firstLine="860"/>
        <w:spacing w:after="0" w:line="266" w:lineRule="auto"/>
        <w:tabs>
          <w:tab w:leader="none" w:pos="107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for which payment has actually been made to or on behalf of Indemnitee under any statute, insurance policy, indemnity provision, vote or otherwise, except with respect to any excess beyond the amount paid;</w:t>
      </w:r>
    </w:p>
    <w:p>
      <w:pPr>
        <w:spacing w:after="0" w:line="158" w:lineRule="exact"/>
        <w:rPr>
          <w:rFonts w:ascii="Arial" w:cs="Arial" w:eastAsia="Arial" w:hAnsi="Arial"/>
          <w:sz w:val="16"/>
          <w:szCs w:val="16"/>
          <w:color w:val="auto"/>
        </w:rPr>
      </w:pPr>
    </w:p>
    <w:p>
      <w:pPr>
        <w:ind w:right="120" w:firstLine="860"/>
        <w:spacing w:after="0" w:line="256" w:lineRule="auto"/>
        <w:tabs>
          <w:tab w:leader="none" w:pos="1088" w:val="left"/>
        </w:tabs>
        <w:numPr>
          <w:ilvl w:val="1"/>
          <w:numId w:val="273"/>
        </w:numPr>
        <w:rPr>
          <w:rFonts w:ascii="Arial" w:cs="Arial" w:eastAsia="Arial" w:hAnsi="Arial"/>
          <w:sz w:val="16"/>
          <w:szCs w:val="16"/>
          <w:color w:val="auto"/>
        </w:rPr>
      </w:pPr>
      <w:r>
        <w:rPr>
          <w:rFonts w:ascii="Arial" w:cs="Arial" w:eastAsia="Arial" w:hAnsi="Arial"/>
          <w:sz w:val="16"/>
          <w:szCs w:val="16"/>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65" w:lineRule="exact"/>
        <w:rPr>
          <w:rFonts w:ascii="Arial" w:cs="Arial" w:eastAsia="Arial" w:hAnsi="Arial"/>
          <w:sz w:val="16"/>
          <w:szCs w:val="16"/>
          <w:color w:val="auto"/>
        </w:rPr>
      </w:pPr>
    </w:p>
    <w:p>
      <w:pPr>
        <w:ind w:right="80" w:firstLine="860"/>
        <w:spacing w:after="0" w:line="323" w:lineRule="auto"/>
        <w:tabs>
          <w:tab w:leader="none" w:pos="1079" w:val="left"/>
        </w:tabs>
        <w:numPr>
          <w:ilvl w:val="1"/>
          <w:numId w:val="273"/>
        </w:numPr>
        <w:rPr>
          <w:rFonts w:ascii="Arial" w:cs="Arial" w:eastAsia="Arial" w:hAnsi="Arial"/>
          <w:sz w:val="13"/>
          <w:szCs w:val="13"/>
          <w:color w:val="auto"/>
        </w:rPr>
      </w:pPr>
      <w:r>
        <w:rPr>
          <w:rFonts w:ascii="Arial" w:cs="Arial" w:eastAsia="Arial" w:hAnsi="Arial"/>
          <w:sz w:val="13"/>
          <w:szCs w:val="13"/>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3"/>
          <w:szCs w:val="13"/>
          <w:b w:val="1"/>
          <w:bCs w:val="1"/>
          <w:i w:val="1"/>
          <w:iCs w:val="1"/>
          <w:color w:val="auto"/>
        </w:rPr>
        <w:t>Sarbanes-Oxley Act</w:t>
      </w:r>
      <w:r>
        <w:rPr>
          <w:rFonts w:ascii="Arial" w:cs="Arial" w:eastAsia="Arial" w:hAnsi="Arial"/>
          <w:sz w:val="13"/>
          <w:szCs w:val="13"/>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25" w:lineRule="exact"/>
        <w:rPr>
          <w:rFonts w:ascii="Arial" w:cs="Arial" w:eastAsia="Arial" w:hAnsi="Arial"/>
          <w:sz w:val="13"/>
          <w:szCs w:val="13"/>
          <w:color w:val="auto"/>
        </w:rPr>
      </w:pPr>
    </w:p>
    <w:p>
      <w:pPr>
        <w:ind w:firstLine="860"/>
        <w:spacing w:after="0" w:line="275" w:lineRule="auto"/>
        <w:tabs>
          <w:tab w:leader="none" w:pos="1088" w:val="left"/>
        </w:tabs>
        <w:numPr>
          <w:ilvl w:val="1"/>
          <w:numId w:val="273"/>
        </w:numPr>
        <w:rPr>
          <w:rFonts w:ascii="Arial" w:cs="Arial" w:eastAsia="Arial" w:hAnsi="Arial"/>
          <w:sz w:val="15"/>
          <w:szCs w:val="15"/>
          <w:color w:val="auto"/>
        </w:rPr>
      </w:pPr>
      <w:r>
        <w:rPr>
          <w:rFonts w:ascii="Arial" w:cs="Arial" w:eastAsia="Arial" w:hAnsi="Arial"/>
          <w:sz w:val="15"/>
          <w:szCs w:val="15"/>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52" w:lineRule="exact"/>
        <w:rPr>
          <w:rFonts w:ascii="Arial" w:cs="Arial" w:eastAsia="Arial" w:hAnsi="Arial"/>
          <w:sz w:val="15"/>
          <w:szCs w:val="15"/>
          <w:color w:val="auto"/>
        </w:rPr>
      </w:pPr>
    </w:p>
    <w:p>
      <w:pPr>
        <w:ind w:left="1080" w:hanging="220"/>
        <w:spacing w:after="0"/>
        <w:tabs>
          <w:tab w:leader="none" w:pos="108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if prohibited by applicable law.</w:t>
      </w:r>
    </w:p>
    <w:p>
      <w:pPr>
        <w:spacing w:after="0" w:line="189" w:lineRule="exact"/>
        <w:rPr>
          <w:rFonts w:ascii="Arial" w:cs="Arial" w:eastAsia="Arial" w:hAnsi="Arial"/>
          <w:sz w:val="16"/>
          <w:szCs w:val="16"/>
          <w:color w:val="auto"/>
        </w:rPr>
      </w:pPr>
    </w:p>
    <w:p>
      <w:pPr>
        <w:ind w:right="40" w:firstLine="378"/>
        <w:spacing w:after="0" w:line="267" w:lineRule="auto"/>
        <w:tabs>
          <w:tab w:leader="none" w:pos="542" w:val="left"/>
        </w:tabs>
        <w:numPr>
          <w:ilvl w:val="0"/>
          <w:numId w:val="273"/>
        </w:numPr>
        <w:rPr>
          <w:rFonts w:ascii="Arial" w:cs="Arial" w:eastAsia="Arial" w:hAnsi="Arial"/>
          <w:sz w:val="15"/>
          <w:szCs w:val="15"/>
          <w:color w:val="auto"/>
        </w:rPr>
      </w:pPr>
      <w:r>
        <w:rPr>
          <w:rFonts w:ascii="Arial" w:cs="Arial" w:eastAsia="Arial" w:hAnsi="Arial"/>
          <w:sz w:val="15"/>
          <w:szCs w:val="15"/>
          <w:b w:val="1"/>
          <w:bCs w:val="1"/>
          <w:color w:val="auto"/>
        </w:rPr>
        <w:t xml:space="preserve">Advances of Expenses. </w:t>
      </w:r>
      <w:r>
        <w:rPr>
          <w:rFonts w:ascii="Arial" w:cs="Arial" w:eastAsia="Arial" w:hAnsi="Arial"/>
          <w:sz w:val="15"/>
          <w:szCs w:val="15"/>
          <w:color w:val="auto"/>
        </w:rPr>
        <w:t>The Company shall advance the Expenses incurred by Indemnitee in connection with any Proceeding prior to its final</w:t>
      </w:r>
      <w:r>
        <w:rPr>
          <w:rFonts w:ascii="Arial" w:cs="Arial" w:eastAsia="Arial" w:hAnsi="Arial"/>
          <w:sz w:val="15"/>
          <w:szCs w:val="15"/>
          <w:b w:val="1"/>
          <w:bCs w:val="1"/>
          <w:color w:val="auto"/>
        </w:rPr>
        <w:t xml:space="preserve"> </w:t>
      </w:r>
      <w:r>
        <w:rPr>
          <w:rFonts w:ascii="Arial" w:cs="Arial" w:eastAsia="Arial" w:hAnsi="Arial"/>
          <w:sz w:val="15"/>
          <w:szCs w:val="15"/>
          <w:color w:val="auto"/>
        </w:rPr>
        <w:t>disposition, and 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prior to a determination that Indemnitee is not entitled to be indemnified by the Company.</w:t>
      </w:r>
    </w:p>
    <w:p>
      <w:pPr>
        <w:spacing w:after="0" w:line="156" w:lineRule="exact"/>
        <w:rPr>
          <w:rFonts w:ascii="Arial" w:cs="Arial" w:eastAsia="Arial" w:hAnsi="Arial"/>
          <w:sz w:val="15"/>
          <w:szCs w:val="15"/>
          <w:color w:val="auto"/>
        </w:rPr>
      </w:pPr>
    </w:p>
    <w:p>
      <w:pPr>
        <w:ind w:left="540" w:hanging="162"/>
        <w:spacing w:after="0"/>
        <w:tabs>
          <w:tab w:leader="none" w:pos="540" w:val="left"/>
        </w:tabs>
        <w:numPr>
          <w:ilvl w:val="0"/>
          <w:numId w:val="273"/>
        </w:numPr>
        <w:rPr>
          <w:rFonts w:ascii="Arial" w:cs="Arial" w:eastAsia="Arial" w:hAnsi="Arial"/>
          <w:sz w:val="16"/>
          <w:szCs w:val="16"/>
          <w:color w:val="auto"/>
        </w:rPr>
      </w:pPr>
      <w:r>
        <w:rPr>
          <w:rFonts w:ascii="Arial" w:cs="Arial" w:eastAsia="Arial" w:hAnsi="Arial"/>
          <w:sz w:val="16"/>
          <w:szCs w:val="16"/>
          <w:b w:val="1"/>
          <w:bCs w:val="1"/>
          <w:color w:val="auto"/>
        </w:rPr>
        <w:t>Procedures for Notification and Defense of Claim.</w:t>
      </w:r>
    </w:p>
    <w:p>
      <w:pPr>
        <w:spacing w:after="0" w:line="197" w:lineRule="exact"/>
        <w:rPr>
          <w:rFonts w:ascii="Arial" w:cs="Arial" w:eastAsia="Arial" w:hAnsi="Arial"/>
          <w:sz w:val="16"/>
          <w:szCs w:val="16"/>
          <w:color w:val="auto"/>
        </w:rPr>
      </w:pPr>
    </w:p>
    <w:p>
      <w:pPr>
        <w:ind w:right="360" w:firstLine="860"/>
        <w:spacing w:after="0" w:line="343" w:lineRule="auto"/>
        <w:tabs>
          <w:tab w:leader="none" w:pos="1079" w:val="left"/>
        </w:tabs>
        <w:numPr>
          <w:ilvl w:val="1"/>
          <w:numId w:val="273"/>
        </w:numPr>
        <w:rPr>
          <w:rFonts w:ascii="Arial" w:cs="Arial" w:eastAsia="Arial" w:hAnsi="Arial"/>
          <w:sz w:val="13"/>
          <w:szCs w:val="13"/>
          <w:color w:val="auto"/>
        </w:rPr>
      </w:pPr>
      <w:r>
        <w:rPr>
          <w:rFonts w:ascii="Arial" w:cs="Arial" w:eastAsia="Arial" w:hAnsi="Arial"/>
          <w:sz w:val="13"/>
          <w:szCs w:val="13"/>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20"/>
          </w:cols>
          <w:pgMar w:left="1140" w:top="252" w:right="1139" w:bottom="1440" w:gutter="0" w:footer="0" w:header="0"/>
        </w:sectPr>
      </w:pPr>
    </w:p>
    <w:bookmarkStart w:id="442" w:name="page443"/>
    <w:bookmarkEnd w:id="442"/>
    <w:p>
      <w:pPr>
        <w:ind w:right="2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166" w:lineRule="exact"/>
        <w:rPr>
          <w:sz w:val="20"/>
          <w:szCs w:val="20"/>
          <w:color w:val="auto"/>
        </w:rPr>
      </w:pPr>
    </w:p>
    <w:p>
      <w:pPr>
        <w:ind w:right="80" w:firstLine="860"/>
        <w:spacing w:after="0" w:line="329" w:lineRule="auto"/>
        <w:tabs>
          <w:tab w:leader="none" w:pos="1088" w:val="left"/>
        </w:tabs>
        <w:numPr>
          <w:ilvl w:val="1"/>
          <w:numId w:val="274"/>
        </w:numPr>
        <w:rPr>
          <w:rFonts w:ascii="Arial" w:cs="Arial" w:eastAsia="Arial" w:hAnsi="Arial"/>
          <w:sz w:val="13"/>
          <w:szCs w:val="13"/>
          <w:color w:val="auto"/>
        </w:rPr>
      </w:pPr>
      <w:r>
        <w:rPr>
          <w:rFonts w:ascii="Arial" w:cs="Arial" w:eastAsia="Arial" w:hAnsi="Arial"/>
          <w:sz w:val="13"/>
          <w:szCs w:val="13"/>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23" w:lineRule="exact"/>
        <w:rPr>
          <w:rFonts w:ascii="Arial" w:cs="Arial" w:eastAsia="Arial" w:hAnsi="Arial"/>
          <w:sz w:val="13"/>
          <w:szCs w:val="13"/>
          <w:color w:val="auto"/>
        </w:rPr>
      </w:pPr>
    </w:p>
    <w:p>
      <w:pPr>
        <w:ind w:firstLine="860"/>
        <w:spacing w:after="0" w:line="310" w:lineRule="auto"/>
        <w:tabs>
          <w:tab w:leader="none" w:pos="1079" w:val="left"/>
        </w:tabs>
        <w:numPr>
          <w:ilvl w:val="1"/>
          <w:numId w:val="274"/>
        </w:numPr>
        <w:rPr>
          <w:rFonts w:ascii="Arial" w:cs="Arial" w:eastAsia="Arial" w:hAnsi="Arial"/>
          <w:sz w:val="13"/>
          <w:szCs w:val="13"/>
          <w:color w:val="auto"/>
        </w:rPr>
      </w:pPr>
      <w:r>
        <w:rPr>
          <w:rFonts w:ascii="Arial" w:cs="Arial" w:eastAsia="Arial" w:hAnsi="Arial"/>
          <w:sz w:val="13"/>
          <w:szCs w:val="13"/>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328" w:lineRule="exact"/>
        <w:rPr>
          <w:rFonts w:ascii="Arial" w:cs="Arial" w:eastAsia="Arial" w:hAnsi="Arial"/>
          <w:sz w:val="13"/>
          <w:szCs w:val="13"/>
          <w:color w:val="auto"/>
        </w:rPr>
      </w:pPr>
    </w:p>
    <w:p>
      <w:pPr>
        <w:ind w:left="1080" w:hanging="220"/>
        <w:spacing w:after="0"/>
        <w:tabs>
          <w:tab w:leader="none" w:pos="1080" w:val="left"/>
        </w:tabs>
        <w:numPr>
          <w:ilvl w:val="1"/>
          <w:numId w:val="274"/>
        </w:numPr>
        <w:rPr>
          <w:rFonts w:ascii="Arial" w:cs="Arial" w:eastAsia="Arial" w:hAnsi="Arial"/>
          <w:sz w:val="15"/>
          <w:szCs w:val="15"/>
          <w:color w:val="auto"/>
        </w:rPr>
      </w:pPr>
      <w:r>
        <w:rPr>
          <w:rFonts w:ascii="Arial" w:cs="Arial" w:eastAsia="Arial" w:hAnsi="Arial"/>
          <w:sz w:val="15"/>
          <w:szCs w:val="15"/>
          <w:color w:val="auto"/>
        </w:rPr>
        <w:t>Indemnitee shall give the Company such information and cooperation in connection with the Proceeding as may be reasonably</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appropriate.</w:t>
      </w:r>
    </w:p>
    <w:p>
      <w:pPr>
        <w:spacing w:after="0" w:line="181" w:lineRule="exact"/>
        <w:rPr>
          <w:rFonts w:ascii="Arial" w:cs="Arial" w:eastAsia="Arial" w:hAnsi="Arial"/>
          <w:sz w:val="15"/>
          <w:szCs w:val="15"/>
          <w:color w:val="auto"/>
        </w:rPr>
      </w:pPr>
    </w:p>
    <w:p>
      <w:pPr>
        <w:ind w:right="460" w:firstLine="860"/>
        <w:spacing w:after="0" w:line="266" w:lineRule="auto"/>
        <w:tabs>
          <w:tab w:leader="none" w:pos="1079"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Company shall not be liable to indemnify Indemnitee for any settlement of any Proceeding (or any part thereof) without the Company’s prior written consent, which shall not be unreasonably withheld, conditioned or delayed.</w:t>
      </w:r>
    </w:p>
    <w:p>
      <w:pPr>
        <w:spacing w:after="0" w:line="158" w:lineRule="exact"/>
        <w:rPr>
          <w:rFonts w:ascii="Arial" w:cs="Arial" w:eastAsia="Arial" w:hAnsi="Arial"/>
          <w:sz w:val="16"/>
          <w:szCs w:val="16"/>
          <w:color w:val="auto"/>
        </w:rPr>
      </w:pPr>
    </w:p>
    <w:p>
      <w:pPr>
        <w:ind w:right="340" w:firstLine="860"/>
        <w:spacing w:after="0" w:line="266" w:lineRule="auto"/>
        <w:tabs>
          <w:tab w:leader="none" w:pos="106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Company shall not settle any Proceeding (or any part thereof) in a manner that imposes any penalty or liability on Indemnitee without Indemnitee’s prior written consent, which shall not be unreasonably withheld, conditioned or delayed.</w:t>
      </w:r>
    </w:p>
    <w:p>
      <w:pPr>
        <w:spacing w:after="0" w:line="154" w:lineRule="exact"/>
        <w:rPr>
          <w:rFonts w:ascii="Arial" w:cs="Arial" w:eastAsia="Arial" w:hAnsi="Arial"/>
          <w:sz w:val="16"/>
          <w:szCs w:val="16"/>
          <w:color w:val="auto"/>
        </w:rPr>
      </w:pPr>
    </w:p>
    <w:p>
      <w:pPr>
        <w:ind w:left="620" w:hanging="242"/>
        <w:spacing w:after="0"/>
        <w:tabs>
          <w:tab w:leader="none" w:pos="620"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Procedures upon Application for Indemnification.</w:t>
      </w:r>
    </w:p>
    <w:p>
      <w:pPr>
        <w:spacing w:after="0" w:line="197" w:lineRule="exact"/>
        <w:rPr>
          <w:rFonts w:ascii="Arial" w:cs="Arial" w:eastAsia="Arial" w:hAnsi="Arial"/>
          <w:sz w:val="16"/>
          <w:szCs w:val="16"/>
          <w:color w:val="auto"/>
        </w:rPr>
      </w:pPr>
    </w:p>
    <w:p>
      <w:pPr>
        <w:ind w:right="460" w:firstLine="860"/>
        <w:spacing w:after="0" w:line="275" w:lineRule="auto"/>
        <w:tabs>
          <w:tab w:leader="none" w:pos="1079" w:val="left"/>
        </w:tabs>
        <w:numPr>
          <w:ilvl w:val="1"/>
          <w:numId w:val="275"/>
        </w:numPr>
        <w:rPr>
          <w:rFonts w:ascii="Arial" w:cs="Arial" w:eastAsia="Arial" w:hAnsi="Arial"/>
          <w:sz w:val="15"/>
          <w:szCs w:val="15"/>
          <w:color w:val="auto"/>
        </w:rPr>
      </w:pPr>
      <w:r>
        <w:rPr>
          <w:rFonts w:ascii="Arial" w:cs="Arial" w:eastAsia="Arial" w:hAnsi="Arial"/>
          <w:sz w:val="15"/>
          <w:szCs w:val="15"/>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580"/>
          </w:cols>
          <w:pgMar w:left="1140" w:top="256" w:right="1179" w:bottom="1440" w:gutter="0" w:footer="0" w:header="0"/>
        </w:sectPr>
      </w:pPr>
    </w:p>
    <w:bookmarkStart w:id="443" w:name="page444"/>
    <w:bookmarkEnd w:id="443"/>
    <w:p>
      <w:pPr>
        <w:ind w:left="-20" w:right="60" w:firstLine="860"/>
        <w:spacing w:after="0" w:line="310" w:lineRule="auto"/>
        <w:tabs>
          <w:tab w:leader="none" w:pos="1068" w:val="left"/>
        </w:tabs>
        <w:numPr>
          <w:ilvl w:val="0"/>
          <w:numId w:val="27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323" w:lineRule="exact"/>
        <w:rPr>
          <w:rFonts w:ascii="Arial" w:cs="Arial" w:eastAsia="Arial" w:hAnsi="Arial"/>
          <w:sz w:val="13"/>
          <w:szCs w:val="13"/>
          <w:color w:val="auto"/>
        </w:rPr>
      </w:pPr>
    </w:p>
    <w:p>
      <w:pPr>
        <w:ind w:left="-20" w:firstLine="860"/>
        <w:spacing w:after="0" w:line="307" w:lineRule="auto"/>
        <w:tabs>
          <w:tab w:leader="none" w:pos="1059" w:val="left"/>
        </w:tabs>
        <w:numPr>
          <w:ilvl w:val="0"/>
          <w:numId w:val="276"/>
        </w:numPr>
        <w:rPr>
          <w:rFonts w:ascii="Arial" w:cs="Arial" w:eastAsia="Arial" w:hAnsi="Arial"/>
          <w:sz w:val="13"/>
          <w:szCs w:val="13"/>
          <w:color w:val="auto"/>
        </w:rPr>
      </w:pPr>
      <w:r>
        <w:rPr>
          <w:rFonts w:ascii="Arial" w:cs="Arial" w:eastAsia="Arial" w:hAnsi="Arial"/>
          <w:sz w:val="13"/>
          <w:szCs w:val="13"/>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200" w:lineRule="exact"/>
        <w:rPr>
          <w:rFonts w:ascii="Arial" w:cs="Arial" w:eastAsia="Arial" w:hAnsi="Arial"/>
          <w:sz w:val="13"/>
          <w:szCs w:val="13"/>
          <w:color w:val="auto"/>
        </w:rPr>
      </w:pPr>
    </w:p>
    <w:p>
      <w:pPr>
        <w:spacing w:after="0" w:line="321" w:lineRule="exact"/>
        <w:rPr>
          <w:rFonts w:ascii="Arial" w:cs="Arial" w:eastAsia="Arial" w:hAnsi="Arial"/>
          <w:sz w:val="13"/>
          <w:szCs w:val="13"/>
          <w:color w:val="auto"/>
        </w:rPr>
      </w:pPr>
    </w:p>
    <w:p>
      <w:pPr>
        <w:ind w:left="1060" w:hanging="220"/>
        <w:spacing w:after="0"/>
        <w:tabs>
          <w:tab w:leader="none" w:pos="10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any Independent Counsel.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560"/>
          </w:cols>
          <w:pgMar w:left="1160" w:top="256" w:right="1179" w:bottom="1440" w:gutter="0" w:footer="0" w:header="0"/>
        </w:sectPr>
      </w:pPr>
    </w:p>
    <w:bookmarkStart w:id="444" w:name="page445"/>
    <w:bookmarkEnd w:id="444"/>
    <w:p>
      <w:pPr>
        <w:ind w:left="606" w:hanging="222"/>
        <w:spacing w:after="0"/>
        <w:tabs>
          <w:tab w:leader="none" w:pos="606" w:val="left"/>
        </w:tabs>
        <w:numPr>
          <w:ilvl w:val="1"/>
          <w:numId w:val="277"/>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Presumptions and Effect of Certain Proceedings.</w:t>
      </w:r>
    </w:p>
    <w:p>
      <w:pPr>
        <w:spacing w:after="0" w:line="208" w:lineRule="exact"/>
        <w:rPr>
          <w:rFonts w:ascii="Arial" w:cs="Arial" w:eastAsia="Arial" w:hAnsi="Arial"/>
          <w:sz w:val="15"/>
          <w:szCs w:val="15"/>
          <w:color w:val="auto"/>
        </w:rPr>
      </w:pPr>
    </w:p>
    <w:p>
      <w:pPr>
        <w:ind w:left="6" w:right="300" w:firstLine="860"/>
        <w:spacing w:after="0" w:line="281" w:lineRule="auto"/>
        <w:tabs>
          <w:tab w:leader="none" w:pos="1086" w:val="left"/>
        </w:tabs>
        <w:numPr>
          <w:ilvl w:val="2"/>
          <w:numId w:val="277"/>
        </w:numPr>
        <w:rPr>
          <w:rFonts w:ascii="Arial" w:cs="Arial" w:eastAsia="Arial" w:hAnsi="Arial"/>
          <w:sz w:val="15"/>
          <w:szCs w:val="15"/>
          <w:color w:val="auto"/>
        </w:rPr>
      </w:pPr>
      <w:r>
        <w:rPr>
          <w:rFonts w:ascii="Arial" w:cs="Arial" w:eastAsia="Arial" w:hAnsi="Arial"/>
          <w:sz w:val="15"/>
          <w:szCs w:val="15"/>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148" w:lineRule="exact"/>
        <w:rPr>
          <w:rFonts w:ascii="Arial" w:cs="Arial" w:eastAsia="Arial" w:hAnsi="Arial"/>
          <w:sz w:val="15"/>
          <w:szCs w:val="15"/>
          <w:color w:val="auto"/>
        </w:rPr>
      </w:pPr>
    </w:p>
    <w:p>
      <w:pPr>
        <w:ind w:left="6" w:firstLine="860"/>
        <w:spacing w:after="0" w:line="275" w:lineRule="auto"/>
        <w:tabs>
          <w:tab w:leader="none" w:pos="1094" w:val="left"/>
        </w:tabs>
        <w:numPr>
          <w:ilvl w:val="2"/>
          <w:numId w:val="277"/>
        </w:numPr>
        <w:rPr>
          <w:rFonts w:ascii="Arial" w:cs="Arial" w:eastAsia="Arial" w:hAnsi="Arial"/>
          <w:sz w:val="15"/>
          <w:szCs w:val="15"/>
          <w:color w:val="auto"/>
        </w:rPr>
      </w:pPr>
      <w:r>
        <w:rPr>
          <w:rFonts w:ascii="Arial" w:cs="Arial" w:eastAsia="Arial" w:hAnsi="Arial"/>
          <w:sz w:val="15"/>
          <w:szCs w:val="15"/>
          <w:color w:val="auto"/>
        </w:rPr>
        <w:t xml:space="preserve">The termination of any Proceeding or of any claim, issue or matter therein, by judgment, order, settlement or conviction, or upon a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or its equivalent, shall not (except as otherwise expressly provided in this Agreement) of itself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52" w:lineRule="exact"/>
        <w:rPr>
          <w:rFonts w:ascii="Arial" w:cs="Arial" w:eastAsia="Arial" w:hAnsi="Arial"/>
          <w:sz w:val="15"/>
          <w:szCs w:val="15"/>
          <w:color w:val="auto"/>
        </w:rPr>
      </w:pPr>
    </w:p>
    <w:p>
      <w:pPr>
        <w:ind w:left="6" w:right="100" w:firstLine="860"/>
        <w:spacing w:after="0" w:line="266" w:lineRule="auto"/>
        <w:tabs>
          <w:tab w:leader="none" w:pos="1086" w:val="left"/>
        </w:tabs>
        <w:numPr>
          <w:ilvl w:val="2"/>
          <w:numId w:val="277"/>
        </w:numPr>
        <w:rPr>
          <w:rFonts w:ascii="Arial" w:cs="Arial" w:eastAsia="Arial" w:hAnsi="Arial"/>
          <w:sz w:val="16"/>
          <w:szCs w:val="16"/>
          <w:color w:val="auto"/>
        </w:rPr>
      </w:pPr>
      <w:r>
        <w:rPr>
          <w:rFonts w:ascii="Arial" w:cs="Arial" w:eastAsia="Arial" w:hAnsi="Arial"/>
          <w:sz w:val="16"/>
          <w:szCs w:val="16"/>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54" w:lineRule="exact"/>
        <w:rPr>
          <w:rFonts w:ascii="Arial" w:cs="Arial" w:eastAsia="Arial" w:hAnsi="Arial"/>
          <w:sz w:val="16"/>
          <w:szCs w:val="16"/>
          <w:color w:val="auto"/>
        </w:rPr>
      </w:pPr>
    </w:p>
    <w:p>
      <w:pPr>
        <w:ind w:left="626" w:hanging="242"/>
        <w:spacing w:after="0"/>
        <w:tabs>
          <w:tab w:leader="none" w:pos="626" w:val="left"/>
        </w:tabs>
        <w:numPr>
          <w:ilvl w:val="1"/>
          <w:numId w:val="277"/>
        </w:numPr>
        <w:rPr>
          <w:rFonts w:ascii="Arial" w:cs="Arial" w:eastAsia="Arial" w:hAnsi="Arial"/>
          <w:sz w:val="16"/>
          <w:szCs w:val="16"/>
          <w:color w:val="auto"/>
        </w:rPr>
      </w:pPr>
      <w:r>
        <w:rPr>
          <w:rFonts w:ascii="Arial" w:cs="Arial" w:eastAsia="Arial" w:hAnsi="Arial"/>
          <w:sz w:val="16"/>
          <w:szCs w:val="16"/>
          <w:b w:val="1"/>
          <w:bCs w:val="1"/>
          <w:color w:val="auto"/>
        </w:rPr>
        <w:t>Remedies of Indemnitee.</w:t>
      </w:r>
    </w:p>
    <w:p>
      <w:pPr>
        <w:spacing w:after="0" w:line="197" w:lineRule="exact"/>
        <w:rPr>
          <w:rFonts w:ascii="Arial" w:cs="Arial" w:eastAsia="Arial" w:hAnsi="Arial"/>
          <w:sz w:val="16"/>
          <w:szCs w:val="16"/>
          <w:color w:val="auto"/>
        </w:rPr>
      </w:pPr>
    </w:p>
    <w:p>
      <w:pPr>
        <w:ind w:left="6" w:right="140" w:firstLine="860"/>
        <w:spacing w:after="0" w:line="311" w:lineRule="auto"/>
        <w:tabs>
          <w:tab w:leader="none" w:pos="1086" w:val="left"/>
        </w:tabs>
        <w:numPr>
          <w:ilvl w:val="2"/>
          <w:numId w:val="277"/>
        </w:numPr>
        <w:rPr>
          <w:rFonts w:ascii="Arial" w:cs="Arial" w:eastAsia="Arial" w:hAnsi="Arial"/>
          <w:sz w:val="13"/>
          <w:szCs w:val="13"/>
          <w:color w:val="auto"/>
        </w:rPr>
      </w:pPr>
      <w:r>
        <w:rPr>
          <w:rFonts w:ascii="Arial" w:cs="Arial" w:eastAsia="Arial" w:hAnsi="Arial"/>
          <w:sz w:val="13"/>
          <w:szCs w:val="13"/>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w:t>
      </w:r>
    </w:p>
    <w:p>
      <w:pPr>
        <w:spacing w:after="0" w:line="1" w:lineRule="exact"/>
        <w:rPr>
          <w:rFonts w:ascii="Arial" w:cs="Arial" w:eastAsia="Arial" w:hAnsi="Arial"/>
          <w:sz w:val="13"/>
          <w:szCs w:val="13"/>
          <w:color w:val="auto"/>
        </w:rPr>
      </w:pPr>
    </w:p>
    <w:p>
      <w:pPr>
        <w:ind w:left="6" w:hanging="6"/>
        <w:spacing w:after="0" w:line="302" w:lineRule="auto"/>
        <w:tabs>
          <w:tab w:leader="none" w:pos="281" w:val="left"/>
        </w:tabs>
        <w:numPr>
          <w:ilvl w:val="0"/>
          <w:numId w:val="278"/>
        </w:numPr>
        <w:rPr>
          <w:rFonts w:ascii="Arial" w:cs="Arial" w:eastAsia="Arial" w:hAnsi="Arial"/>
          <w:sz w:val="13"/>
          <w:szCs w:val="13"/>
          <w:color w:val="auto"/>
        </w:rPr>
      </w:pPr>
      <w:r>
        <w:rPr>
          <w:rFonts w:ascii="Arial" w:cs="Arial" w:eastAsia="Arial" w:hAnsi="Arial"/>
          <w:sz w:val="13"/>
          <w:szCs w:val="13"/>
          <w:color w:val="auto"/>
        </w:rPr>
        <w:t>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w:t>
      </w:r>
    </w:p>
    <w:p>
      <w:pPr>
        <w:spacing w:after="0" w:line="2" w:lineRule="exact"/>
        <w:rPr>
          <w:rFonts w:ascii="Arial" w:cs="Arial" w:eastAsia="Arial" w:hAnsi="Arial"/>
          <w:sz w:val="13"/>
          <w:szCs w:val="13"/>
          <w:color w:val="auto"/>
        </w:rPr>
      </w:pPr>
    </w:p>
    <w:p>
      <w:pPr>
        <w:ind w:left="6" w:right="40" w:hanging="6"/>
        <w:spacing w:after="0" w:line="310" w:lineRule="auto"/>
        <w:tabs>
          <w:tab w:leader="none" w:pos="229" w:val="left"/>
        </w:tabs>
        <w:numPr>
          <w:ilvl w:val="0"/>
          <w:numId w:val="279"/>
        </w:numPr>
        <w:rPr>
          <w:rFonts w:ascii="Arial" w:cs="Arial" w:eastAsia="Arial" w:hAnsi="Arial"/>
          <w:sz w:val="13"/>
          <w:szCs w:val="13"/>
          <w:color w:val="auto"/>
        </w:rPr>
      </w:pPr>
      <w:r>
        <w:rPr>
          <w:rFonts w:ascii="Arial" w:cs="Arial" w:eastAsia="Arial" w:hAnsi="Arial"/>
          <w:sz w:val="13"/>
          <w:szCs w:val="13"/>
          <w:color w:val="auto"/>
        </w:rPr>
        <w:t xml:space="preserve">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137" w:lineRule="exact"/>
        <w:rPr>
          <w:rFonts w:ascii="Arial" w:cs="Arial" w:eastAsia="Arial" w:hAnsi="Arial"/>
          <w:sz w:val="13"/>
          <w:szCs w:val="13"/>
          <w:color w:val="auto"/>
        </w:rPr>
      </w:pPr>
    </w:p>
    <w:p>
      <w:pPr>
        <w:ind w:left="6" w:firstLine="860"/>
        <w:spacing w:after="0" w:line="270" w:lineRule="auto"/>
        <w:tabs>
          <w:tab w:leader="none" w:pos="1094" w:val="left"/>
        </w:tabs>
        <w:numPr>
          <w:ilvl w:val="2"/>
          <w:numId w:val="279"/>
        </w:numPr>
        <w:rPr>
          <w:rFonts w:ascii="Arial" w:cs="Arial" w:eastAsia="Arial" w:hAnsi="Arial"/>
          <w:sz w:val="15"/>
          <w:szCs w:val="15"/>
          <w:color w:val="auto"/>
        </w:rPr>
      </w:pPr>
      <w:r>
        <w:rPr>
          <w:rFonts w:ascii="Arial" w:cs="Arial" w:eastAsia="Arial" w:hAnsi="Arial"/>
          <w:sz w:val="15"/>
          <w:szCs w:val="15"/>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w:t>
      </w:r>
    </w:p>
    <w:p>
      <w:pPr>
        <w:spacing w:after="0" w:line="97"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586"/>
          </w:cols>
          <w:pgMar w:left="1134" w:top="252" w:right="1179" w:bottom="1440" w:gutter="0" w:footer="0" w:header="0"/>
        </w:sectPr>
      </w:pPr>
    </w:p>
    <w:bookmarkStart w:id="445" w:name="page446"/>
    <w:bookmarkEnd w:id="445"/>
    <w:p>
      <w:pPr>
        <w:ind w:left="6"/>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commenced pursuant to this Section 12 shall be conducted in all respects as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w:t>
      </w:r>
    </w:p>
    <w:p>
      <w:pPr>
        <w:spacing w:after="0" w:line="167" w:lineRule="exact"/>
        <w:rPr>
          <w:sz w:val="20"/>
          <w:szCs w:val="20"/>
          <w:color w:val="auto"/>
        </w:rPr>
      </w:pPr>
    </w:p>
    <w:p>
      <w:pPr>
        <w:ind w:left="6" w:firstLine="860"/>
        <w:spacing w:after="0" w:line="305" w:lineRule="auto"/>
        <w:tabs>
          <w:tab w:leader="none" w:pos="1086" w:val="left"/>
        </w:tabs>
        <w:numPr>
          <w:ilvl w:val="2"/>
          <w:numId w:val="280"/>
        </w:numPr>
        <w:rPr>
          <w:rFonts w:ascii="Arial" w:cs="Arial" w:eastAsia="Arial" w:hAnsi="Arial"/>
          <w:sz w:val="13"/>
          <w:szCs w:val="13"/>
          <w:color w:val="auto"/>
        </w:rPr>
      </w:pPr>
      <w:r>
        <w:rPr>
          <w:rFonts w:ascii="Arial" w:cs="Arial" w:eastAsia="Arial" w:hAnsi="Arial"/>
          <w:sz w:val="13"/>
          <w:szCs w:val="13"/>
          <w:color w:val="auto"/>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statements not materially misleading, in connection with the request for indemnification, or</w:t>
      </w:r>
    </w:p>
    <w:p>
      <w:pPr>
        <w:spacing w:after="0" w:line="3" w:lineRule="exact"/>
        <w:rPr>
          <w:rFonts w:ascii="Arial" w:cs="Arial" w:eastAsia="Arial" w:hAnsi="Arial"/>
          <w:sz w:val="13"/>
          <w:szCs w:val="13"/>
          <w:color w:val="auto"/>
        </w:rPr>
      </w:pPr>
    </w:p>
    <w:p>
      <w:pPr>
        <w:ind w:left="226" w:hanging="226"/>
        <w:spacing w:after="0"/>
        <w:tabs>
          <w:tab w:leader="none" w:pos="22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prohibition of such indemnification under applicable law.</w:t>
      </w:r>
    </w:p>
    <w:p>
      <w:pPr>
        <w:spacing w:after="0" w:line="181" w:lineRule="exact"/>
        <w:rPr>
          <w:rFonts w:ascii="Arial" w:cs="Arial" w:eastAsia="Arial" w:hAnsi="Arial"/>
          <w:sz w:val="16"/>
          <w:szCs w:val="16"/>
          <w:color w:val="auto"/>
        </w:rPr>
      </w:pPr>
    </w:p>
    <w:p>
      <w:pPr>
        <w:ind w:left="6" w:right="40" w:firstLine="860"/>
        <w:spacing w:after="0" w:line="251" w:lineRule="auto"/>
        <w:tabs>
          <w:tab w:leader="none" w:pos="1094" w:val="left"/>
        </w:tabs>
        <w:numPr>
          <w:ilvl w:val="2"/>
          <w:numId w:val="281"/>
        </w:numPr>
        <w:rPr>
          <w:rFonts w:ascii="Arial" w:cs="Arial" w:eastAsia="Arial" w:hAnsi="Arial"/>
          <w:sz w:val="16"/>
          <w:szCs w:val="16"/>
          <w:color w:val="auto"/>
        </w:rPr>
      </w:pPr>
      <w:r>
        <w:rPr>
          <w:rFonts w:ascii="Arial" w:cs="Arial" w:eastAsia="Arial" w:hAnsi="Arial"/>
          <w:sz w:val="16"/>
          <w:szCs w:val="16"/>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169" w:lineRule="exact"/>
        <w:rPr>
          <w:rFonts w:ascii="Arial" w:cs="Arial" w:eastAsia="Arial" w:hAnsi="Arial"/>
          <w:sz w:val="16"/>
          <w:szCs w:val="16"/>
          <w:color w:val="auto"/>
        </w:rPr>
      </w:pPr>
    </w:p>
    <w:p>
      <w:pPr>
        <w:ind w:left="6" w:right="100" w:firstLine="860"/>
        <w:spacing w:after="0" w:line="266" w:lineRule="auto"/>
        <w:tabs>
          <w:tab w:leader="none" w:pos="1086" w:val="left"/>
        </w:tabs>
        <w:numPr>
          <w:ilvl w:val="2"/>
          <w:numId w:val="281"/>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no determination as to entitlement to indemnification shall be required to be made prior to the final disposition of the Proceeding.</w:t>
      </w:r>
    </w:p>
    <w:p>
      <w:pPr>
        <w:spacing w:after="0" w:line="154" w:lineRule="exact"/>
        <w:rPr>
          <w:rFonts w:ascii="Arial" w:cs="Arial" w:eastAsia="Arial" w:hAnsi="Arial"/>
          <w:sz w:val="16"/>
          <w:szCs w:val="16"/>
          <w:color w:val="auto"/>
        </w:rPr>
      </w:pPr>
    </w:p>
    <w:p>
      <w:pPr>
        <w:ind w:left="6" w:right="160" w:firstLine="378"/>
        <w:spacing w:after="0" w:line="320" w:lineRule="auto"/>
        <w:tabs>
          <w:tab w:leader="none" w:pos="626" w:val="left"/>
        </w:tabs>
        <w:numPr>
          <w:ilvl w:val="1"/>
          <w:numId w:val="281"/>
        </w:numPr>
        <w:rPr>
          <w:rFonts w:ascii="Arial" w:cs="Arial" w:eastAsia="Arial" w:hAnsi="Arial"/>
          <w:sz w:val="13"/>
          <w:szCs w:val="13"/>
          <w:color w:val="auto"/>
        </w:rPr>
      </w:pPr>
      <w:r>
        <w:rPr>
          <w:rFonts w:ascii="Arial" w:cs="Arial" w:eastAsia="Arial" w:hAnsi="Arial"/>
          <w:sz w:val="13"/>
          <w:szCs w:val="13"/>
          <w:b w:val="1"/>
          <w:bCs w:val="1"/>
          <w:color w:val="auto"/>
        </w:rPr>
        <w:t xml:space="preserve">Contribution. </w:t>
      </w:r>
      <w:r>
        <w:rPr>
          <w:rFonts w:ascii="Arial" w:cs="Arial" w:eastAsia="Arial" w:hAnsi="Arial"/>
          <w:sz w:val="13"/>
          <w:szCs w:val="13"/>
          <w:color w:val="auto"/>
        </w:rPr>
        <w:t>To the fullest extent permissible under applicable law, if the indemnification provided for in this Agreement is unavailable to</w:t>
      </w:r>
      <w:r>
        <w:rPr>
          <w:rFonts w:ascii="Arial" w:cs="Arial" w:eastAsia="Arial" w:hAnsi="Arial"/>
          <w:sz w:val="13"/>
          <w:szCs w:val="13"/>
          <w:b w:val="1"/>
          <w:bCs w:val="1"/>
          <w:color w:val="auto"/>
        </w:rPr>
        <w:t xml:space="preserve"> </w:t>
      </w:r>
      <w:r>
        <w:rPr>
          <w:rFonts w:ascii="Arial" w:cs="Arial" w:eastAsia="Arial" w:hAnsi="Arial"/>
          <w:sz w:val="13"/>
          <w:szCs w:val="13"/>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24" w:lineRule="exact"/>
        <w:rPr>
          <w:rFonts w:ascii="Arial" w:cs="Arial" w:eastAsia="Arial" w:hAnsi="Arial"/>
          <w:sz w:val="13"/>
          <w:szCs w:val="13"/>
          <w:color w:val="auto"/>
        </w:rPr>
      </w:pPr>
    </w:p>
    <w:p>
      <w:pPr>
        <w:ind w:left="6" w:right="60" w:firstLine="378"/>
        <w:spacing w:after="0" w:line="313" w:lineRule="auto"/>
        <w:tabs>
          <w:tab w:leader="none" w:pos="626" w:val="left"/>
        </w:tabs>
        <w:numPr>
          <w:ilvl w:val="1"/>
          <w:numId w:val="281"/>
        </w:numPr>
        <w:rPr>
          <w:rFonts w:ascii="Arial" w:cs="Arial" w:eastAsia="Arial" w:hAnsi="Arial"/>
          <w:sz w:val="13"/>
          <w:szCs w:val="13"/>
          <w:color w:val="auto"/>
        </w:rPr>
      </w:pPr>
      <w:r>
        <w:rPr>
          <w:rFonts w:ascii="Arial" w:cs="Arial" w:eastAsia="Arial" w:hAnsi="Arial"/>
          <w:sz w:val="13"/>
          <w:szCs w:val="13"/>
          <w:b w:val="1"/>
          <w:bCs w:val="1"/>
          <w:color w:val="auto"/>
        </w:rPr>
        <w:t xml:space="preserve">Non-exclusivity. </w:t>
      </w:r>
      <w:r>
        <w:rPr>
          <w:rFonts w:ascii="Arial" w:cs="Arial" w:eastAsia="Arial" w:hAnsi="Arial"/>
          <w:sz w:val="13"/>
          <w:szCs w:val="13"/>
          <w:color w:val="auto"/>
        </w:rPr>
        <w:t>The rights of indemnification and to receive advancement of Expenses as provided by this Agreement shall not be deemed</w:t>
      </w:r>
      <w:r>
        <w:rPr>
          <w:rFonts w:ascii="Arial" w:cs="Arial" w:eastAsia="Arial" w:hAnsi="Arial"/>
          <w:sz w:val="13"/>
          <w:szCs w:val="13"/>
          <w:b w:val="1"/>
          <w:bCs w:val="1"/>
          <w:color w:val="auto"/>
        </w:rPr>
        <w:t xml:space="preserve"> </w:t>
      </w:r>
      <w:r>
        <w:rPr>
          <w:rFonts w:ascii="Arial" w:cs="Arial" w:eastAsia="Arial" w:hAnsi="Arial"/>
          <w:sz w:val="13"/>
          <w:szCs w:val="13"/>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77"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586"/>
          </w:cols>
          <w:pgMar w:left="1134" w:top="256" w:right="1179" w:bottom="1440" w:gutter="0" w:footer="0" w:header="0"/>
        </w:sectPr>
      </w:pPr>
    </w:p>
    <w:bookmarkStart w:id="446" w:name="page447"/>
    <w:bookmarkEnd w:id="446"/>
    <w:p>
      <w:pPr>
        <w:ind w:left="-40" w:firstLine="378"/>
        <w:spacing w:after="0" w:line="309" w:lineRule="auto"/>
        <w:tabs>
          <w:tab w:leader="none" w:pos="580" w:val="left"/>
        </w:tabs>
        <w:numPr>
          <w:ilvl w:val="0"/>
          <w:numId w:val="282"/>
        </w:numPr>
        <w:rPr>
          <w:rFonts w:ascii="Arial" w:cs="Arial" w:eastAsia="Arial" w:hAnsi="Arial"/>
          <w:sz w:val="13"/>
          <w:szCs w:val="13"/>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Primary Responsibility. </w:t>
      </w:r>
      <w:r>
        <w:rPr>
          <w:rFonts w:ascii="Arial" w:cs="Arial" w:eastAsia="Arial" w:hAnsi="Arial"/>
          <w:sz w:val="13"/>
          <w:szCs w:val="13"/>
          <w:color w:val="auto"/>
        </w:rPr>
        <w:t>The Company acknowledges that to the extent Indemnitee is serving as a director on the Company’s board of</w:t>
      </w:r>
      <w:r>
        <w:rPr>
          <w:rFonts w:ascii="Arial" w:cs="Arial" w:eastAsia="Arial" w:hAnsi="Arial"/>
          <w:sz w:val="13"/>
          <w:szCs w:val="13"/>
          <w:b w:val="1"/>
          <w:bCs w:val="1"/>
          <w:color w:val="auto"/>
        </w:rPr>
        <w:t xml:space="preserve"> </w:t>
      </w:r>
      <w:r>
        <w:rPr>
          <w:rFonts w:ascii="Arial" w:cs="Arial" w:eastAsia="Arial" w:hAnsi="Arial"/>
          <w:sz w:val="13"/>
          <w:szCs w:val="13"/>
          <w:color w:val="auto"/>
        </w:rPr>
        <w:t>directors at the request or direction of a venture capital fund or other entity and/or certain of its affiliates (collectively, the “</w:t>
      </w:r>
      <w:r>
        <w:rPr>
          <w:rFonts w:ascii="Arial" w:cs="Arial" w:eastAsia="Arial" w:hAnsi="Arial"/>
          <w:sz w:val="13"/>
          <w:szCs w:val="13"/>
          <w:b w:val="1"/>
          <w:bCs w:val="1"/>
          <w:i w:val="1"/>
          <w:iCs w:val="1"/>
          <w:color w:val="auto"/>
        </w:rPr>
        <w:t>Secondary Indemnitors</w:t>
      </w:r>
      <w:r>
        <w:rPr>
          <w:rFonts w:ascii="Arial" w:cs="Arial" w:eastAsia="Arial" w:hAnsi="Arial"/>
          <w:sz w:val="13"/>
          <w:szCs w:val="13"/>
          <w:color w:val="auto"/>
        </w:rPr>
        <w:t>”),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327" w:lineRule="exact"/>
        <w:rPr>
          <w:rFonts w:ascii="Arial" w:cs="Arial" w:eastAsia="Arial" w:hAnsi="Arial"/>
          <w:sz w:val="13"/>
          <w:szCs w:val="13"/>
          <w:color w:val="auto"/>
        </w:rPr>
      </w:pPr>
    </w:p>
    <w:p>
      <w:pPr>
        <w:ind w:left="-40" w:firstLine="378"/>
        <w:spacing w:after="0" w:line="259" w:lineRule="auto"/>
        <w:tabs>
          <w:tab w:leader="none" w:pos="580"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 xml:space="preserve">No Duplication of Payments. </w:t>
      </w:r>
      <w:r>
        <w:rPr>
          <w:rFonts w:ascii="Arial" w:cs="Arial" w:eastAsia="Arial" w:hAnsi="Arial"/>
          <w:sz w:val="16"/>
          <w:szCs w:val="16"/>
          <w:color w:val="auto"/>
        </w:rPr>
        <w:t>The Company shall not be liable under this Agreement to make any payment of amounts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58" w:lineRule="exact"/>
        <w:rPr>
          <w:rFonts w:ascii="Arial" w:cs="Arial" w:eastAsia="Arial" w:hAnsi="Arial"/>
          <w:sz w:val="16"/>
          <w:szCs w:val="16"/>
          <w:color w:val="auto"/>
        </w:rPr>
      </w:pPr>
    </w:p>
    <w:p>
      <w:pPr>
        <w:ind w:left="-40" w:firstLine="378"/>
        <w:spacing w:after="0" w:line="346" w:lineRule="auto"/>
        <w:tabs>
          <w:tab w:leader="none" w:pos="580" w:val="left"/>
        </w:tabs>
        <w:numPr>
          <w:ilvl w:val="0"/>
          <w:numId w:val="282"/>
        </w:numPr>
        <w:rPr>
          <w:rFonts w:ascii="Arial" w:cs="Arial" w:eastAsia="Arial" w:hAnsi="Arial"/>
          <w:sz w:val="13"/>
          <w:szCs w:val="13"/>
          <w:color w:val="auto"/>
        </w:rPr>
      </w:pPr>
      <w:r>
        <w:rPr>
          <w:rFonts w:ascii="Arial" w:cs="Arial" w:eastAsia="Arial" w:hAnsi="Arial"/>
          <w:sz w:val="13"/>
          <w:szCs w:val="13"/>
          <w:b w:val="1"/>
          <w:bCs w:val="1"/>
          <w:color w:val="auto"/>
        </w:rPr>
        <w:t xml:space="preserve">Insurance. </w:t>
      </w:r>
      <w:r>
        <w:rPr>
          <w:rFonts w:ascii="Arial" w:cs="Arial" w:eastAsia="Arial" w:hAnsi="Arial"/>
          <w:sz w:val="13"/>
          <w:szCs w:val="13"/>
          <w:color w:val="auto"/>
        </w:rPr>
        <w:t>To the extent that the Company maintains an insurance policy or policies providing liability insurance for directors, trustees,</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07" w:lineRule="exact"/>
        <w:rPr>
          <w:rFonts w:ascii="Arial" w:cs="Arial" w:eastAsia="Arial" w:hAnsi="Arial"/>
          <w:sz w:val="13"/>
          <w:szCs w:val="13"/>
          <w:color w:val="auto"/>
        </w:rPr>
      </w:pPr>
    </w:p>
    <w:p>
      <w:pPr>
        <w:ind w:left="-40" w:right="60" w:firstLine="378"/>
        <w:spacing w:after="0" w:line="259" w:lineRule="auto"/>
        <w:tabs>
          <w:tab w:leader="none" w:pos="580"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 xml:space="preserve">Subrogation. </w:t>
      </w:r>
      <w:r>
        <w:rPr>
          <w:rFonts w:ascii="Arial" w:cs="Arial" w:eastAsia="Arial" w:hAnsi="Arial"/>
          <w:sz w:val="16"/>
          <w:szCs w:val="16"/>
          <w:color w:val="auto"/>
        </w:rPr>
        <w:t>In the event of any payment under this Agreement, the Company shall be subrogated to the extent of such payment to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158" w:lineRule="exact"/>
        <w:rPr>
          <w:rFonts w:ascii="Arial" w:cs="Arial" w:eastAsia="Arial" w:hAnsi="Arial"/>
          <w:sz w:val="16"/>
          <w:szCs w:val="16"/>
          <w:color w:val="auto"/>
        </w:rPr>
      </w:pPr>
    </w:p>
    <w:p>
      <w:pPr>
        <w:ind w:left="-40" w:right="40" w:firstLine="378"/>
        <w:spacing w:after="0" w:line="316" w:lineRule="auto"/>
        <w:tabs>
          <w:tab w:leader="none" w:pos="580" w:val="left"/>
        </w:tabs>
        <w:numPr>
          <w:ilvl w:val="0"/>
          <w:numId w:val="282"/>
        </w:numPr>
        <w:rPr>
          <w:rFonts w:ascii="Arial" w:cs="Arial" w:eastAsia="Arial" w:hAnsi="Arial"/>
          <w:sz w:val="13"/>
          <w:szCs w:val="13"/>
          <w:color w:val="auto"/>
        </w:rPr>
      </w:pPr>
      <w:r>
        <w:rPr>
          <w:rFonts w:ascii="Arial" w:cs="Arial" w:eastAsia="Arial" w:hAnsi="Arial"/>
          <w:sz w:val="13"/>
          <w:szCs w:val="13"/>
          <w:b w:val="1"/>
          <w:bCs w:val="1"/>
          <w:color w:val="auto"/>
        </w:rPr>
        <w:t xml:space="preserve">Services to the Company. </w:t>
      </w:r>
      <w:r>
        <w:rPr>
          <w:rFonts w:ascii="Arial" w:cs="Arial" w:eastAsia="Arial" w:hAnsi="Arial"/>
          <w:sz w:val="13"/>
          <w:szCs w:val="13"/>
          <w:color w:val="auto"/>
        </w:rPr>
        <w:t>Indemnitee agrees to serve as a director or officer of the Company or, at the request of the Company, as a director,</w:t>
      </w:r>
      <w:r>
        <w:rPr>
          <w:rFonts w:ascii="Arial" w:cs="Arial" w:eastAsia="Arial" w:hAnsi="Arial"/>
          <w:sz w:val="13"/>
          <w:szCs w:val="13"/>
          <w:b w:val="1"/>
          <w:bCs w:val="1"/>
          <w:color w:val="auto"/>
        </w:rPr>
        <w:t xml:space="preserve"> </w:t>
      </w:r>
      <w:r>
        <w:rPr>
          <w:rFonts w:ascii="Arial" w:cs="Arial" w:eastAsia="Arial" w:hAnsi="Arial"/>
          <w:sz w:val="13"/>
          <w:szCs w:val="13"/>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520"/>
          </w:cols>
          <w:pgMar w:left="1180" w:top="252" w:right="1199" w:bottom="1440" w:gutter="0" w:footer="0" w:header="0"/>
        </w:sectPr>
      </w:pPr>
    </w:p>
    <w:bookmarkStart w:id="447" w:name="page448"/>
    <w:bookmarkEnd w:id="447"/>
    <w:p>
      <w:pPr>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62" w:lineRule="exact"/>
        <w:rPr>
          <w:sz w:val="20"/>
          <w:szCs w:val="20"/>
          <w:color w:val="auto"/>
        </w:rPr>
      </w:pPr>
    </w:p>
    <w:p>
      <w:pPr>
        <w:ind w:right="80" w:firstLine="378"/>
        <w:spacing w:after="0" w:line="252" w:lineRule="auto"/>
        <w:tabs>
          <w:tab w:leader="none" w:pos="620"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Duration. </w:t>
      </w:r>
      <w:r>
        <w:rPr>
          <w:rFonts w:ascii="Arial" w:cs="Arial" w:eastAsia="Arial" w:hAnsi="Arial"/>
          <w:sz w:val="16"/>
          <w:szCs w:val="16"/>
          <w:color w:val="auto"/>
        </w:rPr>
        <w:t>This Agreement shall continue until and terminate upon the later of (a) ten years after the date that Indemnitee shall have ceased to</w:t>
      </w:r>
      <w:r>
        <w:rPr>
          <w:rFonts w:ascii="Arial" w:cs="Arial" w:eastAsia="Arial" w:hAnsi="Arial"/>
          <w:sz w:val="16"/>
          <w:szCs w:val="16"/>
          <w:b w:val="1"/>
          <w:bCs w:val="1"/>
          <w:color w:val="auto"/>
        </w:rPr>
        <w:t xml:space="preserve"> </w:t>
      </w:r>
      <w:r>
        <w:rPr>
          <w:rFonts w:ascii="Arial" w:cs="Arial" w:eastAsia="Arial" w:hAnsi="Arial"/>
          <w:sz w:val="16"/>
          <w:szCs w:val="16"/>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65" w:lineRule="exact"/>
        <w:rPr>
          <w:rFonts w:ascii="Arial" w:cs="Arial" w:eastAsia="Arial" w:hAnsi="Arial"/>
          <w:sz w:val="16"/>
          <w:szCs w:val="16"/>
          <w:color w:val="auto"/>
        </w:rPr>
      </w:pPr>
    </w:p>
    <w:p>
      <w:pPr>
        <w:ind w:right="80" w:firstLine="378"/>
        <w:spacing w:after="0" w:line="251" w:lineRule="auto"/>
        <w:tabs>
          <w:tab w:leader="none" w:pos="620"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Successors. </w:t>
      </w:r>
      <w:r>
        <w:rPr>
          <w:rFonts w:ascii="Arial" w:cs="Arial" w:eastAsia="Arial" w:hAnsi="Arial"/>
          <w:sz w:val="16"/>
          <w:szCs w:val="16"/>
          <w:color w:val="auto"/>
        </w:rPr>
        <w:t>This Agreement shall be binding upon the Company and its successors and assigns, including any direct or indirect successor, by</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65" w:lineRule="exact"/>
        <w:rPr>
          <w:rFonts w:ascii="Arial" w:cs="Arial" w:eastAsia="Arial" w:hAnsi="Arial"/>
          <w:sz w:val="16"/>
          <w:szCs w:val="16"/>
          <w:color w:val="auto"/>
        </w:rPr>
      </w:pPr>
    </w:p>
    <w:p>
      <w:pPr>
        <w:ind w:right="100" w:firstLine="378"/>
        <w:spacing w:after="0" w:line="267" w:lineRule="auto"/>
        <w:tabs>
          <w:tab w:leader="none" w:pos="620" w:val="left"/>
        </w:tabs>
        <w:numPr>
          <w:ilvl w:val="0"/>
          <w:numId w:val="283"/>
        </w:numPr>
        <w:rPr>
          <w:rFonts w:ascii="Arial" w:cs="Arial" w:eastAsia="Arial" w:hAnsi="Arial"/>
          <w:sz w:val="15"/>
          <w:szCs w:val="15"/>
          <w:color w:val="auto"/>
        </w:rPr>
      </w:pPr>
      <w:r>
        <w:rPr>
          <w:rFonts w:ascii="Arial" w:cs="Arial" w:eastAsia="Arial" w:hAnsi="Arial"/>
          <w:sz w:val="15"/>
          <w:szCs w:val="15"/>
          <w:b w:val="1"/>
          <w:bCs w:val="1"/>
          <w:color w:val="auto"/>
        </w:rPr>
        <w:t xml:space="preserve">Severability. </w:t>
      </w:r>
      <w:r>
        <w:rPr>
          <w:rFonts w:ascii="Arial" w:cs="Arial" w:eastAsia="Arial" w:hAnsi="Arial"/>
          <w:sz w:val="15"/>
          <w:szCs w:val="15"/>
          <w:color w:val="auto"/>
        </w:rPr>
        <w:t>Nothing in this Agreement is intended to require or shall be construed as requiring the Company to do or fail to do any act in</w:t>
      </w:r>
      <w:r>
        <w:rPr>
          <w:rFonts w:ascii="Arial" w:cs="Arial" w:eastAsia="Arial" w:hAnsi="Arial"/>
          <w:sz w:val="15"/>
          <w:szCs w:val="15"/>
          <w:b w:val="1"/>
          <w:bCs w:val="1"/>
          <w:color w:val="auto"/>
        </w:rPr>
        <w:t xml:space="preserve"> </w:t>
      </w:r>
      <w:r>
        <w:rPr>
          <w:rFonts w:ascii="Arial" w:cs="Arial" w:eastAsia="Arial" w:hAnsi="Arial"/>
          <w:sz w:val="15"/>
          <w:szCs w:val="15"/>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56" w:lineRule="exact"/>
        <w:rPr>
          <w:rFonts w:ascii="Arial" w:cs="Arial" w:eastAsia="Arial" w:hAnsi="Arial"/>
          <w:sz w:val="15"/>
          <w:szCs w:val="15"/>
          <w:color w:val="auto"/>
        </w:rPr>
      </w:pPr>
    </w:p>
    <w:p>
      <w:pPr>
        <w:ind w:right="60" w:firstLine="378"/>
        <w:spacing w:after="0" w:line="259" w:lineRule="auto"/>
        <w:tabs>
          <w:tab w:leader="none" w:pos="620"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The Company expressly confirms and agrees that it has entered into this Agreement and assumed the obligations imposed on it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in order to induce Indemnitee to serve as a director or officer of the Company, and the Company acknowledges that Indemnitee is relying upon this Agreement in serving as a director or officer of the Company.</w:t>
      </w:r>
    </w:p>
    <w:p>
      <w:pPr>
        <w:spacing w:after="0" w:line="158" w:lineRule="exact"/>
        <w:rPr>
          <w:rFonts w:ascii="Arial" w:cs="Arial" w:eastAsia="Arial" w:hAnsi="Arial"/>
          <w:sz w:val="16"/>
          <w:szCs w:val="16"/>
          <w:color w:val="auto"/>
        </w:rPr>
      </w:pPr>
    </w:p>
    <w:p>
      <w:pPr>
        <w:ind w:right="140" w:firstLine="378"/>
        <w:spacing w:after="0" w:line="332" w:lineRule="auto"/>
        <w:tabs>
          <w:tab w:leader="none" w:pos="620" w:val="left"/>
        </w:tabs>
        <w:numPr>
          <w:ilvl w:val="0"/>
          <w:numId w:val="283"/>
        </w:numPr>
        <w:rPr>
          <w:rFonts w:ascii="Arial" w:cs="Arial" w:eastAsia="Arial" w:hAnsi="Arial"/>
          <w:sz w:val="13"/>
          <w:szCs w:val="13"/>
          <w:color w:val="auto"/>
        </w:rPr>
      </w:pPr>
      <w:r>
        <w:rPr>
          <w:rFonts w:ascii="Arial" w:cs="Arial" w:eastAsia="Arial" w:hAnsi="Arial"/>
          <w:sz w:val="13"/>
          <w:szCs w:val="13"/>
          <w:b w:val="1"/>
          <w:bCs w:val="1"/>
          <w:color w:val="auto"/>
        </w:rPr>
        <w:t xml:space="preserve">Entire Agreement. </w:t>
      </w:r>
      <w:r>
        <w:rPr>
          <w:rFonts w:ascii="Arial" w:cs="Arial" w:eastAsia="Arial" w:hAnsi="Arial"/>
          <w:sz w:val="13"/>
          <w:szCs w:val="13"/>
          <w:color w:val="auto"/>
        </w:rPr>
        <w:t>This Agreement constitutes the entire agreement between the parties hereto with respect to the subject matter hereof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supersedes all prior agreements and understandings, oral, written and implied, between the parties hereto with respect to the subject matter hereof, including any indemnification agreement previously entered into by and between the Indemnitee and the Company;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this Agreement is a supplement to and in furtherance of the Company’s certificate of incorporation and bylaws and applicable law.</w:t>
      </w:r>
    </w:p>
    <w:p>
      <w:pPr>
        <w:spacing w:after="0" w:line="115" w:lineRule="exact"/>
        <w:rPr>
          <w:rFonts w:ascii="Arial" w:cs="Arial" w:eastAsia="Arial" w:hAnsi="Arial"/>
          <w:sz w:val="13"/>
          <w:szCs w:val="13"/>
          <w:color w:val="auto"/>
        </w:rPr>
      </w:pPr>
    </w:p>
    <w:p>
      <w:pPr>
        <w:ind w:right="140" w:firstLine="378"/>
        <w:spacing w:after="0" w:line="272" w:lineRule="auto"/>
        <w:tabs>
          <w:tab w:leader="none" w:pos="620"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Modification and Waiver. </w:t>
      </w:r>
      <w:r>
        <w:rPr>
          <w:rFonts w:ascii="Arial" w:cs="Arial" w:eastAsia="Arial" w:hAnsi="Arial"/>
          <w:sz w:val="16"/>
          <w:szCs w:val="16"/>
          <w:color w:val="auto"/>
        </w:rPr>
        <w:t>No supplement, modification or amendment to this Agreement shall be binding unless executed in writing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No amendment, alteration or repeal of this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600"/>
          </w:cols>
          <w:pgMar w:left="1140" w:top="256" w:right="1159" w:bottom="1440" w:gutter="0" w:footer="0" w:header="0"/>
        </w:sectPr>
      </w:pPr>
    </w:p>
    <w:bookmarkStart w:id="448" w:name="page449"/>
    <w:bookmarkEnd w:id="448"/>
    <w:p>
      <w:pPr>
        <w:ind w:left="6" w:right="2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45" w:lineRule="exact"/>
        <w:rPr>
          <w:sz w:val="20"/>
          <w:szCs w:val="20"/>
          <w:color w:val="auto"/>
        </w:rPr>
      </w:pPr>
    </w:p>
    <w:p>
      <w:pPr>
        <w:ind w:left="6" w:right="520" w:firstLine="378"/>
        <w:spacing w:after="0" w:line="390" w:lineRule="auto"/>
        <w:tabs>
          <w:tab w:leader="none" w:pos="626" w:val="left"/>
        </w:tabs>
        <w:numPr>
          <w:ilvl w:val="0"/>
          <w:numId w:val="284"/>
        </w:numPr>
        <w:rPr>
          <w:rFonts w:ascii="Arial" w:cs="Arial" w:eastAsia="Arial" w:hAnsi="Arial"/>
          <w:sz w:val="13"/>
          <w:szCs w:val="13"/>
          <w:color w:val="auto"/>
        </w:rPr>
      </w:pPr>
      <w:r>
        <w:rPr>
          <w:rFonts w:ascii="Arial" w:cs="Arial" w:eastAsia="Arial" w:hAnsi="Arial"/>
          <w:sz w:val="13"/>
          <w:szCs w:val="13"/>
          <w:b w:val="1"/>
          <w:bCs w:val="1"/>
          <w:color w:val="auto"/>
        </w:rPr>
        <w:t xml:space="preserve">Notices. </w:t>
      </w:r>
      <w:r>
        <w:rPr>
          <w:rFonts w:ascii="Arial" w:cs="Arial" w:eastAsia="Arial" w:hAnsi="Arial"/>
          <w:sz w:val="13"/>
          <w:szCs w:val="13"/>
          <w:color w:val="auto"/>
        </w:rPr>
        <w:t>All notices and other communications required or permitted hereunder shall be in writing and shall be mailed by registered or</w:t>
      </w:r>
      <w:r>
        <w:rPr>
          <w:rFonts w:ascii="Arial" w:cs="Arial" w:eastAsia="Arial" w:hAnsi="Arial"/>
          <w:sz w:val="13"/>
          <w:szCs w:val="13"/>
          <w:b w:val="1"/>
          <w:bCs w:val="1"/>
          <w:color w:val="auto"/>
        </w:rPr>
        <w:t xml:space="preserve"> </w:t>
      </w:r>
      <w:r>
        <w:rPr>
          <w:rFonts w:ascii="Arial" w:cs="Arial" w:eastAsia="Arial" w:hAnsi="Arial"/>
          <w:sz w:val="13"/>
          <w:szCs w:val="13"/>
          <w:color w:val="auto"/>
        </w:rPr>
        <w:t>certified mail, postage prepaid, sent by facsimile or electronic mail or otherwise delivered by hand, messenger or courier service addressed:</w:t>
      </w:r>
    </w:p>
    <w:p>
      <w:pPr>
        <w:spacing w:after="0" w:line="84" w:lineRule="exact"/>
        <w:rPr>
          <w:rFonts w:ascii="Arial" w:cs="Arial" w:eastAsia="Arial" w:hAnsi="Arial"/>
          <w:sz w:val="13"/>
          <w:szCs w:val="13"/>
          <w:color w:val="auto"/>
        </w:rPr>
      </w:pPr>
    </w:p>
    <w:p>
      <w:pPr>
        <w:ind w:left="6" w:right="700" w:firstLine="860"/>
        <w:spacing w:after="0" w:line="300" w:lineRule="auto"/>
        <w:tabs>
          <w:tab w:leader="none" w:pos="1086" w:val="left"/>
        </w:tabs>
        <w:numPr>
          <w:ilvl w:val="1"/>
          <w:numId w:val="284"/>
        </w:numPr>
        <w:rPr>
          <w:rFonts w:ascii="Arial" w:cs="Arial" w:eastAsia="Arial" w:hAnsi="Arial"/>
          <w:sz w:val="15"/>
          <w:szCs w:val="15"/>
          <w:color w:val="auto"/>
        </w:rPr>
      </w:pPr>
      <w:r>
        <w:rPr>
          <w:rFonts w:ascii="Arial" w:cs="Arial" w:eastAsia="Arial" w:hAnsi="Arial"/>
          <w:sz w:val="15"/>
          <w:szCs w:val="15"/>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34" w:lineRule="exact"/>
        <w:rPr>
          <w:rFonts w:ascii="Arial" w:cs="Arial" w:eastAsia="Arial" w:hAnsi="Arial"/>
          <w:sz w:val="15"/>
          <w:szCs w:val="15"/>
          <w:color w:val="auto"/>
        </w:rPr>
      </w:pPr>
    </w:p>
    <w:p>
      <w:pPr>
        <w:ind w:left="6" w:right="80" w:firstLine="860"/>
        <w:spacing w:after="0" w:line="343" w:lineRule="auto"/>
        <w:tabs>
          <w:tab w:leader="none" w:pos="1094" w:val="left"/>
        </w:tabs>
        <w:numPr>
          <w:ilvl w:val="1"/>
          <w:numId w:val="284"/>
        </w:numPr>
        <w:rPr>
          <w:rFonts w:ascii="Arial" w:cs="Arial" w:eastAsia="Arial" w:hAnsi="Arial"/>
          <w:sz w:val="13"/>
          <w:szCs w:val="13"/>
          <w:color w:val="auto"/>
        </w:rPr>
      </w:pPr>
      <w:r>
        <w:rPr>
          <w:rFonts w:ascii="Arial" w:cs="Arial" w:eastAsia="Arial" w:hAnsi="Arial"/>
          <w:sz w:val="13"/>
          <w:szCs w:val="13"/>
          <w:color w:val="auto"/>
        </w:rPr>
        <w:t>if to the Company, to the attention of the Chief Executive Officer or Chief Financial Officer of the Company at 171 Oyster Point Boulevard, 5th Floor, South San Francisco, CA 94080, or at such other current address as the Company shall have furnished to Indemnitee, with a copy (which shall not constitute notice) to Kenneth A. Clark, Wilson Sonsini Goodrich &amp; Rosati, P.C., 650 Page Mill Road, Palo Alto, CA 94304.</w:t>
      </w:r>
    </w:p>
    <w:p>
      <w:pPr>
        <w:spacing w:after="0" w:line="114" w:lineRule="exact"/>
        <w:rPr>
          <w:sz w:val="20"/>
          <w:szCs w:val="20"/>
          <w:color w:val="auto"/>
        </w:rPr>
      </w:pPr>
    </w:p>
    <w:p>
      <w:pPr>
        <w:ind w:left="6" w:firstLine="385"/>
        <w:spacing w:after="0" w:line="249" w:lineRule="auto"/>
        <w:rPr>
          <w:sz w:val="20"/>
          <w:szCs w:val="20"/>
          <w:color w:val="auto"/>
        </w:rPr>
      </w:pPr>
      <w:r>
        <w:rPr>
          <w:rFonts w:ascii="Arial" w:cs="Arial" w:eastAsia="Arial" w:hAnsi="Arial"/>
          <w:sz w:val="16"/>
          <w:szCs w:val="16"/>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a nationally-recognized overnight courier service, freight prepaid, specifying next-business-day delivery, one business day after deposit with the courier), (ii)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mail, at the earlier of its receipt or five days after the same has been deposited in a regularly-maintained receptacle for the deposit of the United States mail, addressed and mailed as aforesaid, or (iii)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facsimile, upon confirmation of facsimile transfer or,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69" w:lineRule="exact"/>
        <w:rPr>
          <w:sz w:val="20"/>
          <w:szCs w:val="20"/>
          <w:color w:val="auto"/>
        </w:rPr>
      </w:pPr>
    </w:p>
    <w:p>
      <w:pPr>
        <w:ind w:left="6" w:right="40" w:firstLine="378"/>
        <w:spacing w:after="0" w:line="305" w:lineRule="auto"/>
        <w:tabs>
          <w:tab w:leader="none" w:pos="626" w:val="left"/>
        </w:tabs>
        <w:numPr>
          <w:ilvl w:val="1"/>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Applicable Law and Consent to Jurisdiction. </w:t>
      </w:r>
      <w:r>
        <w:rPr>
          <w:rFonts w:ascii="Arial" w:cs="Arial" w:eastAsia="Arial" w:hAnsi="Arial"/>
          <w:sz w:val="13"/>
          <w:szCs w:val="13"/>
          <w:color w:val="auto"/>
        </w:rPr>
        <w:t>This Agreement and the legal relations among the parties shall be governed by, and construed</w:t>
      </w:r>
      <w:r>
        <w:rPr>
          <w:rFonts w:ascii="Arial" w:cs="Arial" w:eastAsia="Arial" w:hAnsi="Arial"/>
          <w:sz w:val="13"/>
          <w:szCs w:val="13"/>
          <w:b w:val="1"/>
          <w:bCs w:val="1"/>
          <w:color w:val="auto"/>
        </w:rPr>
        <w:t xml:space="preserve"> </w:t>
      </w:r>
      <w:r>
        <w:rPr>
          <w:rFonts w:ascii="Arial" w:cs="Arial" w:eastAsia="Arial" w:hAnsi="Arial"/>
          <w:sz w:val="13"/>
          <w:szCs w:val="13"/>
          <w:color w:val="auto"/>
        </w:rPr>
        <w:t>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1209 Orange Street, in the City of Wilmington, County of New Castle,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w:t>
      </w:r>
    </w:p>
    <w:p>
      <w:pPr>
        <w:spacing w:after="0" w:line="1" w:lineRule="exact"/>
        <w:rPr>
          <w:rFonts w:ascii="Arial" w:cs="Arial" w:eastAsia="Arial" w:hAnsi="Arial"/>
          <w:sz w:val="13"/>
          <w:szCs w:val="13"/>
          <w:color w:val="auto"/>
        </w:rPr>
      </w:pPr>
    </w:p>
    <w:p>
      <w:pPr>
        <w:ind w:left="6" w:right="60" w:hanging="6"/>
        <w:spacing w:after="0" w:line="252" w:lineRule="auto"/>
        <w:tabs>
          <w:tab w:leader="none" w:pos="22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waive, and agree not to plead or to make, any claim that any such action or proceeding brought in the Delaware Court of Chancery has been brought in an improper or inconvenient forum.</w:t>
      </w:r>
    </w:p>
    <w:p>
      <w:pPr>
        <w:spacing w:after="0" w:line="164" w:lineRule="exact"/>
        <w:rPr>
          <w:rFonts w:ascii="Arial" w:cs="Arial" w:eastAsia="Arial" w:hAnsi="Arial"/>
          <w:sz w:val="16"/>
          <w:szCs w:val="16"/>
          <w:color w:val="auto"/>
        </w:rPr>
      </w:pPr>
    </w:p>
    <w:p>
      <w:pPr>
        <w:ind w:left="6" w:right="20" w:firstLine="378"/>
        <w:spacing w:after="0" w:line="332" w:lineRule="auto"/>
        <w:tabs>
          <w:tab w:leader="none" w:pos="626" w:val="left"/>
        </w:tabs>
        <w:numPr>
          <w:ilvl w:val="1"/>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Counterparts. </w:t>
      </w:r>
      <w:r>
        <w:rPr>
          <w:rFonts w:ascii="Arial" w:cs="Arial" w:eastAsia="Arial" w:hAnsi="Arial"/>
          <w:sz w:val="13"/>
          <w:szCs w:val="13"/>
          <w:color w:val="auto"/>
        </w:rPr>
        <w:t>This Agreement may be executed in one or more counterparts, each of which shall for all purposes be deemed to be an original</w:t>
      </w:r>
      <w:r>
        <w:rPr>
          <w:rFonts w:ascii="Arial" w:cs="Arial" w:eastAsia="Arial" w:hAnsi="Arial"/>
          <w:sz w:val="13"/>
          <w:szCs w:val="13"/>
          <w:b w:val="1"/>
          <w:bCs w:val="1"/>
          <w:color w:val="auto"/>
        </w:rPr>
        <w:t xml:space="preserve"> </w:t>
      </w:r>
      <w:r>
        <w:rPr>
          <w:rFonts w:ascii="Arial" w:cs="Arial" w:eastAsia="Arial" w:hAnsi="Arial"/>
          <w:sz w:val="13"/>
          <w:szCs w:val="13"/>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6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06"/>
          </w:cols>
          <w:pgMar w:left="1134" w:top="256" w:right="1159" w:bottom="1440" w:gutter="0" w:footer="0" w:header="0"/>
        </w:sectPr>
      </w:pPr>
    </w:p>
    <w:bookmarkStart w:id="449" w:name="page450"/>
    <w:bookmarkEnd w:id="449"/>
    <w:p>
      <w:pPr>
        <w:ind w:left="-200" w:firstLine="378"/>
        <w:spacing w:after="0" w:line="272" w:lineRule="auto"/>
        <w:tabs>
          <w:tab w:leader="none" w:pos="420" w:val="left"/>
        </w:tabs>
        <w:numPr>
          <w:ilvl w:val="0"/>
          <w:numId w:val="28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Captions. </w:t>
      </w:r>
      <w:r>
        <w:rPr>
          <w:rFonts w:ascii="Arial" w:cs="Arial" w:eastAsia="Arial" w:hAnsi="Arial"/>
          <w:sz w:val="16"/>
          <w:szCs w:val="16"/>
          <w:color w:val="auto"/>
        </w:rPr>
        <w:t>The headings of the paragraphs of this Agreement are inserted for convenience only and shall not be deemed to constitute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to affect the construction thereof.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200"/>
          </w:cols>
          <w:pgMar w:left="1340" w:top="252" w:right="1359" w:bottom="1440" w:gutter="0" w:footer="0" w:header="0"/>
        </w:sectPr>
      </w:pPr>
    </w:p>
    <w:bookmarkStart w:id="450" w:name="page451"/>
    <w:bookmarkEnd w:id="450"/>
    <w:p>
      <w:pPr>
        <w:ind w:left="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The parties are signing this Indemnification Agreement as of the date stated in the introductory sentence.</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252730</wp:posOffset>
            </wp:positionV>
            <wp:extent cx="244094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90"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153035</wp:posOffset>
            </wp:positionV>
            <wp:extent cx="244094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232"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153035</wp:posOffset>
            </wp:positionV>
            <wp:extent cx="244094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Title</w:t>
      </w:r>
      <w:r>
        <w:rPr>
          <w:rFonts w:ascii="Arial" w:cs="Arial" w:eastAsia="Arial" w:hAnsi="Arial"/>
          <w:sz w:val="16"/>
          <w:szCs w:val="16"/>
          <w:color w:val="auto"/>
        </w:rPr>
        <w:t>)</w:t>
      </w:r>
    </w:p>
    <w:p>
      <w:pPr>
        <w:spacing w:after="0" w:line="189"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INSERT INDEMNITEE NAME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215900</wp:posOffset>
            </wp:positionV>
            <wp:extent cx="244094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31"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153035</wp:posOffset>
            </wp:positionV>
            <wp:extent cx="244094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232"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153035</wp:posOffset>
            </wp:positionV>
            <wp:extent cx="244094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232"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Street address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160655</wp:posOffset>
            </wp:positionV>
            <wp:extent cx="244094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244" w:lineRule="exact"/>
        <w:rPr>
          <w:sz w:val="20"/>
          <w:szCs w:val="20"/>
          <w:color w:val="auto"/>
        </w:rPr>
      </w:pPr>
    </w:p>
    <w:p>
      <w:pPr>
        <w:jc w:val="right"/>
        <w:ind w:right="9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City, State and ZIP</w:t>
      </w:r>
      <w:r>
        <w:rPr>
          <w:rFonts w:ascii="Arial" w:cs="Arial" w:eastAsia="Arial" w:hAnsi="Arial"/>
          <w:sz w:val="16"/>
          <w:szCs w:val="16"/>
          <w:color w:val="auto"/>
        </w:rPr>
        <w:t>)</w:t>
      </w:r>
    </w:p>
    <w:p>
      <w:pPr>
        <w:sectPr>
          <w:pgSz w:w="11900" w:h="16838" w:orient="portrait"/>
          <w:cols w:equalWidth="0" w:num="1">
            <w:col w:w="9019"/>
          </w:cols>
          <w:pgMar w:left="1440" w:top="256" w:right="1440" w:bottom="1440" w:gutter="0" w:footer="0" w:header="0"/>
        </w:sectPr>
      </w:pPr>
    </w:p>
    <w:bookmarkStart w:id="451" w:name="page452"/>
    <w:bookmarkEnd w:id="451"/>
    <w:p>
      <w:pPr>
        <w:jc w:val="right"/>
        <w:spacing w:after="0"/>
        <w:rPr>
          <w:sz w:val="20"/>
          <w:szCs w:val="20"/>
          <w:color w:val="auto"/>
        </w:rPr>
      </w:pPr>
      <w:r>
        <w:rPr>
          <w:rFonts w:ascii="Arial" w:cs="Arial" w:eastAsia="Arial" w:hAnsi="Arial"/>
          <w:sz w:val="16"/>
          <w:szCs w:val="16"/>
          <w:b w:val="1"/>
          <w:bCs w:val="1"/>
          <w:color w:val="auto"/>
        </w:rPr>
        <w:t>Exhibit 10.2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2016 EQUITY INCENTIVE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t>
      </w:r>
      <w:r>
        <w:rPr>
          <w:rFonts w:ascii="Arial" w:cs="Arial" w:eastAsia="Arial" w:hAnsi="Arial"/>
          <w:sz w:val="13"/>
          <w:szCs w:val="13"/>
          <w:color w:val="auto"/>
        </w:rPr>
        <w:t>RIGINAL</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O</w:t>
      </w:r>
      <w:r>
        <w:rPr>
          <w:rFonts w:ascii="Arial" w:cs="Arial" w:eastAsia="Arial" w:hAnsi="Arial"/>
          <w:sz w:val="13"/>
          <w:szCs w:val="13"/>
          <w:color w:val="auto"/>
        </w:rPr>
        <w:t>CTOBER</w:t>
      </w:r>
      <w:r>
        <w:rPr>
          <w:rFonts w:ascii="Arial" w:cs="Arial" w:eastAsia="Arial" w:hAnsi="Arial"/>
          <w:sz w:val="16"/>
          <w:szCs w:val="16"/>
          <w:color w:val="auto"/>
        </w:rPr>
        <w:t xml:space="preserve"> 2, 2016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t>
      </w:r>
      <w:r>
        <w:rPr>
          <w:rFonts w:ascii="Arial" w:cs="Arial" w:eastAsia="Arial" w:hAnsi="Arial"/>
          <w:sz w:val="13"/>
          <w:szCs w:val="13"/>
          <w:color w:val="auto"/>
        </w:rPr>
        <w:t>RIGINAL</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PPROVED BY THE</w:t>
      </w:r>
      <w:r>
        <w:rPr>
          <w:rFonts w:ascii="Arial" w:cs="Arial" w:eastAsia="Arial" w:hAnsi="Arial"/>
          <w:sz w:val="16"/>
          <w:szCs w:val="16"/>
          <w:color w:val="auto"/>
        </w:rPr>
        <w:t xml:space="preserve"> S</w:t>
      </w:r>
      <w:r>
        <w:rPr>
          <w:rFonts w:ascii="Arial" w:cs="Arial" w:eastAsia="Arial" w:hAnsi="Arial"/>
          <w:sz w:val="13"/>
          <w:szCs w:val="13"/>
          <w:color w:val="auto"/>
        </w:rPr>
        <w:t>TOCKHOLDERS</w:t>
      </w:r>
      <w:r>
        <w:rPr>
          <w:rFonts w:ascii="Arial" w:cs="Arial" w:eastAsia="Arial" w:hAnsi="Arial"/>
          <w:sz w:val="16"/>
          <w:szCs w:val="16"/>
          <w:color w:val="auto"/>
        </w:rPr>
        <w:t>: O</w:t>
      </w:r>
      <w:r>
        <w:rPr>
          <w:rFonts w:ascii="Arial" w:cs="Arial" w:eastAsia="Arial" w:hAnsi="Arial"/>
          <w:sz w:val="13"/>
          <w:szCs w:val="13"/>
          <w:color w:val="auto"/>
        </w:rPr>
        <w:t>CTOBER</w:t>
      </w:r>
      <w:r>
        <w:rPr>
          <w:rFonts w:ascii="Arial" w:cs="Arial" w:eastAsia="Arial" w:hAnsi="Arial"/>
          <w:sz w:val="16"/>
          <w:szCs w:val="16"/>
          <w:color w:val="auto"/>
        </w:rPr>
        <w:t xml:space="preserve"> 12, 2016</w:t>
      </w: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A</w:t>
      </w:r>
      <w:r>
        <w:rPr>
          <w:rFonts w:ascii="Arial" w:cs="Arial" w:eastAsia="Arial" w:hAnsi="Arial"/>
          <w:sz w:val="13"/>
          <w:szCs w:val="13"/>
          <w:color w:val="auto"/>
        </w:rPr>
        <w:t>UGUST</w:t>
      </w:r>
      <w:r>
        <w:rPr>
          <w:rFonts w:ascii="Arial" w:cs="Arial" w:eastAsia="Arial" w:hAnsi="Arial"/>
          <w:sz w:val="16"/>
          <w:szCs w:val="16"/>
          <w:color w:val="auto"/>
        </w:rPr>
        <w:t xml:space="preserve">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S</w:t>
      </w:r>
      <w:r>
        <w:rPr>
          <w:rFonts w:ascii="Arial" w:cs="Arial" w:eastAsia="Arial" w:hAnsi="Arial"/>
          <w:sz w:val="13"/>
          <w:szCs w:val="13"/>
          <w:color w:val="auto"/>
        </w:rPr>
        <w:t>TOCKHOLDERS</w:t>
      </w:r>
      <w:r>
        <w:rPr>
          <w:rFonts w:ascii="Arial" w:cs="Arial" w:eastAsia="Arial" w:hAnsi="Arial"/>
          <w:sz w:val="16"/>
          <w:szCs w:val="16"/>
          <w:color w:val="auto"/>
        </w:rPr>
        <w:t>: A</w:t>
      </w:r>
      <w:r>
        <w:rPr>
          <w:rFonts w:ascii="Arial" w:cs="Arial" w:eastAsia="Arial" w:hAnsi="Arial"/>
          <w:sz w:val="13"/>
          <w:szCs w:val="13"/>
          <w:color w:val="auto"/>
        </w:rPr>
        <w:t>UGUST</w:t>
      </w:r>
      <w:r>
        <w:rPr>
          <w:rFonts w:ascii="Arial" w:cs="Arial" w:eastAsia="Arial" w:hAnsi="Arial"/>
          <w:sz w:val="16"/>
          <w:szCs w:val="16"/>
          <w:color w:val="auto"/>
        </w:rPr>
        <w:t xml:space="preserve"> 28, 2019</w:t>
      </w: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D</w:t>
      </w:r>
      <w:r>
        <w:rPr>
          <w:rFonts w:ascii="Arial" w:cs="Arial" w:eastAsia="Arial" w:hAnsi="Arial"/>
          <w:sz w:val="13"/>
          <w:szCs w:val="13"/>
          <w:color w:val="auto"/>
        </w:rPr>
        <w:t>ECEMBER</w:t>
      </w:r>
      <w:r>
        <w:rPr>
          <w:rFonts w:ascii="Arial" w:cs="Arial" w:eastAsia="Arial" w:hAnsi="Arial"/>
          <w:sz w:val="16"/>
          <w:szCs w:val="16"/>
          <w:color w:val="auto"/>
        </w:rPr>
        <w:t xml:space="preserve"> 15, 2020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S</w:t>
      </w:r>
      <w:r>
        <w:rPr>
          <w:rFonts w:ascii="Arial" w:cs="Arial" w:eastAsia="Arial" w:hAnsi="Arial"/>
          <w:sz w:val="13"/>
          <w:szCs w:val="13"/>
          <w:color w:val="auto"/>
        </w:rPr>
        <w:t>TOCKHOLDERS</w:t>
      </w:r>
      <w:r>
        <w:rPr>
          <w:rFonts w:ascii="Arial" w:cs="Arial" w:eastAsia="Arial" w:hAnsi="Arial"/>
          <w:sz w:val="16"/>
          <w:szCs w:val="16"/>
          <w:color w:val="auto"/>
        </w:rPr>
        <w:t>: D</w:t>
      </w:r>
      <w:r>
        <w:rPr>
          <w:rFonts w:ascii="Arial" w:cs="Arial" w:eastAsia="Arial" w:hAnsi="Arial"/>
          <w:sz w:val="13"/>
          <w:szCs w:val="13"/>
          <w:color w:val="auto"/>
        </w:rPr>
        <w:t>ECEMBER</w:t>
      </w:r>
      <w:r>
        <w:rPr>
          <w:rFonts w:ascii="Arial" w:cs="Arial" w:eastAsia="Arial" w:hAnsi="Arial"/>
          <w:sz w:val="16"/>
          <w:szCs w:val="16"/>
          <w:color w:val="auto"/>
        </w:rPr>
        <w:t xml:space="preserve"> 15, 2020</w:t>
      </w: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F</w:t>
      </w:r>
      <w:r>
        <w:rPr>
          <w:rFonts w:ascii="Arial" w:cs="Arial" w:eastAsia="Arial" w:hAnsi="Arial"/>
          <w:sz w:val="13"/>
          <w:szCs w:val="13"/>
          <w:color w:val="auto"/>
        </w:rPr>
        <w:t>EBRUARY</w:t>
      </w:r>
      <w:r>
        <w:rPr>
          <w:rFonts w:ascii="Arial" w:cs="Arial" w:eastAsia="Arial" w:hAnsi="Arial"/>
          <w:sz w:val="16"/>
          <w:szCs w:val="16"/>
          <w:color w:val="auto"/>
        </w:rPr>
        <w:t xml:space="preserve"> 27. 2021</w:t>
      </w:r>
    </w:p>
    <w:p>
      <w:pPr>
        <w:spacing w:after="0" w:line="182" w:lineRule="exact"/>
        <w:rPr>
          <w:sz w:val="20"/>
          <w:szCs w:val="20"/>
          <w:color w:val="auto"/>
        </w:rPr>
      </w:pPr>
    </w:p>
    <w:p>
      <w:pPr>
        <w:ind w:left="540" w:hanging="162"/>
        <w:spacing w:after="0"/>
        <w:tabs>
          <w:tab w:leader="none" w:pos="540"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Purposes of the Plan</w:t>
      </w:r>
      <w:r>
        <w:rPr>
          <w:rFonts w:ascii="Arial" w:cs="Arial" w:eastAsia="Arial" w:hAnsi="Arial"/>
          <w:sz w:val="16"/>
          <w:szCs w:val="16"/>
          <w:color w:val="auto"/>
        </w:rPr>
        <w:t>. The purposes of this Plan are:</w:t>
      </w:r>
    </w:p>
    <w:p>
      <w:pPr>
        <w:spacing w:after="0" w:line="110" w:lineRule="exact"/>
        <w:rPr>
          <w:rFonts w:ascii="Arial" w:cs="Arial" w:eastAsia="Arial" w:hAnsi="Arial"/>
          <w:sz w:val="16"/>
          <w:szCs w:val="16"/>
          <w:color w:val="auto"/>
        </w:rPr>
      </w:pPr>
    </w:p>
    <w:p>
      <w:pPr>
        <w:ind w:left="1240" w:hanging="386"/>
        <w:spacing w:after="0"/>
        <w:tabs>
          <w:tab w:leader="none" w:pos="124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to attract and retain the best available personnel for positions of substantial responsibility,</w:t>
      </w:r>
    </w:p>
    <w:p>
      <w:pPr>
        <w:spacing w:after="0" w:line="110" w:lineRule="exact"/>
        <w:rPr>
          <w:rFonts w:ascii="Arial" w:cs="Arial" w:eastAsia="Arial" w:hAnsi="Arial"/>
          <w:sz w:val="16"/>
          <w:szCs w:val="16"/>
          <w:color w:val="auto"/>
        </w:rPr>
      </w:pPr>
    </w:p>
    <w:p>
      <w:pPr>
        <w:ind w:left="1240" w:hanging="386"/>
        <w:spacing w:after="0"/>
        <w:tabs>
          <w:tab w:leader="none" w:pos="124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to provide additional incentive to Employees, Directors and Consultants, and</w:t>
      </w:r>
    </w:p>
    <w:p>
      <w:pPr>
        <w:spacing w:after="0" w:line="110" w:lineRule="exact"/>
        <w:rPr>
          <w:rFonts w:ascii="Arial" w:cs="Arial" w:eastAsia="Arial" w:hAnsi="Arial"/>
          <w:sz w:val="16"/>
          <w:szCs w:val="16"/>
          <w:color w:val="auto"/>
        </w:rPr>
      </w:pPr>
    </w:p>
    <w:p>
      <w:pPr>
        <w:ind w:left="1240" w:hanging="386"/>
        <w:spacing w:after="0"/>
        <w:tabs>
          <w:tab w:leader="none" w:pos="124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to promote the success of the Company’s business.</w:t>
      </w:r>
    </w:p>
    <w:p>
      <w:pPr>
        <w:spacing w:after="0" w:line="193" w:lineRule="exact"/>
        <w:rPr>
          <w:sz w:val="20"/>
          <w:szCs w:val="20"/>
          <w:color w:val="auto"/>
        </w:rPr>
      </w:pPr>
    </w:p>
    <w:p>
      <w:pPr>
        <w:ind w:right="400" w:firstLine="866"/>
        <w:spacing w:after="0" w:line="266" w:lineRule="auto"/>
        <w:rPr>
          <w:sz w:val="20"/>
          <w:szCs w:val="20"/>
          <w:color w:val="auto"/>
        </w:rPr>
      </w:pPr>
      <w:r>
        <w:rPr>
          <w:rFonts w:ascii="Arial" w:cs="Arial" w:eastAsia="Arial" w:hAnsi="Arial"/>
          <w:sz w:val="16"/>
          <w:szCs w:val="16"/>
          <w:color w:val="auto"/>
        </w:rPr>
        <w:t>The Plan permits the grant of Incentive Stock Options, Nonstatutory Stock Options, Stock Appreciation Rights, Restricted Stock and Restricted Stock Units.</w:t>
      </w:r>
    </w:p>
    <w:p>
      <w:pPr>
        <w:spacing w:after="0" w:line="158" w:lineRule="exact"/>
        <w:rPr>
          <w:sz w:val="20"/>
          <w:szCs w:val="20"/>
          <w:color w:val="auto"/>
        </w:rPr>
      </w:pPr>
    </w:p>
    <w:p>
      <w:pPr>
        <w:ind w:left="540" w:hanging="162"/>
        <w:spacing w:after="0"/>
        <w:tabs>
          <w:tab w:leader="none" w:pos="54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definitions will apply:</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2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Administrator</w:t>
      </w:r>
      <w:r>
        <w:rPr>
          <w:rFonts w:ascii="Arial" w:cs="Arial" w:eastAsia="Arial" w:hAnsi="Arial"/>
          <w:sz w:val="13"/>
          <w:szCs w:val="13"/>
          <w:color w:val="auto"/>
        </w:rPr>
        <w:t>” means the Board or any of its Committees as will be administering the Plan, in accordance with Section 4 of the Plan.</w:t>
      </w:r>
    </w:p>
    <w:p>
      <w:pPr>
        <w:spacing w:after="0" w:line="227" w:lineRule="exact"/>
        <w:rPr>
          <w:rFonts w:ascii="Arial" w:cs="Arial" w:eastAsia="Arial" w:hAnsi="Arial"/>
          <w:sz w:val="13"/>
          <w:szCs w:val="13"/>
          <w:color w:val="auto"/>
        </w:rPr>
      </w:pPr>
    </w:p>
    <w:p>
      <w:pPr>
        <w:ind w:right="80" w:firstLine="860"/>
        <w:spacing w:after="0" w:line="256" w:lineRule="auto"/>
        <w:tabs>
          <w:tab w:leader="none" w:pos="108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65" w:lineRule="exact"/>
        <w:rPr>
          <w:rFonts w:ascii="Arial" w:cs="Arial" w:eastAsia="Arial" w:hAnsi="Arial"/>
          <w:sz w:val="16"/>
          <w:szCs w:val="16"/>
          <w:color w:val="auto"/>
        </w:rPr>
      </w:pPr>
    </w:p>
    <w:p>
      <w:pPr>
        <w:ind w:right="560" w:firstLine="860"/>
        <w:spacing w:after="0" w:line="266" w:lineRule="auto"/>
        <w:tabs>
          <w:tab w:leader="none" w:pos="1079"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 grant under the Plan of Options, Stock Appreciation Rights, Restricted Stock, or Restricted Stock Units.</w:t>
      </w:r>
    </w:p>
    <w:p>
      <w:pPr>
        <w:spacing w:after="0" w:line="158" w:lineRule="exact"/>
        <w:rPr>
          <w:rFonts w:ascii="Arial" w:cs="Arial" w:eastAsia="Arial" w:hAnsi="Arial"/>
          <w:sz w:val="16"/>
          <w:szCs w:val="16"/>
          <w:color w:val="auto"/>
        </w:rPr>
      </w:pPr>
    </w:p>
    <w:p>
      <w:pPr>
        <w:ind w:right="40" w:firstLine="860"/>
        <w:spacing w:after="0" w:line="266" w:lineRule="auto"/>
        <w:tabs>
          <w:tab w:leader="none" w:pos="108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93" w:lineRule="exact"/>
        <w:rPr>
          <w:rFonts w:ascii="Arial" w:cs="Arial" w:eastAsia="Arial" w:hAnsi="Arial"/>
          <w:sz w:val="16"/>
          <w:szCs w:val="16"/>
          <w:color w:val="auto"/>
        </w:rPr>
      </w:pPr>
    </w:p>
    <w:p>
      <w:pPr>
        <w:ind w:left="1060" w:hanging="200"/>
        <w:spacing w:after="0"/>
        <w:tabs>
          <w:tab w:leader="none" w:pos="106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events:</w:t>
      </w:r>
    </w:p>
    <w:p>
      <w:pPr>
        <w:spacing w:after="0" w:line="193" w:lineRule="exact"/>
        <w:rPr>
          <w:rFonts w:ascii="Arial" w:cs="Arial" w:eastAsia="Arial" w:hAnsi="Arial"/>
          <w:sz w:val="16"/>
          <w:szCs w:val="16"/>
          <w:color w:val="auto"/>
        </w:rPr>
      </w:pPr>
    </w:p>
    <w:p>
      <w:pPr>
        <w:ind w:left="1440" w:hanging="196"/>
        <w:spacing w:after="0"/>
        <w:tabs>
          <w:tab w:leader="none" w:pos="1440" w:val="left"/>
        </w:tabs>
        <w:numPr>
          <w:ilvl w:val="2"/>
          <w:numId w:val="289"/>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w:t>
      </w:r>
    </w:p>
    <w:p>
      <w:pPr>
        <w:sectPr>
          <w:pgSz w:w="11900" w:h="16838" w:orient="portrait"/>
          <w:cols w:equalWidth="0" w:num="1">
            <w:col w:w="9620"/>
          </w:cols>
          <w:pgMar w:left="1140" w:top="122" w:right="1139" w:bottom="1440" w:gutter="0" w:footer="0" w:header="0"/>
        </w:sectPr>
      </w:pPr>
    </w:p>
    <w:bookmarkStart w:id="452" w:name="page453"/>
    <w:bookmarkEnd w:id="452"/>
    <w:p>
      <w:pPr>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67" w:lineRule="exact"/>
        <w:rPr>
          <w:sz w:val="20"/>
          <w:szCs w:val="20"/>
          <w:color w:val="auto"/>
        </w:rPr>
      </w:pPr>
    </w:p>
    <w:p>
      <w:pPr>
        <w:ind w:right="20" w:firstLine="1244"/>
        <w:spacing w:after="0" w:line="272" w:lineRule="auto"/>
        <w:tabs>
          <w:tab w:leader="none" w:pos="1482" w:val="left"/>
        </w:tabs>
        <w:numPr>
          <w:ilvl w:val="0"/>
          <w:numId w:val="290"/>
        </w:numPr>
        <w:rPr>
          <w:rFonts w:ascii="Arial" w:cs="Arial" w:eastAsia="Arial" w:hAnsi="Arial"/>
          <w:sz w:val="15"/>
          <w:szCs w:val="15"/>
          <w:color w:val="auto"/>
        </w:rPr>
      </w:pPr>
      <w:r>
        <w:rPr>
          <w:rFonts w:ascii="Arial" w:cs="Arial" w:eastAsia="Arial" w:hAnsi="Arial"/>
          <w:sz w:val="15"/>
          <w:szCs w:val="15"/>
          <w:u w:val="single" w:color="auto"/>
          <w:color w:val="auto"/>
        </w:rPr>
        <w:t>Change in Effective Control of the Company</w:t>
      </w:r>
      <w:r>
        <w:rPr>
          <w:rFonts w:ascii="Arial" w:cs="Arial" w:eastAsia="Arial" w:hAnsi="Arial"/>
          <w:sz w:val="15"/>
          <w:szCs w:val="15"/>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54" w:lineRule="exact"/>
        <w:rPr>
          <w:rFonts w:ascii="Arial" w:cs="Arial" w:eastAsia="Arial" w:hAnsi="Arial"/>
          <w:sz w:val="15"/>
          <w:szCs w:val="15"/>
          <w:color w:val="auto"/>
        </w:rPr>
      </w:pPr>
    </w:p>
    <w:p>
      <w:pPr>
        <w:ind w:firstLine="1244"/>
        <w:spacing w:after="0" w:line="250" w:lineRule="auto"/>
        <w:tabs>
          <w:tab w:leader="none" w:pos="1525"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71" w:lineRule="exact"/>
        <w:rPr>
          <w:sz w:val="20"/>
          <w:szCs w:val="20"/>
          <w:color w:val="auto"/>
        </w:rPr>
      </w:pPr>
    </w:p>
    <w:p>
      <w:pPr>
        <w:ind w:right="200" w:firstLine="1251"/>
        <w:spacing w:after="0" w:line="300" w:lineRule="auto"/>
        <w:rPr>
          <w:sz w:val="20"/>
          <w:szCs w:val="20"/>
          <w:color w:val="auto"/>
        </w:rPr>
      </w:pPr>
      <w:r>
        <w:rPr>
          <w:rFonts w:ascii="Arial" w:cs="Arial" w:eastAsia="Arial" w:hAnsi="Arial"/>
          <w:sz w:val="15"/>
          <w:szCs w:val="15"/>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35" w:lineRule="exact"/>
        <w:rPr>
          <w:sz w:val="20"/>
          <w:szCs w:val="20"/>
          <w:color w:val="auto"/>
        </w:rPr>
      </w:pPr>
    </w:p>
    <w:p>
      <w:pPr>
        <w:ind w:right="100" w:firstLine="1251"/>
        <w:spacing w:after="0" w:line="343" w:lineRule="auto"/>
        <w:rPr>
          <w:sz w:val="20"/>
          <w:szCs w:val="20"/>
          <w:color w:val="auto"/>
        </w:rPr>
      </w:pPr>
      <w:r>
        <w:rPr>
          <w:rFonts w:ascii="Arial" w:cs="Arial" w:eastAsia="Arial" w:hAnsi="Arial"/>
          <w:sz w:val="13"/>
          <w:szCs w:val="13"/>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14" w:lineRule="exact"/>
        <w:rPr>
          <w:sz w:val="20"/>
          <w:szCs w:val="20"/>
          <w:color w:val="auto"/>
        </w:rPr>
      </w:pPr>
    </w:p>
    <w:p>
      <w:pPr>
        <w:ind w:right="160" w:firstLine="1251"/>
        <w:spacing w:after="0" w:line="256" w:lineRule="auto"/>
        <w:rPr>
          <w:sz w:val="20"/>
          <w:szCs w:val="20"/>
          <w:color w:val="auto"/>
        </w:rPr>
      </w:pPr>
      <w:r>
        <w:rPr>
          <w:rFonts w:ascii="Arial" w:cs="Arial" w:eastAsia="Arial" w:hAnsi="Arial"/>
          <w:sz w:val="16"/>
          <w:szCs w:val="16"/>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66" w:lineRule="exact"/>
        <w:rPr>
          <w:sz w:val="20"/>
          <w:szCs w:val="20"/>
          <w:color w:val="auto"/>
        </w:rPr>
      </w:pPr>
    </w:p>
    <w:p>
      <w:pPr>
        <w:ind w:right="240" w:firstLine="860"/>
        <w:spacing w:after="0" w:line="266" w:lineRule="auto"/>
        <w:tabs>
          <w:tab w:leader="none" w:pos="108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Any reference to a section of the Code herein will be a reference to any successor or amended section of the Code.</w:t>
      </w:r>
    </w:p>
    <w:p>
      <w:pPr>
        <w:sectPr>
          <w:pgSz w:w="11900" w:h="16838" w:orient="portrait"/>
          <w:cols w:equalWidth="0" w:num="1">
            <w:col w:w="9600"/>
          </w:cols>
          <w:pgMar w:left="1140" w:top="256" w:right="1159" w:bottom="1440" w:gutter="0" w:footer="0" w:header="0"/>
        </w:sectPr>
      </w:pPr>
    </w:p>
    <w:bookmarkStart w:id="453" w:name="page454"/>
    <w:bookmarkEnd w:id="453"/>
    <w:p>
      <w:pPr>
        <w:ind w:left="-300" w:right="260" w:firstLine="860"/>
        <w:spacing w:after="0" w:line="266" w:lineRule="auto"/>
        <w:tabs>
          <w:tab w:leader="none" w:pos="788" w:val="left"/>
        </w:tabs>
        <w:numPr>
          <w:ilvl w:val="0"/>
          <w:numId w:val="2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Directors or of other individuals satisfying Applicable Laws appointed by the Board, or by the compensation committee of the Board, in accordance with Section 4 hereof.</w:t>
      </w:r>
    </w:p>
    <w:p>
      <w:pPr>
        <w:spacing w:after="0" w:line="158" w:lineRule="exact"/>
        <w:rPr>
          <w:rFonts w:ascii="Arial" w:cs="Arial" w:eastAsia="Arial" w:hAnsi="Arial"/>
          <w:sz w:val="16"/>
          <w:szCs w:val="16"/>
          <w:color w:val="auto"/>
        </w:rPr>
      </w:pPr>
    </w:p>
    <w:p>
      <w:pPr>
        <w:ind w:left="740" w:hanging="180"/>
        <w:spacing w:after="0"/>
        <w:tabs>
          <w:tab w:leader="none" w:pos="7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w:t>
      </w:r>
    </w:p>
    <w:p>
      <w:pPr>
        <w:spacing w:after="0" w:line="193" w:lineRule="exact"/>
        <w:rPr>
          <w:rFonts w:ascii="Arial" w:cs="Arial" w:eastAsia="Arial" w:hAnsi="Arial"/>
          <w:sz w:val="16"/>
          <w:szCs w:val="16"/>
          <w:color w:val="auto"/>
        </w:rPr>
      </w:pPr>
    </w:p>
    <w:p>
      <w:pPr>
        <w:ind w:left="740" w:hanging="180"/>
        <w:spacing w:after="0"/>
        <w:tabs>
          <w:tab w:leader="none" w:pos="7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Tenaya Therapeutics, Inc., a Delaware corporation, or any successor thereto.</w:t>
      </w:r>
    </w:p>
    <w:p>
      <w:pPr>
        <w:spacing w:after="0" w:line="193" w:lineRule="exact"/>
        <w:rPr>
          <w:rFonts w:ascii="Arial" w:cs="Arial" w:eastAsia="Arial" w:hAnsi="Arial"/>
          <w:sz w:val="16"/>
          <w:szCs w:val="16"/>
          <w:color w:val="auto"/>
        </w:rPr>
      </w:pPr>
    </w:p>
    <w:p>
      <w:pPr>
        <w:jc w:val="both"/>
        <w:ind w:left="-300" w:right="160" w:firstLine="860"/>
        <w:spacing w:after="0" w:line="256" w:lineRule="auto"/>
        <w:tabs>
          <w:tab w:leader="none" w:pos="78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w:t>
      </w:r>
    </w:p>
    <w:p>
      <w:pPr>
        <w:spacing w:after="0" w:line="165" w:lineRule="exact"/>
        <w:rPr>
          <w:rFonts w:ascii="Arial" w:cs="Arial" w:eastAsia="Arial" w:hAnsi="Arial"/>
          <w:sz w:val="16"/>
          <w:szCs w:val="16"/>
          <w:color w:val="auto"/>
        </w:rPr>
      </w:pPr>
    </w:p>
    <w:p>
      <w:pPr>
        <w:ind w:left="740" w:hanging="180"/>
        <w:spacing w:after="0"/>
        <w:tabs>
          <w:tab w:leader="none" w:pos="7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193" w:lineRule="exact"/>
        <w:rPr>
          <w:rFonts w:ascii="Arial" w:cs="Arial" w:eastAsia="Arial" w:hAnsi="Arial"/>
          <w:sz w:val="16"/>
          <w:szCs w:val="16"/>
          <w:color w:val="auto"/>
        </w:rPr>
      </w:pPr>
    </w:p>
    <w:p>
      <w:pPr>
        <w:jc w:val="both"/>
        <w:ind w:left="-300" w:right="100" w:firstLine="860"/>
        <w:spacing w:after="0" w:line="256" w:lineRule="auto"/>
        <w:tabs>
          <w:tab w:leader="none" w:pos="83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65" w:lineRule="exact"/>
        <w:rPr>
          <w:rFonts w:ascii="Arial" w:cs="Arial" w:eastAsia="Arial" w:hAnsi="Arial"/>
          <w:sz w:val="16"/>
          <w:szCs w:val="16"/>
          <w:color w:val="auto"/>
        </w:rPr>
      </w:pPr>
    </w:p>
    <w:p>
      <w:pPr>
        <w:ind w:left="-300" w:right="60" w:firstLine="860"/>
        <w:spacing w:after="0" w:line="383" w:lineRule="auto"/>
        <w:tabs>
          <w:tab w:leader="none" w:pos="788" w:val="left"/>
        </w:tabs>
        <w:numPr>
          <w:ilvl w:val="0"/>
          <w:numId w:val="29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Employee</w:t>
      </w:r>
      <w:r>
        <w:rPr>
          <w:rFonts w:ascii="Arial" w:cs="Arial" w:eastAsia="Arial" w:hAnsi="Arial"/>
          <w:sz w:val="13"/>
          <w:szCs w:val="13"/>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88" w:lineRule="exact"/>
        <w:rPr>
          <w:rFonts w:ascii="Arial" w:cs="Arial" w:eastAsia="Arial" w:hAnsi="Arial"/>
          <w:sz w:val="13"/>
          <w:szCs w:val="13"/>
          <w:color w:val="auto"/>
        </w:rPr>
      </w:pPr>
    </w:p>
    <w:p>
      <w:pPr>
        <w:ind w:left="780" w:hanging="220"/>
        <w:spacing w:after="0"/>
        <w:tabs>
          <w:tab w:leader="none" w:pos="7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93" w:lineRule="exact"/>
        <w:rPr>
          <w:rFonts w:ascii="Arial" w:cs="Arial" w:eastAsia="Arial" w:hAnsi="Arial"/>
          <w:sz w:val="16"/>
          <w:szCs w:val="16"/>
          <w:color w:val="auto"/>
        </w:rPr>
      </w:pPr>
    </w:p>
    <w:p>
      <w:pPr>
        <w:jc w:val="both"/>
        <w:ind w:left="-300" w:firstLine="860"/>
        <w:spacing w:after="0" w:line="251" w:lineRule="auto"/>
        <w:tabs>
          <w:tab w:leader="none" w:pos="78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69" w:lineRule="exact"/>
        <w:rPr>
          <w:rFonts w:ascii="Arial" w:cs="Arial" w:eastAsia="Arial" w:hAnsi="Arial"/>
          <w:sz w:val="16"/>
          <w:szCs w:val="16"/>
          <w:color w:val="auto"/>
        </w:rPr>
      </w:pPr>
    </w:p>
    <w:p>
      <w:pPr>
        <w:ind w:left="780" w:hanging="220"/>
        <w:spacing w:after="0"/>
        <w:tabs>
          <w:tab w:leader="none" w:pos="7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Common Stock determined as follows:</w:t>
      </w:r>
    </w:p>
    <w:p>
      <w:pPr>
        <w:spacing w:after="0" w:line="193" w:lineRule="exact"/>
        <w:rPr>
          <w:rFonts w:ascii="Arial" w:cs="Arial" w:eastAsia="Arial" w:hAnsi="Arial"/>
          <w:sz w:val="16"/>
          <w:szCs w:val="16"/>
          <w:color w:val="auto"/>
        </w:rPr>
      </w:pPr>
    </w:p>
    <w:p>
      <w:pPr>
        <w:ind w:left="-300" w:right="120" w:firstLine="1244"/>
        <w:spacing w:after="0" w:line="275" w:lineRule="auto"/>
        <w:tabs>
          <w:tab w:leader="none" w:pos="1138" w:val="left"/>
        </w:tabs>
        <w:numPr>
          <w:ilvl w:val="1"/>
          <w:numId w:val="292"/>
        </w:numPr>
        <w:rPr>
          <w:rFonts w:ascii="Arial" w:cs="Arial" w:eastAsia="Arial" w:hAnsi="Arial"/>
          <w:sz w:val="15"/>
          <w:szCs w:val="15"/>
          <w:color w:val="auto"/>
        </w:rPr>
      </w:pPr>
      <w:r>
        <w:rPr>
          <w:rFonts w:ascii="Arial" w:cs="Arial" w:eastAsia="Arial" w:hAnsi="Arial"/>
          <w:sz w:val="15"/>
          <w:szCs w:val="15"/>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w:t>
      </w:r>
    </w:p>
    <w:p>
      <w:pPr>
        <w:sectPr>
          <w:pgSz w:w="11900" w:h="16838" w:orient="portrait"/>
          <w:cols w:equalWidth="0" w:num="1">
            <w:col w:w="9280"/>
          </w:cols>
          <w:pgMar w:left="1440" w:top="256" w:right="1179" w:bottom="1440" w:gutter="0" w:footer="0" w:header="0"/>
        </w:sectPr>
      </w:pPr>
    </w:p>
    <w:bookmarkStart w:id="454" w:name="page455"/>
    <w:bookmarkEnd w:id="454"/>
    <w:p>
      <w:pPr>
        <w:ind w:right="60" w:firstLine="1244"/>
        <w:spacing w:after="0" w:line="253" w:lineRule="auto"/>
        <w:tabs>
          <w:tab w:leader="none" w:pos="1482" w:val="left"/>
        </w:tabs>
        <w:numPr>
          <w:ilvl w:val="1"/>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167" w:lineRule="exact"/>
        <w:rPr>
          <w:rFonts w:ascii="Arial" w:cs="Arial" w:eastAsia="Arial" w:hAnsi="Arial"/>
          <w:sz w:val="16"/>
          <w:szCs w:val="16"/>
          <w:color w:val="auto"/>
        </w:rPr>
      </w:pPr>
    </w:p>
    <w:p>
      <w:pPr>
        <w:ind w:left="1520" w:hanging="276"/>
        <w:spacing w:after="0"/>
        <w:tabs>
          <w:tab w:leader="none" w:pos="1520" w:val="left"/>
        </w:tabs>
        <w:numPr>
          <w:ilvl w:val="1"/>
          <w:numId w:val="293"/>
        </w:numPr>
        <w:rPr>
          <w:rFonts w:ascii="Arial" w:cs="Arial" w:eastAsia="Arial" w:hAnsi="Arial"/>
          <w:sz w:val="13"/>
          <w:szCs w:val="13"/>
          <w:color w:val="auto"/>
        </w:rPr>
      </w:pPr>
      <w:r>
        <w:rPr>
          <w:rFonts w:ascii="Arial" w:cs="Arial" w:eastAsia="Arial" w:hAnsi="Arial"/>
          <w:sz w:val="13"/>
          <w:szCs w:val="13"/>
          <w:color w:val="auto"/>
        </w:rPr>
        <w:t>In the absence of an established market for the Common Stock, the Fair Market Value will be determined in good faith by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Administrator.</w:t>
      </w:r>
    </w:p>
    <w:p>
      <w:pPr>
        <w:spacing w:after="0" w:line="181" w:lineRule="exact"/>
        <w:rPr>
          <w:rFonts w:ascii="Arial" w:cs="Arial" w:eastAsia="Arial" w:hAnsi="Arial"/>
          <w:sz w:val="13"/>
          <w:szCs w:val="13"/>
          <w:color w:val="auto"/>
        </w:rPr>
      </w:pPr>
    </w:p>
    <w:p>
      <w:pPr>
        <w:ind w:right="140" w:firstLine="860"/>
        <w:spacing w:after="0" w:line="266" w:lineRule="auto"/>
        <w:tabs>
          <w:tab w:leader="none" w:pos="106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that by its terms qualifies and is otherwise intended to qualify as an incentive stock option within the meaning of Code Section 422 and the regulations promulgated thereunder.</w:t>
      </w:r>
    </w:p>
    <w:p>
      <w:pPr>
        <w:spacing w:after="0" w:line="158" w:lineRule="exact"/>
        <w:rPr>
          <w:rFonts w:ascii="Arial" w:cs="Arial" w:eastAsia="Arial" w:hAnsi="Arial"/>
          <w:sz w:val="16"/>
          <w:szCs w:val="16"/>
          <w:color w:val="auto"/>
        </w:rPr>
      </w:pPr>
    </w:p>
    <w:p>
      <w:pPr>
        <w:ind w:left="1060" w:hanging="200"/>
        <w:spacing w:after="0"/>
        <w:tabs>
          <w:tab w:leader="none" w:pos="106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Nonstatutory Stock Option</w:t>
      </w:r>
      <w:r>
        <w:rPr>
          <w:rFonts w:ascii="Arial" w:cs="Arial" w:eastAsia="Arial" w:hAnsi="Arial"/>
          <w:sz w:val="15"/>
          <w:szCs w:val="15"/>
          <w:color w:val="auto"/>
        </w:rPr>
        <w:t>” means an Option that by its terms does not qualify or is not intended to qualify as an Incentive Stock</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Option.</w:t>
      </w:r>
    </w:p>
    <w:p>
      <w:pPr>
        <w:spacing w:after="0" w:line="181" w:lineRule="exact"/>
        <w:rPr>
          <w:rFonts w:ascii="Arial" w:cs="Arial" w:eastAsia="Arial" w:hAnsi="Arial"/>
          <w:sz w:val="15"/>
          <w:szCs w:val="15"/>
          <w:color w:val="auto"/>
        </w:rPr>
      </w:pPr>
    </w:p>
    <w:p>
      <w:pPr>
        <w:ind w:left="1040" w:hanging="180"/>
        <w:spacing w:after="0"/>
        <w:tabs>
          <w:tab w:leader="none" w:pos="104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stock option granted pursuant to the Plan.</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whether now or hereafter existing, as defined in Code Section 424(e).</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the holder of an outstanding Award.</w:t>
      </w:r>
    </w:p>
    <w:p>
      <w:pPr>
        <w:spacing w:after="0" w:line="193" w:lineRule="exact"/>
        <w:rPr>
          <w:rFonts w:ascii="Arial" w:cs="Arial" w:eastAsia="Arial" w:hAnsi="Arial"/>
          <w:sz w:val="16"/>
          <w:szCs w:val="16"/>
          <w:color w:val="auto"/>
        </w:rPr>
      </w:pPr>
    </w:p>
    <w:p>
      <w:pPr>
        <w:ind w:firstLine="860"/>
        <w:spacing w:after="0" w:line="256" w:lineRule="auto"/>
        <w:tabs>
          <w:tab w:leader="none" w:pos="1123"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65" w:lineRule="exact"/>
        <w:rPr>
          <w:rFonts w:ascii="Arial" w:cs="Arial" w:eastAsia="Arial" w:hAnsi="Arial"/>
          <w:sz w:val="16"/>
          <w:szCs w:val="16"/>
          <w:color w:val="auto"/>
        </w:rPr>
      </w:pPr>
    </w:p>
    <w:p>
      <w:pPr>
        <w:ind w:left="1080" w:hanging="220"/>
        <w:spacing w:after="0"/>
        <w:tabs>
          <w:tab w:leader="none" w:pos="10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2016 Equity Incentive Plan.</w:t>
      </w:r>
    </w:p>
    <w:p>
      <w:pPr>
        <w:spacing w:after="0" w:line="193" w:lineRule="exact"/>
        <w:rPr>
          <w:rFonts w:ascii="Arial" w:cs="Arial" w:eastAsia="Arial" w:hAnsi="Arial"/>
          <w:sz w:val="16"/>
          <w:szCs w:val="16"/>
          <w:color w:val="auto"/>
        </w:rPr>
      </w:pPr>
    </w:p>
    <w:p>
      <w:pPr>
        <w:ind w:right="20" w:firstLine="860"/>
        <w:spacing w:after="0" w:line="266" w:lineRule="auto"/>
        <w:tabs>
          <w:tab w:leader="none" w:pos="108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issued pursuant to an Award of Restricted Stock under Section 8 of the Plan, or issued pursuant to the early exercise of an Option.</w:t>
      </w:r>
    </w:p>
    <w:p>
      <w:pPr>
        <w:spacing w:after="0" w:line="158" w:lineRule="exact"/>
        <w:rPr>
          <w:rFonts w:ascii="Arial" w:cs="Arial" w:eastAsia="Arial" w:hAnsi="Arial"/>
          <w:sz w:val="16"/>
          <w:szCs w:val="16"/>
          <w:color w:val="auto"/>
        </w:rPr>
      </w:pPr>
    </w:p>
    <w:p>
      <w:pPr>
        <w:ind w:right="420" w:firstLine="860"/>
        <w:spacing w:after="0" w:line="300" w:lineRule="auto"/>
        <w:tabs>
          <w:tab w:leader="none" w:pos="1079" w:val="left"/>
        </w:tabs>
        <w:numPr>
          <w:ilvl w:val="0"/>
          <w:numId w:val="2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a bookkeeping entry representing an amount equal to the Fair Market Value of one Share, granted pursuant to Section 9. Each Restricted Stock Unit represents an unfunded and unsecured obligation of the Company.</w:t>
      </w:r>
    </w:p>
    <w:p>
      <w:pPr>
        <w:spacing w:after="0" w:line="135" w:lineRule="exact"/>
        <w:rPr>
          <w:sz w:val="20"/>
          <w:szCs w:val="20"/>
          <w:color w:val="auto"/>
        </w:rPr>
      </w:pPr>
    </w:p>
    <w:p>
      <w:pPr>
        <w:ind w:left="1140" w:hanging="280"/>
        <w:spacing w:after="0"/>
        <w:tabs>
          <w:tab w:leader="none" w:pos="1140" w:val="left"/>
        </w:tabs>
        <w:numPr>
          <w:ilvl w:val="0"/>
          <w:numId w:val="2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Service Provider</w:t>
      </w:r>
      <w:r>
        <w:rPr>
          <w:rFonts w:ascii="Arial" w:cs="Arial" w:eastAsia="Arial" w:hAnsi="Arial"/>
          <w:sz w:val="15"/>
          <w:szCs w:val="15"/>
          <w:color w:val="auto"/>
        </w:rPr>
        <w:t>” means an Employee, Director or Consultant.</w:t>
      </w:r>
    </w:p>
    <w:p>
      <w:pPr>
        <w:spacing w:after="0" w:line="204" w:lineRule="exact"/>
        <w:rPr>
          <w:rFonts w:ascii="Arial" w:cs="Arial" w:eastAsia="Arial" w:hAnsi="Arial"/>
          <w:sz w:val="15"/>
          <w:szCs w:val="15"/>
          <w:color w:val="auto"/>
        </w:rPr>
      </w:pPr>
    </w:p>
    <w:p>
      <w:pPr>
        <w:ind w:left="1160" w:hanging="300"/>
        <w:spacing w:after="0"/>
        <w:tabs>
          <w:tab w:leader="none" w:pos="116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share of the Common Stock, as adjusted in accordance with Section 13 of the Plan.</w:t>
      </w:r>
    </w:p>
    <w:p>
      <w:pPr>
        <w:spacing w:after="0" w:line="193" w:lineRule="exact"/>
        <w:rPr>
          <w:rFonts w:ascii="Arial" w:cs="Arial" w:eastAsia="Arial" w:hAnsi="Arial"/>
          <w:sz w:val="16"/>
          <w:szCs w:val="16"/>
          <w:color w:val="auto"/>
        </w:rPr>
      </w:pPr>
    </w:p>
    <w:p>
      <w:pPr>
        <w:ind w:right="120" w:firstLine="860"/>
        <w:spacing w:after="0" w:line="266" w:lineRule="auto"/>
        <w:tabs>
          <w:tab w:leader="none" w:pos="1149" w:val="left"/>
        </w:tabs>
        <w:numPr>
          <w:ilvl w:val="0"/>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an Award, granted alone or in connection with an Option, that pursuant to Section 7 is designated as a Stock Appreciation Right.</w:t>
      </w:r>
    </w:p>
    <w:p>
      <w:pPr>
        <w:spacing w:after="0" w:line="158" w:lineRule="exact"/>
        <w:rPr>
          <w:rFonts w:ascii="Arial" w:cs="Arial" w:eastAsia="Arial" w:hAnsi="Arial"/>
          <w:sz w:val="16"/>
          <w:szCs w:val="16"/>
          <w:color w:val="auto"/>
        </w:rPr>
      </w:pPr>
    </w:p>
    <w:p>
      <w:pPr>
        <w:ind w:left="1160" w:hanging="300"/>
        <w:spacing w:after="0"/>
        <w:tabs>
          <w:tab w:leader="none" w:pos="116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Code Section 424(f).</w:t>
      </w:r>
    </w:p>
    <w:p>
      <w:pPr>
        <w:sectPr>
          <w:pgSz w:w="11900" w:h="16838" w:orient="portrait"/>
          <w:cols w:equalWidth="0" w:num="1">
            <w:col w:w="9600"/>
          </w:cols>
          <w:pgMar w:left="1140" w:top="256" w:right="1159" w:bottom="1440" w:gutter="0" w:footer="0" w:header="0"/>
        </w:sectPr>
      </w:pPr>
    </w:p>
    <w:bookmarkStart w:id="455" w:name="page456"/>
    <w:bookmarkEnd w:id="455"/>
    <w:p>
      <w:pPr>
        <w:ind w:left="540" w:hanging="162"/>
        <w:spacing w:after="0"/>
        <w:tabs>
          <w:tab w:leader="none" w:pos="540"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Stock Subject to the Plan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20" w:firstLine="860"/>
        <w:spacing w:after="0" w:line="383" w:lineRule="auto"/>
        <w:tabs>
          <w:tab w:leader="none" w:pos="1079" w:val="left"/>
        </w:tabs>
        <w:numPr>
          <w:ilvl w:val="1"/>
          <w:numId w:val="296"/>
        </w:numPr>
        <w:rPr>
          <w:rFonts w:ascii="Arial" w:cs="Arial" w:eastAsia="Arial" w:hAnsi="Arial"/>
          <w:sz w:val="13"/>
          <w:szCs w:val="13"/>
          <w:color w:val="auto"/>
        </w:rPr>
      </w:pPr>
      <w:r>
        <w:rPr>
          <w:rFonts w:ascii="Arial" w:cs="Arial" w:eastAsia="Arial" w:hAnsi="Arial"/>
          <w:sz w:val="13"/>
          <w:szCs w:val="13"/>
          <w:u w:val="single" w:color="auto"/>
          <w:color w:val="auto"/>
        </w:rPr>
        <w:t>Stock Subject to the Plan</w:t>
      </w:r>
      <w:r>
        <w:rPr>
          <w:rFonts w:ascii="Arial" w:cs="Arial" w:eastAsia="Arial" w:hAnsi="Arial"/>
          <w:sz w:val="13"/>
          <w:szCs w:val="13"/>
          <w:color w:val="auto"/>
        </w:rPr>
        <w:t>. Subject to the provisions of Section 13 of the Plan, the maximum aggregate number of Shares that may be subject to Awards and sold under the Plan is 18,428,250 Shares. The Shares may be authorized but unissued, or reacquired Common Stock.</w:t>
      </w:r>
    </w:p>
    <w:p>
      <w:pPr>
        <w:spacing w:after="0" w:line="88" w:lineRule="exact"/>
        <w:rPr>
          <w:rFonts w:ascii="Arial" w:cs="Arial" w:eastAsia="Arial" w:hAnsi="Arial"/>
          <w:sz w:val="13"/>
          <w:szCs w:val="13"/>
          <w:color w:val="auto"/>
        </w:rPr>
      </w:pPr>
    </w:p>
    <w:p>
      <w:pPr>
        <w:ind w:right="40" w:firstLine="860"/>
        <w:spacing w:after="0" w:line="309" w:lineRule="auto"/>
        <w:tabs>
          <w:tab w:leader="none" w:pos="1088" w:val="left"/>
        </w:tabs>
        <w:numPr>
          <w:ilvl w:val="1"/>
          <w:numId w:val="296"/>
        </w:numPr>
        <w:rPr>
          <w:rFonts w:ascii="Arial" w:cs="Arial" w:eastAsia="Arial" w:hAnsi="Arial"/>
          <w:sz w:val="13"/>
          <w:szCs w:val="13"/>
          <w:color w:val="auto"/>
        </w:rPr>
      </w:pPr>
      <w:r>
        <w:rPr>
          <w:rFonts w:ascii="Arial" w:cs="Arial" w:eastAsia="Arial" w:hAnsi="Arial"/>
          <w:sz w:val="13"/>
          <w:szCs w:val="13"/>
          <w:u w:val="single" w:color="auto"/>
          <w:color w:val="auto"/>
        </w:rPr>
        <w:t>Lapsed Awards</w:t>
      </w:r>
      <w:r>
        <w:rPr>
          <w:rFonts w:ascii="Arial" w:cs="Arial" w:eastAsia="Arial" w:hAnsi="Arial"/>
          <w:sz w:val="13"/>
          <w:szCs w:val="13"/>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327" w:lineRule="exact"/>
        <w:rPr>
          <w:rFonts w:ascii="Arial" w:cs="Arial" w:eastAsia="Arial" w:hAnsi="Arial"/>
          <w:sz w:val="13"/>
          <w:szCs w:val="13"/>
          <w:color w:val="auto"/>
        </w:rPr>
      </w:pPr>
    </w:p>
    <w:p>
      <w:pPr>
        <w:ind w:firstLine="860"/>
        <w:spacing w:after="0" w:line="266" w:lineRule="auto"/>
        <w:tabs>
          <w:tab w:leader="none" w:pos="1079"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Share Reserve</w:t>
      </w:r>
      <w:r>
        <w:rPr>
          <w:rFonts w:ascii="Arial" w:cs="Arial" w:eastAsia="Arial" w:hAnsi="Arial"/>
          <w:sz w:val="16"/>
          <w:szCs w:val="16"/>
          <w:color w:val="auto"/>
        </w:rPr>
        <w:t>. The Company, during the term of this Plan, will at all times reserve and keep available such number of Shares as will be sufficient to satisfy the requirements of the Plan.</w:t>
      </w:r>
    </w:p>
    <w:p>
      <w:pPr>
        <w:spacing w:after="0" w:line="158" w:lineRule="exact"/>
        <w:rPr>
          <w:rFonts w:ascii="Arial" w:cs="Arial" w:eastAsia="Arial" w:hAnsi="Arial"/>
          <w:sz w:val="16"/>
          <w:szCs w:val="16"/>
          <w:color w:val="auto"/>
        </w:rPr>
      </w:pPr>
    </w:p>
    <w:p>
      <w:pPr>
        <w:ind w:left="540" w:hanging="162"/>
        <w:spacing w:after="0"/>
        <w:tabs>
          <w:tab w:leader="none" w:pos="540"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1440" w:hanging="196"/>
        <w:spacing w:after="0"/>
        <w:tabs>
          <w:tab w:leader="none" w:pos="1440" w:val="left"/>
        </w:tabs>
        <w:numPr>
          <w:ilvl w:val="2"/>
          <w:numId w:val="296"/>
        </w:numPr>
        <w:rPr>
          <w:rFonts w:ascii="Arial" w:cs="Arial" w:eastAsia="Arial" w:hAnsi="Arial"/>
          <w:sz w:val="13"/>
          <w:szCs w:val="13"/>
          <w:color w:val="auto"/>
        </w:rPr>
      </w:pPr>
      <w:r>
        <w:rPr>
          <w:rFonts w:ascii="Arial" w:cs="Arial" w:eastAsia="Arial" w:hAnsi="Arial"/>
          <w:sz w:val="13"/>
          <w:szCs w:val="13"/>
          <w:u w:val="single" w:color="auto"/>
          <w:color w:val="auto"/>
        </w:rPr>
        <w:t>Multiple Administrative Bodies</w:t>
      </w:r>
      <w:r>
        <w:rPr>
          <w:rFonts w:ascii="Arial" w:cs="Arial" w:eastAsia="Arial" w:hAnsi="Arial"/>
          <w:sz w:val="13"/>
          <w:szCs w:val="13"/>
          <w:color w:val="auto"/>
        </w:rPr>
        <w:t>. Different Committees with respect to different groups of Service Providers may administer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Plan.</w:t>
      </w:r>
    </w:p>
    <w:p>
      <w:pPr>
        <w:spacing w:after="0" w:line="181" w:lineRule="exact"/>
        <w:rPr>
          <w:rFonts w:ascii="Arial" w:cs="Arial" w:eastAsia="Arial" w:hAnsi="Arial"/>
          <w:sz w:val="13"/>
          <w:szCs w:val="13"/>
          <w:color w:val="auto"/>
        </w:rPr>
      </w:pPr>
    </w:p>
    <w:p>
      <w:pPr>
        <w:ind w:right="120" w:firstLine="1244"/>
        <w:spacing w:after="0" w:line="266" w:lineRule="auto"/>
        <w:tabs>
          <w:tab w:leader="none" w:pos="1482" w:val="left"/>
        </w:tabs>
        <w:numPr>
          <w:ilvl w:val="2"/>
          <w:numId w:val="296"/>
        </w:numPr>
        <w:rPr>
          <w:rFonts w:ascii="Arial" w:cs="Arial" w:eastAsia="Arial" w:hAnsi="Arial"/>
          <w:sz w:val="16"/>
          <w:szCs w:val="16"/>
          <w:color w:val="auto"/>
        </w:rPr>
      </w:pPr>
      <w:r>
        <w:rPr>
          <w:rFonts w:ascii="Arial" w:cs="Arial" w:eastAsia="Arial" w:hAnsi="Arial"/>
          <w:sz w:val="16"/>
          <w:szCs w:val="16"/>
          <w:u w:val="single" w:color="auto"/>
          <w:color w:val="auto"/>
        </w:rPr>
        <w:t>Other Administration</w:t>
      </w:r>
      <w:r>
        <w:rPr>
          <w:rFonts w:ascii="Arial" w:cs="Arial" w:eastAsia="Arial" w:hAnsi="Arial"/>
          <w:sz w:val="16"/>
          <w:szCs w:val="16"/>
          <w:color w:val="auto"/>
        </w:rPr>
        <w:t>. Other than as provided above, the Plan will be administered by (A) the Board or (B) a Committee, which Committee will be constituted to satisfy Applicable Laws.</w:t>
      </w:r>
    </w:p>
    <w:p>
      <w:pPr>
        <w:sectPr>
          <w:pgSz w:w="11900" w:h="16838" w:orient="portrait"/>
          <w:cols w:equalWidth="0" w:num="1">
            <w:col w:w="9620"/>
          </w:cols>
          <w:pgMar w:left="1140" w:top="256" w:right="1139" w:bottom="1440" w:gutter="0" w:footer="0" w:header="0"/>
        </w:sectPr>
      </w:pPr>
    </w:p>
    <w:bookmarkStart w:id="456" w:name="page457"/>
    <w:bookmarkEnd w:id="456"/>
    <w:p>
      <w:pPr>
        <w:ind w:left="-300" w:right="480" w:firstLine="860"/>
        <w:spacing w:after="0" w:line="266" w:lineRule="auto"/>
        <w:tabs>
          <w:tab w:leader="none" w:pos="788"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Powers of the Administrator</w:t>
      </w:r>
      <w:r>
        <w:rPr>
          <w:rFonts w:ascii="Arial" w:cs="Arial" w:eastAsia="Arial" w:hAnsi="Arial"/>
          <w:sz w:val="16"/>
          <w:szCs w:val="16"/>
          <w:color w:val="auto"/>
        </w:rPr>
        <w:t>. Subject to the provisions of the Plan, and in the case of a Committee, subject to the specific duties delegated by the Board to such Committee, the Administrator will have the authority, in its discretion:</w:t>
      </w:r>
    </w:p>
    <w:p>
      <w:pPr>
        <w:spacing w:after="0" w:line="158" w:lineRule="exact"/>
        <w:rPr>
          <w:rFonts w:ascii="Arial" w:cs="Arial" w:eastAsia="Arial" w:hAnsi="Arial"/>
          <w:sz w:val="16"/>
          <w:szCs w:val="16"/>
          <w:color w:val="auto"/>
        </w:rPr>
      </w:pPr>
    </w:p>
    <w:p>
      <w:pPr>
        <w:ind w:left="1140" w:hanging="196"/>
        <w:spacing w:after="0"/>
        <w:tabs>
          <w:tab w:leader="none" w:pos="114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determine the Fair Market Value;</w:t>
      </w:r>
    </w:p>
    <w:p>
      <w:pPr>
        <w:spacing w:after="0" w:line="193" w:lineRule="exact"/>
        <w:rPr>
          <w:rFonts w:ascii="Arial" w:cs="Arial" w:eastAsia="Arial" w:hAnsi="Arial"/>
          <w:sz w:val="16"/>
          <w:szCs w:val="16"/>
          <w:color w:val="auto"/>
        </w:rPr>
      </w:pPr>
    </w:p>
    <w:p>
      <w:pPr>
        <w:ind w:left="1180" w:hanging="236"/>
        <w:spacing w:after="0"/>
        <w:tabs>
          <w:tab w:leader="none" w:pos="118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select the Service Providers to whom Awards may be granted hereunder;</w:t>
      </w:r>
    </w:p>
    <w:p>
      <w:pPr>
        <w:spacing w:after="0" w:line="193" w:lineRule="exact"/>
        <w:rPr>
          <w:rFonts w:ascii="Arial" w:cs="Arial" w:eastAsia="Arial" w:hAnsi="Arial"/>
          <w:sz w:val="16"/>
          <w:szCs w:val="16"/>
          <w:color w:val="auto"/>
        </w:rPr>
      </w:pPr>
    </w:p>
    <w:p>
      <w:pPr>
        <w:ind w:left="1220" w:hanging="276"/>
        <w:spacing w:after="0"/>
        <w:tabs>
          <w:tab w:leader="none" w:pos="122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determine the number of Shares to be covered by each Award granted hereunder;</w:t>
      </w:r>
    </w:p>
    <w:p>
      <w:pPr>
        <w:spacing w:after="0" w:line="193" w:lineRule="exact"/>
        <w:rPr>
          <w:rFonts w:ascii="Arial" w:cs="Arial" w:eastAsia="Arial" w:hAnsi="Arial"/>
          <w:sz w:val="16"/>
          <w:szCs w:val="16"/>
          <w:color w:val="auto"/>
        </w:rPr>
      </w:pPr>
    </w:p>
    <w:p>
      <w:pPr>
        <w:ind w:left="1220" w:hanging="276"/>
        <w:spacing w:after="0"/>
        <w:tabs>
          <w:tab w:leader="none" w:pos="122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approve forms of Award Agreements for use under the Plan;</w:t>
      </w:r>
    </w:p>
    <w:p>
      <w:pPr>
        <w:spacing w:after="0" w:line="193" w:lineRule="exact"/>
        <w:rPr>
          <w:rFonts w:ascii="Arial" w:cs="Arial" w:eastAsia="Arial" w:hAnsi="Arial"/>
          <w:sz w:val="16"/>
          <w:szCs w:val="16"/>
          <w:color w:val="auto"/>
        </w:rPr>
      </w:pPr>
    </w:p>
    <w:p>
      <w:pPr>
        <w:ind w:left="-300" w:firstLine="1244"/>
        <w:spacing w:after="0" w:line="275" w:lineRule="auto"/>
        <w:tabs>
          <w:tab w:leader="none" w:pos="1173" w:val="left"/>
        </w:tabs>
        <w:numPr>
          <w:ilvl w:val="1"/>
          <w:numId w:val="297"/>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52" w:lineRule="exact"/>
        <w:rPr>
          <w:rFonts w:ascii="Arial" w:cs="Arial" w:eastAsia="Arial" w:hAnsi="Arial"/>
          <w:sz w:val="15"/>
          <w:szCs w:val="15"/>
          <w:color w:val="auto"/>
        </w:rPr>
      </w:pPr>
    </w:p>
    <w:p>
      <w:pPr>
        <w:ind w:left="1220" w:hanging="276"/>
        <w:spacing w:after="0"/>
        <w:tabs>
          <w:tab w:leader="none" w:pos="122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institute and determine the terms and conditions of an Exchange Program;</w:t>
      </w:r>
    </w:p>
    <w:p>
      <w:pPr>
        <w:spacing w:after="0" w:line="193" w:lineRule="exact"/>
        <w:rPr>
          <w:rFonts w:ascii="Arial" w:cs="Arial" w:eastAsia="Arial" w:hAnsi="Arial"/>
          <w:sz w:val="16"/>
          <w:szCs w:val="16"/>
          <w:color w:val="auto"/>
        </w:rPr>
      </w:pPr>
    </w:p>
    <w:p>
      <w:pPr>
        <w:ind w:left="1260" w:hanging="316"/>
        <w:spacing w:after="0"/>
        <w:tabs>
          <w:tab w:leader="none" w:pos="12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193" w:lineRule="exact"/>
        <w:rPr>
          <w:rFonts w:ascii="Arial" w:cs="Arial" w:eastAsia="Arial" w:hAnsi="Arial"/>
          <w:sz w:val="16"/>
          <w:szCs w:val="16"/>
          <w:color w:val="auto"/>
        </w:rPr>
      </w:pPr>
    </w:p>
    <w:p>
      <w:pPr>
        <w:ind w:left="-300" w:right="60" w:firstLine="1244"/>
        <w:spacing w:after="0" w:line="383" w:lineRule="auto"/>
        <w:tabs>
          <w:tab w:leader="none" w:pos="1304" w:val="left"/>
        </w:tabs>
        <w:numPr>
          <w:ilvl w:val="1"/>
          <w:numId w:val="297"/>
        </w:numPr>
        <w:rPr>
          <w:rFonts w:ascii="Arial" w:cs="Arial" w:eastAsia="Arial" w:hAnsi="Arial"/>
          <w:sz w:val="13"/>
          <w:szCs w:val="13"/>
          <w:color w:val="auto"/>
        </w:rPr>
      </w:pPr>
      <w:r>
        <w:rPr>
          <w:rFonts w:ascii="Arial" w:cs="Arial" w:eastAsia="Arial" w:hAnsi="Arial"/>
          <w:sz w:val="13"/>
          <w:szCs w:val="13"/>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88" w:lineRule="exact"/>
        <w:rPr>
          <w:rFonts w:ascii="Arial" w:cs="Arial" w:eastAsia="Arial" w:hAnsi="Arial"/>
          <w:sz w:val="13"/>
          <w:szCs w:val="13"/>
          <w:color w:val="auto"/>
        </w:rPr>
      </w:pPr>
    </w:p>
    <w:p>
      <w:pPr>
        <w:ind w:left="-300" w:right="40" w:firstLine="1244"/>
        <w:spacing w:after="0" w:line="300" w:lineRule="auto"/>
        <w:tabs>
          <w:tab w:leader="none" w:pos="1217" w:val="left"/>
        </w:tabs>
        <w:numPr>
          <w:ilvl w:val="1"/>
          <w:numId w:val="297"/>
        </w:numPr>
        <w:rPr>
          <w:rFonts w:ascii="Arial" w:cs="Arial" w:eastAsia="Arial" w:hAnsi="Arial"/>
          <w:sz w:val="15"/>
          <w:szCs w:val="15"/>
          <w:color w:val="auto"/>
        </w:rPr>
      </w:pPr>
      <w:r>
        <w:rPr>
          <w:rFonts w:ascii="Arial" w:cs="Arial" w:eastAsia="Arial" w:hAnsi="Arial"/>
          <w:sz w:val="15"/>
          <w:szCs w:val="15"/>
          <w:color w:val="auto"/>
        </w:rPr>
        <w:t>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134" w:lineRule="exact"/>
        <w:rPr>
          <w:rFonts w:ascii="Arial" w:cs="Arial" w:eastAsia="Arial" w:hAnsi="Arial"/>
          <w:sz w:val="15"/>
          <w:szCs w:val="15"/>
          <w:color w:val="auto"/>
        </w:rPr>
      </w:pPr>
    </w:p>
    <w:p>
      <w:pPr>
        <w:ind w:left="1160" w:hanging="216"/>
        <w:spacing w:after="0"/>
        <w:tabs>
          <w:tab w:leader="none" w:pos="11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allow Participants to satisfy withholding tax obligations in a manner prescribed in Section 14;</w:t>
      </w:r>
    </w:p>
    <w:p>
      <w:pPr>
        <w:spacing w:after="0" w:line="193" w:lineRule="exact"/>
        <w:rPr>
          <w:rFonts w:ascii="Arial" w:cs="Arial" w:eastAsia="Arial" w:hAnsi="Arial"/>
          <w:sz w:val="16"/>
          <w:szCs w:val="16"/>
          <w:color w:val="auto"/>
        </w:rPr>
      </w:pPr>
    </w:p>
    <w:p>
      <w:pPr>
        <w:ind w:left="-300" w:right="40" w:firstLine="1244"/>
        <w:spacing w:after="0" w:line="266" w:lineRule="auto"/>
        <w:tabs>
          <w:tab w:leader="none" w:pos="1217"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Award previously granted by the Administrator;</w:t>
      </w:r>
    </w:p>
    <w:p>
      <w:pPr>
        <w:spacing w:after="0" w:line="158" w:lineRule="exact"/>
        <w:rPr>
          <w:rFonts w:ascii="Arial" w:cs="Arial" w:eastAsia="Arial" w:hAnsi="Arial"/>
          <w:sz w:val="16"/>
          <w:szCs w:val="16"/>
          <w:color w:val="auto"/>
        </w:rPr>
      </w:pPr>
    </w:p>
    <w:p>
      <w:pPr>
        <w:ind w:left="-300" w:right="120" w:firstLine="1244"/>
        <w:spacing w:after="0" w:line="266" w:lineRule="auto"/>
        <w:tabs>
          <w:tab w:leader="none" w:pos="12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allow a Participant to defer the receipt of the payment of cash or the delivery of Shares that otherwise would be due to such Participant under an Award; and</w:t>
      </w:r>
    </w:p>
    <w:p>
      <w:pPr>
        <w:spacing w:after="0" w:line="158" w:lineRule="exact"/>
        <w:rPr>
          <w:rFonts w:ascii="Arial" w:cs="Arial" w:eastAsia="Arial" w:hAnsi="Arial"/>
          <w:sz w:val="16"/>
          <w:szCs w:val="16"/>
          <w:color w:val="auto"/>
        </w:rPr>
      </w:pPr>
    </w:p>
    <w:p>
      <w:pPr>
        <w:ind w:left="1300" w:hanging="356"/>
        <w:spacing w:after="0"/>
        <w:tabs>
          <w:tab w:leader="none" w:pos="130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w:t>
      </w:r>
    </w:p>
    <w:p>
      <w:pPr>
        <w:sectPr>
          <w:pgSz w:w="11900" w:h="16838" w:orient="portrait"/>
          <w:cols w:equalWidth="0" w:num="1">
            <w:col w:w="9280"/>
          </w:cols>
          <w:pgMar w:left="1440" w:top="256" w:right="1179" w:bottom="1440" w:gutter="0" w:footer="0" w:header="0"/>
        </w:sectPr>
      </w:pPr>
    </w:p>
    <w:bookmarkStart w:id="457" w:name="page458"/>
    <w:bookmarkEnd w:id="457"/>
    <w:p>
      <w:pPr>
        <w:ind w:left="-300" w:right="180" w:firstLine="860"/>
        <w:spacing w:after="0" w:line="266" w:lineRule="auto"/>
        <w:tabs>
          <w:tab w:leader="none" w:pos="779"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Effect of Administrator’s Decision</w:t>
      </w:r>
      <w:r>
        <w:rPr>
          <w:rFonts w:ascii="Arial" w:cs="Arial" w:eastAsia="Arial" w:hAnsi="Arial"/>
          <w:sz w:val="16"/>
          <w:szCs w:val="16"/>
          <w:color w:val="auto"/>
        </w:rPr>
        <w:t>. The Administrator’s decisions, determinations and interpretations will be final and binding on all Participants and any other holders of Awards.</w:t>
      </w:r>
    </w:p>
    <w:p>
      <w:pPr>
        <w:spacing w:after="0" w:line="158" w:lineRule="exact"/>
        <w:rPr>
          <w:rFonts w:ascii="Arial" w:cs="Arial" w:eastAsia="Arial" w:hAnsi="Arial"/>
          <w:sz w:val="16"/>
          <w:szCs w:val="16"/>
          <w:color w:val="auto"/>
        </w:rPr>
      </w:pPr>
    </w:p>
    <w:p>
      <w:pPr>
        <w:ind w:left="-300" w:right="320" w:firstLine="378"/>
        <w:spacing w:after="0" w:line="266" w:lineRule="auto"/>
        <w:tabs>
          <w:tab w:leader="none" w:pos="242"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Stock Appreciation Rights, Restricted Stock, and Restricted Stock Units may be granted to Service Providers. Incentive Stock Options may be granted only to Employees.</w:t>
      </w:r>
    </w:p>
    <w:p>
      <w:pPr>
        <w:spacing w:after="0" w:line="158" w:lineRule="exact"/>
        <w:rPr>
          <w:rFonts w:ascii="Arial" w:cs="Arial" w:eastAsia="Arial" w:hAnsi="Arial"/>
          <w:sz w:val="16"/>
          <w:szCs w:val="16"/>
          <w:color w:val="auto"/>
        </w:rPr>
      </w:pPr>
    </w:p>
    <w:p>
      <w:pPr>
        <w:ind w:left="240" w:hanging="162"/>
        <w:spacing w:after="0"/>
        <w:tabs>
          <w:tab w:leader="none" w:pos="240"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380" w:firstLine="860"/>
        <w:spacing w:after="0" w:line="266" w:lineRule="auto"/>
        <w:tabs>
          <w:tab w:leader="none" w:pos="779"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Subject to the terms and provisions of the Plan, the Administrator, at any time and from time to time, may grant Options in such amounts as the Administrator, in its sole discretion, will determine.</w:t>
      </w:r>
    </w:p>
    <w:p>
      <w:pPr>
        <w:spacing w:after="0" w:line="158" w:lineRule="exact"/>
        <w:rPr>
          <w:rFonts w:ascii="Arial" w:cs="Arial" w:eastAsia="Arial" w:hAnsi="Arial"/>
          <w:sz w:val="16"/>
          <w:szCs w:val="16"/>
          <w:color w:val="auto"/>
        </w:rPr>
      </w:pPr>
    </w:p>
    <w:p>
      <w:pPr>
        <w:ind w:left="-300" w:firstLine="860"/>
        <w:spacing w:after="0" w:line="256" w:lineRule="auto"/>
        <w:tabs>
          <w:tab w:leader="none" w:pos="788"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Option Agreement</w:t>
      </w:r>
      <w:r>
        <w:rPr>
          <w:rFonts w:ascii="Arial" w:cs="Arial" w:eastAsia="Arial" w:hAnsi="Arial"/>
          <w:sz w:val="16"/>
          <w:szCs w:val="16"/>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65" w:lineRule="exact"/>
        <w:rPr>
          <w:rFonts w:ascii="Arial" w:cs="Arial" w:eastAsia="Arial" w:hAnsi="Arial"/>
          <w:sz w:val="16"/>
          <w:szCs w:val="16"/>
          <w:color w:val="auto"/>
        </w:rPr>
      </w:pPr>
    </w:p>
    <w:p>
      <w:pPr>
        <w:ind w:left="-300" w:right="60" w:firstLine="860"/>
        <w:spacing w:after="0" w:line="268" w:lineRule="auto"/>
        <w:tabs>
          <w:tab w:leader="none" w:pos="779" w:val="left"/>
        </w:tabs>
        <w:numPr>
          <w:ilvl w:val="1"/>
          <w:numId w:val="299"/>
        </w:numPr>
        <w:rPr>
          <w:rFonts w:ascii="Arial" w:cs="Arial" w:eastAsia="Arial" w:hAnsi="Arial"/>
          <w:sz w:val="15"/>
          <w:szCs w:val="15"/>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60" w:lineRule="exact"/>
        <w:rPr>
          <w:rFonts w:ascii="Arial" w:cs="Arial" w:eastAsia="Arial" w:hAnsi="Arial"/>
          <w:sz w:val="15"/>
          <w:szCs w:val="15"/>
          <w:color w:val="auto"/>
        </w:rPr>
      </w:pPr>
    </w:p>
    <w:p>
      <w:pPr>
        <w:ind w:left="-300" w:right="20" w:firstLine="860"/>
        <w:spacing w:after="0" w:line="251" w:lineRule="auto"/>
        <w:tabs>
          <w:tab w:leader="none" w:pos="788"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9" w:lineRule="exact"/>
        <w:rPr>
          <w:rFonts w:ascii="Arial" w:cs="Arial" w:eastAsia="Arial" w:hAnsi="Arial"/>
          <w:sz w:val="16"/>
          <w:szCs w:val="16"/>
          <w:color w:val="auto"/>
        </w:rPr>
      </w:pPr>
    </w:p>
    <w:p>
      <w:pPr>
        <w:ind w:left="780" w:hanging="220"/>
        <w:spacing w:after="0"/>
        <w:tabs>
          <w:tab w:leader="none" w:pos="780"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Option Exercise Price and Consideration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20" w:firstLine="1244"/>
        <w:spacing w:after="0" w:line="268" w:lineRule="auto"/>
        <w:tabs>
          <w:tab w:leader="none" w:pos="1138" w:val="left"/>
        </w:tabs>
        <w:numPr>
          <w:ilvl w:val="2"/>
          <w:numId w:val="299"/>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ectPr>
          <w:pgSz w:w="11900" w:h="16838" w:orient="portrait"/>
          <w:cols w:equalWidth="0" w:num="1">
            <w:col w:w="9320"/>
          </w:cols>
          <w:pgMar w:left="1440" w:top="256" w:right="1139" w:bottom="1440" w:gutter="0" w:footer="0" w:header="0"/>
        </w:sectPr>
      </w:pPr>
    </w:p>
    <w:bookmarkStart w:id="458" w:name="page459"/>
    <w:bookmarkEnd w:id="458"/>
    <w:p>
      <w:pPr>
        <w:ind w:right="380" w:firstLine="1244"/>
        <w:spacing w:after="0" w:line="300" w:lineRule="auto"/>
        <w:tabs>
          <w:tab w:leader="none" w:pos="1482" w:val="left"/>
        </w:tabs>
        <w:numPr>
          <w:ilvl w:val="1"/>
          <w:numId w:val="30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Waiting Period and Exercise Dates</w:t>
      </w:r>
      <w:r>
        <w:rPr>
          <w:rFonts w:ascii="Arial" w:cs="Arial" w:eastAsia="Arial" w:hAnsi="Arial"/>
          <w:sz w:val="15"/>
          <w:szCs w:val="15"/>
          <w:color w:val="auto"/>
        </w:rPr>
        <w:t>. At the time an Option is granted, the Administrator will fix the period within which the Option may be exercised and will determine any conditions that must be satisfied before the Option may be exercised.</w:t>
      </w:r>
    </w:p>
    <w:p>
      <w:pPr>
        <w:spacing w:after="0" w:line="134" w:lineRule="exact"/>
        <w:rPr>
          <w:rFonts w:ascii="Arial" w:cs="Arial" w:eastAsia="Arial" w:hAnsi="Arial"/>
          <w:sz w:val="15"/>
          <w:szCs w:val="15"/>
          <w:color w:val="auto"/>
        </w:rPr>
      </w:pPr>
    </w:p>
    <w:p>
      <w:pPr>
        <w:ind w:right="20" w:firstLine="1244"/>
        <w:spacing w:after="0" w:line="266" w:lineRule="auto"/>
        <w:tabs>
          <w:tab w:leader="none" w:pos="1525" w:val="left"/>
        </w:tabs>
        <w:numPr>
          <w:ilvl w:val="1"/>
          <w:numId w:val="300"/>
        </w:numPr>
        <w:rPr>
          <w:rFonts w:ascii="Arial" w:cs="Arial" w:eastAsia="Arial" w:hAnsi="Arial"/>
          <w:sz w:val="15"/>
          <w:szCs w:val="15"/>
          <w:color w:val="auto"/>
        </w:rPr>
      </w:pPr>
      <w:r>
        <w:rPr>
          <w:rFonts w:ascii="Arial" w:cs="Arial" w:eastAsia="Arial" w:hAnsi="Arial"/>
          <w:sz w:val="15"/>
          <w:szCs w:val="15"/>
          <w:u w:val="single" w:color="auto"/>
          <w:color w:val="auto"/>
        </w:rPr>
        <w:t>Form of Consideration</w:t>
      </w:r>
      <w:r>
        <w:rPr>
          <w:rFonts w:ascii="Arial" w:cs="Arial" w:eastAsia="Arial" w:hAnsi="Arial"/>
          <w:sz w:val="15"/>
          <w:szCs w:val="15"/>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63" w:lineRule="exact"/>
        <w:rPr>
          <w:rFonts w:ascii="Arial" w:cs="Arial" w:eastAsia="Arial" w:hAnsi="Arial"/>
          <w:sz w:val="15"/>
          <w:szCs w:val="15"/>
          <w:color w:val="auto"/>
        </w:rPr>
      </w:pPr>
    </w:p>
    <w:p>
      <w:pPr>
        <w:ind w:left="1060" w:hanging="200"/>
        <w:spacing w:after="0"/>
        <w:tabs>
          <w:tab w:leader="none" w:pos="1060"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100" w:firstLine="1244"/>
        <w:spacing w:after="0" w:line="256" w:lineRule="auto"/>
        <w:tabs>
          <w:tab w:leader="none" w:pos="1438" w:val="left"/>
        </w:tabs>
        <w:numPr>
          <w:ilvl w:val="1"/>
          <w:numId w:val="301"/>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Stockholder</w:t>
      </w:r>
      <w:r>
        <w:rPr>
          <w:rFonts w:ascii="Arial" w:cs="Arial" w:eastAsia="Arial" w:hAnsi="Arial"/>
          <w:sz w:val="16"/>
          <w:szCs w:val="16"/>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6" w:lineRule="exact"/>
        <w:rPr>
          <w:sz w:val="20"/>
          <w:szCs w:val="20"/>
          <w:color w:val="auto"/>
        </w:rPr>
      </w:pPr>
    </w:p>
    <w:p>
      <w:pPr>
        <w:ind w:firstLine="1732"/>
        <w:spacing w:after="0" w:line="267" w:lineRule="auto"/>
        <w:rPr>
          <w:sz w:val="20"/>
          <w:szCs w:val="20"/>
          <w:color w:val="auto"/>
        </w:rPr>
      </w:pPr>
      <w:r>
        <w:rPr>
          <w:rFonts w:ascii="Arial" w:cs="Arial" w:eastAsia="Arial" w:hAnsi="Arial"/>
          <w:sz w:val="15"/>
          <w:szCs w:val="15"/>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59" w:lineRule="exact"/>
        <w:rPr>
          <w:sz w:val="20"/>
          <w:szCs w:val="20"/>
          <w:color w:val="auto"/>
        </w:rPr>
      </w:pPr>
    </w:p>
    <w:p>
      <w:pPr>
        <w:ind w:right="220" w:firstLine="1732"/>
        <w:spacing w:after="0" w:line="266" w:lineRule="auto"/>
        <w:rPr>
          <w:sz w:val="20"/>
          <w:szCs w:val="20"/>
          <w:color w:val="auto"/>
        </w:rPr>
      </w:pPr>
      <w:r>
        <w:rPr>
          <w:rFonts w:ascii="Arial" w:cs="Arial" w:eastAsia="Arial" w:hAnsi="Arial"/>
          <w:sz w:val="16"/>
          <w:szCs w:val="16"/>
          <w:color w:val="auto"/>
        </w:rPr>
        <w:t>Exercising an Option in any manner will decrease the number of Shares thereafter available, both for purposes of the Plan and for sale under the Option, by the number of Shares as to which the Option is exercised.</w:t>
      </w:r>
    </w:p>
    <w:p>
      <w:pPr>
        <w:sectPr>
          <w:pgSz w:w="11900" w:h="16838" w:orient="portrait"/>
          <w:cols w:equalWidth="0" w:num="1">
            <w:col w:w="9600"/>
          </w:cols>
          <w:pgMar w:left="1140" w:top="256" w:right="1159" w:bottom="1440" w:gutter="0" w:footer="0" w:header="0"/>
        </w:sectPr>
      </w:pPr>
    </w:p>
    <w:bookmarkStart w:id="459" w:name="page460"/>
    <w:bookmarkEnd w:id="459"/>
    <w:p>
      <w:pPr>
        <w:ind w:left="-300" w:firstLine="1244"/>
        <w:spacing w:after="0" w:line="268" w:lineRule="auto"/>
        <w:tabs>
          <w:tab w:leader="none" w:pos="1182" w:val="left"/>
        </w:tabs>
        <w:numPr>
          <w:ilvl w:val="2"/>
          <w:numId w:val="30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Termination of Relationship as a Service Provider</w:t>
      </w:r>
      <w:r>
        <w:rPr>
          <w:rFonts w:ascii="Arial" w:cs="Arial" w:eastAsia="Arial" w:hAnsi="Arial"/>
          <w:sz w:val="15"/>
          <w:szCs w:val="15"/>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60" w:lineRule="exact"/>
        <w:rPr>
          <w:rFonts w:ascii="Arial" w:cs="Arial" w:eastAsia="Arial" w:hAnsi="Arial"/>
          <w:sz w:val="15"/>
          <w:szCs w:val="15"/>
          <w:color w:val="auto"/>
        </w:rPr>
      </w:pPr>
    </w:p>
    <w:p>
      <w:pPr>
        <w:ind w:left="-300" w:right="20" w:firstLine="1244"/>
        <w:spacing w:after="0" w:line="319" w:lineRule="auto"/>
        <w:tabs>
          <w:tab w:leader="none" w:pos="1225" w:val="left"/>
        </w:tabs>
        <w:numPr>
          <w:ilvl w:val="2"/>
          <w:numId w:val="302"/>
        </w:numPr>
        <w:rPr>
          <w:rFonts w:ascii="Arial" w:cs="Arial" w:eastAsia="Arial" w:hAnsi="Arial"/>
          <w:sz w:val="13"/>
          <w:szCs w:val="13"/>
          <w:color w:val="auto"/>
        </w:rPr>
      </w:pPr>
      <w:r>
        <w:rPr>
          <w:rFonts w:ascii="Arial" w:cs="Arial" w:eastAsia="Arial" w:hAnsi="Arial"/>
          <w:sz w:val="13"/>
          <w:szCs w:val="13"/>
          <w:u w:val="single" w:color="auto"/>
          <w:color w:val="auto"/>
        </w:rPr>
        <w:t>Disability of Participant</w:t>
      </w:r>
      <w:r>
        <w:rPr>
          <w:rFonts w:ascii="Arial" w:cs="Arial" w:eastAsia="Arial" w:hAnsi="Arial"/>
          <w:sz w:val="13"/>
          <w:szCs w:val="13"/>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28" w:lineRule="exact"/>
        <w:rPr>
          <w:rFonts w:ascii="Arial" w:cs="Arial" w:eastAsia="Arial" w:hAnsi="Arial"/>
          <w:sz w:val="13"/>
          <w:szCs w:val="13"/>
          <w:color w:val="auto"/>
        </w:rPr>
      </w:pPr>
    </w:p>
    <w:p>
      <w:pPr>
        <w:ind w:left="-300" w:firstLine="1244"/>
        <w:spacing w:after="0" w:line="267" w:lineRule="auto"/>
        <w:tabs>
          <w:tab w:leader="none" w:pos="1217" w:val="left"/>
        </w:tabs>
        <w:numPr>
          <w:ilvl w:val="2"/>
          <w:numId w:val="302"/>
        </w:numPr>
        <w:rPr>
          <w:rFonts w:ascii="Arial" w:cs="Arial" w:eastAsia="Arial" w:hAnsi="Arial"/>
          <w:sz w:val="15"/>
          <w:szCs w:val="15"/>
          <w:color w:val="auto"/>
        </w:rPr>
      </w:pPr>
      <w:r>
        <w:rPr>
          <w:rFonts w:ascii="Arial" w:cs="Arial" w:eastAsia="Arial" w:hAnsi="Arial"/>
          <w:sz w:val="15"/>
          <w:szCs w:val="15"/>
          <w:u w:val="single" w:color="auto"/>
          <w:color w:val="auto"/>
        </w:rPr>
        <w:t>Death of Participant</w:t>
      </w:r>
      <w:r>
        <w:rPr>
          <w:rFonts w:ascii="Arial" w:cs="Arial" w:eastAsia="Arial" w:hAnsi="Arial"/>
          <w:sz w:val="15"/>
          <w:szCs w:val="15"/>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9" w:lineRule="exact"/>
        <w:rPr>
          <w:rFonts w:ascii="Arial" w:cs="Arial" w:eastAsia="Arial" w:hAnsi="Arial"/>
          <w:sz w:val="15"/>
          <w:szCs w:val="15"/>
          <w:color w:val="auto"/>
        </w:rPr>
      </w:pPr>
    </w:p>
    <w:p>
      <w:pPr>
        <w:ind w:left="240" w:hanging="162"/>
        <w:spacing w:after="0"/>
        <w:tabs>
          <w:tab w:leader="none" w:pos="240"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300" w:firstLine="860"/>
        <w:spacing w:after="0" w:line="266" w:lineRule="auto"/>
        <w:tabs>
          <w:tab w:leader="none" w:pos="779"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Grant of Stock Appreciation Rights</w:t>
      </w:r>
      <w:r>
        <w:rPr>
          <w:rFonts w:ascii="Arial" w:cs="Arial" w:eastAsia="Arial" w:hAnsi="Arial"/>
          <w:sz w:val="16"/>
          <w:szCs w:val="16"/>
          <w:color w:val="auto"/>
        </w:rPr>
        <w:t>. Subject to the terms and conditions of the Plan, a Stock Appreciation Right may be granted to Service Providers at any time and from time to time as will be determined by the Administrator, in its sole discretion.</w:t>
      </w:r>
    </w:p>
    <w:p>
      <w:pPr>
        <w:spacing w:after="0" w:line="158" w:lineRule="exact"/>
        <w:rPr>
          <w:rFonts w:ascii="Arial" w:cs="Arial" w:eastAsia="Arial" w:hAnsi="Arial"/>
          <w:sz w:val="16"/>
          <w:szCs w:val="16"/>
          <w:color w:val="auto"/>
        </w:rPr>
      </w:pPr>
    </w:p>
    <w:p>
      <w:pPr>
        <w:ind w:left="-300" w:right="80" w:firstLine="860"/>
        <w:spacing w:after="0" w:line="266" w:lineRule="auto"/>
        <w:tabs>
          <w:tab w:leader="none" w:pos="788"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Administrator will have complete discretion to determine the number of Shares subject to any Award of Stock Appreciation Rights.</w:t>
      </w:r>
    </w:p>
    <w:p>
      <w:pPr>
        <w:sectPr>
          <w:pgSz w:w="11900" w:h="16838" w:orient="portrait"/>
          <w:cols w:equalWidth="0" w:num="1">
            <w:col w:w="9280"/>
          </w:cols>
          <w:pgMar w:left="1440" w:top="256" w:right="1179" w:bottom="1440" w:gutter="0" w:footer="0" w:header="0"/>
        </w:sectPr>
      </w:pPr>
    </w:p>
    <w:bookmarkStart w:id="460" w:name="page461"/>
    <w:bookmarkEnd w:id="460"/>
    <w:p>
      <w:pPr>
        <w:ind w:right="40" w:firstLine="860"/>
        <w:spacing w:after="0" w:line="275" w:lineRule="auto"/>
        <w:tabs>
          <w:tab w:leader="none" w:pos="1079"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Exercise Price and Other Terms</w:t>
      </w:r>
      <w:r>
        <w:rPr>
          <w:rFonts w:ascii="Arial" w:cs="Arial" w:eastAsia="Arial" w:hAnsi="Arial"/>
          <w:sz w:val="15"/>
          <w:szCs w:val="15"/>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52" w:lineRule="exact"/>
        <w:rPr>
          <w:rFonts w:ascii="Arial" w:cs="Arial" w:eastAsia="Arial" w:hAnsi="Arial"/>
          <w:sz w:val="15"/>
          <w:szCs w:val="15"/>
          <w:color w:val="auto"/>
        </w:rPr>
      </w:pPr>
    </w:p>
    <w:p>
      <w:pPr>
        <w:ind w:firstLine="860"/>
        <w:spacing w:after="0" w:line="256" w:lineRule="auto"/>
        <w:tabs>
          <w:tab w:leader="none" w:pos="1088"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Stock Appreciation Right Agreement</w:t>
      </w:r>
      <w:r>
        <w:rPr>
          <w:rFonts w:ascii="Arial" w:cs="Arial" w:eastAsia="Arial" w:hAnsi="Arial"/>
          <w:sz w:val="16"/>
          <w:szCs w:val="16"/>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5" w:lineRule="exact"/>
        <w:rPr>
          <w:rFonts w:ascii="Arial" w:cs="Arial" w:eastAsia="Arial" w:hAnsi="Arial"/>
          <w:sz w:val="16"/>
          <w:szCs w:val="16"/>
          <w:color w:val="auto"/>
        </w:rPr>
      </w:pPr>
    </w:p>
    <w:p>
      <w:pPr>
        <w:jc w:val="both"/>
        <w:ind w:right="140" w:firstLine="860"/>
        <w:spacing w:after="0" w:line="256" w:lineRule="auto"/>
        <w:tabs>
          <w:tab w:leader="none" w:pos="1079"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Expiration of Stock Appreciation Rights</w:t>
      </w:r>
      <w:r>
        <w:rPr>
          <w:rFonts w:ascii="Arial" w:cs="Arial" w:eastAsia="Arial" w:hAnsi="Arial"/>
          <w:sz w:val="16"/>
          <w:szCs w:val="16"/>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65" w:lineRule="exact"/>
        <w:rPr>
          <w:rFonts w:ascii="Arial" w:cs="Arial" w:eastAsia="Arial" w:hAnsi="Arial"/>
          <w:sz w:val="16"/>
          <w:szCs w:val="16"/>
          <w:color w:val="auto"/>
        </w:rPr>
      </w:pPr>
    </w:p>
    <w:p>
      <w:pPr>
        <w:ind w:right="220" w:firstLine="860"/>
        <w:spacing w:after="0" w:line="266" w:lineRule="auto"/>
        <w:tabs>
          <w:tab w:leader="none" w:pos="1062"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Payment of Stock Appreciation Right Amount</w:t>
      </w:r>
      <w:r>
        <w:rPr>
          <w:rFonts w:ascii="Arial" w:cs="Arial" w:eastAsia="Arial" w:hAnsi="Arial"/>
          <w:sz w:val="16"/>
          <w:szCs w:val="16"/>
          <w:color w:val="auto"/>
        </w:rPr>
        <w:t>. Upon exercise of a Stock Appreciation Right, a Participant will be entitled to receive payment from the Company in an amount determined by multiplying:</w:t>
      </w:r>
    </w:p>
    <w:p>
      <w:pPr>
        <w:spacing w:after="0" w:line="158" w:lineRule="exact"/>
        <w:rPr>
          <w:rFonts w:ascii="Arial" w:cs="Arial" w:eastAsia="Arial" w:hAnsi="Arial"/>
          <w:sz w:val="16"/>
          <w:szCs w:val="16"/>
          <w:color w:val="auto"/>
        </w:rPr>
      </w:pPr>
    </w:p>
    <w:p>
      <w:pPr>
        <w:ind w:left="1440" w:hanging="196"/>
        <w:spacing w:after="0"/>
        <w:tabs>
          <w:tab w:leader="none" w:pos="144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difference between the Fair Market Value of a Share on the date of exercise over the exercise price; times</w:t>
      </w:r>
    </w:p>
    <w:p>
      <w:pPr>
        <w:spacing w:after="0" w:line="193" w:lineRule="exact"/>
        <w:rPr>
          <w:rFonts w:ascii="Arial" w:cs="Arial" w:eastAsia="Arial" w:hAnsi="Arial"/>
          <w:sz w:val="16"/>
          <w:szCs w:val="16"/>
          <w:color w:val="auto"/>
        </w:rPr>
      </w:pPr>
    </w:p>
    <w:p>
      <w:pPr>
        <w:ind w:left="1480" w:hanging="236"/>
        <w:spacing w:after="0"/>
        <w:tabs>
          <w:tab w:leader="none" w:pos="148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number of Shares with respect to which the Stock Appreciation Right is exercised.</w:t>
      </w:r>
    </w:p>
    <w:p>
      <w:pPr>
        <w:spacing w:after="0" w:line="193"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540" w:hanging="162"/>
        <w:spacing w:after="0"/>
        <w:tabs>
          <w:tab w:leader="none" w:pos="54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00" w:firstLine="860"/>
        <w:spacing w:after="0" w:line="300" w:lineRule="auto"/>
        <w:tabs>
          <w:tab w:leader="none" w:pos="1079" w:val="left"/>
        </w:tabs>
        <w:numPr>
          <w:ilvl w:val="1"/>
          <w:numId w:val="305"/>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w:t>
      </w:r>
      <w:r>
        <w:rPr>
          <w:rFonts w:ascii="Arial" w:cs="Arial" w:eastAsia="Arial" w:hAnsi="Arial"/>
          <w:sz w:val="15"/>
          <w:szCs w:val="15"/>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34" w:lineRule="exact"/>
        <w:rPr>
          <w:rFonts w:ascii="Arial" w:cs="Arial" w:eastAsia="Arial" w:hAnsi="Arial"/>
          <w:sz w:val="15"/>
          <w:szCs w:val="15"/>
          <w:color w:val="auto"/>
        </w:rPr>
      </w:pPr>
    </w:p>
    <w:p>
      <w:pPr>
        <w:ind w:firstLine="860"/>
        <w:spacing w:after="0" w:line="343" w:lineRule="auto"/>
        <w:tabs>
          <w:tab w:leader="none" w:pos="1088" w:val="left"/>
        </w:tabs>
        <w:numPr>
          <w:ilvl w:val="1"/>
          <w:numId w:val="305"/>
        </w:numPr>
        <w:rPr>
          <w:rFonts w:ascii="Arial" w:cs="Arial" w:eastAsia="Arial" w:hAnsi="Arial"/>
          <w:sz w:val="13"/>
          <w:szCs w:val="13"/>
          <w:color w:val="auto"/>
        </w:rPr>
      </w:pPr>
      <w:r>
        <w:rPr>
          <w:rFonts w:ascii="Arial" w:cs="Arial" w:eastAsia="Arial" w:hAnsi="Arial"/>
          <w:sz w:val="13"/>
          <w:szCs w:val="13"/>
          <w:u w:val="single" w:color="auto"/>
          <w:color w:val="auto"/>
        </w:rPr>
        <w:t>Restricted Stock Agreement</w:t>
      </w:r>
      <w:r>
        <w:rPr>
          <w:rFonts w:ascii="Arial" w:cs="Arial" w:eastAsia="Arial" w:hAnsi="Arial"/>
          <w:sz w:val="13"/>
          <w:szCs w:val="13"/>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13" w:lineRule="exact"/>
        <w:rPr>
          <w:rFonts w:ascii="Arial" w:cs="Arial" w:eastAsia="Arial" w:hAnsi="Arial"/>
          <w:sz w:val="13"/>
          <w:szCs w:val="13"/>
          <w:color w:val="auto"/>
        </w:rPr>
      </w:pPr>
    </w:p>
    <w:p>
      <w:pPr>
        <w:ind w:right="220" w:firstLine="860"/>
        <w:spacing w:after="0" w:line="300" w:lineRule="auto"/>
        <w:tabs>
          <w:tab w:leader="none" w:pos="1079" w:val="left"/>
        </w:tabs>
        <w:numPr>
          <w:ilvl w:val="1"/>
          <w:numId w:val="305"/>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34" w:lineRule="exact"/>
        <w:rPr>
          <w:rFonts w:ascii="Arial" w:cs="Arial" w:eastAsia="Arial" w:hAnsi="Arial"/>
          <w:sz w:val="15"/>
          <w:szCs w:val="15"/>
          <w:color w:val="auto"/>
        </w:rPr>
      </w:pPr>
    </w:p>
    <w:p>
      <w:pPr>
        <w:ind w:right="20" w:firstLine="860"/>
        <w:spacing w:after="0" w:line="266" w:lineRule="auto"/>
        <w:tabs>
          <w:tab w:leader="none" w:pos="1088" w:val="left"/>
        </w:tabs>
        <w:numPr>
          <w:ilvl w:val="1"/>
          <w:numId w:val="305"/>
        </w:numPr>
        <w:rPr>
          <w:rFonts w:ascii="Arial" w:cs="Arial" w:eastAsia="Arial" w:hAnsi="Arial"/>
          <w:sz w:val="16"/>
          <w:szCs w:val="16"/>
          <w:color w:val="auto"/>
        </w:rPr>
      </w:pPr>
      <w:r>
        <w:rPr>
          <w:rFonts w:ascii="Arial" w:cs="Arial" w:eastAsia="Arial" w:hAnsi="Arial"/>
          <w:sz w:val="16"/>
          <w:szCs w:val="16"/>
          <w:u w:val="single" w:color="auto"/>
          <w:color w:val="auto"/>
        </w:rPr>
        <w:t>Other Restrictions</w:t>
      </w:r>
      <w:r>
        <w:rPr>
          <w:rFonts w:ascii="Arial" w:cs="Arial" w:eastAsia="Arial" w:hAnsi="Arial"/>
          <w:sz w:val="16"/>
          <w:szCs w:val="16"/>
          <w:color w:val="auto"/>
        </w:rPr>
        <w:t>. The Administrator, in its sole discretion, may impose such other restrictions on Shares of Restricted Stock as it may deem advisable or appropriate.</w:t>
      </w:r>
    </w:p>
    <w:p>
      <w:pPr>
        <w:sectPr>
          <w:pgSz w:w="11900" w:h="16838" w:orient="portrait"/>
          <w:cols w:equalWidth="0" w:num="1">
            <w:col w:w="9600"/>
          </w:cols>
          <w:pgMar w:left="1140" w:top="256" w:right="1159" w:bottom="1440" w:gutter="0" w:footer="0" w:header="0"/>
        </w:sectPr>
      </w:pPr>
    </w:p>
    <w:bookmarkStart w:id="461" w:name="page462"/>
    <w:bookmarkEnd w:id="461"/>
    <w:p>
      <w:pPr>
        <w:jc w:val="both"/>
        <w:ind w:left="-300" w:right="120" w:firstLine="860"/>
        <w:spacing w:after="0" w:line="343" w:lineRule="auto"/>
        <w:tabs>
          <w:tab w:leader="none" w:pos="779" w:val="left"/>
        </w:tabs>
        <w:numPr>
          <w:ilvl w:val="1"/>
          <w:numId w:val="306"/>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Removal of Restrictions</w:t>
      </w:r>
      <w:r>
        <w:rPr>
          <w:rFonts w:ascii="Arial" w:cs="Arial" w:eastAsia="Arial" w:hAnsi="Arial"/>
          <w:sz w:val="13"/>
          <w:szCs w:val="13"/>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13" w:lineRule="exact"/>
        <w:rPr>
          <w:rFonts w:ascii="Arial" w:cs="Arial" w:eastAsia="Arial" w:hAnsi="Arial"/>
          <w:sz w:val="13"/>
          <w:szCs w:val="13"/>
          <w:color w:val="auto"/>
        </w:rPr>
      </w:pPr>
    </w:p>
    <w:p>
      <w:pPr>
        <w:ind w:left="-300" w:right="100" w:firstLine="860"/>
        <w:spacing w:after="0" w:line="266" w:lineRule="auto"/>
        <w:tabs>
          <w:tab w:leader="none" w:pos="762"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During the Period of Restriction, Service Providers holding Shares of Restricted Stock granted hereunder may exercise full voting rights with respect to those Shares, unless the Administrator determines otherwise.</w:t>
      </w:r>
    </w:p>
    <w:p>
      <w:pPr>
        <w:spacing w:after="0" w:line="158" w:lineRule="exact"/>
        <w:rPr>
          <w:rFonts w:ascii="Arial" w:cs="Arial" w:eastAsia="Arial" w:hAnsi="Arial"/>
          <w:sz w:val="16"/>
          <w:szCs w:val="16"/>
          <w:color w:val="auto"/>
        </w:rPr>
      </w:pPr>
    </w:p>
    <w:p>
      <w:pPr>
        <w:ind w:left="-300" w:right="340" w:firstLine="860"/>
        <w:spacing w:after="0" w:line="253" w:lineRule="auto"/>
        <w:tabs>
          <w:tab w:leader="none" w:pos="788"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67" w:lineRule="exact"/>
        <w:rPr>
          <w:rFonts w:ascii="Arial" w:cs="Arial" w:eastAsia="Arial" w:hAnsi="Arial"/>
          <w:sz w:val="16"/>
          <w:szCs w:val="16"/>
          <w:color w:val="auto"/>
        </w:rPr>
      </w:pPr>
    </w:p>
    <w:p>
      <w:pPr>
        <w:ind w:left="-300" w:firstLine="860"/>
        <w:spacing w:after="0" w:line="266" w:lineRule="auto"/>
        <w:tabs>
          <w:tab w:leader="none" w:pos="788"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Return of Restricted Stock to Company</w:t>
      </w:r>
      <w:r>
        <w:rPr>
          <w:rFonts w:ascii="Arial" w:cs="Arial" w:eastAsia="Arial" w:hAnsi="Arial"/>
          <w:sz w:val="16"/>
          <w:szCs w:val="16"/>
          <w:color w:val="auto"/>
        </w:rPr>
        <w:t>. On the date set forth in the Award Agreement, the Restricted Stock for which restrictions have not lapsed will revert to the Company and again will become available for grant under the Plan.</w:t>
      </w:r>
    </w:p>
    <w:p>
      <w:pPr>
        <w:spacing w:after="0" w:line="158" w:lineRule="exact"/>
        <w:rPr>
          <w:rFonts w:ascii="Arial" w:cs="Arial" w:eastAsia="Arial" w:hAnsi="Arial"/>
          <w:sz w:val="16"/>
          <w:szCs w:val="16"/>
          <w:color w:val="auto"/>
        </w:rPr>
      </w:pPr>
    </w:p>
    <w:p>
      <w:pPr>
        <w:ind w:left="240" w:hanging="162"/>
        <w:spacing w:after="0"/>
        <w:tabs>
          <w:tab w:leader="none" w:pos="240"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260" w:firstLine="860"/>
        <w:spacing w:after="0" w:line="256" w:lineRule="auto"/>
        <w:tabs>
          <w:tab w:leader="none" w:pos="779"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65" w:lineRule="exact"/>
        <w:rPr>
          <w:rFonts w:ascii="Arial" w:cs="Arial" w:eastAsia="Arial" w:hAnsi="Arial"/>
          <w:sz w:val="16"/>
          <w:szCs w:val="16"/>
          <w:color w:val="auto"/>
        </w:rPr>
      </w:pPr>
    </w:p>
    <w:p>
      <w:pPr>
        <w:ind w:left="-300" w:right="60" w:firstLine="860"/>
        <w:spacing w:after="0" w:line="253" w:lineRule="auto"/>
        <w:tabs>
          <w:tab w:leader="none" w:pos="788"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Vesting Criteria and Other Terms</w:t>
      </w:r>
      <w:r>
        <w:rPr>
          <w:rFonts w:ascii="Arial" w:cs="Arial" w:eastAsia="Arial" w:hAnsi="Arial"/>
          <w:sz w:val="16"/>
          <w:szCs w:val="16"/>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67" w:lineRule="exact"/>
        <w:rPr>
          <w:rFonts w:ascii="Arial" w:cs="Arial" w:eastAsia="Arial" w:hAnsi="Arial"/>
          <w:sz w:val="16"/>
          <w:szCs w:val="16"/>
          <w:color w:val="auto"/>
        </w:rPr>
      </w:pPr>
    </w:p>
    <w:p>
      <w:pPr>
        <w:jc w:val="both"/>
        <w:ind w:left="-300" w:right="320" w:firstLine="860"/>
        <w:spacing w:after="0" w:line="256" w:lineRule="auto"/>
        <w:tabs>
          <w:tab w:leader="none" w:pos="779"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Earning Restricted Stock Units</w:t>
      </w:r>
      <w:r>
        <w:rPr>
          <w:rFonts w:ascii="Arial" w:cs="Arial" w:eastAsia="Arial" w:hAnsi="Arial"/>
          <w:sz w:val="16"/>
          <w:szCs w:val="16"/>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65" w:lineRule="exact"/>
        <w:rPr>
          <w:rFonts w:ascii="Arial" w:cs="Arial" w:eastAsia="Arial" w:hAnsi="Arial"/>
          <w:sz w:val="16"/>
          <w:szCs w:val="16"/>
          <w:color w:val="auto"/>
        </w:rPr>
      </w:pPr>
    </w:p>
    <w:p>
      <w:pPr>
        <w:ind w:left="-300" w:right="300" w:firstLine="860"/>
        <w:spacing w:after="0" w:line="256" w:lineRule="auto"/>
        <w:tabs>
          <w:tab w:leader="none" w:pos="788"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65" w:lineRule="exact"/>
        <w:rPr>
          <w:rFonts w:ascii="Arial" w:cs="Arial" w:eastAsia="Arial" w:hAnsi="Arial"/>
          <w:sz w:val="16"/>
          <w:szCs w:val="16"/>
          <w:color w:val="auto"/>
        </w:rPr>
      </w:pPr>
    </w:p>
    <w:p>
      <w:pPr>
        <w:ind w:left="780" w:hanging="220"/>
        <w:spacing w:after="0"/>
        <w:tabs>
          <w:tab w:leader="none" w:pos="780" w:val="left"/>
        </w:tabs>
        <w:numPr>
          <w:ilvl w:val="1"/>
          <w:numId w:val="307"/>
        </w:numPr>
        <w:rPr>
          <w:rFonts w:ascii="Arial" w:cs="Arial" w:eastAsia="Arial" w:hAnsi="Arial"/>
          <w:sz w:val="13"/>
          <w:szCs w:val="13"/>
          <w:color w:val="auto"/>
        </w:rPr>
      </w:pPr>
      <w:r>
        <w:rPr>
          <w:rFonts w:ascii="Arial" w:cs="Arial" w:eastAsia="Arial" w:hAnsi="Arial"/>
          <w:sz w:val="13"/>
          <w:szCs w:val="13"/>
          <w:u w:val="single" w:color="auto"/>
          <w:color w:val="auto"/>
        </w:rPr>
        <w:t>Cancellation</w:t>
      </w:r>
      <w:r>
        <w:rPr>
          <w:rFonts w:ascii="Arial" w:cs="Arial" w:eastAsia="Arial" w:hAnsi="Arial"/>
          <w:sz w:val="13"/>
          <w:szCs w:val="13"/>
          <w:color w:val="auto"/>
        </w:rPr>
        <w:t>. On the date set forth in the Award Agreement, all unearned Restricted Stock Units will be forfeited to the Company.</w:t>
      </w:r>
    </w:p>
    <w:p>
      <w:pPr>
        <w:sectPr>
          <w:pgSz w:w="11900" w:h="16838" w:orient="portrait"/>
          <w:cols w:equalWidth="0" w:num="1">
            <w:col w:w="9280"/>
          </w:cols>
          <w:pgMar w:left="1440" w:top="257" w:right="1179" w:bottom="1440" w:gutter="0" w:footer="0" w:header="0"/>
        </w:sectPr>
      </w:pPr>
    </w:p>
    <w:bookmarkStart w:id="462" w:name="page463"/>
    <w:bookmarkEnd w:id="462"/>
    <w:p>
      <w:pPr>
        <w:ind w:left="-300" w:firstLine="378"/>
        <w:spacing w:after="0" w:line="249" w:lineRule="auto"/>
        <w:tabs>
          <w:tab w:leader="none" w:pos="32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72" w:lineRule="exact"/>
        <w:rPr>
          <w:rFonts w:ascii="Arial" w:cs="Arial" w:eastAsia="Arial" w:hAnsi="Arial"/>
          <w:sz w:val="16"/>
          <w:szCs w:val="16"/>
          <w:color w:val="auto"/>
        </w:rPr>
      </w:pPr>
    </w:p>
    <w:p>
      <w:pPr>
        <w:ind w:left="-300" w:right="100" w:firstLine="378"/>
        <w:spacing w:after="0" w:line="249" w:lineRule="auto"/>
        <w:tabs>
          <w:tab w:leader="none" w:pos="314"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Leaves of Absence/Transfer Between Locations</w:t>
      </w:r>
      <w:r>
        <w:rPr>
          <w:rFonts w:ascii="Arial" w:cs="Arial" w:eastAsia="Arial" w:hAnsi="Arial"/>
          <w:sz w:val="16"/>
          <w:szCs w:val="16"/>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3"/>
          <w:szCs w:val="13"/>
          <w:color w:val="auto"/>
        </w:rPr>
        <w:t>st</w:t>
      </w:r>
      <w:r>
        <w:rPr>
          <w:rFonts w:ascii="Arial" w:cs="Arial" w:eastAsia="Arial" w:hAnsi="Arial"/>
          <w:sz w:val="16"/>
          <w:szCs w:val="16"/>
          <w:color w:val="auto"/>
        </w:rPr>
        <w:t>) day of such leave, any Incentive Stock Option held by the Participant will cease to be treated as an Incentive Stock Option and will be treated for tax purposes as a Nonstatutory Stock Option.</w:t>
      </w:r>
    </w:p>
    <w:p>
      <w:pPr>
        <w:spacing w:after="0" w:line="172" w:lineRule="exact"/>
        <w:rPr>
          <w:rFonts w:ascii="Arial" w:cs="Arial" w:eastAsia="Arial" w:hAnsi="Arial"/>
          <w:sz w:val="16"/>
          <w:szCs w:val="16"/>
          <w:color w:val="auto"/>
        </w:rPr>
      </w:pPr>
    </w:p>
    <w:p>
      <w:pPr>
        <w:ind w:left="320" w:hanging="242"/>
        <w:spacing w:after="0"/>
        <w:tabs>
          <w:tab w:leader="none" w:pos="32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Limited Transferability of Awards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80" w:firstLine="860"/>
        <w:spacing w:after="0" w:line="275" w:lineRule="auto"/>
        <w:tabs>
          <w:tab w:leader="none" w:pos="779" w:val="left"/>
        </w:tabs>
        <w:numPr>
          <w:ilvl w:val="1"/>
          <w:numId w:val="308"/>
        </w:numPr>
        <w:rPr>
          <w:rFonts w:ascii="Arial" w:cs="Arial" w:eastAsia="Arial" w:hAnsi="Arial"/>
          <w:sz w:val="15"/>
          <w:szCs w:val="15"/>
          <w:color w:val="auto"/>
        </w:rPr>
      </w:pPr>
      <w:r>
        <w:rPr>
          <w:rFonts w:ascii="Arial" w:cs="Arial" w:eastAsia="Arial" w:hAnsi="Arial"/>
          <w:sz w:val="15"/>
          <w:szCs w:val="15"/>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spacing w:after="0" w:line="152" w:lineRule="exact"/>
        <w:rPr>
          <w:rFonts w:ascii="Arial" w:cs="Arial" w:eastAsia="Arial" w:hAnsi="Arial"/>
          <w:sz w:val="15"/>
          <w:szCs w:val="15"/>
          <w:color w:val="auto"/>
        </w:rPr>
      </w:pPr>
    </w:p>
    <w:p>
      <w:pPr>
        <w:ind w:left="-300" w:right="20" w:firstLine="860"/>
        <w:spacing w:after="0" w:line="267" w:lineRule="auto"/>
        <w:tabs>
          <w:tab w:leader="none" w:pos="788" w:val="left"/>
        </w:tabs>
        <w:numPr>
          <w:ilvl w:val="1"/>
          <w:numId w:val="308"/>
        </w:numPr>
        <w:rPr>
          <w:rFonts w:ascii="Arial" w:cs="Arial" w:eastAsia="Arial" w:hAnsi="Arial"/>
          <w:sz w:val="15"/>
          <w:szCs w:val="15"/>
          <w:color w:val="auto"/>
        </w:rPr>
      </w:pPr>
      <w:r>
        <w:rPr>
          <w:rFonts w:ascii="Arial" w:cs="Arial" w:eastAsia="Arial" w:hAnsi="Arial"/>
          <w:sz w:val="15"/>
          <w:szCs w:val="15"/>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ectPr>
          <w:pgSz w:w="11900" w:h="16838" w:orient="portrait"/>
          <w:cols w:equalWidth="0" w:num="1">
            <w:col w:w="9300"/>
          </w:cols>
          <w:pgMar w:left="1440" w:top="256" w:right="1159" w:bottom="1440" w:gutter="0" w:footer="0" w:header="0"/>
        </w:sectPr>
      </w:pPr>
    </w:p>
    <w:bookmarkStart w:id="463" w:name="page464"/>
    <w:bookmarkEnd w:id="463"/>
    <w:p>
      <w:pPr>
        <w:ind w:left="620" w:hanging="242"/>
        <w:spacing w:after="0"/>
        <w:tabs>
          <w:tab w:leader="none" w:pos="620"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Adjustments; Dissolution or Liquidation; Merger or Change in Control</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firstLine="860"/>
        <w:spacing w:after="0" w:line="316" w:lineRule="auto"/>
        <w:tabs>
          <w:tab w:leader="none" w:pos="1079" w:val="left"/>
        </w:tabs>
        <w:numPr>
          <w:ilvl w:val="1"/>
          <w:numId w:val="309"/>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31" w:lineRule="exact"/>
        <w:rPr>
          <w:rFonts w:ascii="Arial" w:cs="Arial" w:eastAsia="Arial" w:hAnsi="Arial"/>
          <w:sz w:val="13"/>
          <w:szCs w:val="13"/>
          <w:color w:val="auto"/>
        </w:rPr>
      </w:pPr>
    </w:p>
    <w:p>
      <w:pPr>
        <w:ind w:right="120" w:firstLine="860"/>
        <w:spacing w:after="0" w:line="256" w:lineRule="auto"/>
        <w:tabs>
          <w:tab w:leader="none" w:pos="1088"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65" w:lineRule="exact"/>
        <w:rPr>
          <w:rFonts w:ascii="Arial" w:cs="Arial" w:eastAsia="Arial" w:hAnsi="Arial"/>
          <w:sz w:val="16"/>
          <w:szCs w:val="16"/>
          <w:color w:val="auto"/>
        </w:rPr>
      </w:pPr>
    </w:p>
    <w:p>
      <w:pPr>
        <w:ind w:right="20" w:firstLine="860"/>
        <w:spacing w:after="0" w:line="309" w:lineRule="auto"/>
        <w:tabs>
          <w:tab w:leader="none" w:pos="1079" w:val="left"/>
        </w:tabs>
        <w:numPr>
          <w:ilvl w:val="1"/>
          <w:numId w:val="309"/>
        </w:numPr>
        <w:rPr>
          <w:rFonts w:ascii="Arial" w:cs="Arial" w:eastAsia="Arial" w:hAnsi="Arial"/>
          <w:sz w:val="13"/>
          <w:szCs w:val="13"/>
          <w:color w:val="auto"/>
        </w:rPr>
      </w:pPr>
      <w:r>
        <w:rPr>
          <w:rFonts w:ascii="Arial" w:cs="Arial" w:eastAsia="Arial" w:hAnsi="Arial"/>
          <w:sz w:val="13"/>
          <w:szCs w:val="13"/>
          <w:u w:val="single" w:color="auto"/>
          <w:color w:val="auto"/>
        </w:rPr>
        <w:t>Merger or Change in Control</w:t>
      </w:r>
      <w:r>
        <w:rPr>
          <w:rFonts w:ascii="Arial" w:cs="Arial" w:eastAsia="Arial" w:hAnsi="Arial"/>
          <w:sz w:val="13"/>
          <w:szCs w:val="13"/>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327" w:lineRule="exact"/>
        <w:rPr>
          <w:sz w:val="20"/>
          <w:szCs w:val="20"/>
          <w:color w:val="auto"/>
        </w:rPr>
      </w:pPr>
    </w:p>
    <w:p>
      <w:pPr>
        <w:ind w:right="120" w:firstLine="866"/>
        <w:spacing w:after="0" w:line="253"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w:t>
      </w:r>
    </w:p>
    <w:p>
      <w:pPr>
        <w:sectPr>
          <w:pgSz w:w="11900" w:h="16838" w:orient="portrait"/>
          <w:cols w:equalWidth="0" w:num="1">
            <w:col w:w="9580"/>
          </w:cols>
          <w:pgMar w:left="1140" w:top="256" w:right="1179" w:bottom="1440" w:gutter="0" w:footer="0" w:header="0"/>
        </w:sectPr>
      </w:pPr>
    </w:p>
    <w:bookmarkStart w:id="464" w:name="page465"/>
    <w:bookmarkEnd w:id="464"/>
    <w:p>
      <w:pPr>
        <w:spacing w:after="0" w:line="3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3" w:lineRule="exact"/>
        <w:rPr>
          <w:sz w:val="20"/>
          <w:szCs w:val="20"/>
          <w:color w:val="auto"/>
        </w:rPr>
      </w:pPr>
    </w:p>
    <w:p>
      <w:pPr>
        <w:ind w:right="40" w:firstLine="866"/>
        <w:spacing w:after="0" w:line="267" w:lineRule="auto"/>
        <w:rPr>
          <w:sz w:val="20"/>
          <w:szCs w:val="20"/>
          <w:color w:val="auto"/>
        </w:rPr>
      </w:pPr>
      <w:r>
        <w:rPr>
          <w:rFonts w:ascii="Arial" w:cs="Arial" w:eastAsia="Arial" w:hAnsi="Arial"/>
          <w:sz w:val="15"/>
          <w:szCs w:val="15"/>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59" w:lineRule="exact"/>
        <w:rPr>
          <w:sz w:val="20"/>
          <w:szCs w:val="20"/>
          <w:color w:val="auto"/>
        </w:rPr>
      </w:pPr>
    </w:p>
    <w:p>
      <w:pPr>
        <w:ind w:right="160" w:firstLine="866"/>
        <w:spacing w:after="0" w:line="275" w:lineRule="auto"/>
        <w:rPr>
          <w:sz w:val="20"/>
          <w:szCs w:val="20"/>
          <w:color w:val="auto"/>
        </w:rPr>
      </w:pPr>
      <w:r>
        <w:rPr>
          <w:rFonts w:ascii="Arial" w:cs="Arial" w:eastAsia="Arial" w:hAnsi="Arial"/>
          <w:sz w:val="15"/>
          <w:szCs w:val="15"/>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53" w:lineRule="exact"/>
        <w:rPr>
          <w:sz w:val="20"/>
          <w:szCs w:val="20"/>
          <w:color w:val="auto"/>
        </w:rPr>
      </w:pPr>
    </w:p>
    <w:p>
      <w:pPr>
        <w:jc w:val="both"/>
        <w:ind w:right="100" w:firstLine="866"/>
        <w:spacing w:after="0" w:line="329" w:lineRule="auto"/>
        <w:rPr>
          <w:sz w:val="20"/>
          <w:szCs w:val="20"/>
          <w:color w:val="auto"/>
        </w:rPr>
      </w:pPr>
      <w:r>
        <w:rPr>
          <w:rFonts w:ascii="Arial" w:cs="Arial" w:eastAsia="Arial" w:hAnsi="Arial"/>
          <w:sz w:val="13"/>
          <w:szCs w:val="13"/>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23" w:lineRule="exact"/>
        <w:rPr>
          <w:sz w:val="20"/>
          <w:szCs w:val="20"/>
          <w:color w:val="auto"/>
        </w:rPr>
      </w:pPr>
    </w:p>
    <w:p>
      <w:pPr>
        <w:ind w:left="620" w:hanging="242"/>
        <w:spacing w:after="0"/>
        <w:tabs>
          <w:tab w:leader="none" w:pos="62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80" w:firstLine="860"/>
        <w:spacing w:after="0" w:line="343" w:lineRule="auto"/>
        <w:tabs>
          <w:tab w:leader="none" w:pos="1079" w:val="left"/>
        </w:tabs>
        <w:numPr>
          <w:ilvl w:val="1"/>
          <w:numId w:val="310"/>
        </w:numPr>
        <w:rPr>
          <w:rFonts w:ascii="Arial" w:cs="Arial" w:eastAsia="Arial" w:hAnsi="Arial"/>
          <w:sz w:val="13"/>
          <w:szCs w:val="13"/>
          <w:color w:val="auto"/>
        </w:rPr>
      </w:pPr>
      <w:r>
        <w:rPr>
          <w:rFonts w:ascii="Arial" w:cs="Arial" w:eastAsia="Arial" w:hAnsi="Arial"/>
          <w:sz w:val="13"/>
          <w:szCs w:val="13"/>
          <w:u w:val="single" w:color="auto"/>
          <w:color w:val="auto"/>
        </w:rPr>
        <w:t>Withholding Requirements</w:t>
      </w:r>
      <w:r>
        <w:rPr>
          <w:rFonts w:ascii="Arial" w:cs="Arial" w:eastAsia="Arial" w:hAnsi="Arial"/>
          <w:sz w:val="13"/>
          <w:szCs w:val="13"/>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ectPr>
          <w:pgSz w:w="11900" w:h="16838" w:orient="portrait"/>
          <w:cols w:equalWidth="0" w:num="1">
            <w:col w:w="9580"/>
          </w:cols>
          <w:pgMar w:left="1140" w:top="256" w:right="1179" w:bottom="1440" w:gutter="0" w:footer="0" w:header="0"/>
        </w:sectPr>
      </w:pPr>
    </w:p>
    <w:bookmarkStart w:id="465" w:name="page466"/>
    <w:bookmarkEnd w:id="465"/>
    <w:p>
      <w:pPr>
        <w:ind w:left="6" w:right="80" w:firstLine="860"/>
        <w:spacing w:after="0" w:line="308" w:lineRule="auto"/>
        <w:tabs>
          <w:tab w:leader="none" w:pos="1094" w:val="left"/>
        </w:tabs>
        <w:numPr>
          <w:ilvl w:val="2"/>
          <w:numId w:val="31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Withholding Arrangements</w:t>
      </w:r>
      <w:r>
        <w:rPr>
          <w:rFonts w:ascii="Arial" w:cs="Arial" w:eastAsia="Arial" w:hAnsi="Arial"/>
          <w:sz w:val="13"/>
          <w:szCs w:val="13"/>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w:t>
      </w:r>
    </w:p>
    <w:p>
      <w:pPr>
        <w:spacing w:after="0" w:line="1" w:lineRule="exact"/>
        <w:rPr>
          <w:rFonts w:ascii="Arial" w:cs="Arial" w:eastAsia="Arial" w:hAnsi="Arial"/>
          <w:sz w:val="13"/>
          <w:szCs w:val="13"/>
          <w:color w:val="auto"/>
        </w:rPr>
      </w:pPr>
    </w:p>
    <w:p>
      <w:pPr>
        <w:ind w:left="6" w:right="20" w:hanging="6"/>
        <w:spacing w:after="0" w:line="246" w:lineRule="auto"/>
        <w:tabs>
          <w:tab w:leader="none" w:pos="28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77" w:lineRule="exact"/>
        <w:rPr>
          <w:rFonts w:ascii="Arial" w:cs="Arial" w:eastAsia="Arial" w:hAnsi="Arial"/>
          <w:sz w:val="16"/>
          <w:szCs w:val="16"/>
          <w:color w:val="auto"/>
        </w:rPr>
      </w:pPr>
    </w:p>
    <w:p>
      <w:pPr>
        <w:ind w:left="6" w:right="120" w:firstLine="378"/>
        <w:spacing w:after="0" w:line="281" w:lineRule="auto"/>
        <w:tabs>
          <w:tab w:leader="none" w:pos="626" w:val="left"/>
        </w:tabs>
        <w:numPr>
          <w:ilvl w:val="1"/>
          <w:numId w:val="312"/>
        </w:numPr>
        <w:rPr>
          <w:rFonts w:ascii="Arial" w:cs="Arial" w:eastAsia="Arial" w:hAnsi="Arial"/>
          <w:sz w:val="15"/>
          <w:szCs w:val="15"/>
          <w:color w:val="auto"/>
        </w:rPr>
      </w:pPr>
      <w:r>
        <w:rPr>
          <w:rFonts w:ascii="Arial" w:cs="Arial" w:eastAsia="Arial" w:hAnsi="Arial"/>
          <w:sz w:val="15"/>
          <w:szCs w:val="15"/>
          <w:u w:val="single" w:color="auto"/>
          <w:color w:val="auto"/>
        </w:rPr>
        <w:t>No Effect on Employment or Service</w:t>
      </w:r>
      <w:r>
        <w:rPr>
          <w:rFonts w:ascii="Arial" w:cs="Arial" w:eastAsia="Arial" w:hAnsi="Arial"/>
          <w:sz w:val="15"/>
          <w:szCs w:val="15"/>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48" w:lineRule="exact"/>
        <w:rPr>
          <w:rFonts w:ascii="Arial" w:cs="Arial" w:eastAsia="Arial" w:hAnsi="Arial"/>
          <w:sz w:val="15"/>
          <w:szCs w:val="15"/>
          <w:color w:val="auto"/>
        </w:rPr>
      </w:pPr>
    </w:p>
    <w:p>
      <w:pPr>
        <w:ind w:left="6" w:right="160" w:firstLine="378"/>
        <w:spacing w:after="0" w:line="256" w:lineRule="auto"/>
        <w:tabs>
          <w:tab w:leader="none" w:pos="626"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Date of Grant</w:t>
      </w:r>
      <w:r>
        <w:rPr>
          <w:rFonts w:ascii="Arial" w:cs="Arial" w:eastAsia="Arial" w:hAnsi="Arial"/>
          <w:sz w:val="16"/>
          <w:szCs w:val="16"/>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65" w:lineRule="exact"/>
        <w:rPr>
          <w:rFonts w:ascii="Arial" w:cs="Arial" w:eastAsia="Arial" w:hAnsi="Arial"/>
          <w:sz w:val="16"/>
          <w:szCs w:val="16"/>
          <w:color w:val="auto"/>
        </w:rPr>
      </w:pPr>
    </w:p>
    <w:p>
      <w:pPr>
        <w:ind w:left="6" w:firstLine="378"/>
        <w:spacing w:after="0" w:line="281" w:lineRule="auto"/>
        <w:tabs>
          <w:tab w:leader="none" w:pos="626" w:val="left"/>
        </w:tabs>
        <w:numPr>
          <w:ilvl w:val="1"/>
          <w:numId w:val="312"/>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48" w:lineRule="exact"/>
        <w:rPr>
          <w:rFonts w:ascii="Arial" w:cs="Arial" w:eastAsia="Arial" w:hAnsi="Arial"/>
          <w:sz w:val="15"/>
          <w:szCs w:val="15"/>
          <w:color w:val="auto"/>
        </w:rPr>
      </w:pPr>
    </w:p>
    <w:p>
      <w:pPr>
        <w:ind w:left="626" w:hanging="242"/>
        <w:spacing w:after="0"/>
        <w:tabs>
          <w:tab w:leader="none" w:pos="626"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1086" w:hanging="220"/>
        <w:spacing w:after="0"/>
        <w:tabs>
          <w:tab w:leader="none" w:pos="1086" w:val="left"/>
        </w:tabs>
        <w:numPr>
          <w:ilvl w:val="2"/>
          <w:numId w:val="312"/>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may at any time amend, alter, suspend or terminate the Plan.</w:t>
      </w:r>
    </w:p>
    <w:p>
      <w:pPr>
        <w:spacing w:after="0" w:line="193" w:lineRule="exact"/>
        <w:rPr>
          <w:rFonts w:ascii="Arial" w:cs="Arial" w:eastAsia="Arial" w:hAnsi="Arial"/>
          <w:sz w:val="16"/>
          <w:szCs w:val="16"/>
          <w:color w:val="auto"/>
        </w:rPr>
      </w:pPr>
    </w:p>
    <w:p>
      <w:pPr>
        <w:ind w:left="6" w:right="60" w:firstLine="860"/>
        <w:spacing w:after="0" w:line="266" w:lineRule="auto"/>
        <w:tabs>
          <w:tab w:leader="none" w:pos="1094" w:val="left"/>
        </w:tabs>
        <w:numPr>
          <w:ilvl w:val="2"/>
          <w:numId w:val="312"/>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Company will obtain stockholder approval of any Plan amendment to the extent necessary and desirable to comply with Applicable Laws.</w:t>
      </w:r>
    </w:p>
    <w:p>
      <w:pPr>
        <w:spacing w:after="0" w:line="158" w:lineRule="exact"/>
        <w:rPr>
          <w:rFonts w:ascii="Arial" w:cs="Arial" w:eastAsia="Arial" w:hAnsi="Arial"/>
          <w:sz w:val="16"/>
          <w:szCs w:val="16"/>
          <w:color w:val="auto"/>
        </w:rPr>
      </w:pPr>
    </w:p>
    <w:p>
      <w:pPr>
        <w:ind w:left="6" w:right="260" w:firstLine="860"/>
        <w:spacing w:after="0" w:line="253" w:lineRule="auto"/>
        <w:tabs>
          <w:tab w:leader="none" w:pos="1085" w:val="left"/>
        </w:tabs>
        <w:numPr>
          <w:ilvl w:val="2"/>
          <w:numId w:val="312"/>
        </w:numPr>
        <w:rPr>
          <w:rFonts w:ascii="Arial" w:cs="Arial" w:eastAsia="Arial" w:hAnsi="Arial"/>
          <w:sz w:val="16"/>
          <w:szCs w:val="16"/>
          <w:color w:val="auto"/>
        </w:rPr>
      </w:pPr>
      <w:r>
        <w:rPr>
          <w:rFonts w:ascii="Arial" w:cs="Arial" w:eastAsia="Arial" w:hAnsi="Arial"/>
          <w:sz w:val="16"/>
          <w:szCs w:val="16"/>
          <w:u w:val="single" w:color="auto"/>
          <w:color w:val="auto"/>
        </w:rPr>
        <w:t>Effect of Amendment or Termination</w:t>
      </w:r>
      <w:r>
        <w:rPr>
          <w:rFonts w:ascii="Arial" w:cs="Arial" w:eastAsia="Arial" w:hAnsi="Arial"/>
          <w:sz w:val="16"/>
          <w:szCs w:val="16"/>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ectPr>
          <w:pgSz w:w="11900" w:h="16838" w:orient="portrait"/>
          <w:cols w:equalWidth="0" w:num="1">
            <w:col w:w="9626"/>
          </w:cols>
          <w:pgMar w:left="1134" w:top="256" w:right="1139" w:bottom="1440" w:gutter="0" w:footer="0" w:header="0"/>
        </w:sectPr>
      </w:pPr>
    </w:p>
    <w:bookmarkStart w:id="466" w:name="page467"/>
    <w:bookmarkEnd w:id="466"/>
    <w:p>
      <w:pPr>
        <w:ind w:left="626" w:hanging="242"/>
        <w:spacing w:after="0"/>
        <w:tabs>
          <w:tab w:leader="none" w:pos="626"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Conditions Upon Issuance of Shares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6" w:right="160" w:firstLine="860"/>
        <w:spacing w:after="0" w:line="256" w:lineRule="auto"/>
        <w:tabs>
          <w:tab w:leader="none" w:pos="1085" w:val="left"/>
        </w:tabs>
        <w:numPr>
          <w:ilvl w:val="2"/>
          <w:numId w:val="313"/>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65" w:lineRule="exact"/>
        <w:rPr>
          <w:rFonts w:ascii="Arial" w:cs="Arial" w:eastAsia="Arial" w:hAnsi="Arial"/>
          <w:sz w:val="16"/>
          <w:szCs w:val="16"/>
          <w:color w:val="auto"/>
        </w:rPr>
      </w:pPr>
    </w:p>
    <w:p>
      <w:pPr>
        <w:ind w:left="6" w:firstLine="860"/>
        <w:spacing w:after="0" w:line="281" w:lineRule="auto"/>
        <w:tabs>
          <w:tab w:leader="none" w:pos="1094" w:val="left"/>
        </w:tabs>
        <w:numPr>
          <w:ilvl w:val="2"/>
          <w:numId w:val="313"/>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8" w:lineRule="exact"/>
        <w:rPr>
          <w:rFonts w:ascii="Arial" w:cs="Arial" w:eastAsia="Arial" w:hAnsi="Arial"/>
          <w:sz w:val="15"/>
          <w:szCs w:val="15"/>
          <w:color w:val="auto"/>
        </w:rPr>
      </w:pPr>
    </w:p>
    <w:p>
      <w:pPr>
        <w:jc w:val="both"/>
        <w:ind w:left="6" w:right="100" w:firstLine="378"/>
        <w:spacing w:after="0" w:line="281" w:lineRule="auto"/>
        <w:tabs>
          <w:tab w:leader="none" w:pos="626" w:val="left"/>
        </w:tabs>
        <w:numPr>
          <w:ilvl w:val="1"/>
          <w:numId w:val="313"/>
        </w:numPr>
        <w:rPr>
          <w:rFonts w:ascii="Arial" w:cs="Arial" w:eastAsia="Arial" w:hAnsi="Arial"/>
          <w:sz w:val="15"/>
          <w:szCs w:val="15"/>
          <w:color w:val="auto"/>
        </w:rPr>
      </w:pPr>
      <w:r>
        <w:rPr>
          <w:rFonts w:ascii="Arial" w:cs="Arial" w:eastAsia="Arial" w:hAnsi="Arial"/>
          <w:sz w:val="15"/>
          <w:szCs w:val="15"/>
          <w:u w:val="single" w:color="auto"/>
          <w:color w:val="auto"/>
        </w:rPr>
        <w:t>Inability to Obtain Authority</w:t>
      </w:r>
      <w:r>
        <w:rPr>
          <w:rFonts w:ascii="Arial" w:cs="Arial" w:eastAsia="Arial" w:hAnsi="Arial"/>
          <w:sz w:val="15"/>
          <w:szCs w:val="15"/>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48" w:lineRule="exact"/>
        <w:rPr>
          <w:rFonts w:ascii="Arial" w:cs="Arial" w:eastAsia="Arial" w:hAnsi="Arial"/>
          <w:sz w:val="15"/>
          <w:szCs w:val="15"/>
          <w:color w:val="auto"/>
        </w:rPr>
      </w:pPr>
    </w:p>
    <w:p>
      <w:pPr>
        <w:ind w:left="6" w:right="140" w:firstLine="378"/>
        <w:spacing w:after="0" w:line="383" w:lineRule="auto"/>
        <w:tabs>
          <w:tab w:leader="none" w:pos="626" w:val="left"/>
        </w:tabs>
        <w:numPr>
          <w:ilvl w:val="1"/>
          <w:numId w:val="313"/>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88" w:lineRule="exact"/>
        <w:rPr>
          <w:rFonts w:ascii="Arial" w:cs="Arial" w:eastAsia="Arial" w:hAnsi="Arial"/>
          <w:sz w:val="13"/>
          <w:szCs w:val="13"/>
          <w:color w:val="auto"/>
        </w:rPr>
      </w:pPr>
    </w:p>
    <w:p>
      <w:pPr>
        <w:ind w:left="626" w:hanging="242"/>
        <w:spacing w:after="0"/>
        <w:tabs>
          <w:tab w:leader="none" w:pos="626" w:val="left"/>
        </w:tabs>
        <w:numPr>
          <w:ilvl w:val="1"/>
          <w:numId w:val="313"/>
        </w:numPr>
        <w:rPr>
          <w:rFonts w:ascii="Arial" w:cs="Arial" w:eastAsia="Arial" w:hAnsi="Arial"/>
          <w:sz w:val="13"/>
          <w:szCs w:val="13"/>
          <w:color w:val="auto"/>
        </w:rPr>
      </w:pPr>
      <w:r>
        <w:rPr>
          <w:rFonts w:ascii="Arial" w:cs="Arial" w:eastAsia="Arial" w:hAnsi="Arial"/>
          <w:sz w:val="13"/>
          <w:szCs w:val="13"/>
          <w:u w:val="single" w:color="auto"/>
          <w:color w:val="auto"/>
        </w:rPr>
        <w:t>Information to Participants</w:t>
      </w:r>
      <w:r>
        <w:rPr>
          <w:rFonts w:ascii="Arial" w:cs="Arial" w:eastAsia="Arial" w:hAnsi="Arial"/>
          <w:sz w:val="13"/>
          <w:szCs w:val="13"/>
          <w:color w:val="auto"/>
        </w:rPr>
        <w:t>. Beginning on the earlier of (i) the date that the aggregate number of Participants under this Plan is five hundred</w:t>
      </w:r>
    </w:p>
    <w:p>
      <w:pPr>
        <w:spacing w:after="0" w:line="50" w:lineRule="exact"/>
        <w:rPr>
          <w:rFonts w:ascii="Arial" w:cs="Arial" w:eastAsia="Arial" w:hAnsi="Arial"/>
          <w:sz w:val="13"/>
          <w:szCs w:val="13"/>
          <w:color w:val="auto"/>
        </w:rPr>
      </w:pPr>
    </w:p>
    <w:p>
      <w:pPr>
        <w:ind w:left="6" w:hanging="6"/>
        <w:spacing w:after="0" w:line="302" w:lineRule="auto"/>
        <w:tabs>
          <w:tab w:leader="none" w:pos="386" w:val="left"/>
        </w:tabs>
        <w:numPr>
          <w:ilvl w:val="0"/>
          <w:numId w:val="314"/>
        </w:numPr>
        <w:rPr>
          <w:rFonts w:ascii="Arial" w:cs="Arial" w:eastAsia="Arial" w:hAnsi="Arial"/>
          <w:sz w:val="13"/>
          <w:szCs w:val="13"/>
          <w:color w:val="auto"/>
        </w:rPr>
      </w:pPr>
      <w:r>
        <w:rPr>
          <w:rFonts w:ascii="Arial" w:cs="Arial" w:eastAsia="Arial" w:hAnsi="Arial"/>
          <w:sz w:val="13"/>
          <w:szCs w:val="13"/>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2" w:lineRule="exact"/>
        <w:rPr>
          <w:rFonts w:ascii="Arial" w:cs="Arial" w:eastAsia="Arial" w:hAnsi="Arial"/>
          <w:sz w:val="13"/>
          <w:szCs w:val="13"/>
          <w:color w:val="auto"/>
        </w:rPr>
      </w:pPr>
    </w:p>
    <w:p>
      <w:pPr>
        <w:ind w:left="6" w:right="40" w:hanging="6"/>
        <w:spacing w:after="0" w:line="247" w:lineRule="auto"/>
        <w:tabs>
          <w:tab w:leader="none" w:pos="22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ectPr>
          <w:pgSz w:w="11900" w:h="16838" w:orient="portrait"/>
          <w:cols w:equalWidth="0" w:num="1">
            <w:col w:w="9606"/>
          </w:cols>
          <w:pgMar w:left="1134" w:top="256" w:right="1159" w:bottom="1440" w:gutter="0" w:footer="0" w:header="0"/>
        </w:sectPr>
      </w:pPr>
    </w:p>
    <w:bookmarkStart w:id="467" w:name="page468"/>
    <w:bookmarkEnd w:id="467"/>
    <w:p>
      <w:pPr>
        <w:jc w:val="center"/>
        <w:ind w:right="-22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TENAYA THERAPEUTICS, INC.</w:t>
      </w:r>
    </w:p>
    <w:p>
      <w:pPr>
        <w:spacing w:after="0" w:line="193" w:lineRule="exact"/>
        <w:rPr>
          <w:sz w:val="20"/>
          <w:szCs w:val="20"/>
          <w:color w:val="auto"/>
        </w:rPr>
      </w:pPr>
    </w:p>
    <w:p>
      <w:pPr>
        <w:jc w:val="center"/>
        <w:ind w:right="-225"/>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225"/>
        <w:spacing w:after="0"/>
        <w:rPr>
          <w:sz w:val="20"/>
          <w:szCs w:val="20"/>
          <w:color w:val="auto"/>
        </w:rPr>
      </w:pPr>
      <w:r>
        <w:rPr>
          <w:rFonts w:ascii="Arial" w:cs="Arial" w:eastAsia="Arial" w:hAnsi="Arial"/>
          <w:sz w:val="16"/>
          <w:szCs w:val="16"/>
          <w:b w:val="1"/>
          <w:bCs w:val="1"/>
          <w:color w:val="auto"/>
        </w:rPr>
        <w:t>STOCK OPTION AGREEMENT</w:t>
      </w:r>
    </w:p>
    <w:p>
      <w:pPr>
        <w:spacing w:after="0" w:line="197" w:lineRule="exact"/>
        <w:rPr>
          <w:sz w:val="20"/>
          <w:szCs w:val="20"/>
          <w:color w:val="auto"/>
        </w:rPr>
      </w:pPr>
    </w:p>
    <w:p>
      <w:pPr>
        <w:ind w:left="6" w:right="40" w:firstLine="385"/>
        <w:spacing w:after="0" w:line="266" w:lineRule="auto"/>
        <w:rPr>
          <w:sz w:val="20"/>
          <w:szCs w:val="20"/>
          <w:color w:val="auto"/>
        </w:rPr>
      </w:pPr>
      <w:r>
        <w:rPr>
          <w:rFonts w:ascii="Arial" w:cs="Arial" w:eastAsia="Arial" w:hAnsi="Arial"/>
          <w:sz w:val="16"/>
          <w:szCs w:val="16"/>
          <w:color w:val="auto"/>
        </w:rPr>
        <w:t>Unless otherwise defined herein, the terms defined in the 2016 Equity Incentive Plan (the “Plan”) shall have the same defined meanings in this Stock Option Agreement (the “Option Agreement”).</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Option Grant Number: ________</w:t>
      </w:r>
    </w:p>
    <w:p>
      <w:pPr>
        <w:spacing w:after="0" w:line="323" w:lineRule="exact"/>
        <w:rPr>
          <w:sz w:val="20"/>
          <w:szCs w:val="20"/>
          <w:color w:val="auto"/>
        </w:rPr>
      </w:pPr>
    </w:p>
    <w:p>
      <w:pPr>
        <w:ind w:left="386" w:right="6300" w:hanging="386"/>
        <w:spacing w:after="0" w:line="395" w:lineRule="auto"/>
        <w:tabs>
          <w:tab w:leader="none" w:pos="379"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NOTICE OF STOCK OPTION GRANT </w:t>
      </w:r>
      <w:r>
        <w:rPr>
          <w:rFonts w:ascii="Arial" w:cs="Arial" w:eastAsia="Arial" w:hAnsi="Arial"/>
          <w:sz w:val="16"/>
          <w:szCs w:val="16"/>
          <w:b w:val="1"/>
          <w:bCs w:val="1"/>
          <w:color w:val="auto"/>
        </w:rPr>
        <w:t>Name:</w:t>
      </w:r>
    </w:p>
    <w:p>
      <w:pPr>
        <w:spacing w:after="0" w:line="54" w:lineRule="exact"/>
        <w:rPr>
          <w:rFonts w:ascii="Arial" w:cs="Arial" w:eastAsia="Arial" w:hAnsi="Arial"/>
          <w:sz w:val="16"/>
          <w:szCs w:val="16"/>
          <w:b w:val="1"/>
          <w:bCs w:val="1"/>
          <w:color w:val="auto"/>
        </w:rPr>
      </w:pPr>
    </w:p>
    <w:p>
      <w:pPr>
        <w:ind w:left="386"/>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Address: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3"/>
          <w:szCs w:val="13"/>
          <w:color w:val="auto"/>
        </w:rPr>
        <w:t>The undersigned Participant has been granted an Option to purchase Common Stock of the Company, subject to the terms and conditions of the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Plan and this Option Agreement, as follows:</w:t>
      </w:r>
    </w:p>
    <w:p>
      <w:pPr>
        <w:spacing w:after="0" w:line="205" w:lineRule="exact"/>
        <w:rPr>
          <w:sz w:val="20"/>
          <w:szCs w:val="20"/>
          <w:color w:val="auto"/>
        </w:rPr>
      </w:pPr>
    </w:p>
    <w:tbl>
      <w:tblPr>
        <w:tblLayout w:type="fixed"/>
        <w:tblInd w:w="1546" w:type="dxa"/>
        <w:tblCellMar>
          <w:top w:w="0" w:type="dxa"/>
          <w:left w:w="0" w:type="dxa"/>
          <w:bottom w:w="0" w:type="dxa"/>
          <w:right w:w="0" w:type="dxa"/>
        </w:tblCellMar>
      </w:tblPr>
      <w:tr>
        <w:trPr>
          <w:trHeight w:val="200"/>
        </w:trPr>
        <w:tc>
          <w:tcPr>
            <w:tcW w:w="3420" w:type="dxa"/>
            <w:vAlign w:val="bottom"/>
          </w:tcPr>
          <w:p>
            <w:pPr>
              <w:spacing w:after="0"/>
              <w:rPr>
                <w:sz w:val="20"/>
                <w:szCs w:val="20"/>
                <w:color w:val="auto"/>
              </w:rPr>
            </w:pPr>
            <w:r>
              <w:rPr>
                <w:rFonts w:ascii="Arial" w:cs="Arial" w:eastAsia="Arial" w:hAnsi="Arial"/>
                <w:sz w:val="16"/>
                <w:szCs w:val="16"/>
                <w:color w:val="auto"/>
              </w:rPr>
              <w:t>Date of Grant:</w:t>
            </w: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r>
      <w:tr>
        <w:trPr>
          <w:trHeight w:val="358"/>
        </w:trPr>
        <w:tc>
          <w:tcPr>
            <w:tcW w:w="3420" w:type="dxa"/>
            <w:vAlign w:val="bottom"/>
          </w:tcPr>
          <w:p>
            <w:pPr>
              <w:spacing w:after="0"/>
              <w:rPr>
                <w:sz w:val="20"/>
                <w:szCs w:val="20"/>
                <w:color w:val="auto"/>
              </w:rPr>
            </w:pPr>
            <w:r>
              <w:rPr>
                <w:rFonts w:ascii="Arial" w:cs="Arial" w:eastAsia="Arial" w:hAnsi="Arial"/>
                <w:sz w:val="16"/>
                <w:szCs w:val="16"/>
                <w:color w:val="auto"/>
              </w:rPr>
              <w:t>Vesting Commencement Date:</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57"/>
        </w:trPr>
        <w:tc>
          <w:tcPr>
            <w:tcW w:w="3420" w:type="dxa"/>
            <w:vAlign w:val="bottom"/>
          </w:tcPr>
          <w:p>
            <w:pPr>
              <w:spacing w:after="0"/>
              <w:rPr>
                <w:sz w:val="20"/>
                <w:szCs w:val="20"/>
                <w:color w:val="auto"/>
              </w:rPr>
            </w:pPr>
            <w:r>
              <w:rPr>
                <w:rFonts w:ascii="Arial" w:cs="Arial" w:eastAsia="Arial" w:hAnsi="Arial"/>
                <w:sz w:val="16"/>
                <w:szCs w:val="16"/>
                <w:color w:val="auto"/>
              </w:rPr>
              <w:t>Exercise Price per Share:</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spacing w:after="0"/>
              <w:rPr>
                <w:sz w:val="24"/>
                <w:szCs w:val="24"/>
                <w:color w:val="auto"/>
              </w:rPr>
            </w:pPr>
          </w:p>
        </w:tc>
      </w:tr>
      <w:tr>
        <w:trPr>
          <w:trHeight w:val="358"/>
        </w:trPr>
        <w:tc>
          <w:tcPr>
            <w:tcW w:w="3420" w:type="dxa"/>
            <w:vAlign w:val="bottom"/>
          </w:tcPr>
          <w:p>
            <w:pPr>
              <w:spacing w:after="0"/>
              <w:rPr>
                <w:sz w:val="20"/>
                <w:szCs w:val="20"/>
                <w:color w:val="auto"/>
              </w:rPr>
            </w:pPr>
            <w:r>
              <w:rPr>
                <w:rFonts w:ascii="Arial" w:cs="Arial" w:eastAsia="Arial" w:hAnsi="Arial"/>
                <w:sz w:val="16"/>
                <w:szCs w:val="16"/>
                <w:color w:val="auto"/>
              </w:rPr>
              <w:t>Total Number of Shares Granted:</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57"/>
        </w:trPr>
        <w:tc>
          <w:tcPr>
            <w:tcW w:w="3420" w:type="dxa"/>
            <w:vAlign w:val="bottom"/>
          </w:tcPr>
          <w:p>
            <w:pPr>
              <w:spacing w:after="0"/>
              <w:rPr>
                <w:sz w:val="20"/>
                <w:szCs w:val="20"/>
                <w:color w:val="auto"/>
              </w:rPr>
            </w:pPr>
            <w:r>
              <w:rPr>
                <w:rFonts w:ascii="Arial" w:cs="Arial" w:eastAsia="Arial" w:hAnsi="Arial"/>
                <w:sz w:val="16"/>
                <w:szCs w:val="16"/>
                <w:color w:val="auto"/>
              </w:rPr>
              <w:t>Total Exercise Price:</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spacing w:after="0"/>
              <w:rPr>
                <w:sz w:val="24"/>
                <w:szCs w:val="24"/>
                <w:color w:val="auto"/>
              </w:rPr>
            </w:pPr>
          </w:p>
        </w:tc>
      </w:tr>
      <w:tr>
        <w:trPr>
          <w:trHeight w:val="322"/>
        </w:trPr>
        <w:tc>
          <w:tcPr>
            <w:tcW w:w="3420" w:type="dxa"/>
            <w:vAlign w:val="bottom"/>
          </w:tcPr>
          <w:p>
            <w:pPr>
              <w:spacing w:after="0"/>
              <w:rPr>
                <w:sz w:val="20"/>
                <w:szCs w:val="20"/>
                <w:color w:val="auto"/>
              </w:rPr>
            </w:pPr>
            <w:r>
              <w:rPr>
                <w:rFonts w:ascii="Arial" w:cs="Arial" w:eastAsia="Arial" w:hAnsi="Arial"/>
                <w:sz w:val="16"/>
                <w:szCs w:val="16"/>
                <w:color w:val="auto"/>
              </w:rPr>
              <w:t>Type of Option:</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Pr>
          <w:p>
            <w:pPr>
              <w:ind w:left="40"/>
              <w:spacing w:after="0"/>
              <w:rPr>
                <w:sz w:val="20"/>
                <w:szCs w:val="20"/>
                <w:color w:val="auto"/>
              </w:rPr>
            </w:pPr>
            <w:r>
              <w:rPr>
                <w:rFonts w:ascii="Arial" w:cs="Arial" w:eastAsia="Arial" w:hAnsi="Arial"/>
                <w:sz w:val="16"/>
                <w:szCs w:val="16"/>
                <w:color w:val="auto"/>
              </w:rPr>
              <w:t>Incentive Stock Option</w:t>
            </w:r>
          </w:p>
        </w:tc>
      </w:tr>
      <w:tr>
        <w:trPr>
          <w:trHeight w:val="357"/>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Pr>
          <w:p>
            <w:pPr>
              <w:ind w:left="40"/>
              <w:spacing w:after="0"/>
              <w:rPr>
                <w:sz w:val="20"/>
                <w:szCs w:val="20"/>
                <w:color w:val="auto"/>
              </w:rPr>
            </w:pPr>
            <w:r>
              <w:rPr>
                <w:rFonts w:ascii="Arial" w:cs="Arial" w:eastAsia="Arial" w:hAnsi="Arial"/>
                <w:sz w:val="16"/>
                <w:szCs w:val="16"/>
                <w:color w:val="auto"/>
              </w:rPr>
              <w:t>Nonstatutory Stock Option</w:t>
            </w:r>
          </w:p>
        </w:tc>
      </w:tr>
      <w:tr>
        <w:trPr>
          <w:trHeight w:val="392"/>
        </w:trPr>
        <w:tc>
          <w:tcPr>
            <w:tcW w:w="3420" w:type="dxa"/>
            <w:vAlign w:val="bottom"/>
          </w:tcPr>
          <w:p>
            <w:pPr>
              <w:spacing w:after="0"/>
              <w:rPr>
                <w:sz w:val="20"/>
                <w:szCs w:val="20"/>
                <w:color w:val="auto"/>
              </w:rPr>
            </w:pPr>
            <w:r>
              <w:rPr>
                <w:rFonts w:ascii="Arial" w:cs="Arial" w:eastAsia="Arial" w:hAnsi="Arial"/>
                <w:sz w:val="16"/>
                <w:szCs w:val="16"/>
                <w:color w:val="auto"/>
              </w:rPr>
              <w:t>Term/Expiration Date:</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line="176" w:lineRule="exact"/>
        <w:rPr>
          <w:sz w:val="20"/>
          <w:szCs w:val="20"/>
          <w:color w:val="auto"/>
        </w:rPr>
      </w:pPr>
    </w:p>
    <w:p>
      <w:pPr>
        <w:ind w:left="386"/>
        <w:spacing w:after="0"/>
        <w:rPr>
          <w:sz w:val="20"/>
          <w:szCs w:val="20"/>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This Option shall be exercisable, in whole or in part, according to the following vesting schedule:</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[See Carta]</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u w:val="single" w:color="auto"/>
          <w:color w:val="auto"/>
        </w:rPr>
        <w:t>Termination Period</w:t>
      </w:r>
      <w:r>
        <w:rPr>
          <w:rFonts w:ascii="Arial" w:cs="Arial" w:eastAsia="Arial" w:hAnsi="Arial"/>
          <w:sz w:val="16"/>
          <w:szCs w:val="16"/>
          <w:color w:val="auto"/>
        </w:rPr>
        <w:t>:</w:t>
      </w:r>
    </w:p>
    <w:p>
      <w:pPr>
        <w:spacing w:after="0" w:line="193" w:lineRule="exact"/>
        <w:rPr>
          <w:sz w:val="20"/>
          <w:szCs w:val="20"/>
          <w:color w:val="auto"/>
        </w:rPr>
      </w:pPr>
    </w:p>
    <w:p>
      <w:pPr>
        <w:ind w:left="6" w:right="420" w:firstLine="385"/>
        <w:spacing w:after="0" w:line="266" w:lineRule="auto"/>
        <w:rPr>
          <w:sz w:val="20"/>
          <w:szCs w:val="20"/>
          <w:color w:val="auto"/>
        </w:rPr>
      </w:pPr>
      <w:r>
        <w:rPr>
          <w:rFonts w:ascii="Arial" w:cs="Arial" w:eastAsia="Arial" w:hAnsi="Arial"/>
          <w:sz w:val="16"/>
          <w:szCs w:val="16"/>
          <w:color w:val="auto"/>
        </w:rPr>
        <w:t>This Option shall be exercisable for [three (3) months] after Participant ceases to be a Service Provider, unless such termination is due to Participant’s death or Disability, in which case this</w:t>
      </w:r>
    </w:p>
    <w:p>
      <w:pPr>
        <w:sectPr>
          <w:pgSz w:w="11900" w:h="16838" w:orient="portrait"/>
          <w:cols w:equalWidth="0" w:num="1">
            <w:col w:w="9406"/>
          </w:cols>
          <w:pgMar w:left="1134" w:top="252" w:right="1359" w:bottom="1440" w:gutter="0" w:footer="0" w:header="0"/>
        </w:sectPr>
      </w:pPr>
    </w:p>
    <w:bookmarkStart w:id="468" w:name="page469"/>
    <w:bookmarkEnd w:id="468"/>
    <w:p>
      <w:pPr>
        <w:ind w:left="6" w:right="10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pacing w:after="0" w:line="291" w:lineRule="exact"/>
        <w:rPr>
          <w:sz w:val="20"/>
          <w:szCs w:val="20"/>
          <w:color w:val="auto"/>
        </w:rPr>
      </w:pPr>
    </w:p>
    <w:p>
      <w:pPr>
        <w:ind w:left="386" w:hanging="386"/>
        <w:spacing w:after="0"/>
        <w:tabs>
          <w:tab w:leader="none" w:pos="386" w:val="left"/>
        </w:tabs>
        <w:numPr>
          <w:ilvl w:val="0"/>
          <w:numId w:val="3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w:t>
      </w:r>
    </w:p>
    <w:p>
      <w:pPr>
        <w:spacing w:after="0" w:line="102" w:lineRule="exact"/>
        <w:rPr>
          <w:rFonts w:ascii="Arial" w:cs="Arial" w:eastAsia="Arial" w:hAnsi="Arial"/>
          <w:sz w:val="16"/>
          <w:szCs w:val="16"/>
          <w:b w:val="1"/>
          <w:bCs w:val="1"/>
          <w:color w:val="auto"/>
        </w:rPr>
      </w:pPr>
    </w:p>
    <w:p>
      <w:pPr>
        <w:ind w:left="6" w:right="20" w:firstLine="378"/>
        <w:spacing w:after="0" w:line="251" w:lineRule="auto"/>
        <w:tabs>
          <w:tab w:leader="none" w:pos="548"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Administrator of the Company hereby grants to the Participant named in the Notice of Stock Option Grant in Part I of this Option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70" w:lineRule="exact"/>
        <w:rPr>
          <w:sz w:val="20"/>
          <w:szCs w:val="20"/>
          <w:color w:val="auto"/>
        </w:rPr>
      </w:pPr>
    </w:p>
    <w:p>
      <w:pPr>
        <w:ind w:left="6" w:firstLine="385"/>
        <w:spacing w:after="0" w:line="270" w:lineRule="auto"/>
        <w:rPr>
          <w:sz w:val="20"/>
          <w:szCs w:val="20"/>
          <w:color w:val="auto"/>
        </w:rPr>
      </w:pPr>
      <w:r>
        <w:rPr>
          <w:rFonts w:ascii="Arial" w:cs="Arial" w:eastAsia="Arial" w:hAnsi="Arial"/>
          <w:sz w:val="15"/>
          <w:szCs w:val="15"/>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56" w:lineRule="exact"/>
        <w:rPr>
          <w:sz w:val="20"/>
          <w:szCs w:val="20"/>
          <w:color w:val="auto"/>
        </w:rPr>
      </w:pPr>
    </w:p>
    <w:p>
      <w:pPr>
        <w:ind w:left="546" w:hanging="162"/>
        <w:spacing w:after="0"/>
        <w:tabs>
          <w:tab w:leader="none" w:pos="546"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193" w:lineRule="exact"/>
        <w:rPr>
          <w:rFonts w:ascii="Arial" w:cs="Arial" w:eastAsia="Arial" w:hAnsi="Arial"/>
          <w:sz w:val="16"/>
          <w:szCs w:val="16"/>
          <w:color w:val="auto"/>
        </w:rPr>
      </w:pPr>
    </w:p>
    <w:p>
      <w:pPr>
        <w:ind w:left="6" w:right="280" w:firstLine="860"/>
        <w:spacing w:after="0" w:line="266" w:lineRule="auto"/>
        <w:tabs>
          <w:tab w:leader="none" w:pos="1085"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This Option shall be exercisable during its term in accordance with the Vesting Schedule set out in the Notice of Stock Option Grant and with the applicable provisions of the Plan and this Option Agreement</w:t>
      </w:r>
    </w:p>
    <w:p>
      <w:pPr>
        <w:spacing w:after="0" w:line="158" w:lineRule="exact"/>
        <w:rPr>
          <w:rFonts w:ascii="Arial" w:cs="Arial" w:eastAsia="Arial" w:hAnsi="Arial"/>
          <w:sz w:val="16"/>
          <w:szCs w:val="16"/>
          <w:color w:val="auto"/>
        </w:rPr>
      </w:pPr>
    </w:p>
    <w:p>
      <w:pPr>
        <w:ind w:left="6" w:right="20" w:firstLine="860"/>
        <w:spacing w:after="0" w:line="319" w:lineRule="auto"/>
        <w:tabs>
          <w:tab w:leader="none" w:pos="1094" w:val="left"/>
        </w:tabs>
        <w:numPr>
          <w:ilvl w:val="1"/>
          <w:numId w:val="318"/>
        </w:numPr>
        <w:rPr>
          <w:rFonts w:ascii="Arial" w:cs="Arial" w:eastAsia="Arial" w:hAnsi="Arial"/>
          <w:sz w:val="13"/>
          <w:szCs w:val="13"/>
          <w:color w:val="auto"/>
        </w:rPr>
      </w:pPr>
      <w:r>
        <w:rPr>
          <w:rFonts w:ascii="Arial" w:cs="Arial" w:eastAsia="Arial" w:hAnsi="Arial"/>
          <w:sz w:val="13"/>
          <w:szCs w:val="13"/>
          <w:u w:val="single" w:color="auto"/>
          <w:color w:val="auto"/>
        </w:rPr>
        <w:t>Method of Exercise</w:t>
      </w:r>
      <w:r>
        <w:rPr>
          <w:rFonts w:ascii="Arial" w:cs="Arial" w:eastAsia="Arial" w:hAnsi="Arial"/>
          <w:sz w:val="13"/>
          <w:szCs w:val="13"/>
          <w:color w:val="auto"/>
        </w:rPr>
        <w:t xml:space="preserve">. This Option shall be exercisable by delivery of an exercise notice in the form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28" w:lineRule="exact"/>
        <w:rPr>
          <w:sz w:val="20"/>
          <w:szCs w:val="20"/>
          <w:color w:val="auto"/>
        </w:rPr>
      </w:pPr>
    </w:p>
    <w:p>
      <w:pPr>
        <w:ind w:left="6" w:right="100" w:firstLine="385"/>
        <w:spacing w:after="0" w:line="256" w:lineRule="auto"/>
        <w:rPr>
          <w:sz w:val="20"/>
          <w:szCs w:val="20"/>
          <w:color w:val="auto"/>
        </w:rPr>
      </w:pPr>
      <w:r>
        <w:rPr>
          <w:rFonts w:ascii="Arial" w:cs="Arial" w:eastAsia="Arial" w:hAnsi="Arial"/>
          <w:sz w:val="16"/>
          <w:szCs w:val="16"/>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66" w:lineRule="exact"/>
        <w:rPr>
          <w:sz w:val="20"/>
          <w:szCs w:val="20"/>
          <w:color w:val="auto"/>
        </w:rPr>
      </w:pPr>
    </w:p>
    <w:p>
      <w:pPr>
        <w:ind w:left="6" w:right="240" w:firstLine="378"/>
        <w:spacing w:after="0" w:line="281" w:lineRule="auto"/>
        <w:tabs>
          <w:tab w:leader="none" w:pos="548" w:val="left"/>
        </w:tabs>
        <w:numPr>
          <w:ilvl w:val="0"/>
          <w:numId w:val="319"/>
        </w:numPr>
        <w:rPr>
          <w:rFonts w:ascii="Arial" w:cs="Arial" w:eastAsia="Arial" w:hAnsi="Arial"/>
          <w:sz w:val="15"/>
          <w:szCs w:val="15"/>
          <w:color w:val="auto"/>
        </w:rPr>
      </w:pPr>
      <w:r>
        <w:rPr>
          <w:rFonts w:ascii="Arial" w:cs="Arial" w:eastAsia="Arial" w:hAnsi="Arial"/>
          <w:sz w:val="15"/>
          <w:szCs w:val="15"/>
          <w:u w:val="single" w:color="auto"/>
          <w:color w:val="auto"/>
        </w:rPr>
        <w:t>Participant’s Representations</w:t>
      </w:r>
      <w:r>
        <w:rPr>
          <w:rFonts w:ascii="Arial" w:cs="Arial" w:eastAsia="Arial" w:hAnsi="Arial"/>
          <w:sz w:val="15"/>
          <w:szCs w:val="15"/>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ectPr>
          <w:pgSz w:w="11900" w:h="16838" w:orient="portrait"/>
          <w:cols w:equalWidth="0" w:num="1">
            <w:col w:w="9586"/>
          </w:cols>
          <w:pgMar w:left="1134" w:top="256" w:right="1179" w:bottom="1440" w:gutter="0" w:footer="0" w:header="0"/>
        </w:sectPr>
      </w:pPr>
    </w:p>
    <w:bookmarkStart w:id="469" w:name="page470"/>
    <w:bookmarkEnd w:id="469"/>
    <w:p>
      <w:pPr>
        <w:ind w:firstLine="378"/>
        <w:spacing w:after="0" w:line="267" w:lineRule="auto"/>
        <w:tabs>
          <w:tab w:leader="none" w:pos="542"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Lock-Up Period</w:t>
      </w:r>
      <w:r>
        <w:rPr>
          <w:rFonts w:ascii="Arial" w:cs="Arial" w:eastAsia="Arial" w:hAnsi="Arial"/>
          <w:sz w:val="15"/>
          <w:szCs w:val="15"/>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59" w:lineRule="exact"/>
        <w:rPr>
          <w:sz w:val="20"/>
          <w:szCs w:val="20"/>
          <w:color w:val="auto"/>
        </w:rPr>
      </w:pPr>
    </w:p>
    <w:p>
      <w:pPr>
        <w:ind w:right="60" w:firstLine="385"/>
        <w:spacing w:after="0" w:line="266" w:lineRule="auto"/>
        <w:rPr>
          <w:sz w:val="20"/>
          <w:szCs w:val="20"/>
          <w:color w:val="auto"/>
        </w:rPr>
      </w:pPr>
      <w:r>
        <w:rPr>
          <w:rFonts w:ascii="Arial" w:cs="Arial" w:eastAsia="Arial" w:hAnsi="Arial"/>
          <w:sz w:val="15"/>
          <w:szCs w:val="15"/>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63" w:lineRule="exact"/>
        <w:rPr>
          <w:sz w:val="20"/>
          <w:szCs w:val="20"/>
          <w:color w:val="auto"/>
        </w:rPr>
      </w:pPr>
    </w:p>
    <w:p>
      <w:pPr>
        <w:ind w:right="180" w:firstLine="378"/>
        <w:spacing w:after="0" w:line="266" w:lineRule="auto"/>
        <w:tabs>
          <w:tab w:leader="none" w:pos="542"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 Participant:</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cash;</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check;</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321"/>
        </w:numPr>
        <w:rPr>
          <w:rFonts w:ascii="Arial" w:cs="Arial" w:eastAsia="Arial" w:hAnsi="Arial"/>
          <w:sz w:val="13"/>
          <w:szCs w:val="13"/>
          <w:color w:val="auto"/>
        </w:rPr>
      </w:pPr>
      <w:r>
        <w:rPr>
          <w:rFonts w:ascii="Arial" w:cs="Arial" w:eastAsia="Arial" w:hAnsi="Arial"/>
          <w:sz w:val="13"/>
          <w:szCs w:val="13"/>
          <w:color w:val="auto"/>
        </w:rPr>
        <w:t>consideration received by the Company under a formal cashless exercise program adopted by the Company in connection with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Plan; or</w:t>
      </w:r>
    </w:p>
    <w:p>
      <w:pPr>
        <w:spacing w:after="0" w:line="181" w:lineRule="exact"/>
        <w:rPr>
          <w:rFonts w:ascii="Arial" w:cs="Arial" w:eastAsia="Arial" w:hAnsi="Arial"/>
          <w:sz w:val="13"/>
          <w:szCs w:val="13"/>
          <w:color w:val="auto"/>
        </w:rPr>
      </w:pPr>
    </w:p>
    <w:p>
      <w:pPr>
        <w:ind w:right="80" w:firstLine="860"/>
        <w:spacing w:after="0" w:line="256" w:lineRule="auto"/>
        <w:tabs>
          <w:tab w:leader="none" w:pos="1088" w:val="left"/>
        </w:tabs>
        <w:numPr>
          <w:ilvl w:val="1"/>
          <w:numId w:val="321"/>
        </w:numPr>
        <w:rPr>
          <w:rFonts w:ascii="Arial" w:cs="Arial" w:eastAsia="Arial" w:hAnsi="Arial"/>
          <w:sz w:val="16"/>
          <w:szCs w:val="16"/>
          <w:color w:val="auto"/>
        </w:rPr>
      </w:pPr>
      <w:r>
        <w:rPr>
          <w:rFonts w:ascii="Arial" w:cs="Arial" w:eastAsia="Arial" w:hAnsi="Arial"/>
          <w:sz w:val="16"/>
          <w:szCs w:val="16"/>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ectPr>
          <w:pgSz w:w="11900" w:h="16838" w:orient="portrait"/>
          <w:cols w:equalWidth="0" w:num="1">
            <w:col w:w="9620"/>
          </w:cols>
          <w:pgMar w:left="1140" w:top="256" w:right="1139" w:bottom="1440" w:gutter="0" w:footer="0" w:header="0"/>
        </w:sectPr>
      </w:pPr>
    </w:p>
    <w:bookmarkStart w:id="470" w:name="page471"/>
    <w:bookmarkEnd w:id="470"/>
    <w:p>
      <w:pPr>
        <w:ind w:left="-300" w:right="100" w:firstLine="378"/>
        <w:spacing w:after="0" w:line="256" w:lineRule="auto"/>
        <w:tabs>
          <w:tab w:leader="none" w:pos="242"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Restrictions on Exercise</w:t>
      </w:r>
      <w:r>
        <w:rPr>
          <w:rFonts w:ascii="Arial" w:cs="Arial" w:eastAsia="Arial" w:hAnsi="Arial"/>
          <w:sz w:val="16"/>
          <w:szCs w:val="16"/>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65" w:lineRule="exact"/>
        <w:rPr>
          <w:rFonts w:ascii="Arial" w:cs="Arial" w:eastAsia="Arial" w:hAnsi="Arial"/>
          <w:sz w:val="16"/>
          <w:szCs w:val="16"/>
          <w:color w:val="auto"/>
        </w:rPr>
      </w:pPr>
    </w:p>
    <w:p>
      <w:pPr>
        <w:ind w:left="240" w:hanging="162"/>
        <w:spacing w:after="0"/>
        <w:tabs>
          <w:tab w:leader="none" w:pos="240"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20" w:firstLine="860"/>
        <w:spacing w:after="0" w:line="256" w:lineRule="auto"/>
        <w:tabs>
          <w:tab w:leader="none" w:pos="779"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65" w:lineRule="exact"/>
        <w:rPr>
          <w:rFonts w:ascii="Arial" w:cs="Arial" w:eastAsia="Arial" w:hAnsi="Arial"/>
          <w:sz w:val="16"/>
          <w:szCs w:val="16"/>
          <w:color w:val="auto"/>
        </w:rPr>
      </w:pPr>
    </w:p>
    <w:p>
      <w:pPr>
        <w:ind w:left="-300" w:firstLine="860"/>
        <w:spacing w:after="0" w:line="315" w:lineRule="auto"/>
        <w:tabs>
          <w:tab w:leader="none" w:pos="788" w:val="left"/>
        </w:tabs>
        <w:numPr>
          <w:ilvl w:val="1"/>
          <w:numId w:val="322"/>
        </w:numPr>
        <w:rPr>
          <w:rFonts w:ascii="Arial" w:cs="Arial" w:eastAsia="Arial" w:hAnsi="Arial"/>
          <w:sz w:val="13"/>
          <w:szCs w:val="13"/>
          <w:color w:val="auto"/>
        </w:rPr>
      </w:pPr>
      <w:r>
        <w:rPr>
          <w:rFonts w:ascii="Arial" w:cs="Arial" w:eastAsia="Arial" w:hAnsi="Arial"/>
          <w:sz w:val="13"/>
          <w:szCs w:val="13"/>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324" w:lineRule="exact"/>
        <w:rPr>
          <w:rFonts w:ascii="Arial" w:cs="Arial" w:eastAsia="Arial" w:hAnsi="Arial"/>
          <w:sz w:val="13"/>
          <w:szCs w:val="13"/>
          <w:color w:val="auto"/>
        </w:rPr>
      </w:pPr>
    </w:p>
    <w:p>
      <w:pPr>
        <w:ind w:left="-300" w:right="200" w:firstLine="378"/>
        <w:spacing w:after="0" w:line="266" w:lineRule="auto"/>
        <w:tabs>
          <w:tab w:leader="none" w:pos="242"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This Option may be exercised only within the term set out in the Notice of Stock Option Grant, and may be exercised during such term only in accordance with the Plan and the terms of this Option Agreement.</w:t>
      </w:r>
    </w:p>
    <w:p>
      <w:pPr>
        <w:spacing w:after="0" w:line="158" w:lineRule="exact"/>
        <w:rPr>
          <w:rFonts w:ascii="Arial" w:cs="Arial" w:eastAsia="Arial" w:hAnsi="Arial"/>
          <w:sz w:val="16"/>
          <w:szCs w:val="16"/>
          <w:color w:val="auto"/>
        </w:rPr>
      </w:pPr>
    </w:p>
    <w:p>
      <w:pPr>
        <w:ind w:left="240" w:hanging="162"/>
        <w:spacing w:after="0"/>
        <w:tabs>
          <w:tab w:leader="none" w:pos="240"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Tax Obligations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140" w:firstLine="860"/>
        <w:spacing w:after="0" w:line="253" w:lineRule="auto"/>
        <w:tabs>
          <w:tab w:leader="none" w:pos="779"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67" w:lineRule="exact"/>
        <w:rPr>
          <w:rFonts w:ascii="Arial" w:cs="Arial" w:eastAsia="Arial" w:hAnsi="Arial"/>
          <w:sz w:val="16"/>
          <w:szCs w:val="16"/>
          <w:color w:val="auto"/>
        </w:rPr>
      </w:pPr>
    </w:p>
    <w:p>
      <w:pPr>
        <w:ind w:left="-300" w:right="60" w:firstLine="860"/>
        <w:spacing w:after="0" w:line="275" w:lineRule="auto"/>
        <w:tabs>
          <w:tab w:leader="none" w:pos="788" w:val="left"/>
        </w:tabs>
        <w:numPr>
          <w:ilvl w:val="1"/>
          <w:numId w:val="322"/>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ectPr>
          <w:pgSz w:w="11900" w:h="16838" w:orient="portrait"/>
          <w:cols w:equalWidth="0" w:num="1">
            <w:col w:w="9320"/>
          </w:cols>
          <w:pgMar w:left="1440" w:top="256" w:right="1139" w:bottom="1440" w:gutter="0" w:footer="0" w:header="0"/>
        </w:sectPr>
      </w:pPr>
    </w:p>
    <w:bookmarkStart w:id="471" w:name="page472"/>
    <w:bookmarkEnd w:id="471"/>
    <w:p>
      <w:pPr>
        <w:ind w:left="-300" w:right="60" w:firstLine="860"/>
        <w:spacing w:after="0" w:line="312" w:lineRule="auto"/>
        <w:tabs>
          <w:tab w:leader="none" w:pos="779" w:val="left"/>
        </w:tabs>
        <w:numPr>
          <w:ilvl w:val="1"/>
          <w:numId w:val="323"/>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Code Section 409A.</w:t>
      </w:r>
      <w:r>
        <w:rPr>
          <w:rFonts w:ascii="Arial" w:cs="Arial" w:eastAsia="Arial" w:hAnsi="Arial"/>
          <w:sz w:val="13"/>
          <w:szCs w:val="13"/>
          <w:color w:val="auto"/>
        </w:rPr>
        <w:t xml:space="preserve">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37" w:lineRule="exact"/>
        <w:rPr>
          <w:rFonts w:ascii="Arial" w:cs="Arial" w:eastAsia="Arial" w:hAnsi="Arial"/>
          <w:sz w:val="13"/>
          <w:szCs w:val="13"/>
          <w:color w:val="auto"/>
        </w:rPr>
      </w:pPr>
    </w:p>
    <w:p>
      <w:pPr>
        <w:ind w:left="-300" w:right="80" w:firstLine="378"/>
        <w:spacing w:after="0" w:line="251" w:lineRule="auto"/>
        <w:tabs>
          <w:tab w:leader="none" w:pos="320"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California.</w:t>
      </w:r>
    </w:p>
    <w:p>
      <w:pPr>
        <w:spacing w:after="0" w:line="169" w:lineRule="exact"/>
        <w:rPr>
          <w:rFonts w:ascii="Arial" w:cs="Arial" w:eastAsia="Arial" w:hAnsi="Arial"/>
          <w:sz w:val="16"/>
          <w:szCs w:val="16"/>
          <w:color w:val="auto"/>
        </w:rPr>
      </w:pPr>
    </w:p>
    <w:p>
      <w:pPr>
        <w:ind w:left="-300" w:firstLine="378"/>
        <w:spacing w:after="0" w:line="267" w:lineRule="auto"/>
        <w:tabs>
          <w:tab w:leader="none" w:pos="314"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t>No Guarantee of Continued Service</w:t>
      </w:r>
      <w:r>
        <w:rPr>
          <w:rFonts w:ascii="Arial" w:cs="Arial" w:eastAsia="Arial" w:hAnsi="Arial"/>
          <w:sz w:val="15"/>
          <w:szCs w:val="15"/>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ectPr>
          <w:pgSz w:w="11900" w:h="16838" w:orient="portrait"/>
          <w:cols w:equalWidth="0" w:num="1">
            <w:col w:w="9240"/>
          </w:cols>
          <w:pgMar w:left="1440" w:top="256" w:right="1219" w:bottom="1440" w:gutter="0" w:footer="0" w:header="0"/>
        </w:sectPr>
      </w:pPr>
    </w:p>
    <w:bookmarkStart w:id="472" w:name="page473"/>
    <w:bookmarkEnd w:id="472"/>
    <w:p>
      <w:pPr>
        <w:ind w:right="40" w:firstLine="385"/>
        <w:spacing w:after="0" w:line="32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20" w:type="dxa"/>
            <w:vAlign w:val="bottom"/>
            <w:gridSpan w:val="2"/>
          </w:tcPr>
          <w:p>
            <w:pPr>
              <w:spacing w:after="0"/>
              <w:rPr>
                <w:sz w:val="20"/>
                <w:szCs w:val="20"/>
                <w:color w:val="auto"/>
              </w:rPr>
            </w:pPr>
            <w:r>
              <w:rPr>
                <w:rFonts w:ascii="Arial" w:cs="Arial" w:eastAsia="Arial" w:hAnsi="Arial"/>
                <w:sz w:val="16"/>
                <w:szCs w:val="16"/>
                <w:color w:val="auto"/>
              </w:rPr>
              <w:t>PARTICIPANT</w:t>
            </w:r>
          </w:p>
        </w:tc>
        <w:tc>
          <w:tcPr>
            <w:tcW w:w="500" w:type="dxa"/>
            <w:vAlign w:val="bottom"/>
          </w:tcPr>
          <w:p>
            <w:pPr>
              <w:spacing w:after="0"/>
              <w:rPr>
                <w:sz w:val="17"/>
                <w:szCs w:val="17"/>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Signature</w:t>
            </w:r>
          </w:p>
        </w:tc>
        <w:tc>
          <w:tcPr>
            <w:tcW w:w="500" w:type="dxa"/>
            <w:vAlign w:val="bottom"/>
          </w:tcPr>
          <w:p>
            <w:pPr>
              <w:spacing w:after="0"/>
              <w:rPr>
                <w:sz w:val="16"/>
                <w:szCs w:val="16"/>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By</w:t>
            </w:r>
          </w:p>
        </w:tc>
        <w:tc>
          <w:tcPr>
            <w:tcW w:w="0" w:type="dxa"/>
            <w:vAlign w:val="bottom"/>
          </w:tcPr>
          <w:p>
            <w:pPr>
              <w:spacing w:after="0"/>
              <w:rPr>
                <w:sz w:val="1"/>
                <w:szCs w:val="1"/>
                <w:color w:val="auto"/>
              </w:rPr>
            </w:pPr>
          </w:p>
        </w:tc>
      </w:tr>
      <w:tr>
        <w:trPr>
          <w:trHeight w:val="366"/>
        </w:trPr>
        <w:tc>
          <w:tcPr>
            <w:tcW w:w="20" w:type="dxa"/>
            <w:vAlign w:val="bottom"/>
            <w:vMerge w:val="restart"/>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Print Name</w:t>
            </w:r>
          </w:p>
        </w:tc>
        <w:tc>
          <w:tcPr>
            <w:tcW w:w="500" w:type="dxa"/>
            <w:vAlign w:val="bottom"/>
          </w:tcPr>
          <w:p>
            <w:pPr>
              <w:spacing w:after="0"/>
              <w:rPr>
                <w:sz w:val="16"/>
                <w:szCs w:val="16"/>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Print Name</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366"/>
        </w:trPr>
        <w:tc>
          <w:tcPr>
            <w:tcW w:w="20" w:type="dxa"/>
            <w:vAlign w:val="bottom"/>
            <w:vMerge w:val="restart"/>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Residence Address</w:t>
            </w:r>
          </w:p>
        </w:tc>
        <w:tc>
          <w:tcPr>
            <w:tcW w:w="5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620"/>
          </w:cols>
          <w:pgMar w:left="1140" w:top="256" w:right="1139" w:bottom="1440" w:gutter="0" w:footer="0" w:header="0"/>
        </w:sectPr>
      </w:pPr>
    </w:p>
    <w:bookmarkStart w:id="473" w:name="page474"/>
    <w:bookmarkEnd w:id="473"/>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EXERCISE NOTICE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 5th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Attention: President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gridSpan w:val="4"/>
          </w:tcPr>
          <w:p>
            <w:pPr>
              <w:ind w:left="380"/>
              <w:spacing w:after="0"/>
              <w:rPr>
                <w:sz w:val="20"/>
                <w:szCs w:val="20"/>
                <w:color w:val="auto"/>
              </w:rPr>
            </w:pPr>
            <w:r>
              <w:rPr>
                <w:rFonts w:ascii="Arial" w:cs="Arial" w:eastAsia="Arial" w:hAnsi="Arial"/>
                <w:sz w:val="16"/>
                <w:szCs w:val="16"/>
                <w:color w:val="auto"/>
                <w:w w:val="90"/>
              </w:rPr>
              <w:t>1. Exercise of Option. Effective as of today,</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4720" w:type="dxa"/>
            <w:vAlign w:val="bottom"/>
            <w:gridSpan w:val="5"/>
          </w:tcPr>
          <w:p>
            <w:pPr>
              <w:spacing w:after="0"/>
              <w:rPr>
                <w:sz w:val="20"/>
                <w:szCs w:val="20"/>
                <w:color w:val="auto"/>
              </w:rPr>
            </w:pPr>
            <w:r>
              <w:rPr>
                <w:rFonts w:ascii="Arial" w:cs="Arial" w:eastAsia="Arial" w:hAnsi="Arial"/>
                <w:sz w:val="16"/>
                <w:szCs w:val="16"/>
                <w:color w:val="auto"/>
                <w:w w:val="94"/>
              </w:rPr>
              <w:t>, the undersigned (“Participant”) hereby elects to exercise Participant’s</w:t>
            </w:r>
          </w:p>
        </w:tc>
      </w:tr>
      <w:tr>
        <w:trPr>
          <w:trHeight w:val="20"/>
        </w:trPr>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2140" w:type="dxa"/>
            <w:vAlign w:val="bottom"/>
            <w:gridSpan w:val="3"/>
          </w:tcPr>
          <w:p>
            <w:pPr>
              <w:spacing w:after="0" w:line="168" w:lineRule="exact"/>
              <w:rPr>
                <w:sz w:val="20"/>
                <w:szCs w:val="20"/>
                <w:color w:val="auto"/>
              </w:rPr>
            </w:pPr>
            <w:r>
              <w:rPr>
                <w:rFonts w:ascii="Arial" w:cs="Arial" w:eastAsia="Arial" w:hAnsi="Arial"/>
                <w:sz w:val="16"/>
                <w:szCs w:val="16"/>
                <w:color w:val="auto"/>
                <w:w w:val="91"/>
              </w:rPr>
              <w:t>option (the “Option”) to purchase</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140" w:type="dxa"/>
            <w:vAlign w:val="bottom"/>
            <w:gridSpan w:val="8"/>
          </w:tcPr>
          <w:p>
            <w:pPr>
              <w:ind w:left="40"/>
              <w:spacing w:after="0" w:line="168" w:lineRule="exact"/>
              <w:rPr>
                <w:sz w:val="20"/>
                <w:szCs w:val="20"/>
                <w:color w:val="auto"/>
              </w:rPr>
            </w:pPr>
            <w:r>
              <w:rPr>
                <w:rFonts w:ascii="Arial" w:cs="Arial" w:eastAsia="Arial" w:hAnsi="Arial"/>
                <w:sz w:val="16"/>
                <w:szCs w:val="16"/>
                <w:color w:val="auto"/>
                <w:w w:val="89"/>
              </w:rPr>
              <w:t>shares of the Common Stock (the “Shares”) of Tenaya Therapeutics, Inc. (the “Company”) under</w:t>
            </w:r>
          </w:p>
        </w:tc>
      </w:tr>
      <w:tr>
        <w:trPr>
          <w:trHeight w:val="169"/>
        </w:trPr>
        <w:tc>
          <w:tcPr>
            <w:tcW w:w="6260" w:type="dxa"/>
            <w:vAlign w:val="bottom"/>
            <w:gridSpan w:val="9"/>
          </w:tcPr>
          <w:p>
            <w:pPr>
              <w:spacing w:after="0" w:line="168" w:lineRule="exact"/>
              <w:rPr>
                <w:sz w:val="20"/>
                <w:szCs w:val="20"/>
                <w:color w:val="auto"/>
              </w:rPr>
            </w:pPr>
            <w:r>
              <w:rPr>
                <w:rFonts w:ascii="Arial" w:cs="Arial" w:eastAsia="Arial" w:hAnsi="Arial"/>
                <w:sz w:val="16"/>
                <w:szCs w:val="16"/>
                <w:color w:val="auto"/>
                <w:w w:val="89"/>
              </w:rPr>
              <w:t>and pursuant to the 2016 Equity Incentive Plan (the “Plan”) and the Stock Option Agreement dated</w:t>
            </w:r>
          </w:p>
        </w:tc>
        <w:tc>
          <w:tcPr>
            <w:tcW w:w="1180" w:type="dxa"/>
            <w:vAlign w:val="bottom"/>
            <w:gridSpan w:val="2"/>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Arial" w:cs="Arial" w:eastAsia="Arial" w:hAnsi="Arial"/>
                <w:sz w:val="16"/>
                <w:szCs w:val="16"/>
                <w:color w:val="auto"/>
              </w:rPr>
              <w:t>(the “Option</w:t>
            </w:r>
          </w:p>
        </w:tc>
      </w:tr>
      <w:tr>
        <w:trPr>
          <w:trHeight w:val="203"/>
        </w:trPr>
        <w:tc>
          <w:tcPr>
            <w:tcW w:w="3180" w:type="dxa"/>
            <w:vAlign w:val="bottom"/>
            <w:gridSpan w:val="4"/>
          </w:tcPr>
          <w:p>
            <w:pPr>
              <w:spacing w:after="0"/>
              <w:rPr>
                <w:sz w:val="20"/>
                <w:szCs w:val="20"/>
                <w:color w:val="auto"/>
              </w:rPr>
            </w:pPr>
            <w:r>
              <w:rPr>
                <w:rFonts w:ascii="Arial" w:cs="Arial" w:eastAsia="Arial" w:hAnsi="Arial"/>
                <w:sz w:val="16"/>
                <w:szCs w:val="16"/>
                <w:color w:val="auto"/>
              </w:rPr>
              <w:t>Agreement”).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bl>
    <w:p>
      <w:pPr>
        <w:spacing w:after="0" w:line="177" w:lineRule="exact"/>
        <w:rPr>
          <w:sz w:val="20"/>
          <w:szCs w:val="20"/>
          <w:color w:val="auto"/>
        </w:rPr>
      </w:pPr>
    </w:p>
    <w:p>
      <w:pPr>
        <w:ind w:right="120" w:firstLine="378"/>
        <w:spacing w:after="0" w:line="266" w:lineRule="auto"/>
        <w:tabs>
          <w:tab w:leader="none" w:pos="542"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6"/>
          <w:szCs w:val="16"/>
          <w:color w:val="auto"/>
        </w:rPr>
      </w:pPr>
    </w:p>
    <w:p>
      <w:pPr>
        <w:ind w:right="60" w:firstLine="378"/>
        <w:spacing w:after="0" w:line="266" w:lineRule="auto"/>
        <w:tabs>
          <w:tab w:leader="none" w:pos="542"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6"/>
          <w:szCs w:val="16"/>
          <w:color w:val="auto"/>
        </w:rPr>
      </w:pPr>
    </w:p>
    <w:p>
      <w:pPr>
        <w:ind w:firstLine="378"/>
        <w:spacing w:after="0" w:line="251" w:lineRule="auto"/>
        <w:tabs>
          <w:tab w:leader="none" w:pos="542"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69" w:lineRule="exact"/>
        <w:rPr>
          <w:rFonts w:ascii="Arial" w:cs="Arial" w:eastAsia="Arial" w:hAnsi="Arial"/>
          <w:sz w:val="16"/>
          <w:szCs w:val="16"/>
          <w:color w:val="auto"/>
        </w:rPr>
      </w:pPr>
    </w:p>
    <w:p>
      <w:pPr>
        <w:ind w:right="100" w:firstLine="378"/>
        <w:spacing w:after="0" w:line="281" w:lineRule="auto"/>
        <w:tabs>
          <w:tab w:leader="none" w:pos="542" w:val="left"/>
        </w:tabs>
        <w:numPr>
          <w:ilvl w:val="0"/>
          <w:numId w:val="325"/>
        </w:numPr>
        <w:rPr>
          <w:rFonts w:ascii="Arial" w:cs="Arial" w:eastAsia="Arial" w:hAnsi="Arial"/>
          <w:sz w:val="15"/>
          <w:szCs w:val="15"/>
          <w:color w:val="auto"/>
        </w:rPr>
      </w:pPr>
      <w:r>
        <w:rPr>
          <w:rFonts w:ascii="Arial" w:cs="Arial" w:eastAsia="Arial" w:hAnsi="Arial"/>
          <w:sz w:val="15"/>
          <w:szCs w:val="15"/>
          <w:u w:val="single" w:color="auto"/>
          <w:color w:val="auto"/>
        </w:rPr>
        <w:t>Company’s Right of First Refusal</w:t>
      </w:r>
      <w:r>
        <w:rPr>
          <w:rFonts w:ascii="Arial" w:cs="Arial" w:eastAsia="Arial" w:hAnsi="Arial"/>
          <w:sz w:val="15"/>
          <w:szCs w:val="15"/>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48" w:lineRule="exact"/>
        <w:rPr>
          <w:rFonts w:ascii="Arial" w:cs="Arial" w:eastAsia="Arial" w:hAnsi="Arial"/>
          <w:sz w:val="15"/>
          <w:szCs w:val="15"/>
          <w:color w:val="auto"/>
        </w:rPr>
      </w:pPr>
    </w:p>
    <w:p>
      <w:pPr>
        <w:ind w:right="60" w:firstLine="860"/>
        <w:spacing w:after="0" w:line="251" w:lineRule="auto"/>
        <w:tabs>
          <w:tab w:leader="none" w:pos="1079"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ectPr>
          <w:pgSz w:w="11900" w:h="16838" w:orient="portrait"/>
          <w:cols w:equalWidth="0" w:num="1">
            <w:col w:w="9600"/>
          </w:cols>
          <w:pgMar w:left="1140" w:top="252" w:right="1159" w:bottom="1440" w:gutter="0" w:footer="0" w:header="0"/>
        </w:sectPr>
      </w:pPr>
    </w:p>
    <w:bookmarkStart w:id="474" w:name="page475"/>
    <w:bookmarkEnd w:id="474"/>
    <w:p>
      <w:pPr>
        <w:ind w:left="6" w:firstLine="860"/>
        <w:spacing w:after="0" w:line="281" w:lineRule="auto"/>
        <w:tabs>
          <w:tab w:leader="none" w:pos="1094" w:val="left"/>
        </w:tabs>
        <w:numPr>
          <w:ilvl w:val="1"/>
          <w:numId w:val="32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Exercise of Right of First Refusal</w:t>
      </w:r>
      <w:r>
        <w:rPr>
          <w:rFonts w:ascii="Arial" w:cs="Arial" w:eastAsia="Arial" w:hAnsi="Arial"/>
          <w:sz w:val="15"/>
          <w:szCs w:val="15"/>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48" w:lineRule="exact"/>
        <w:rPr>
          <w:rFonts w:ascii="Arial" w:cs="Arial" w:eastAsia="Arial" w:hAnsi="Arial"/>
          <w:sz w:val="15"/>
          <w:szCs w:val="15"/>
          <w:color w:val="auto"/>
        </w:rPr>
      </w:pPr>
    </w:p>
    <w:p>
      <w:pPr>
        <w:ind w:left="6" w:firstLine="860"/>
        <w:spacing w:after="0" w:line="256" w:lineRule="auto"/>
        <w:tabs>
          <w:tab w:leader="none" w:pos="1085"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65" w:lineRule="exact"/>
        <w:rPr>
          <w:rFonts w:ascii="Arial" w:cs="Arial" w:eastAsia="Arial" w:hAnsi="Arial"/>
          <w:sz w:val="16"/>
          <w:szCs w:val="16"/>
          <w:color w:val="auto"/>
        </w:rPr>
      </w:pPr>
    </w:p>
    <w:p>
      <w:pPr>
        <w:ind w:left="6" w:right="320" w:firstLine="860"/>
        <w:spacing w:after="0" w:line="343" w:lineRule="auto"/>
        <w:tabs>
          <w:tab w:leader="none" w:pos="1094" w:val="left"/>
        </w:tabs>
        <w:numPr>
          <w:ilvl w:val="1"/>
          <w:numId w:val="326"/>
        </w:numPr>
        <w:rPr>
          <w:rFonts w:ascii="Arial" w:cs="Arial" w:eastAsia="Arial" w:hAnsi="Arial"/>
          <w:sz w:val="13"/>
          <w:szCs w:val="13"/>
          <w:color w:val="auto"/>
        </w:rPr>
      </w:pPr>
      <w:r>
        <w:rPr>
          <w:rFonts w:ascii="Arial" w:cs="Arial" w:eastAsia="Arial" w:hAnsi="Arial"/>
          <w:sz w:val="13"/>
          <w:szCs w:val="13"/>
          <w:u w:val="single" w:color="auto"/>
          <w:color w:val="auto"/>
        </w:rPr>
        <w:t>Payment</w:t>
      </w:r>
      <w:r>
        <w:rPr>
          <w:rFonts w:ascii="Arial" w:cs="Arial" w:eastAsia="Arial" w:hAnsi="Arial"/>
          <w:sz w:val="13"/>
          <w:szCs w:val="13"/>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13" w:lineRule="exact"/>
        <w:rPr>
          <w:rFonts w:ascii="Arial" w:cs="Arial" w:eastAsia="Arial" w:hAnsi="Arial"/>
          <w:sz w:val="13"/>
          <w:szCs w:val="13"/>
          <w:color w:val="auto"/>
        </w:rPr>
      </w:pPr>
    </w:p>
    <w:p>
      <w:pPr>
        <w:ind w:left="6" w:right="140" w:firstLine="860"/>
        <w:spacing w:after="0" w:line="308" w:lineRule="auto"/>
        <w:tabs>
          <w:tab w:leader="none" w:pos="1085" w:val="left"/>
        </w:tabs>
        <w:numPr>
          <w:ilvl w:val="1"/>
          <w:numId w:val="326"/>
        </w:numPr>
        <w:rPr>
          <w:rFonts w:ascii="Arial" w:cs="Arial" w:eastAsia="Arial" w:hAnsi="Arial"/>
          <w:sz w:val="13"/>
          <w:szCs w:val="13"/>
          <w:color w:val="auto"/>
        </w:rPr>
      </w:pPr>
      <w:r>
        <w:rPr>
          <w:rFonts w:ascii="Arial" w:cs="Arial" w:eastAsia="Arial" w:hAnsi="Arial"/>
          <w:sz w:val="13"/>
          <w:szCs w:val="13"/>
          <w:u w:val="single" w:color="auto"/>
          <w:color w:val="auto"/>
        </w:rPr>
        <w:t>Holder’s Right to Transfer</w:t>
      </w:r>
      <w:r>
        <w:rPr>
          <w:rFonts w:ascii="Arial" w:cs="Arial" w:eastAsia="Arial" w:hAnsi="Arial"/>
          <w:sz w:val="13"/>
          <w:szCs w:val="13"/>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sale or other transfer is consummated within one hundred and twenty</w:t>
      </w:r>
    </w:p>
    <w:p>
      <w:pPr>
        <w:spacing w:after="0" w:line="1" w:lineRule="exact"/>
        <w:rPr>
          <w:rFonts w:ascii="Arial" w:cs="Arial" w:eastAsia="Arial" w:hAnsi="Arial"/>
          <w:sz w:val="13"/>
          <w:szCs w:val="13"/>
          <w:color w:val="auto"/>
        </w:rPr>
      </w:pPr>
    </w:p>
    <w:p>
      <w:pPr>
        <w:ind w:left="6" w:right="120" w:hanging="6"/>
        <w:spacing w:after="0" w:line="247" w:lineRule="auto"/>
        <w:tabs>
          <w:tab w:leader="none" w:pos="38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3" w:lineRule="exact"/>
        <w:rPr>
          <w:rFonts w:ascii="Arial" w:cs="Arial" w:eastAsia="Arial" w:hAnsi="Arial"/>
          <w:sz w:val="16"/>
          <w:szCs w:val="16"/>
          <w:color w:val="auto"/>
        </w:rPr>
      </w:pPr>
    </w:p>
    <w:p>
      <w:pPr>
        <w:ind w:left="6" w:firstLine="860"/>
        <w:spacing w:after="0" w:line="250" w:lineRule="auto"/>
        <w:tabs>
          <w:tab w:leader="none" w:pos="1068"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70" w:lineRule="exact"/>
        <w:rPr>
          <w:rFonts w:ascii="Arial" w:cs="Arial" w:eastAsia="Arial" w:hAnsi="Arial"/>
          <w:sz w:val="16"/>
          <w:szCs w:val="16"/>
          <w:color w:val="auto"/>
        </w:rPr>
      </w:pPr>
    </w:p>
    <w:p>
      <w:pPr>
        <w:ind w:left="6" w:firstLine="860"/>
        <w:spacing w:after="0" w:line="256" w:lineRule="auto"/>
        <w:tabs>
          <w:tab w:leader="none" w:pos="1094"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Termination of Right of First Refusal</w:t>
      </w:r>
      <w:r>
        <w:rPr>
          <w:rFonts w:ascii="Arial" w:cs="Arial" w:eastAsia="Arial" w:hAnsi="Arial"/>
          <w:sz w:val="16"/>
          <w:szCs w:val="16"/>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ectPr>
          <w:pgSz w:w="11900" w:h="16838" w:orient="portrait"/>
          <w:cols w:equalWidth="0" w:num="1">
            <w:col w:w="9546"/>
          </w:cols>
          <w:pgMar w:left="1134" w:top="256" w:right="1219" w:bottom="1440" w:gutter="0" w:footer="0" w:header="0"/>
        </w:sectPr>
      </w:pPr>
    </w:p>
    <w:bookmarkStart w:id="475" w:name="page476"/>
    <w:bookmarkEnd w:id="475"/>
    <w:p>
      <w:pPr>
        <w:ind w:left="-300" w:right="180" w:firstLine="378"/>
        <w:spacing w:after="0" w:line="281" w:lineRule="auto"/>
        <w:tabs>
          <w:tab w:leader="none" w:pos="242" w:val="left"/>
        </w:tabs>
        <w:numPr>
          <w:ilvl w:val="0"/>
          <w:numId w:val="32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Tax Consultation</w:t>
      </w:r>
      <w:r>
        <w:rPr>
          <w:rFonts w:ascii="Arial" w:cs="Arial" w:eastAsia="Arial" w:hAnsi="Arial"/>
          <w:sz w:val="15"/>
          <w:szCs w:val="15"/>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48" w:lineRule="exact"/>
        <w:rPr>
          <w:rFonts w:ascii="Arial" w:cs="Arial" w:eastAsia="Arial" w:hAnsi="Arial"/>
          <w:sz w:val="15"/>
          <w:szCs w:val="15"/>
          <w:color w:val="auto"/>
        </w:rPr>
      </w:pPr>
    </w:p>
    <w:p>
      <w:pPr>
        <w:ind w:left="240" w:hanging="162"/>
        <w:spacing w:after="0"/>
        <w:tabs>
          <w:tab w:leader="none" w:pos="240"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Restrictive Legends and Stop-Transfer Orders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120" w:firstLine="860"/>
        <w:spacing w:after="0" w:line="256" w:lineRule="auto"/>
        <w:tabs>
          <w:tab w:leader="none" w:pos="779"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71" w:lineRule="exact"/>
        <w:rPr>
          <w:sz w:val="20"/>
          <w:szCs w:val="20"/>
          <w:color w:val="auto"/>
        </w:rPr>
      </w:pPr>
    </w:p>
    <w:p>
      <w:pPr>
        <w:ind w:left="560"/>
        <w:spacing w:after="0" w:line="329" w:lineRule="auto"/>
        <w:rPr>
          <w:sz w:val="20"/>
          <w:szCs w:val="20"/>
          <w:color w:val="auto"/>
        </w:rPr>
      </w:pPr>
      <w:r>
        <w:rPr>
          <w:rFonts w:ascii="Arial" w:cs="Arial" w:eastAsia="Arial" w:hAnsi="Arial"/>
          <w:sz w:val="13"/>
          <w:szCs w:val="13"/>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29" w:lineRule="exact"/>
        <w:rPr>
          <w:sz w:val="20"/>
          <w:szCs w:val="20"/>
          <w:color w:val="auto"/>
        </w:rPr>
      </w:pPr>
    </w:p>
    <w:p>
      <w:pPr>
        <w:ind w:left="560" w:right="220"/>
        <w:spacing w:after="0" w:line="251" w:lineRule="auto"/>
        <w:rPr>
          <w:sz w:val="20"/>
          <w:szCs w:val="20"/>
          <w:color w:val="auto"/>
        </w:rPr>
      </w:pPr>
      <w:r>
        <w:rPr>
          <w:rFonts w:ascii="Arial" w:cs="Arial" w:eastAsia="Arial" w:hAnsi="Arial"/>
          <w:sz w:val="16"/>
          <w:szCs w:val="16"/>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75"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70" w:lineRule="exact"/>
        <w:rPr>
          <w:sz w:val="20"/>
          <w:szCs w:val="20"/>
          <w:color w:val="auto"/>
        </w:rPr>
      </w:pPr>
    </w:p>
    <w:p>
      <w:pPr>
        <w:ind w:left="-300" w:right="60" w:firstLine="860"/>
        <w:spacing w:after="0" w:line="256" w:lineRule="auto"/>
        <w:tabs>
          <w:tab w:leader="none" w:pos="788"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Stop-Transfer Notices</w:t>
      </w:r>
      <w:r>
        <w:rPr>
          <w:rFonts w:ascii="Arial" w:cs="Arial" w:eastAsia="Arial" w:hAnsi="Arial"/>
          <w:sz w:val="16"/>
          <w:szCs w:val="16"/>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5" w:lineRule="exact"/>
        <w:rPr>
          <w:rFonts w:ascii="Arial" w:cs="Arial" w:eastAsia="Arial" w:hAnsi="Arial"/>
          <w:sz w:val="16"/>
          <w:szCs w:val="16"/>
          <w:color w:val="auto"/>
        </w:rPr>
      </w:pPr>
    </w:p>
    <w:p>
      <w:pPr>
        <w:ind w:left="-300" w:right="460" w:firstLine="860"/>
        <w:spacing w:after="0" w:line="281" w:lineRule="auto"/>
        <w:tabs>
          <w:tab w:leader="none" w:pos="779" w:val="left"/>
        </w:tabs>
        <w:numPr>
          <w:ilvl w:val="0"/>
          <w:numId w:val="329"/>
        </w:numPr>
        <w:rPr>
          <w:rFonts w:ascii="Arial" w:cs="Arial" w:eastAsia="Arial" w:hAnsi="Arial"/>
          <w:sz w:val="15"/>
          <w:szCs w:val="15"/>
          <w:color w:val="auto"/>
        </w:rPr>
      </w:pPr>
      <w:r>
        <w:rPr>
          <w:rFonts w:ascii="Arial" w:cs="Arial" w:eastAsia="Arial" w:hAnsi="Arial"/>
          <w:sz w:val="15"/>
          <w:szCs w:val="15"/>
          <w:u w:val="single" w:color="auto"/>
          <w:color w:val="auto"/>
        </w:rPr>
        <w:t>Refusal to Transfer</w:t>
      </w:r>
      <w:r>
        <w:rPr>
          <w:rFonts w:ascii="Arial" w:cs="Arial" w:eastAsia="Arial" w:hAnsi="Arial"/>
          <w:sz w:val="15"/>
          <w:szCs w:val="15"/>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ectPr>
          <w:pgSz w:w="11900" w:h="16838" w:orient="portrait"/>
          <w:cols w:equalWidth="0" w:num="1">
            <w:col w:w="9300"/>
          </w:cols>
          <w:pgMar w:left="1440" w:top="256" w:right="1159" w:bottom="1440" w:gutter="0" w:footer="0" w:header="0"/>
        </w:sectPr>
      </w:pPr>
    </w:p>
    <w:bookmarkStart w:id="476" w:name="page477"/>
    <w:bookmarkEnd w:id="476"/>
    <w:p>
      <w:pPr>
        <w:jc w:val="both"/>
        <w:ind w:firstLine="378"/>
        <w:spacing w:after="0" w:line="281" w:lineRule="auto"/>
        <w:tabs>
          <w:tab w:leader="none" w:pos="542"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Successors and Assigns</w:t>
      </w:r>
      <w:r>
        <w:rPr>
          <w:rFonts w:ascii="Arial" w:cs="Arial" w:eastAsia="Arial" w:hAnsi="Arial"/>
          <w:sz w:val="15"/>
          <w:szCs w:val="15"/>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48" w:lineRule="exact"/>
        <w:rPr>
          <w:rFonts w:ascii="Arial" w:cs="Arial" w:eastAsia="Arial" w:hAnsi="Arial"/>
          <w:sz w:val="15"/>
          <w:szCs w:val="15"/>
          <w:color w:val="auto"/>
        </w:rPr>
      </w:pPr>
    </w:p>
    <w:p>
      <w:pPr>
        <w:ind w:right="20" w:firstLine="378"/>
        <w:spacing w:after="0" w:line="256" w:lineRule="auto"/>
        <w:tabs>
          <w:tab w:leader="none" w:pos="542"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65" w:lineRule="exact"/>
        <w:rPr>
          <w:rFonts w:ascii="Arial" w:cs="Arial" w:eastAsia="Arial" w:hAnsi="Arial"/>
          <w:sz w:val="16"/>
          <w:szCs w:val="16"/>
          <w:color w:val="auto"/>
        </w:rPr>
      </w:pPr>
    </w:p>
    <w:p>
      <w:pPr>
        <w:ind w:right="80" w:firstLine="378"/>
        <w:spacing w:after="0" w:line="256" w:lineRule="auto"/>
        <w:tabs>
          <w:tab w:leader="none" w:pos="620"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65" w:lineRule="exact"/>
        <w:rPr>
          <w:rFonts w:ascii="Arial" w:cs="Arial" w:eastAsia="Arial" w:hAnsi="Arial"/>
          <w:sz w:val="16"/>
          <w:szCs w:val="16"/>
          <w:color w:val="auto"/>
        </w:rPr>
      </w:pPr>
    </w:p>
    <w:p>
      <w:pPr>
        <w:ind w:right="140" w:firstLine="378"/>
        <w:spacing w:after="0" w:line="275" w:lineRule="auto"/>
        <w:tabs>
          <w:tab w:leader="none" w:pos="614"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40" w:type="dxa"/>
            <w:vAlign w:val="bottom"/>
            <w:gridSpan w:val="2"/>
          </w:tcPr>
          <w:p>
            <w:pPr>
              <w:ind w:left="680"/>
              <w:spacing w:after="0"/>
              <w:rPr>
                <w:sz w:val="20"/>
                <w:szCs w:val="20"/>
                <w:color w:val="auto"/>
              </w:rPr>
            </w:pPr>
            <w:r>
              <w:rPr>
                <w:rFonts w:ascii="Arial" w:cs="Arial" w:eastAsia="Arial" w:hAnsi="Arial"/>
                <w:sz w:val="16"/>
                <w:szCs w:val="16"/>
                <w:color w:val="auto"/>
              </w:rPr>
              <w:t>Submitted by:</w:t>
            </w:r>
          </w:p>
        </w:tc>
        <w:tc>
          <w:tcPr>
            <w:tcW w:w="4980" w:type="dxa"/>
            <w:vAlign w:val="bottom"/>
            <w:gridSpan w:val="2"/>
          </w:tcPr>
          <w:p>
            <w:pPr>
              <w:ind w:left="1020"/>
              <w:spacing w:after="0"/>
              <w:rPr>
                <w:sz w:val="20"/>
                <w:szCs w:val="20"/>
                <w:color w:val="auto"/>
              </w:rPr>
            </w:pPr>
            <w:r>
              <w:rPr>
                <w:rFonts w:ascii="Arial" w:cs="Arial" w:eastAsia="Arial" w:hAnsi="Arial"/>
                <w:sz w:val="16"/>
                <w:szCs w:val="16"/>
                <w:color w:val="auto"/>
              </w:rPr>
              <w:t>Accepted by:</w:t>
            </w:r>
          </w:p>
        </w:tc>
      </w:tr>
      <w:tr>
        <w:trPr>
          <w:trHeight w:val="377"/>
        </w:trPr>
        <w:tc>
          <w:tcPr>
            <w:tcW w:w="4640" w:type="dxa"/>
            <w:vAlign w:val="bottom"/>
            <w:gridSpan w:val="2"/>
          </w:tcPr>
          <w:p>
            <w:pPr>
              <w:ind w:left="680"/>
              <w:spacing w:after="0"/>
              <w:rPr>
                <w:sz w:val="20"/>
                <w:szCs w:val="20"/>
                <w:color w:val="auto"/>
              </w:rPr>
            </w:pPr>
            <w:r>
              <w:rPr>
                <w:rFonts w:ascii="Arial" w:cs="Arial" w:eastAsia="Arial" w:hAnsi="Arial"/>
                <w:sz w:val="16"/>
                <w:szCs w:val="16"/>
                <w:color w:val="auto"/>
              </w:rPr>
              <w:t>PARTICIPANT</w:t>
            </w:r>
          </w:p>
        </w:tc>
        <w:tc>
          <w:tcPr>
            <w:tcW w:w="4980" w:type="dxa"/>
            <w:vAlign w:val="bottom"/>
            <w:gridSpan w:val="2"/>
          </w:tcPr>
          <w:p>
            <w:pPr>
              <w:ind w:left="1020"/>
              <w:spacing w:after="0"/>
              <w:rPr>
                <w:sz w:val="20"/>
                <w:szCs w:val="20"/>
                <w:color w:val="auto"/>
              </w:rPr>
            </w:pPr>
            <w:r>
              <w:rPr>
                <w:rFonts w:ascii="Arial" w:cs="Arial" w:eastAsia="Arial" w:hAnsi="Arial"/>
                <w:sz w:val="16"/>
                <w:szCs w:val="16"/>
                <w:color w:val="auto"/>
              </w:rPr>
              <w:t>TENAYA THERAPEUTICS, INC.</w:t>
            </w:r>
          </w:p>
        </w:tc>
      </w:tr>
      <w:tr>
        <w:trPr>
          <w:trHeight w:val="378"/>
        </w:trPr>
        <w:tc>
          <w:tcPr>
            <w:tcW w:w="464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91"/>
        </w:trPr>
        <w:tc>
          <w:tcPr>
            <w:tcW w:w="700" w:type="dxa"/>
            <w:vAlign w:val="bottom"/>
          </w:tcPr>
          <w:p>
            <w:pPr>
              <w:spacing w:after="0"/>
              <w:rPr>
                <w:sz w:val="20"/>
                <w:szCs w:val="20"/>
                <w:color w:val="auto"/>
              </w:rPr>
            </w:pPr>
            <w:r>
              <w:rPr>
                <w:rFonts w:ascii="Arial" w:cs="Arial" w:eastAsia="Arial" w:hAnsi="Arial"/>
                <w:sz w:val="16"/>
                <w:szCs w:val="16"/>
                <w:color w:val="auto"/>
                <w:w w:val="99"/>
              </w:rPr>
              <w:t>Signature</w:t>
            </w:r>
          </w:p>
        </w:tc>
        <w:tc>
          <w:tcPr>
            <w:tcW w:w="3940" w:type="dxa"/>
            <w:vAlign w:val="bottom"/>
            <w:tcBorders>
              <w:top w:val="single" w:sz="8" w:color="auto"/>
            </w:tcBorders>
          </w:tcPr>
          <w:p>
            <w:pPr>
              <w:spacing w:after="0"/>
              <w:rPr>
                <w:sz w:val="16"/>
                <w:szCs w:val="16"/>
                <w:color w:val="auto"/>
              </w:rPr>
            </w:pPr>
          </w:p>
        </w:tc>
        <w:tc>
          <w:tcPr>
            <w:tcW w:w="1020" w:type="dxa"/>
            <w:vAlign w:val="bottom"/>
          </w:tcPr>
          <w:p>
            <w:pPr>
              <w:ind w:left="540"/>
              <w:spacing w:after="0"/>
              <w:rPr>
                <w:sz w:val="20"/>
                <w:szCs w:val="20"/>
                <w:color w:val="auto"/>
              </w:rPr>
            </w:pPr>
            <w:r>
              <w:rPr>
                <w:rFonts w:ascii="Arial" w:cs="Arial" w:eastAsia="Arial" w:hAnsi="Arial"/>
                <w:sz w:val="16"/>
                <w:szCs w:val="16"/>
                <w:color w:val="auto"/>
              </w:rPr>
              <w:t>By</w:t>
            </w:r>
          </w:p>
        </w:tc>
        <w:tc>
          <w:tcPr>
            <w:tcW w:w="3960" w:type="dxa"/>
            <w:vAlign w:val="bottom"/>
            <w:tcBorders>
              <w:top w:val="single" w:sz="8" w:color="auto"/>
            </w:tcBorders>
          </w:tcPr>
          <w:p>
            <w:pPr>
              <w:spacing w:after="0"/>
              <w:rPr>
                <w:sz w:val="16"/>
                <w:szCs w:val="16"/>
                <w:color w:val="auto"/>
              </w:rPr>
            </w:pPr>
          </w:p>
        </w:tc>
      </w:tr>
      <w:tr>
        <w:trPr>
          <w:trHeight w:val="378"/>
        </w:trPr>
        <w:tc>
          <w:tcPr>
            <w:tcW w:w="70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192"/>
        </w:trPr>
        <w:tc>
          <w:tcPr>
            <w:tcW w:w="700" w:type="dxa"/>
            <w:vAlign w:val="bottom"/>
          </w:tcPr>
          <w:p>
            <w:pPr>
              <w:spacing w:after="0"/>
              <w:rPr>
                <w:sz w:val="20"/>
                <w:szCs w:val="20"/>
                <w:color w:val="auto"/>
              </w:rPr>
            </w:pPr>
            <w:r>
              <w:rPr>
                <w:rFonts w:ascii="Arial" w:cs="Arial" w:eastAsia="Arial" w:hAnsi="Arial"/>
                <w:sz w:val="16"/>
                <w:szCs w:val="16"/>
                <w:color w:val="auto"/>
                <w:w w:val="84"/>
              </w:rPr>
              <w:t>Print Name</w:t>
            </w:r>
          </w:p>
        </w:tc>
        <w:tc>
          <w:tcPr>
            <w:tcW w:w="3940" w:type="dxa"/>
            <w:vAlign w:val="bottom"/>
          </w:tcPr>
          <w:p>
            <w:pPr>
              <w:spacing w:after="0"/>
              <w:rPr>
                <w:sz w:val="16"/>
                <w:szCs w:val="16"/>
                <w:color w:val="auto"/>
              </w:rPr>
            </w:pPr>
          </w:p>
        </w:tc>
        <w:tc>
          <w:tcPr>
            <w:tcW w:w="4980" w:type="dxa"/>
            <w:vAlign w:val="bottom"/>
            <w:gridSpan w:val="2"/>
          </w:tcPr>
          <w:p>
            <w:pPr>
              <w:ind w:left="540"/>
              <w:spacing w:after="0"/>
              <w:rPr>
                <w:sz w:val="20"/>
                <w:szCs w:val="20"/>
                <w:color w:val="auto"/>
              </w:rPr>
            </w:pPr>
            <w:r>
              <w:rPr>
                <w:rFonts w:ascii="Arial" w:cs="Arial" w:eastAsia="Arial" w:hAnsi="Arial"/>
                <w:sz w:val="16"/>
                <w:szCs w:val="16"/>
                <w:color w:val="auto"/>
              </w:rPr>
              <w:t>Print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240030</wp:posOffset>
            </wp:positionV>
            <wp:extent cx="251523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spacing w:after="0" w:line="36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Title</w:t>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Address:</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Address:</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171 Oyster Point Boulevard, 5th Floor</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-115570</wp:posOffset>
            </wp:positionV>
            <wp:extent cx="250063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500630" cy="7620"/>
                    </a:xfrm>
                    <a:prstGeom prst="rect">
                      <a:avLst/>
                    </a:prstGeom>
                    <a:noFill/>
                  </pic:spPr>
                </pic:pic>
              </a:graphicData>
            </a:graphic>
          </wp:anchor>
        </w:drawing>
        <w:drawing>
          <wp:anchor simplePos="0" relativeHeight="251657728" behindDoc="1" locked="0" layoutInCell="0" allowOverlap="1">
            <wp:simplePos x="0" y="0"/>
            <wp:positionH relativeFrom="column">
              <wp:posOffset>441325</wp:posOffset>
            </wp:positionH>
            <wp:positionV relativeFrom="paragraph">
              <wp:posOffset>250825</wp:posOffset>
            </wp:positionV>
            <wp:extent cx="250063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ectPr>
          <w:pgSz w:w="11900" w:h="16838" w:orient="portrait"/>
          <w:cols w:equalWidth="0" w:num="1">
            <w:col w:w="9620"/>
          </w:cols>
          <w:pgMar w:left="1140" w:top="256" w:right="1139" w:bottom="1440" w:gutter="0" w:footer="0" w:header="0"/>
        </w:sectPr>
      </w:pPr>
    </w:p>
    <w:bookmarkStart w:id="477" w:name="page478"/>
    <w:bookmarkEnd w:id="477"/>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B</w:t>
            </w:r>
          </w:p>
        </w:tc>
        <w:tc>
          <w:tcPr>
            <w:tcW w:w="1360" w:type="dxa"/>
            <w:vAlign w:val="bottom"/>
          </w:tcPr>
          <w:p>
            <w:pPr>
              <w:spacing w:after="0"/>
              <w:rPr>
                <w:sz w:val="16"/>
                <w:szCs w:val="16"/>
                <w:color w:val="auto"/>
              </w:rPr>
            </w:pPr>
          </w:p>
        </w:tc>
      </w:tr>
      <w:tr>
        <w:trPr>
          <w:trHeight w:val="391"/>
        </w:trPr>
        <w:tc>
          <w:tcPr>
            <w:tcW w:w="1160" w:type="dxa"/>
            <w:vAlign w:val="bottom"/>
          </w:tcPr>
          <w:p>
            <w:pPr>
              <w:spacing w:after="0"/>
              <w:rPr>
                <w:sz w:val="24"/>
                <w:szCs w:val="24"/>
                <w:color w:val="auto"/>
              </w:rPr>
            </w:pPr>
          </w:p>
        </w:tc>
        <w:tc>
          <w:tcPr>
            <w:tcW w:w="5420" w:type="dxa"/>
            <w:vAlign w:val="bottom"/>
            <w:gridSpan w:val="3"/>
          </w:tcPr>
          <w:p>
            <w:pPr>
              <w:jc w:val="center"/>
              <w:ind w:left="1801"/>
              <w:spacing w:after="0"/>
              <w:rPr>
                <w:sz w:val="20"/>
                <w:szCs w:val="20"/>
                <w:color w:val="auto"/>
              </w:rPr>
            </w:pPr>
            <w:r>
              <w:rPr>
                <w:rFonts w:ascii="Arial" w:cs="Arial" w:eastAsia="Arial" w:hAnsi="Arial"/>
                <w:sz w:val="16"/>
                <w:szCs w:val="16"/>
                <w:b w:val="1"/>
                <w:bCs w:val="1"/>
                <w:color w:val="auto"/>
                <w:w w:val="99"/>
              </w:rPr>
              <w:t>INVESTMENT REPRESENTATION STATEMENT</w:t>
            </w:r>
          </w:p>
        </w:tc>
      </w:tr>
      <w:tr>
        <w:trPr>
          <w:trHeight w:val="401"/>
        </w:trPr>
        <w:tc>
          <w:tcPr>
            <w:tcW w:w="1160" w:type="dxa"/>
            <w:vAlign w:val="bottom"/>
          </w:tcPr>
          <w:p>
            <w:pPr>
              <w:spacing w:after="0"/>
              <w:rPr>
                <w:sz w:val="20"/>
                <w:szCs w:val="20"/>
                <w:color w:val="auto"/>
              </w:rPr>
            </w:pPr>
            <w:r>
              <w:rPr>
                <w:rFonts w:ascii="Arial" w:cs="Arial" w:eastAsia="Arial" w:hAnsi="Arial"/>
                <w:sz w:val="16"/>
                <w:szCs w:val="16"/>
                <w:color w:val="auto"/>
              </w:rPr>
              <w:t>PARTICIPANT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COMPANY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TENAYA THERAPEUTICS, INC.</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SECURITY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COMMON STOCK</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AMOUNT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DATE</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In connection with the purchase of the above-listed Securities, the undersigned Participant represents to the Company the following:</w:t>
      </w:r>
    </w:p>
    <w:p>
      <w:pPr>
        <w:spacing w:after="0" w:line="205" w:lineRule="exact"/>
        <w:rPr>
          <w:sz w:val="20"/>
          <w:szCs w:val="20"/>
          <w:color w:val="auto"/>
        </w:rPr>
      </w:pPr>
    </w:p>
    <w:p>
      <w:pPr>
        <w:jc w:val="both"/>
        <w:ind w:right="180" w:firstLine="378"/>
        <w:spacing w:after="0" w:line="253" w:lineRule="auto"/>
        <w:tabs>
          <w:tab w:leader="none" w:pos="598" w:val="left"/>
        </w:tabs>
        <w:numPr>
          <w:ilvl w:val="0"/>
          <w:numId w:val="331"/>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67" w:lineRule="exact"/>
        <w:rPr>
          <w:rFonts w:ascii="Arial" w:cs="Arial" w:eastAsia="Arial" w:hAnsi="Arial"/>
          <w:sz w:val="16"/>
          <w:szCs w:val="16"/>
          <w:color w:val="auto"/>
        </w:rPr>
      </w:pPr>
    </w:p>
    <w:p>
      <w:pPr>
        <w:ind w:firstLine="378"/>
        <w:spacing w:after="0" w:line="312" w:lineRule="auto"/>
        <w:tabs>
          <w:tab w:leader="none" w:pos="607" w:val="left"/>
        </w:tabs>
        <w:numPr>
          <w:ilvl w:val="0"/>
          <w:numId w:val="331"/>
        </w:numPr>
        <w:rPr>
          <w:rFonts w:ascii="Arial" w:cs="Arial" w:eastAsia="Arial" w:hAnsi="Arial"/>
          <w:sz w:val="13"/>
          <w:szCs w:val="13"/>
          <w:color w:val="auto"/>
        </w:rPr>
      </w:pPr>
      <w:r>
        <w:rPr>
          <w:rFonts w:ascii="Arial" w:cs="Arial" w:eastAsia="Arial" w:hAnsi="Arial"/>
          <w:sz w:val="13"/>
          <w:szCs w:val="13"/>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37" w:lineRule="exact"/>
        <w:rPr>
          <w:rFonts w:ascii="Arial" w:cs="Arial" w:eastAsia="Arial" w:hAnsi="Arial"/>
          <w:sz w:val="13"/>
          <w:szCs w:val="13"/>
          <w:color w:val="auto"/>
        </w:rPr>
      </w:pPr>
    </w:p>
    <w:p>
      <w:pPr>
        <w:jc w:val="both"/>
        <w:ind w:right="60" w:firstLine="378"/>
        <w:spacing w:after="0" w:line="272" w:lineRule="auto"/>
        <w:tabs>
          <w:tab w:leader="none" w:pos="598" w:val="left"/>
        </w:tabs>
        <w:numPr>
          <w:ilvl w:val="0"/>
          <w:numId w:val="331"/>
        </w:numPr>
        <w:rPr>
          <w:rFonts w:ascii="Arial" w:cs="Arial" w:eastAsia="Arial" w:hAnsi="Arial"/>
          <w:sz w:val="15"/>
          <w:szCs w:val="15"/>
          <w:color w:val="auto"/>
        </w:rPr>
      </w:pPr>
      <w:r>
        <w:rPr>
          <w:rFonts w:ascii="Arial" w:cs="Arial" w:eastAsia="Arial" w:hAnsi="Arial"/>
          <w:sz w:val="15"/>
          <w:szCs w:val="15"/>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9600"/>
          </w:cols>
          <w:pgMar w:left="1140" w:top="238" w:right="1159" w:bottom="1440" w:gutter="0" w:footer="0" w:header="0"/>
        </w:sectPr>
      </w:pPr>
    </w:p>
    <w:bookmarkStart w:id="478" w:name="page479"/>
    <w:bookmarkEnd w:id="478"/>
    <w:p>
      <w:pPr>
        <w:ind w:left="6" w:right="32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w:t>
      </w:r>
    </w:p>
    <w:p>
      <w:pPr>
        <w:spacing w:after="0" w:line="1" w:lineRule="exact"/>
        <w:rPr>
          <w:sz w:val="20"/>
          <w:szCs w:val="20"/>
          <w:color w:val="auto"/>
        </w:rPr>
      </w:pPr>
    </w:p>
    <w:p>
      <w:pPr>
        <w:ind w:left="6" w:right="20" w:hanging="6"/>
        <w:spacing w:after="0" w:line="249" w:lineRule="auto"/>
        <w:tabs>
          <w:tab w:leader="none" w:pos="22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1" w:lineRule="exact"/>
        <w:rPr>
          <w:sz w:val="20"/>
          <w:szCs w:val="20"/>
          <w:color w:val="auto"/>
        </w:rPr>
      </w:pPr>
    </w:p>
    <w:p>
      <w:pPr>
        <w:ind w:left="6" w:right="160" w:firstLine="866"/>
        <w:spacing w:after="0" w:line="25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70" w:lineRule="exact"/>
        <w:rPr>
          <w:sz w:val="20"/>
          <w:szCs w:val="20"/>
          <w:color w:val="auto"/>
        </w:rPr>
      </w:pPr>
    </w:p>
    <w:p>
      <w:pPr>
        <w:ind w:left="6" w:firstLine="378"/>
        <w:spacing w:after="0" w:line="249" w:lineRule="auto"/>
        <w:tabs>
          <w:tab w:leader="none" w:pos="613" w:val="left"/>
        </w:tabs>
        <w:numPr>
          <w:ilvl w:val="0"/>
          <w:numId w:val="333"/>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9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PARTICIPANT</w:t>
      </w:r>
    </w:p>
    <w:p>
      <w:pPr>
        <w:spacing w:after="0" w:line="394"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ectPr>
          <w:pgSz w:w="11900" w:h="16838" w:orient="portrait"/>
          <w:cols w:equalWidth="0" w:num="1">
            <w:col w:w="9606"/>
          </w:cols>
          <w:pgMar w:left="1134" w:top="256" w:right="1159" w:bottom="1440" w:gutter="0" w:footer="0" w:header="0"/>
        </w:sectPr>
      </w:pPr>
    </w:p>
    <w:bookmarkStart w:id="479" w:name="page480"/>
    <w:bookmarkEnd w:id="479"/>
    <w:p>
      <w:pPr>
        <w:jc w:val="center"/>
        <w:ind w:right="-2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TENAYA THERAPEUTICS, INC.</w:t>
      </w:r>
    </w:p>
    <w:p>
      <w:pPr>
        <w:spacing w:after="0" w:line="193"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STOCK OPTION AGREEMENT — EARLY EXERCISE</w:t>
      </w:r>
    </w:p>
    <w:p>
      <w:pPr>
        <w:spacing w:after="0" w:line="197" w:lineRule="exact"/>
        <w:rPr>
          <w:sz w:val="20"/>
          <w:szCs w:val="20"/>
          <w:color w:val="auto"/>
        </w:rPr>
      </w:pPr>
    </w:p>
    <w:p>
      <w:pPr>
        <w:ind w:left="6" w:right="240" w:firstLine="385"/>
        <w:spacing w:after="0" w:line="266" w:lineRule="auto"/>
        <w:rPr>
          <w:sz w:val="20"/>
          <w:szCs w:val="20"/>
          <w:color w:val="auto"/>
        </w:rPr>
      </w:pPr>
      <w:r>
        <w:rPr>
          <w:rFonts w:ascii="Arial" w:cs="Arial" w:eastAsia="Arial" w:hAnsi="Arial"/>
          <w:sz w:val="16"/>
          <w:szCs w:val="16"/>
          <w:color w:val="auto"/>
        </w:rPr>
        <w:t>Unless otherwise defined herein, the terms defined in the 2016 Equity Incentive Plan (the “Plan”) shall have the same defined meanings in this Stock Option Agreement – Early Exercise (the “Option Agreement”).</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Option 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-8255</wp:posOffset>
            </wp:positionV>
            <wp:extent cx="49911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99110" cy="7620"/>
                    </a:xfrm>
                    <a:prstGeom prst="rect">
                      <a:avLst/>
                    </a:prstGeom>
                    <a:noFill/>
                  </pic:spPr>
                </pic:pic>
              </a:graphicData>
            </a:graphic>
          </wp:anchor>
        </w:drawing>
      </w:r>
    </w:p>
    <w:p>
      <w:pPr>
        <w:spacing w:after="0" w:line="303" w:lineRule="exact"/>
        <w:rPr>
          <w:sz w:val="20"/>
          <w:szCs w:val="20"/>
          <w:color w:val="auto"/>
        </w:rPr>
      </w:pPr>
    </w:p>
    <w:p>
      <w:pPr>
        <w:ind w:left="386" w:right="6500" w:hanging="386"/>
        <w:spacing w:after="0" w:line="492" w:lineRule="auto"/>
        <w:tabs>
          <w:tab w:leader="none" w:pos="379"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NOTICE OF STOCK OPTION GRANT </w:t>
      </w:r>
      <w:r>
        <w:rPr>
          <w:rFonts w:ascii="Arial" w:cs="Arial" w:eastAsia="Arial" w:hAnsi="Arial"/>
          <w:sz w:val="16"/>
          <w:szCs w:val="16"/>
          <w:b w:val="1"/>
          <w:bCs w:val="1"/>
          <w:color w:val="auto"/>
        </w:rPr>
        <w:t>Name:</w:t>
      </w:r>
    </w:p>
    <w:p>
      <w:pPr>
        <w:ind w:left="386"/>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Address: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3"/>
          <w:szCs w:val="13"/>
          <w:color w:val="auto"/>
        </w:rPr>
        <w:t>The undersigned Participant has been granted an Option to purchase Common Stock of the Company, subject to the terms and conditions of the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Plan and this Option Agreement, as follows:</w:t>
      </w:r>
    </w:p>
    <w:p>
      <w:pPr>
        <w:spacing w:after="0" w:line="187" w:lineRule="exact"/>
        <w:rPr>
          <w:sz w:val="20"/>
          <w:szCs w:val="20"/>
          <w:color w:val="auto"/>
        </w:rPr>
      </w:pPr>
    </w:p>
    <w:tbl>
      <w:tblPr>
        <w:tblLayout w:type="fixed"/>
        <w:tblInd w:w="386" w:type="dxa"/>
        <w:tblCellMar>
          <w:top w:w="0" w:type="dxa"/>
          <w:left w:w="0" w:type="dxa"/>
          <w:bottom w:w="0" w:type="dxa"/>
          <w:right w:w="0" w:type="dxa"/>
        </w:tblCellMar>
      </w:tblPr>
      <w:tr>
        <w:trPr>
          <w:trHeight w:val="184"/>
        </w:trPr>
        <w:tc>
          <w:tcPr>
            <w:tcW w:w="2580" w:type="dxa"/>
            <w:vAlign w:val="bottom"/>
            <w:gridSpan w:val="2"/>
          </w:tcPr>
          <w:p>
            <w:pPr>
              <w:spacing w:after="0"/>
              <w:rPr>
                <w:sz w:val="20"/>
                <w:szCs w:val="20"/>
                <w:color w:val="auto"/>
              </w:rPr>
            </w:pPr>
            <w:r>
              <w:rPr>
                <w:rFonts w:ascii="Arial" w:cs="Arial" w:eastAsia="Arial" w:hAnsi="Arial"/>
                <w:sz w:val="16"/>
                <w:szCs w:val="16"/>
                <w:color w:val="auto"/>
              </w:rPr>
              <w:t>Date of Grant:</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Vesting Commencement Date:</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Exercise Price per Share:</w:t>
            </w:r>
          </w:p>
        </w:tc>
        <w:tc>
          <w:tcPr>
            <w:tcW w:w="460" w:type="dxa"/>
            <w:vAlign w:val="bottom"/>
            <w:gridSpan w:val="2"/>
          </w:tcPr>
          <w:p>
            <w:pPr>
              <w:jc w:val="right"/>
              <w:ind w:right="380"/>
              <w:spacing w:after="0"/>
              <w:rPr>
                <w:sz w:val="20"/>
                <w:szCs w:val="20"/>
                <w:color w:val="auto"/>
              </w:rPr>
            </w:pPr>
            <w:r>
              <w:rPr>
                <w:rFonts w:ascii="Arial" w:cs="Arial" w:eastAsia="Arial" w:hAnsi="Arial"/>
                <w:sz w:val="15"/>
                <w:szCs w:val="15"/>
                <w:color w:val="auto"/>
                <w:w w:val="71"/>
              </w:rPr>
              <w:t>$</w:t>
            </w:r>
          </w:p>
        </w:tc>
        <w:tc>
          <w:tcPr>
            <w:tcW w:w="2080" w:type="dxa"/>
            <w:vAlign w:val="bottom"/>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Total Number of Shares Granted:</w:t>
            </w: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Total Exercise Price:</w:t>
            </w:r>
          </w:p>
        </w:tc>
        <w:tc>
          <w:tcPr>
            <w:tcW w:w="460" w:type="dxa"/>
            <w:vAlign w:val="bottom"/>
            <w:gridSpan w:val="2"/>
          </w:tcPr>
          <w:p>
            <w:pPr>
              <w:jc w:val="right"/>
              <w:ind w:right="380"/>
              <w:spacing w:after="0"/>
              <w:rPr>
                <w:sz w:val="20"/>
                <w:szCs w:val="20"/>
                <w:color w:val="auto"/>
              </w:rPr>
            </w:pPr>
            <w:r>
              <w:rPr>
                <w:rFonts w:ascii="Arial" w:cs="Arial" w:eastAsia="Arial" w:hAnsi="Arial"/>
                <w:sz w:val="15"/>
                <w:szCs w:val="15"/>
                <w:color w:val="auto"/>
                <w:w w:val="71"/>
              </w:rPr>
              <w:t>$</w:t>
            </w:r>
          </w:p>
        </w:tc>
        <w:tc>
          <w:tcPr>
            <w:tcW w:w="2080" w:type="dxa"/>
            <w:vAlign w:val="bottom"/>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Type of Option:</w:t>
            </w: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Incentive Stock Option</w:t>
            </w:r>
          </w:p>
        </w:tc>
      </w:tr>
      <w:tr>
        <w:trPr>
          <w:trHeight w:val="357"/>
        </w:trPr>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16"/>
                <w:szCs w:val="16"/>
                <w:color w:val="auto"/>
              </w:rPr>
              <w:t>Nonstatutory Stock Option</w:t>
            </w: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Term/Expiration Date:</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Vesting Schedule:</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0"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This Option shall be exercisable, in whole or in part, according to the following vesting schedule:</w:t>
      </w:r>
    </w:p>
    <w:p>
      <w:pPr>
        <w:spacing w:after="0" w:line="193" w:lineRule="exact"/>
        <w:rPr>
          <w:sz w:val="20"/>
          <w:szCs w:val="20"/>
          <w:color w:val="auto"/>
        </w:rPr>
      </w:pPr>
    </w:p>
    <w:p>
      <w:pPr>
        <w:ind w:left="6" w:firstLine="385"/>
        <w:spacing w:after="0" w:line="253" w:lineRule="auto"/>
        <w:rPr>
          <w:sz w:val="20"/>
          <w:szCs w:val="20"/>
          <w:color w:val="auto"/>
        </w:rPr>
      </w:pPr>
      <w:r>
        <w:rPr>
          <w:rFonts w:ascii="Arial" w:cs="Arial" w:eastAsia="Arial" w:hAnsi="Arial"/>
          <w:sz w:val="16"/>
          <w:szCs w:val="16"/>
          <w:color w:val="auto"/>
        </w:rPr>
        <w:t>[Twenty-five percent (25%) of the Shares subject to the Option shall vest on the one (1) year anniversary of the Vesting Commencement Date, and one forty-eighth (1/48</w:t>
      </w:r>
      <w:r>
        <w:rPr>
          <w:rFonts w:ascii="Arial" w:cs="Arial" w:eastAsia="Arial" w:hAnsi="Arial"/>
          <w:sz w:val="13"/>
          <w:szCs w:val="13"/>
          <w:color w:val="auto"/>
        </w:rPr>
        <w:t>th</w:t>
      </w:r>
      <w:r>
        <w:rPr>
          <w:rFonts w:ascii="Arial" w:cs="Arial" w:eastAsia="Arial" w:hAnsi="Arial"/>
          <w:sz w:val="16"/>
          <w:szCs w:val="16"/>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9606"/>
          </w:cols>
          <w:pgMar w:left="1134" w:top="252" w:right="1159" w:bottom="1440" w:gutter="0" w:footer="0" w:header="0"/>
        </w:sectPr>
      </w:pPr>
    </w:p>
    <w:bookmarkStart w:id="480" w:name="page481"/>
    <w:bookmarkEnd w:id="480"/>
    <w:p>
      <w:pPr>
        <w:ind w:left="38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Termination Period</w:t>
      </w:r>
      <w:r>
        <w:rPr>
          <w:rFonts w:ascii="Arial" w:cs="Arial" w:eastAsia="Arial" w:hAnsi="Arial"/>
          <w:sz w:val="16"/>
          <w:szCs w:val="16"/>
          <w:color w:val="auto"/>
        </w:rPr>
        <w:t>:</w:t>
      </w:r>
    </w:p>
    <w:p>
      <w:pPr>
        <w:spacing w:after="0" w:line="193" w:lineRule="exact"/>
        <w:rPr>
          <w:sz w:val="20"/>
          <w:szCs w:val="20"/>
          <w:color w:val="auto"/>
        </w:rPr>
      </w:pPr>
    </w:p>
    <w:p>
      <w:pPr>
        <w:ind w:left="6" w:right="120" w:firstLine="385"/>
        <w:spacing w:after="0" w:line="253" w:lineRule="auto"/>
        <w:rPr>
          <w:sz w:val="20"/>
          <w:szCs w:val="20"/>
          <w:color w:val="auto"/>
        </w:rPr>
      </w:pPr>
      <w:r>
        <w:rPr>
          <w:rFonts w:ascii="Arial" w:cs="Arial" w:eastAsia="Arial" w:hAnsi="Arial"/>
          <w:sz w:val="16"/>
          <w:szCs w:val="16"/>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pacing w:after="0" w:line="293" w:lineRule="exact"/>
        <w:rPr>
          <w:sz w:val="20"/>
          <w:szCs w:val="20"/>
          <w:color w:val="auto"/>
        </w:rPr>
      </w:pPr>
    </w:p>
    <w:p>
      <w:pPr>
        <w:ind w:left="386" w:hanging="386"/>
        <w:spacing w:after="0"/>
        <w:tabs>
          <w:tab w:leader="none" w:pos="386"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w:t>
      </w:r>
    </w:p>
    <w:p>
      <w:pPr>
        <w:spacing w:after="0" w:line="102" w:lineRule="exact"/>
        <w:rPr>
          <w:rFonts w:ascii="Arial" w:cs="Arial" w:eastAsia="Arial" w:hAnsi="Arial"/>
          <w:sz w:val="16"/>
          <w:szCs w:val="16"/>
          <w:b w:val="1"/>
          <w:bCs w:val="1"/>
          <w:color w:val="auto"/>
        </w:rPr>
      </w:pPr>
    </w:p>
    <w:p>
      <w:pPr>
        <w:jc w:val="both"/>
        <w:ind w:left="6" w:firstLine="378"/>
        <w:spacing w:after="0" w:line="251" w:lineRule="auto"/>
        <w:tabs>
          <w:tab w:leader="none" w:pos="548"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70" w:lineRule="exact"/>
        <w:rPr>
          <w:sz w:val="20"/>
          <w:szCs w:val="20"/>
          <w:color w:val="auto"/>
        </w:rPr>
      </w:pPr>
    </w:p>
    <w:p>
      <w:pPr>
        <w:ind w:left="6" w:right="20" w:firstLine="385"/>
        <w:spacing w:after="0" w:line="270" w:lineRule="auto"/>
        <w:rPr>
          <w:sz w:val="20"/>
          <w:szCs w:val="20"/>
          <w:color w:val="auto"/>
        </w:rPr>
      </w:pPr>
      <w:r>
        <w:rPr>
          <w:rFonts w:ascii="Arial" w:cs="Arial" w:eastAsia="Arial" w:hAnsi="Arial"/>
          <w:sz w:val="15"/>
          <w:szCs w:val="15"/>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56" w:lineRule="exact"/>
        <w:rPr>
          <w:sz w:val="20"/>
          <w:szCs w:val="20"/>
          <w:color w:val="auto"/>
        </w:rPr>
      </w:pPr>
    </w:p>
    <w:p>
      <w:pPr>
        <w:ind w:left="546" w:hanging="162"/>
        <w:spacing w:after="0"/>
        <w:tabs>
          <w:tab w:leader="none" w:pos="546" w:val="left"/>
        </w:tabs>
        <w:numPr>
          <w:ilvl w:val="0"/>
          <w:numId w:val="336"/>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 This Option shall be exercisable during its term in accordance with the provisions of Section 6 of the Plan as follows:</w:t>
      </w:r>
    </w:p>
    <w:p>
      <w:pPr>
        <w:spacing w:after="0" w:line="204" w:lineRule="exact"/>
        <w:rPr>
          <w:rFonts w:ascii="Arial" w:cs="Arial" w:eastAsia="Arial" w:hAnsi="Arial"/>
          <w:sz w:val="15"/>
          <w:szCs w:val="15"/>
          <w:color w:val="auto"/>
        </w:rPr>
      </w:pPr>
    </w:p>
    <w:p>
      <w:pPr>
        <w:ind w:left="1086" w:hanging="220"/>
        <w:spacing w:after="0"/>
        <w:tabs>
          <w:tab w:leader="none" w:pos="1086"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jc w:val="both"/>
        <w:ind w:left="6" w:right="20" w:firstLine="1244"/>
        <w:spacing w:after="0" w:line="253" w:lineRule="auto"/>
        <w:tabs>
          <w:tab w:leader="none" w:pos="1444" w:val="left"/>
        </w:tabs>
        <w:numPr>
          <w:ilvl w:val="2"/>
          <w:numId w:val="336"/>
        </w:numPr>
        <w:rPr>
          <w:rFonts w:ascii="Arial" w:cs="Arial" w:eastAsia="Arial" w:hAnsi="Arial"/>
          <w:sz w:val="16"/>
          <w:szCs w:val="16"/>
          <w:color w:val="auto"/>
        </w:rPr>
      </w:pPr>
      <w:r>
        <w:rPr>
          <w:rFonts w:ascii="Arial" w:cs="Arial" w:eastAsia="Arial" w:hAnsi="Arial"/>
          <w:sz w:val="16"/>
          <w:szCs w:val="16"/>
          <w:color w:val="auto"/>
        </w:rPr>
        <w:t xml:space="preserve">Subject to subsections 2(a)(ii) and 2(a)(iii) below, this Option shall be exercisable cumulatively according to the vesting schedule set forth in the Notice of Stock Option Grant. Alternatively, at the election of Participant, this Option may be exercised in whole or in part at any time as to Shares that have not yet vested. Vested Shares shall not be subject to the Company’s repurchase right (as set forth in the Restricted Stock Purchase Agreement, attached hereto as </w:t>
      </w:r>
      <w:r>
        <w:rPr>
          <w:rFonts w:ascii="Arial" w:cs="Arial" w:eastAsia="Arial" w:hAnsi="Arial"/>
          <w:sz w:val="16"/>
          <w:szCs w:val="16"/>
          <w:u w:val="single" w:color="auto"/>
          <w:color w:val="auto"/>
        </w:rPr>
        <w:t>Exhibit C-1</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486" w:hanging="236"/>
        <w:spacing w:after="0"/>
        <w:tabs>
          <w:tab w:leader="none" w:pos="1486" w:val="left"/>
        </w:tabs>
        <w:numPr>
          <w:ilvl w:val="2"/>
          <w:numId w:val="336"/>
        </w:numPr>
        <w:rPr>
          <w:rFonts w:ascii="Arial" w:cs="Arial" w:eastAsia="Arial" w:hAnsi="Arial"/>
          <w:sz w:val="13"/>
          <w:szCs w:val="13"/>
          <w:color w:val="auto"/>
        </w:rPr>
      </w:pPr>
      <w:r>
        <w:rPr>
          <w:rFonts w:ascii="Arial" w:cs="Arial" w:eastAsia="Arial" w:hAnsi="Arial"/>
          <w:sz w:val="13"/>
          <w:szCs w:val="13"/>
          <w:color w:val="auto"/>
        </w:rPr>
        <w:t>As a condition to exercising this Option for unvested Shares, Participant shall execute the Restricted Stock Purchase Agreement.</w:t>
      </w:r>
    </w:p>
    <w:p>
      <w:pPr>
        <w:spacing w:after="0" w:line="227" w:lineRule="exact"/>
        <w:rPr>
          <w:rFonts w:ascii="Arial" w:cs="Arial" w:eastAsia="Arial" w:hAnsi="Arial"/>
          <w:sz w:val="13"/>
          <w:szCs w:val="13"/>
          <w:color w:val="auto"/>
        </w:rPr>
      </w:pPr>
    </w:p>
    <w:p>
      <w:pPr>
        <w:ind w:left="1526" w:hanging="276"/>
        <w:spacing w:after="0"/>
        <w:tabs>
          <w:tab w:leader="none" w:pos="1526" w:val="left"/>
        </w:tabs>
        <w:numPr>
          <w:ilvl w:val="2"/>
          <w:numId w:val="336"/>
        </w:numPr>
        <w:rPr>
          <w:rFonts w:ascii="Arial" w:cs="Arial" w:eastAsia="Arial" w:hAnsi="Arial"/>
          <w:sz w:val="16"/>
          <w:szCs w:val="16"/>
          <w:color w:val="auto"/>
        </w:rPr>
      </w:pPr>
      <w:r>
        <w:rPr>
          <w:rFonts w:ascii="Arial" w:cs="Arial" w:eastAsia="Arial" w:hAnsi="Arial"/>
          <w:sz w:val="16"/>
          <w:szCs w:val="16"/>
          <w:color w:val="auto"/>
        </w:rPr>
        <w:t>This Option may not be exercised for a fraction of a Share.</w:t>
      </w:r>
    </w:p>
    <w:p>
      <w:pPr>
        <w:spacing w:after="0" w:line="193" w:lineRule="exact"/>
        <w:rPr>
          <w:rFonts w:ascii="Arial" w:cs="Arial" w:eastAsia="Arial" w:hAnsi="Arial"/>
          <w:sz w:val="16"/>
          <w:szCs w:val="16"/>
          <w:color w:val="auto"/>
        </w:rPr>
      </w:pPr>
    </w:p>
    <w:p>
      <w:pPr>
        <w:ind w:left="6" w:right="40" w:firstLine="860"/>
        <w:spacing w:after="0" w:line="266" w:lineRule="auto"/>
        <w:tabs>
          <w:tab w:leader="none" w:pos="1094"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shall be exercisable by delivery of an exercise notice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“Exercise Notice”) or in a manner and pursuant to such</w:t>
      </w:r>
    </w:p>
    <w:p>
      <w:pPr>
        <w:sectPr>
          <w:pgSz w:w="11900" w:h="16838" w:orient="portrait"/>
          <w:cols w:equalWidth="0" w:num="1">
            <w:col w:w="9606"/>
          </w:cols>
          <w:pgMar w:left="1134" w:top="257" w:right="1159" w:bottom="1440" w:gutter="0" w:footer="0" w:header="0"/>
        </w:sectPr>
      </w:pPr>
    </w:p>
    <w:bookmarkStart w:id="481" w:name="page482"/>
    <w:bookmarkEnd w:id="481"/>
    <w:p>
      <w:pPr>
        <w:ind w:right="14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0" w:lineRule="exact"/>
        <w:rPr>
          <w:sz w:val="20"/>
          <w:szCs w:val="20"/>
          <w:color w:val="auto"/>
        </w:rPr>
      </w:pPr>
    </w:p>
    <w:p>
      <w:pPr>
        <w:ind w:right="140" w:firstLine="385"/>
        <w:spacing w:after="0" w:line="256" w:lineRule="auto"/>
        <w:rPr>
          <w:sz w:val="20"/>
          <w:szCs w:val="20"/>
          <w:color w:val="auto"/>
        </w:rPr>
      </w:pPr>
      <w:r>
        <w:rPr>
          <w:rFonts w:ascii="Arial" w:cs="Arial" w:eastAsia="Arial" w:hAnsi="Arial"/>
          <w:sz w:val="16"/>
          <w:szCs w:val="16"/>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66" w:lineRule="exact"/>
        <w:rPr>
          <w:sz w:val="20"/>
          <w:szCs w:val="20"/>
          <w:color w:val="auto"/>
        </w:rPr>
      </w:pPr>
    </w:p>
    <w:p>
      <w:pPr>
        <w:ind w:right="280" w:firstLine="378"/>
        <w:spacing w:after="0" w:line="281" w:lineRule="auto"/>
        <w:tabs>
          <w:tab w:leader="none" w:pos="542" w:val="left"/>
        </w:tabs>
        <w:numPr>
          <w:ilvl w:val="0"/>
          <w:numId w:val="337"/>
        </w:numPr>
        <w:rPr>
          <w:rFonts w:ascii="Arial" w:cs="Arial" w:eastAsia="Arial" w:hAnsi="Arial"/>
          <w:sz w:val="15"/>
          <w:szCs w:val="15"/>
          <w:color w:val="auto"/>
        </w:rPr>
      </w:pPr>
      <w:r>
        <w:rPr>
          <w:rFonts w:ascii="Arial" w:cs="Arial" w:eastAsia="Arial" w:hAnsi="Arial"/>
          <w:sz w:val="15"/>
          <w:szCs w:val="15"/>
          <w:u w:val="single" w:color="auto"/>
          <w:color w:val="auto"/>
        </w:rPr>
        <w:t>Participant’s Representations</w:t>
      </w:r>
      <w:r>
        <w:rPr>
          <w:rFonts w:ascii="Arial" w:cs="Arial" w:eastAsia="Arial" w:hAnsi="Arial"/>
          <w:sz w:val="15"/>
          <w:szCs w:val="15"/>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pacing w:after="0" w:line="148" w:lineRule="exact"/>
        <w:rPr>
          <w:rFonts w:ascii="Arial" w:cs="Arial" w:eastAsia="Arial" w:hAnsi="Arial"/>
          <w:sz w:val="15"/>
          <w:szCs w:val="15"/>
          <w:color w:val="auto"/>
        </w:rPr>
      </w:pPr>
    </w:p>
    <w:p>
      <w:pPr>
        <w:ind w:firstLine="378"/>
        <w:spacing w:after="0" w:line="305" w:lineRule="auto"/>
        <w:tabs>
          <w:tab w:leader="none" w:pos="542" w:val="left"/>
        </w:tabs>
        <w:numPr>
          <w:ilvl w:val="0"/>
          <w:numId w:val="337"/>
        </w:numPr>
        <w:rPr>
          <w:rFonts w:ascii="Arial" w:cs="Arial" w:eastAsia="Arial" w:hAnsi="Arial"/>
          <w:sz w:val="13"/>
          <w:szCs w:val="13"/>
          <w:color w:val="auto"/>
        </w:rPr>
      </w:pPr>
      <w:r>
        <w:rPr>
          <w:rFonts w:ascii="Arial" w:cs="Arial" w:eastAsia="Arial" w:hAnsi="Arial"/>
          <w:sz w:val="13"/>
          <w:szCs w:val="13"/>
          <w:u w:val="single" w:color="auto"/>
          <w:color w:val="auto"/>
        </w:rPr>
        <w:t>Lock-Up Period</w:t>
      </w:r>
      <w:r>
        <w:rPr>
          <w:rFonts w:ascii="Arial" w:cs="Arial" w:eastAsia="Arial" w:hAnsi="Arial"/>
          <w:sz w:val="13"/>
          <w:szCs w:val="13"/>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w:t>
      </w:r>
    </w:p>
    <w:p>
      <w:pPr>
        <w:spacing w:after="0"/>
        <w:rPr>
          <w:rFonts w:ascii="Arial" w:cs="Arial" w:eastAsia="Arial" w:hAnsi="Arial"/>
          <w:sz w:val="13"/>
          <w:szCs w:val="13"/>
          <w:color w:val="auto"/>
        </w:rPr>
      </w:pPr>
      <w:r>
        <w:rPr>
          <w:rFonts w:ascii="Arial" w:cs="Arial" w:eastAsia="Arial" w:hAnsi="Arial"/>
          <w:sz w:val="16"/>
          <w:szCs w:val="16"/>
          <w:color w:val="auto"/>
        </w:rPr>
        <w:t>Rule 2711(f)(4) or NYSE Rule 472(f)(4), or any successor provisions or amendments thereto).</w:t>
      </w:r>
    </w:p>
    <w:p>
      <w:pPr>
        <w:spacing w:after="0" w:line="182" w:lineRule="exact"/>
        <w:rPr>
          <w:sz w:val="20"/>
          <w:szCs w:val="20"/>
          <w:color w:val="auto"/>
        </w:rPr>
      </w:pPr>
    </w:p>
    <w:p>
      <w:pPr>
        <w:ind w:right="60" w:firstLine="385"/>
        <w:spacing w:after="0" w:line="266" w:lineRule="auto"/>
        <w:rPr>
          <w:sz w:val="20"/>
          <w:szCs w:val="20"/>
          <w:color w:val="auto"/>
        </w:rPr>
      </w:pPr>
      <w:r>
        <w:rPr>
          <w:rFonts w:ascii="Arial" w:cs="Arial" w:eastAsia="Arial" w:hAnsi="Arial"/>
          <w:sz w:val="15"/>
          <w:szCs w:val="15"/>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ectPr>
          <w:pgSz w:w="11900" w:h="16838" w:orient="portrait"/>
          <w:cols w:equalWidth="0" w:num="1">
            <w:col w:w="9620"/>
          </w:cols>
          <w:pgMar w:left="1140" w:top="256" w:right="1139" w:bottom="1440" w:gutter="0" w:footer="0" w:header="0"/>
        </w:sectPr>
      </w:pPr>
    </w:p>
    <w:bookmarkStart w:id="482" w:name="page483"/>
    <w:bookmarkEnd w:id="482"/>
    <w:p>
      <w:pPr>
        <w:ind w:right="180" w:firstLine="378"/>
        <w:spacing w:after="0" w:line="266" w:lineRule="auto"/>
        <w:tabs>
          <w:tab w:leader="none" w:pos="542"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Method of Payment</w:t>
      </w:r>
      <w:r>
        <w:rPr>
          <w:rFonts w:ascii="Arial" w:cs="Arial" w:eastAsia="Arial" w:hAnsi="Arial"/>
          <w:sz w:val="16"/>
          <w:szCs w:val="16"/>
          <w:color w:val="auto"/>
        </w:rPr>
        <w:t>. Payment of the aggregate Exercise Price shall be by any of the following, or a combination thereof, at the election of the Participant:</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cash;</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check;</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338"/>
        </w:numPr>
        <w:rPr>
          <w:rFonts w:ascii="Arial" w:cs="Arial" w:eastAsia="Arial" w:hAnsi="Arial"/>
          <w:sz w:val="13"/>
          <w:szCs w:val="13"/>
          <w:color w:val="auto"/>
        </w:rPr>
      </w:pPr>
      <w:r>
        <w:rPr>
          <w:rFonts w:ascii="Arial" w:cs="Arial" w:eastAsia="Arial" w:hAnsi="Arial"/>
          <w:sz w:val="13"/>
          <w:szCs w:val="13"/>
          <w:color w:val="auto"/>
        </w:rPr>
        <w:t>consideration received by the Company under a formal cashless exercise program adopted by the Company in connection with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Plan; or</w:t>
      </w:r>
    </w:p>
    <w:p>
      <w:pPr>
        <w:spacing w:after="0" w:line="181" w:lineRule="exact"/>
        <w:rPr>
          <w:rFonts w:ascii="Arial" w:cs="Arial" w:eastAsia="Arial" w:hAnsi="Arial"/>
          <w:sz w:val="13"/>
          <w:szCs w:val="13"/>
          <w:color w:val="auto"/>
        </w:rPr>
      </w:pPr>
    </w:p>
    <w:p>
      <w:pPr>
        <w:ind w:right="80" w:firstLine="860"/>
        <w:spacing w:after="0" w:line="256" w:lineRule="auto"/>
        <w:tabs>
          <w:tab w:leader="none" w:pos="1088" w:val="left"/>
        </w:tabs>
        <w:numPr>
          <w:ilvl w:val="1"/>
          <w:numId w:val="338"/>
        </w:numPr>
        <w:rPr>
          <w:rFonts w:ascii="Arial" w:cs="Arial" w:eastAsia="Arial" w:hAnsi="Arial"/>
          <w:sz w:val="16"/>
          <w:szCs w:val="16"/>
          <w:color w:val="auto"/>
        </w:rPr>
      </w:pPr>
      <w:r>
        <w:rPr>
          <w:rFonts w:ascii="Arial" w:cs="Arial" w:eastAsia="Arial" w:hAnsi="Arial"/>
          <w:sz w:val="16"/>
          <w:szCs w:val="16"/>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65" w:lineRule="exact"/>
        <w:rPr>
          <w:rFonts w:ascii="Arial" w:cs="Arial" w:eastAsia="Arial" w:hAnsi="Arial"/>
          <w:sz w:val="16"/>
          <w:szCs w:val="16"/>
          <w:color w:val="auto"/>
        </w:rPr>
      </w:pPr>
    </w:p>
    <w:p>
      <w:pPr>
        <w:ind w:right="100" w:firstLine="378"/>
        <w:spacing w:after="0" w:line="256" w:lineRule="auto"/>
        <w:tabs>
          <w:tab w:leader="none" w:pos="542"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Restrictions on Exercise</w:t>
      </w:r>
      <w:r>
        <w:rPr>
          <w:rFonts w:ascii="Arial" w:cs="Arial" w:eastAsia="Arial" w:hAnsi="Arial"/>
          <w:sz w:val="16"/>
          <w:szCs w:val="16"/>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65" w:lineRule="exact"/>
        <w:rPr>
          <w:rFonts w:ascii="Arial" w:cs="Arial" w:eastAsia="Arial" w:hAnsi="Arial"/>
          <w:sz w:val="16"/>
          <w:szCs w:val="16"/>
          <w:color w:val="auto"/>
        </w:rPr>
      </w:pPr>
    </w:p>
    <w:p>
      <w:pPr>
        <w:ind w:left="540" w:hanging="162"/>
        <w:spacing w:after="0"/>
        <w:tabs>
          <w:tab w:leader="none" w:pos="540"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0" w:firstLine="860"/>
        <w:spacing w:after="0" w:line="256" w:lineRule="auto"/>
        <w:tabs>
          <w:tab w:leader="none" w:pos="1079"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65" w:lineRule="exact"/>
        <w:rPr>
          <w:rFonts w:ascii="Arial" w:cs="Arial" w:eastAsia="Arial" w:hAnsi="Arial"/>
          <w:sz w:val="16"/>
          <w:szCs w:val="16"/>
          <w:color w:val="auto"/>
        </w:rPr>
      </w:pPr>
    </w:p>
    <w:p>
      <w:pPr>
        <w:ind w:firstLine="860"/>
        <w:spacing w:after="0" w:line="305" w:lineRule="auto"/>
        <w:tabs>
          <w:tab w:leader="none" w:pos="1088" w:val="left"/>
        </w:tabs>
        <w:numPr>
          <w:ilvl w:val="1"/>
          <w:numId w:val="338"/>
        </w:numPr>
        <w:rPr>
          <w:rFonts w:ascii="Arial" w:cs="Arial" w:eastAsia="Arial" w:hAnsi="Arial"/>
          <w:sz w:val="13"/>
          <w:szCs w:val="13"/>
          <w:color w:val="auto"/>
        </w:rPr>
      </w:pPr>
      <w:r>
        <w:rPr>
          <w:rFonts w:ascii="Arial" w:cs="Arial" w:eastAsia="Arial" w:hAnsi="Arial"/>
          <w:sz w:val="13"/>
          <w:szCs w:val="13"/>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Rule 16a-1(b) of the Exchange Act, respectively), other than as permitted in clauses (i) and (ii) of this paragraph.</w:t>
      </w:r>
    </w:p>
    <w:p>
      <w:pPr>
        <w:spacing w:after="0" w:line="181" w:lineRule="exact"/>
        <w:rPr>
          <w:rFonts w:ascii="Arial" w:cs="Arial" w:eastAsia="Arial" w:hAnsi="Arial"/>
          <w:sz w:val="13"/>
          <w:szCs w:val="13"/>
          <w:color w:val="auto"/>
        </w:rPr>
      </w:pPr>
    </w:p>
    <w:p>
      <w:pPr>
        <w:ind w:right="200" w:firstLine="378"/>
        <w:spacing w:after="0" w:line="266" w:lineRule="auto"/>
        <w:tabs>
          <w:tab w:leader="none" w:pos="542"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This Option may be exercised only within the term set out in the Notice of Stock Option Grant, and may be exercised during such term only in accordance with the Plan and the terms of this Option Agreement.</w:t>
      </w:r>
    </w:p>
    <w:p>
      <w:pPr>
        <w:sectPr>
          <w:pgSz w:w="11900" w:h="16838" w:orient="portrait"/>
          <w:cols w:equalWidth="0" w:num="1">
            <w:col w:w="9620"/>
          </w:cols>
          <w:pgMar w:left="1140" w:top="256" w:right="1139" w:bottom="1440" w:gutter="0" w:footer="0" w:header="0"/>
        </w:sectPr>
      </w:pPr>
    </w:p>
    <w:bookmarkStart w:id="483" w:name="page484"/>
    <w:bookmarkEnd w:id="483"/>
    <w:p>
      <w:pPr>
        <w:ind w:left="240" w:hanging="162"/>
        <w:spacing w:after="0"/>
        <w:tabs>
          <w:tab w:leader="none" w:pos="24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Tax Obligations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80" w:firstLine="860"/>
        <w:spacing w:after="0" w:line="253" w:lineRule="auto"/>
        <w:tabs>
          <w:tab w:leader="none" w:pos="779" w:val="left"/>
        </w:tabs>
        <w:numPr>
          <w:ilvl w:val="1"/>
          <w:numId w:val="339"/>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67" w:lineRule="exact"/>
        <w:rPr>
          <w:rFonts w:ascii="Arial" w:cs="Arial" w:eastAsia="Arial" w:hAnsi="Arial"/>
          <w:sz w:val="16"/>
          <w:szCs w:val="16"/>
          <w:color w:val="auto"/>
        </w:rPr>
      </w:pPr>
    </w:p>
    <w:p>
      <w:pPr>
        <w:ind w:left="-300" w:firstLine="860"/>
        <w:spacing w:after="0" w:line="275" w:lineRule="auto"/>
        <w:tabs>
          <w:tab w:leader="none" w:pos="788" w:val="left"/>
        </w:tabs>
        <w:numPr>
          <w:ilvl w:val="1"/>
          <w:numId w:val="339"/>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52" w:lineRule="exact"/>
        <w:rPr>
          <w:rFonts w:ascii="Arial" w:cs="Arial" w:eastAsia="Arial" w:hAnsi="Arial"/>
          <w:sz w:val="15"/>
          <w:szCs w:val="15"/>
          <w:color w:val="auto"/>
        </w:rPr>
      </w:pPr>
    </w:p>
    <w:p>
      <w:pPr>
        <w:ind w:left="-300" w:right="80" w:firstLine="860"/>
        <w:spacing w:after="0" w:line="312" w:lineRule="auto"/>
        <w:tabs>
          <w:tab w:leader="none" w:pos="779" w:val="left"/>
        </w:tabs>
        <w:numPr>
          <w:ilvl w:val="1"/>
          <w:numId w:val="339"/>
        </w:numPr>
        <w:rPr>
          <w:rFonts w:ascii="Arial" w:cs="Arial" w:eastAsia="Arial" w:hAnsi="Arial"/>
          <w:sz w:val="13"/>
          <w:szCs w:val="13"/>
          <w:color w:val="auto"/>
        </w:rPr>
      </w:pPr>
      <w:r>
        <w:rPr>
          <w:rFonts w:ascii="Arial" w:cs="Arial" w:eastAsia="Arial" w:hAnsi="Arial"/>
          <w:sz w:val="13"/>
          <w:szCs w:val="13"/>
          <w:u w:val="single" w:color="auto"/>
          <w:color w:val="auto"/>
        </w:rPr>
        <w:t>Code Section 409A</w:t>
      </w:r>
      <w:r>
        <w:rPr>
          <w:rFonts w:ascii="Arial" w:cs="Arial" w:eastAsia="Arial" w:hAnsi="Arial"/>
          <w:sz w:val="13"/>
          <w:szCs w:val="13"/>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37" w:lineRule="exact"/>
        <w:rPr>
          <w:rFonts w:ascii="Arial" w:cs="Arial" w:eastAsia="Arial" w:hAnsi="Arial"/>
          <w:sz w:val="13"/>
          <w:szCs w:val="13"/>
          <w:color w:val="auto"/>
        </w:rPr>
      </w:pPr>
    </w:p>
    <w:p>
      <w:pPr>
        <w:ind w:left="-300" w:right="100" w:firstLine="378"/>
        <w:spacing w:after="0" w:line="251" w:lineRule="auto"/>
        <w:tabs>
          <w:tab w:leader="none" w:pos="32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69" w:lineRule="exact"/>
        <w:rPr>
          <w:rFonts w:ascii="Arial" w:cs="Arial" w:eastAsia="Arial" w:hAnsi="Arial"/>
          <w:sz w:val="16"/>
          <w:szCs w:val="16"/>
          <w:color w:val="auto"/>
        </w:rPr>
      </w:pPr>
    </w:p>
    <w:p>
      <w:pPr>
        <w:ind w:left="-300" w:right="20" w:firstLine="378"/>
        <w:spacing w:after="0" w:line="249" w:lineRule="auto"/>
        <w:tabs>
          <w:tab w:leader="none" w:pos="314"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w:t>
      </w:r>
    </w:p>
    <w:p>
      <w:pPr>
        <w:sectPr>
          <w:pgSz w:w="11900" w:h="16838" w:orient="portrait"/>
          <w:cols w:equalWidth="0" w:num="1">
            <w:col w:w="9260"/>
          </w:cols>
          <w:pgMar w:left="1440" w:top="256" w:right="1199" w:bottom="1440" w:gutter="0" w:footer="0" w:header="0"/>
        </w:sectPr>
      </w:pPr>
    </w:p>
    <w:bookmarkStart w:id="484" w:name="page485"/>
    <w:bookmarkEnd w:id="484"/>
    <w:p>
      <w:pPr>
        <w:ind w:right="12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66" w:lineRule="exact"/>
        <w:rPr>
          <w:sz w:val="20"/>
          <w:szCs w:val="20"/>
          <w:color w:val="auto"/>
        </w:rPr>
      </w:pPr>
    </w:p>
    <w:p>
      <w:pPr>
        <w:ind w:right="40" w:firstLine="385"/>
        <w:spacing w:after="0" w:line="323" w:lineRule="auto"/>
        <w:rPr>
          <w:sz w:val="20"/>
          <w:szCs w:val="20"/>
          <w:color w:val="auto"/>
        </w:rPr>
      </w:pPr>
      <w:r>
        <w:rPr>
          <w:rFonts w:ascii="Arial" w:cs="Arial" w:eastAsia="Arial" w:hAnsi="Arial"/>
          <w:sz w:val="13"/>
          <w:szCs w:val="13"/>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40" w:type="dxa"/>
            <w:vAlign w:val="bottom"/>
            <w:gridSpan w:val="2"/>
          </w:tcPr>
          <w:p>
            <w:pPr>
              <w:spacing w:after="0"/>
              <w:rPr>
                <w:sz w:val="20"/>
                <w:szCs w:val="20"/>
                <w:color w:val="auto"/>
              </w:rPr>
            </w:pPr>
            <w:r>
              <w:rPr>
                <w:rFonts w:ascii="Arial" w:cs="Arial" w:eastAsia="Arial" w:hAnsi="Arial"/>
                <w:sz w:val="16"/>
                <w:szCs w:val="16"/>
                <w:color w:val="auto"/>
              </w:rPr>
              <w:t>PARTICIPANT</w:t>
            </w:r>
          </w:p>
        </w:tc>
        <w:tc>
          <w:tcPr>
            <w:tcW w:w="5180" w:type="dxa"/>
            <w:vAlign w:val="bottom"/>
            <w:gridSpan w:val="2"/>
          </w:tcPr>
          <w:p>
            <w:pPr>
              <w:ind w:left="76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By</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Print Name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Print Name</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Residence Address</w:t>
            </w:r>
          </w:p>
        </w:tc>
        <w:tc>
          <w:tcPr>
            <w:tcW w:w="7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620"/>
          </w:cols>
          <w:pgMar w:left="1140" w:top="256" w:right="1139" w:bottom="1440" w:gutter="0" w:footer="0" w:header="0"/>
        </w:sectPr>
      </w:pPr>
    </w:p>
    <w:bookmarkStart w:id="485" w:name="page486"/>
    <w:bookmarkEnd w:id="485"/>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EXERCISE NOTICE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 5th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Attention: Secretary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gridSpan w:val="4"/>
          </w:tcPr>
          <w:p>
            <w:pPr>
              <w:ind w:left="380"/>
              <w:spacing w:after="0"/>
              <w:rPr>
                <w:sz w:val="20"/>
                <w:szCs w:val="20"/>
                <w:color w:val="auto"/>
              </w:rPr>
            </w:pPr>
            <w:r>
              <w:rPr>
                <w:rFonts w:ascii="Arial" w:cs="Arial" w:eastAsia="Arial" w:hAnsi="Arial"/>
                <w:sz w:val="16"/>
                <w:szCs w:val="16"/>
                <w:color w:val="auto"/>
                <w:w w:val="90"/>
              </w:rPr>
              <w:t>1. Exercise of Option. Effective as of today,</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4720" w:type="dxa"/>
            <w:vAlign w:val="bottom"/>
            <w:gridSpan w:val="5"/>
          </w:tcPr>
          <w:p>
            <w:pPr>
              <w:spacing w:after="0"/>
              <w:rPr>
                <w:sz w:val="20"/>
                <w:szCs w:val="20"/>
                <w:color w:val="auto"/>
              </w:rPr>
            </w:pPr>
            <w:r>
              <w:rPr>
                <w:rFonts w:ascii="Arial" w:cs="Arial" w:eastAsia="Arial" w:hAnsi="Arial"/>
                <w:sz w:val="16"/>
                <w:szCs w:val="16"/>
                <w:color w:val="auto"/>
                <w:w w:val="94"/>
              </w:rPr>
              <w:t>, the undersigned (“Participant”) hereby elects to exercise Participant’s</w:t>
            </w:r>
          </w:p>
        </w:tc>
      </w:tr>
      <w:tr>
        <w:trPr>
          <w:trHeight w:val="20"/>
        </w:trPr>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9"/>
        </w:trPr>
        <w:tc>
          <w:tcPr>
            <w:tcW w:w="2140" w:type="dxa"/>
            <w:vAlign w:val="bottom"/>
            <w:gridSpan w:val="3"/>
          </w:tcPr>
          <w:p>
            <w:pPr>
              <w:spacing w:after="0" w:line="168" w:lineRule="exact"/>
              <w:rPr>
                <w:sz w:val="20"/>
                <w:szCs w:val="20"/>
                <w:color w:val="auto"/>
              </w:rPr>
            </w:pPr>
            <w:r>
              <w:rPr>
                <w:rFonts w:ascii="Arial" w:cs="Arial" w:eastAsia="Arial" w:hAnsi="Arial"/>
                <w:sz w:val="16"/>
                <w:szCs w:val="16"/>
                <w:color w:val="auto"/>
                <w:w w:val="91"/>
              </w:rPr>
              <w:t>option (the “Option”) to purchase</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140" w:type="dxa"/>
            <w:vAlign w:val="bottom"/>
            <w:gridSpan w:val="8"/>
          </w:tcPr>
          <w:p>
            <w:pPr>
              <w:ind w:left="40"/>
              <w:spacing w:after="0" w:line="168" w:lineRule="exact"/>
              <w:rPr>
                <w:sz w:val="20"/>
                <w:szCs w:val="20"/>
                <w:color w:val="auto"/>
              </w:rPr>
            </w:pPr>
            <w:r>
              <w:rPr>
                <w:rFonts w:ascii="Arial" w:cs="Arial" w:eastAsia="Arial" w:hAnsi="Arial"/>
                <w:sz w:val="16"/>
                <w:szCs w:val="16"/>
                <w:color w:val="auto"/>
                <w:w w:val="89"/>
              </w:rPr>
              <w:t>shares of the Common Stock (the “Shares”) of Tenaya Therapeutics, Inc. (the “Company”) under</w:t>
            </w:r>
          </w:p>
        </w:tc>
      </w:tr>
      <w:tr>
        <w:trPr>
          <w:trHeight w:val="169"/>
        </w:trPr>
        <w:tc>
          <w:tcPr>
            <w:tcW w:w="7340" w:type="dxa"/>
            <w:vAlign w:val="bottom"/>
            <w:gridSpan w:val="9"/>
          </w:tcPr>
          <w:p>
            <w:pPr>
              <w:spacing w:after="0" w:line="168" w:lineRule="exact"/>
              <w:rPr>
                <w:sz w:val="20"/>
                <w:szCs w:val="20"/>
                <w:color w:val="auto"/>
              </w:rPr>
            </w:pPr>
            <w:r>
              <w:rPr>
                <w:rFonts w:ascii="Arial" w:cs="Arial" w:eastAsia="Arial" w:hAnsi="Arial"/>
                <w:sz w:val="16"/>
                <w:szCs w:val="16"/>
                <w:color w:val="auto"/>
                <w:w w:val="89"/>
              </w:rPr>
              <w:t>and pursuant to the 2016 Equity Incentive Plan (the “Plan”) and the Stock Option Agreement – Early Exercise dated</w:t>
            </w:r>
          </w:p>
        </w:tc>
        <w:tc>
          <w:tcPr>
            <w:tcW w:w="1180" w:type="dxa"/>
            <w:vAlign w:val="bottom"/>
            <w:gridSpan w:val="2"/>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540" w:type="dxa"/>
            <w:vAlign w:val="bottom"/>
          </w:tcPr>
          <w:p>
            <w:pPr>
              <w:ind w:left="40"/>
              <w:spacing w:after="0" w:line="168" w:lineRule="exact"/>
              <w:rPr>
                <w:sz w:val="20"/>
                <w:szCs w:val="20"/>
                <w:color w:val="auto"/>
              </w:rPr>
            </w:pPr>
            <w:r>
              <w:rPr>
                <w:rFonts w:ascii="Arial" w:cs="Arial" w:eastAsia="Arial" w:hAnsi="Arial"/>
                <w:sz w:val="16"/>
                <w:szCs w:val="16"/>
                <w:color w:val="auto"/>
              </w:rPr>
              <w:t>(the</w:t>
            </w:r>
          </w:p>
        </w:tc>
      </w:tr>
      <w:tr>
        <w:trPr>
          <w:trHeight w:val="203"/>
        </w:trPr>
        <w:tc>
          <w:tcPr>
            <w:tcW w:w="3180" w:type="dxa"/>
            <w:vAlign w:val="bottom"/>
            <w:gridSpan w:val="4"/>
          </w:tcPr>
          <w:p>
            <w:pPr>
              <w:spacing w:after="0"/>
              <w:rPr>
                <w:sz w:val="20"/>
                <w:szCs w:val="20"/>
                <w:color w:val="auto"/>
              </w:rPr>
            </w:pPr>
            <w:r>
              <w:rPr>
                <w:rFonts w:ascii="Arial" w:cs="Arial" w:eastAsia="Arial" w:hAnsi="Arial"/>
                <w:sz w:val="16"/>
                <w:szCs w:val="16"/>
                <w:color w:val="auto"/>
              </w:rPr>
              <w:t>“Option Agreement”).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bl>
    <w:p>
      <w:pPr>
        <w:spacing w:after="0" w:line="177" w:lineRule="exact"/>
        <w:rPr>
          <w:sz w:val="20"/>
          <w:szCs w:val="20"/>
          <w:color w:val="auto"/>
        </w:rPr>
      </w:pPr>
    </w:p>
    <w:p>
      <w:pPr>
        <w:ind w:right="120" w:firstLine="378"/>
        <w:spacing w:after="0" w:line="266" w:lineRule="auto"/>
        <w:tabs>
          <w:tab w:leader="none" w:pos="542"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6"/>
          <w:szCs w:val="16"/>
          <w:color w:val="auto"/>
        </w:rPr>
      </w:pPr>
    </w:p>
    <w:p>
      <w:pPr>
        <w:ind w:right="60" w:firstLine="378"/>
        <w:spacing w:after="0" w:line="266" w:lineRule="auto"/>
        <w:tabs>
          <w:tab w:leader="none" w:pos="542"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6"/>
          <w:szCs w:val="16"/>
          <w:color w:val="auto"/>
        </w:rPr>
      </w:pPr>
    </w:p>
    <w:p>
      <w:pPr>
        <w:ind w:firstLine="378"/>
        <w:spacing w:after="0" w:line="251" w:lineRule="auto"/>
        <w:tabs>
          <w:tab w:leader="none" w:pos="542"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69" w:lineRule="exact"/>
        <w:rPr>
          <w:rFonts w:ascii="Arial" w:cs="Arial" w:eastAsia="Arial" w:hAnsi="Arial"/>
          <w:sz w:val="16"/>
          <w:szCs w:val="16"/>
          <w:color w:val="auto"/>
        </w:rPr>
      </w:pPr>
    </w:p>
    <w:p>
      <w:pPr>
        <w:ind w:right="100" w:firstLine="378"/>
        <w:spacing w:after="0" w:line="281" w:lineRule="auto"/>
        <w:tabs>
          <w:tab w:leader="none" w:pos="542" w:val="left"/>
        </w:tabs>
        <w:numPr>
          <w:ilvl w:val="0"/>
          <w:numId w:val="340"/>
        </w:numPr>
        <w:rPr>
          <w:rFonts w:ascii="Arial" w:cs="Arial" w:eastAsia="Arial" w:hAnsi="Arial"/>
          <w:sz w:val="15"/>
          <w:szCs w:val="15"/>
          <w:color w:val="auto"/>
        </w:rPr>
      </w:pPr>
      <w:r>
        <w:rPr>
          <w:rFonts w:ascii="Arial" w:cs="Arial" w:eastAsia="Arial" w:hAnsi="Arial"/>
          <w:sz w:val="15"/>
          <w:szCs w:val="15"/>
          <w:u w:val="single" w:color="auto"/>
          <w:color w:val="auto"/>
        </w:rPr>
        <w:t>Company’s Right of First Refusal</w:t>
      </w:r>
      <w:r>
        <w:rPr>
          <w:rFonts w:ascii="Arial" w:cs="Arial" w:eastAsia="Arial" w:hAnsi="Arial"/>
          <w:sz w:val="15"/>
          <w:szCs w:val="15"/>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48" w:lineRule="exact"/>
        <w:rPr>
          <w:rFonts w:ascii="Arial" w:cs="Arial" w:eastAsia="Arial" w:hAnsi="Arial"/>
          <w:sz w:val="15"/>
          <w:szCs w:val="15"/>
          <w:color w:val="auto"/>
        </w:rPr>
      </w:pPr>
    </w:p>
    <w:p>
      <w:pPr>
        <w:ind w:right="60" w:firstLine="860"/>
        <w:spacing w:after="0" w:line="251" w:lineRule="auto"/>
        <w:tabs>
          <w:tab w:leader="none" w:pos="1079"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ectPr>
          <w:pgSz w:w="11900" w:h="16838" w:orient="portrait"/>
          <w:cols w:equalWidth="0" w:num="1">
            <w:col w:w="9600"/>
          </w:cols>
          <w:pgMar w:left="1140" w:top="252" w:right="1159" w:bottom="1440" w:gutter="0" w:footer="0" w:header="0"/>
        </w:sectPr>
      </w:pPr>
    </w:p>
    <w:bookmarkStart w:id="486" w:name="page487"/>
    <w:bookmarkEnd w:id="486"/>
    <w:p>
      <w:pPr>
        <w:ind w:left="6" w:firstLine="860"/>
        <w:spacing w:after="0" w:line="281" w:lineRule="auto"/>
        <w:tabs>
          <w:tab w:leader="none" w:pos="1094" w:val="left"/>
        </w:tabs>
        <w:numPr>
          <w:ilvl w:val="2"/>
          <w:numId w:val="34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Exercise of Right of First Refusal</w:t>
      </w:r>
      <w:r>
        <w:rPr>
          <w:rFonts w:ascii="Arial" w:cs="Arial" w:eastAsia="Arial" w:hAnsi="Arial"/>
          <w:sz w:val="15"/>
          <w:szCs w:val="15"/>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48" w:lineRule="exact"/>
        <w:rPr>
          <w:rFonts w:ascii="Arial" w:cs="Arial" w:eastAsia="Arial" w:hAnsi="Arial"/>
          <w:sz w:val="15"/>
          <w:szCs w:val="15"/>
          <w:color w:val="auto"/>
        </w:rPr>
      </w:pPr>
    </w:p>
    <w:p>
      <w:pPr>
        <w:ind w:left="6" w:firstLine="860"/>
        <w:spacing w:after="0" w:line="256" w:lineRule="auto"/>
        <w:tabs>
          <w:tab w:leader="none" w:pos="1085" w:val="left"/>
        </w:tabs>
        <w:numPr>
          <w:ilvl w:val="2"/>
          <w:numId w:val="341"/>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65" w:lineRule="exact"/>
        <w:rPr>
          <w:rFonts w:ascii="Arial" w:cs="Arial" w:eastAsia="Arial" w:hAnsi="Arial"/>
          <w:sz w:val="16"/>
          <w:szCs w:val="16"/>
          <w:color w:val="auto"/>
        </w:rPr>
      </w:pPr>
    </w:p>
    <w:p>
      <w:pPr>
        <w:ind w:left="6" w:right="320" w:firstLine="860"/>
        <w:spacing w:after="0" w:line="343" w:lineRule="auto"/>
        <w:tabs>
          <w:tab w:leader="none" w:pos="1094" w:val="left"/>
        </w:tabs>
        <w:numPr>
          <w:ilvl w:val="2"/>
          <w:numId w:val="341"/>
        </w:numPr>
        <w:rPr>
          <w:rFonts w:ascii="Arial" w:cs="Arial" w:eastAsia="Arial" w:hAnsi="Arial"/>
          <w:sz w:val="13"/>
          <w:szCs w:val="13"/>
          <w:color w:val="auto"/>
        </w:rPr>
      </w:pPr>
      <w:r>
        <w:rPr>
          <w:rFonts w:ascii="Arial" w:cs="Arial" w:eastAsia="Arial" w:hAnsi="Arial"/>
          <w:sz w:val="13"/>
          <w:szCs w:val="13"/>
          <w:u w:val="single" w:color="auto"/>
          <w:color w:val="auto"/>
        </w:rPr>
        <w:t>Payment</w:t>
      </w:r>
      <w:r>
        <w:rPr>
          <w:rFonts w:ascii="Arial" w:cs="Arial" w:eastAsia="Arial" w:hAnsi="Arial"/>
          <w:sz w:val="13"/>
          <w:szCs w:val="13"/>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13" w:lineRule="exact"/>
        <w:rPr>
          <w:rFonts w:ascii="Arial" w:cs="Arial" w:eastAsia="Arial" w:hAnsi="Arial"/>
          <w:sz w:val="13"/>
          <w:szCs w:val="13"/>
          <w:color w:val="auto"/>
        </w:rPr>
      </w:pPr>
    </w:p>
    <w:p>
      <w:pPr>
        <w:ind w:left="6" w:right="140" w:firstLine="860"/>
        <w:spacing w:after="0" w:line="308" w:lineRule="auto"/>
        <w:tabs>
          <w:tab w:leader="none" w:pos="1085" w:val="left"/>
        </w:tabs>
        <w:numPr>
          <w:ilvl w:val="2"/>
          <w:numId w:val="341"/>
        </w:numPr>
        <w:rPr>
          <w:rFonts w:ascii="Arial" w:cs="Arial" w:eastAsia="Arial" w:hAnsi="Arial"/>
          <w:sz w:val="13"/>
          <w:szCs w:val="13"/>
          <w:color w:val="auto"/>
        </w:rPr>
      </w:pPr>
      <w:r>
        <w:rPr>
          <w:rFonts w:ascii="Arial" w:cs="Arial" w:eastAsia="Arial" w:hAnsi="Arial"/>
          <w:sz w:val="13"/>
          <w:szCs w:val="13"/>
          <w:u w:val="single" w:color="auto"/>
          <w:color w:val="auto"/>
        </w:rPr>
        <w:t>Holder’s Right to Transfer</w:t>
      </w:r>
      <w:r>
        <w:rPr>
          <w:rFonts w:ascii="Arial" w:cs="Arial" w:eastAsia="Arial" w:hAnsi="Arial"/>
          <w:sz w:val="13"/>
          <w:szCs w:val="13"/>
          <w:color w:val="auto"/>
        </w:rPr>
        <w:t>.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provided that such sale or other transfer is consummated within one hundred and twenty</w:t>
      </w:r>
    </w:p>
    <w:p>
      <w:pPr>
        <w:spacing w:after="0" w:line="1" w:lineRule="exact"/>
        <w:rPr>
          <w:rFonts w:ascii="Arial" w:cs="Arial" w:eastAsia="Arial" w:hAnsi="Arial"/>
          <w:sz w:val="13"/>
          <w:szCs w:val="13"/>
          <w:color w:val="auto"/>
        </w:rPr>
      </w:pPr>
    </w:p>
    <w:p>
      <w:pPr>
        <w:ind w:left="6" w:right="120" w:hanging="6"/>
        <w:spacing w:after="0" w:line="247" w:lineRule="auto"/>
        <w:tabs>
          <w:tab w:leader="none" w:pos="386" w:val="left"/>
        </w:tabs>
        <w:numPr>
          <w:ilvl w:val="0"/>
          <w:numId w:val="342"/>
        </w:numPr>
        <w:rPr>
          <w:rFonts w:ascii="Arial" w:cs="Arial" w:eastAsia="Arial" w:hAnsi="Arial"/>
          <w:sz w:val="16"/>
          <w:szCs w:val="16"/>
          <w:color w:val="auto"/>
        </w:rPr>
      </w:pPr>
      <w:r>
        <w:rPr>
          <w:rFonts w:ascii="Arial" w:cs="Arial" w:eastAsia="Arial" w:hAnsi="Arial"/>
          <w:sz w:val="16"/>
          <w:szCs w:val="16"/>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3" w:lineRule="exact"/>
        <w:rPr>
          <w:rFonts w:ascii="Arial" w:cs="Arial" w:eastAsia="Arial" w:hAnsi="Arial"/>
          <w:sz w:val="16"/>
          <w:szCs w:val="16"/>
          <w:color w:val="auto"/>
        </w:rPr>
      </w:pPr>
    </w:p>
    <w:p>
      <w:pPr>
        <w:ind w:left="6" w:firstLine="860"/>
        <w:spacing w:after="0" w:line="250" w:lineRule="auto"/>
        <w:tabs>
          <w:tab w:leader="none" w:pos="1068" w:val="left"/>
        </w:tabs>
        <w:numPr>
          <w:ilvl w:val="2"/>
          <w:numId w:val="342"/>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70" w:lineRule="exact"/>
        <w:rPr>
          <w:rFonts w:ascii="Arial" w:cs="Arial" w:eastAsia="Arial" w:hAnsi="Arial"/>
          <w:sz w:val="16"/>
          <w:szCs w:val="16"/>
          <w:color w:val="auto"/>
        </w:rPr>
      </w:pPr>
    </w:p>
    <w:p>
      <w:pPr>
        <w:ind w:left="6" w:firstLine="860"/>
        <w:spacing w:after="0" w:line="256" w:lineRule="auto"/>
        <w:tabs>
          <w:tab w:leader="none" w:pos="1094" w:val="left"/>
        </w:tabs>
        <w:numPr>
          <w:ilvl w:val="2"/>
          <w:numId w:val="342"/>
        </w:numPr>
        <w:rPr>
          <w:rFonts w:ascii="Arial" w:cs="Arial" w:eastAsia="Arial" w:hAnsi="Arial"/>
          <w:sz w:val="16"/>
          <w:szCs w:val="16"/>
          <w:color w:val="auto"/>
        </w:rPr>
      </w:pPr>
      <w:r>
        <w:rPr>
          <w:rFonts w:ascii="Arial" w:cs="Arial" w:eastAsia="Arial" w:hAnsi="Arial"/>
          <w:sz w:val="16"/>
          <w:szCs w:val="16"/>
          <w:u w:val="single" w:color="auto"/>
          <w:color w:val="auto"/>
        </w:rPr>
        <w:t>Termination of Right of First Refusal</w:t>
      </w:r>
      <w:r>
        <w:rPr>
          <w:rFonts w:ascii="Arial" w:cs="Arial" w:eastAsia="Arial" w:hAnsi="Arial"/>
          <w:sz w:val="16"/>
          <w:szCs w:val="16"/>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65" w:lineRule="exact"/>
        <w:rPr>
          <w:rFonts w:ascii="Arial" w:cs="Arial" w:eastAsia="Arial" w:hAnsi="Arial"/>
          <w:sz w:val="16"/>
          <w:szCs w:val="16"/>
          <w:color w:val="auto"/>
        </w:rPr>
      </w:pPr>
    </w:p>
    <w:p>
      <w:pPr>
        <w:ind w:left="6" w:right="120" w:firstLine="378"/>
        <w:spacing w:after="0" w:line="281" w:lineRule="auto"/>
        <w:tabs>
          <w:tab w:leader="none" w:pos="548" w:val="left"/>
        </w:tabs>
        <w:numPr>
          <w:ilvl w:val="1"/>
          <w:numId w:val="342"/>
        </w:numPr>
        <w:rPr>
          <w:rFonts w:ascii="Arial" w:cs="Arial" w:eastAsia="Arial" w:hAnsi="Arial"/>
          <w:sz w:val="15"/>
          <w:szCs w:val="15"/>
          <w:color w:val="auto"/>
        </w:rPr>
      </w:pPr>
      <w:r>
        <w:rPr>
          <w:rFonts w:ascii="Arial" w:cs="Arial" w:eastAsia="Arial" w:hAnsi="Arial"/>
          <w:sz w:val="15"/>
          <w:szCs w:val="15"/>
          <w:u w:val="single" w:color="auto"/>
          <w:color w:val="auto"/>
        </w:rPr>
        <w:t>Tax Consultation</w:t>
      </w:r>
      <w:r>
        <w:rPr>
          <w:rFonts w:ascii="Arial" w:cs="Arial" w:eastAsia="Arial" w:hAnsi="Arial"/>
          <w:sz w:val="15"/>
          <w:szCs w:val="15"/>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ectPr>
          <w:pgSz w:w="11900" w:h="16838" w:orient="portrait"/>
          <w:cols w:equalWidth="0" w:num="1">
            <w:col w:w="9546"/>
          </w:cols>
          <w:pgMar w:left="1134" w:top="256" w:right="1219" w:bottom="1440" w:gutter="0" w:footer="0" w:header="0"/>
        </w:sectPr>
      </w:pPr>
    </w:p>
    <w:bookmarkStart w:id="487" w:name="page488"/>
    <w:bookmarkEnd w:id="487"/>
    <w:p>
      <w:pPr>
        <w:ind w:left="240" w:hanging="162"/>
        <w:spacing w:after="0"/>
        <w:tabs>
          <w:tab w:leader="none" w:pos="240"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Restrictive Legends and Stop-Transfer Orders.</w:t>
      </w:r>
    </w:p>
    <w:p>
      <w:pPr>
        <w:spacing w:after="0" w:line="193" w:lineRule="exact"/>
        <w:rPr>
          <w:rFonts w:ascii="Arial" w:cs="Arial" w:eastAsia="Arial" w:hAnsi="Arial"/>
          <w:sz w:val="16"/>
          <w:szCs w:val="16"/>
          <w:color w:val="auto"/>
        </w:rPr>
      </w:pPr>
    </w:p>
    <w:p>
      <w:pPr>
        <w:ind w:left="-300" w:right="140" w:firstLine="860"/>
        <w:spacing w:after="0" w:line="256" w:lineRule="auto"/>
        <w:tabs>
          <w:tab w:leader="none" w:pos="779"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71" w:lineRule="exact"/>
        <w:rPr>
          <w:sz w:val="20"/>
          <w:szCs w:val="20"/>
          <w:color w:val="auto"/>
        </w:rPr>
      </w:pPr>
    </w:p>
    <w:p>
      <w:pPr>
        <w:ind w:left="560" w:right="20"/>
        <w:spacing w:after="0" w:line="329" w:lineRule="auto"/>
        <w:rPr>
          <w:sz w:val="20"/>
          <w:szCs w:val="20"/>
          <w:color w:val="auto"/>
        </w:rPr>
      </w:pPr>
      <w:r>
        <w:rPr>
          <w:rFonts w:ascii="Arial" w:cs="Arial" w:eastAsia="Arial" w:hAnsi="Arial"/>
          <w:sz w:val="13"/>
          <w:szCs w:val="13"/>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29" w:lineRule="exact"/>
        <w:rPr>
          <w:sz w:val="20"/>
          <w:szCs w:val="20"/>
          <w:color w:val="auto"/>
        </w:rPr>
      </w:pPr>
    </w:p>
    <w:p>
      <w:pPr>
        <w:ind w:left="560" w:right="240"/>
        <w:spacing w:after="0" w:line="251" w:lineRule="auto"/>
        <w:rPr>
          <w:sz w:val="20"/>
          <w:szCs w:val="20"/>
          <w:color w:val="auto"/>
        </w:rPr>
      </w:pPr>
      <w:r>
        <w:rPr>
          <w:rFonts w:ascii="Arial" w:cs="Arial" w:eastAsia="Arial" w:hAnsi="Arial"/>
          <w:sz w:val="16"/>
          <w:szCs w:val="16"/>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75"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70" w:lineRule="exact"/>
        <w:rPr>
          <w:sz w:val="20"/>
          <w:szCs w:val="20"/>
          <w:color w:val="auto"/>
        </w:rPr>
      </w:pPr>
    </w:p>
    <w:p>
      <w:pPr>
        <w:ind w:left="-300" w:right="80" w:firstLine="860"/>
        <w:spacing w:after="0" w:line="256" w:lineRule="auto"/>
        <w:tabs>
          <w:tab w:leader="none" w:pos="788"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Stop-Transfer Notices</w:t>
      </w:r>
      <w:r>
        <w:rPr>
          <w:rFonts w:ascii="Arial" w:cs="Arial" w:eastAsia="Arial" w:hAnsi="Arial"/>
          <w:sz w:val="16"/>
          <w:szCs w:val="16"/>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5" w:lineRule="exact"/>
        <w:rPr>
          <w:rFonts w:ascii="Arial" w:cs="Arial" w:eastAsia="Arial" w:hAnsi="Arial"/>
          <w:sz w:val="16"/>
          <w:szCs w:val="16"/>
          <w:color w:val="auto"/>
        </w:rPr>
      </w:pPr>
    </w:p>
    <w:p>
      <w:pPr>
        <w:ind w:left="-300" w:right="480" w:firstLine="860"/>
        <w:spacing w:after="0" w:line="281" w:lineRule="auto"/>
        <w:tabs>
          <w:tab w:leader="none" w:pos="779" w:val="left"/>
        </w:tabs>
        <w:numPr>
          <w:ilvl w:val="1"/>
          <w:numId w:val="344"/>
        </w:numPr>
        <w:rPr>
          <w:rFonts w:ascii="Arial" w:cs="Arial" w:eastAsia="Arial" w:hAnsi="Arial"/>
          <w:sz w:val="15"/>
          <w:szCs w:val="15"/>
          <w:color w:val="auto"/>
        </w:rPr>
      </w:pPr>
      <w:r>
        <w:rPr>
          <w:rFonts w:ascii="Arial" w:cs="Arial" w:eastAsia="Arial" w:hAnsi="Arial"/>
          <w:sz w:val="15"/>
          <w:szCs w:val="15"/>
          <w:u w:val="single" w:color="auto"/>
          <w:color w:val="auto"/>
        </w:rPr>
        <w:t>Refusal to Transfer</w:t>
      </w:r>
      <w:r>
        <w:rPr>
          <w:rFonts w:ascii="Arial" w:cs="Arial" w:eastAsia="Arial" w:hAnsi="Arial"/>
          <w:sz w:val="15"/>
          <w:szCs w:val="15"/>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48" w:lineRule="exact"/>
        <w:rPr>
          <w:rFonts w:ascii="Arial" w:cs="Arial" w:eastAsia="Arial" w:hAnsi="Arial"/>
          <w:sz w:val="15"/>
          <w:szCs w:val="15"/>
          <w:color w:val="auto"/>
        </w:rPr>
      </w:pPr>
    </w:p>
    <w:p>
      <w:pPr>
        <w:ind w:left="-300" w:firstLine="378"/>
        <w:spacing w:after="0" w:line="281" w:lineRule="auto"/>
        <w:tabs>
          <w:tab w:leader="none" w:pos="242" w:val="left"/>
        </w:tabs>
        <w:numPr>
          <w:ilvl w:val="0"/>
          <w:numId w:val="345"/>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ectPr>
          <w:pgSz w:w="11900" w:h="16838" w:orient="portrait"/>
          <w:cols w:equalWidth="0" w:num="1">
            <w:col w:w="9320"/>
          </w:cols>
          <w:pgMar w:left="1440" w:top="256" w:right="1139" w:bottom="1440" w:gutter="0" w:footer="0" w:header="0"/>
        </w:sectPr>
      </w:pPr>
    </w:p>
    <w:bookmarkStart w:id="488" w:name="page489"/>
    <w:bookmarkEnd w:id="488"/>
    <w:p>
      <w:pPr>
        <w:ind w:firstLine="378"/>
        <w:spacing w:after="0" w:line="256" w:lineRule="auto"/>
        <w:tabs>
          <w:tab w:leader="none" w:pos="542"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90105" cy="34290"/>
                    </a:xfrm>
                    <a:prstGeom prst="rect">
                      <a:avLst/>
                    </a:prstGeom>
                    <a:noFill/>
                  </pic:spPr>
                </pic:pic>
              </a:graphicData>
            </a:graphic>
          </wp:anchor>
        </w:drawing>
        <w:t>Interpretation</w:t>
      </w:r>
      <w:r>
        <w:rPr>
          <w:rFonts w:ascii="Arial" w:cs="Arial" w:eastAsia="Arial" w:hAnsi="Arial"/>
          <w:sz w:val="16"/>
          <w:szCs w:val="16"/>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65" w:lineRule="exact"/>
        <w:rPr>
          <w:rFonts w:ascii="Arial" w:cs="Arial" w:eastAsia="Arial" w:hAnsi="Arial"/>
          <w:sz w:val="16"/>
          <w:szCs w:val="16"/>
          <w:color w:val="auto"/>
        </w:rPr>
      </w:pPr>
    </w:p>
    <w:p>
      <w:pPr>
        <w:ind w:right="100" w:firstLine="378"/>
        <w:spacing w:after="0" w:line="256" w:lineRule="auto"/>
        <w:tabs>
          <w:tab w:leader="none" w:pos="620"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65" w:lineRule="exact"/>
        <w:rPr>
          <w:rFonts w:ascii="Arial" w:cs="Arial" w:eastAsia="Arial" w:hAnsi="Arial"/>
          <w:sz w:val="16"/>
          <w:szCs w:val="16"/>
          <w:color w:val="auto"/>
        </w:rPr>
      </w:pPr>
    </w:p>
    <w:p>
      <w:pPr>
        <w:ind w:right="100" w:firstLine="378"/>
        <w:spacing w:after="0" w:line="251" w:lineRule="auto"/>
        <w:tabs>
          <w:tab w:leader="none" w:pos="614"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the Plan, the Restricted Stock Purchase Agreement,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ectPr>
          <w:pgSz w:w="11900" w:h="16838" w:orient="portrait"/>
          <w:cols w:equalWidth="0" w:num="1">
            <w:col w:w="9600"/>
          </w:cols>
          <w:pgMar w:left="1140" w:top="256" w:right="115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Submitted by: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PARTICIPANT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14955"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14955"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281495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814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504825</wp:posOffset>
            </wp:positionV>
            <wp:extent cx="2814955"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Accepted by: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TENAYA THERAPEUTICS, INC.</w:t>
      </w:r>
    </w:p>
    <w:p>
      <w:pPr>
        <w:spacing w:after="0" w:line="394" w:lineRule="exact"/>
        <w:rPr>
          <w:sz w:val="20"/>
          <w:szCs w:val="20"/>
          <w:color w:val="auto"/>
        </w:rPr>
      </w:pPr>
    </w:p>
    <w:p>
      <w:pPr>
        <w:jc w:val="center"/>
        <w:ind w:right="42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2807335"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0733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07335"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185" w:lineRule="exact"/>
        <w:rPr>
          <w:sz w:val="20"/>
          <w:szCs w:val="20"/>
          <w:color w:val="auto"/>
        </w:rPr>
      </w:pPr>
    </w:p>
    <w:p>
      <w:pPr>
        <w:jc w:val="center"/>
        <w:ind w:right="384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2807335"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07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527050</wp:posOffset>
            </wp:positionV>
            <wp:extent cx="280733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ectPr>
          <w:pgSz w:w="11900" w:h="16838" w:orient="portrait"/>
          <w:cols w:equalWidth="0" w:num="2">
            <w:col w:w="4480" w:space="720"/>
            <w:col w:w="4400"/>
          </w:cols>
          <w:pgMar w:left="1140" w:top="256" w:right="1159" w:bottom="1440" w:gutter="0" w:footer="0" w:header="0"/>
          <w:type w:val="continuous"/>
        </w:sectPr>
      </w:pPr>
    </w:p>
    <w:bookmarkStart w:id="489" w:name="page490"/>
    <w:bookmarkEnd w:id="489"/>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B</w:t>
            </w:r>
          </w:p>
        </w:tc>
        <w:tc>
          <w:tcPr>
            <w:tcW w:w="1360" w:type="dxa"/>
            <w:vAlign w:val="bottom"/>
          </w:tcPr>
          <w:p>
            <w:pPr>
              <w:spacing w:after="0"/>
              <w:rPr>
                <w:sz w:val="16"/>
                <w:szCs w:val="16"/>
                <w:color w:val="auto"/>
              </w:rPr>
            </w:pPr>
          </w:p>
        </w:tc>
      </w:tr>
      <w:tr>
        <w:trPr>
          <w:trHeight w:val="391"/>
        </w:trPr>
        <w:tc>
          <w:tcPr>
            <w:tcW w:w="1160" w:type="dxa"/>
            <w:vAlign w:val="bottom"/>
          </w:tcPr>
          <w:p>
            <w:pPr>
              <w:spacing w:after="0"/>
              <w:rPr>
                <w:sz w:val="24"/>
                <w:szCs w:val="24"/>
                <w:color w:val="auto"/>
              </w:rPr>
            </w:pPr>
          </w:p>
        </w:tc>
        <w:tc>
          <w:tcPr>
            <w:tcW w:w="5420" w:type="dxa"/>
            <w:vAlign w:val="bottom"/>
            <w:gridSpan w:val="3"/>
          </w:tcPr>
          <w:p>
            <w:pPr>
              <w:jc w:val="center"/>
              <w:ind w:left="1801"/>
              <w:spacing w:after="0"/>
              <w:rPr>
                <w:sz w:val="20"/>
                <w:szCs w:val="20"/>
                <w:color w:val="auto"/>
              </w:rPr>
            </w:pPr>
            <w:r>
              <w:rPr>
                <w:rFonts w:ascii="Arial" w:cs="Arial" w:eastAsia="Arial" w:hAnsi="Arial"/>
                <w:sz w:val="16"/>
                <w:szCs w:val="16"/>
                <w:b w:val="1"/>
                <w:bCs w:val="1"/>
                <w:color w:val="auto"/>
                <w:w w:val="99"/>
              </w:rPr>
              <w:t>INVESTMENT REPRESENTATION STATEMENT</w:t>
            </w:r>
          </w:p>
        </w:tc>
      </w:tr>
      <w:tr>
        <w:trPr>
          <w:trHeight w:val="401"/>
        </w:trPr>
        <w:tc>
          <w:tcPr>
            <w:tcW w:w="1160" w:type="dxa"/>
            <w:vAlign w:val="bottom"/>
          </w:tcPr>
          <w:p>
            <w:pPr>
              <w:spacing w:after="0"/>
              <w:rPr>
                <w:sz w:val="20"/>
                <w:szCs w:val="20"/>
                <w:color w:val="auto"/>
              </w:rPr>
            </w:pPr>
            <w:r>
              <w:rPr>
                <w:rFonts w:ascii="Arial" w:cs="Arial" w:eastAsia="Arial" w:hAnsi="Arial"/>
                <w:sz w:val="16"/>
                <w:szCs w:val="16"/>
                <w:color w:val="auto"/>
              </w:rPr>
              <w:t>PARTICIPANT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COMPANY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TENAYA THERAPEUTICS, INC.</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SECURITY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COMMON STOCK</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AMOUNT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DATE</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 connection with the purchase of the above-listed Securities, the undersigned Participant represents to the Company the following:</w:t>
      </w:r>
    </w:p>
    <w:p>
      <w:pPr>
        <w:spacing w:after="0" w:line="193" w:lineRule="exact"/>
        <w:rPr>
          <w:sz w:val="20"/>
          <w:szCs w:val="20"/>
          <w:color w:val="auto"/>
        </w:rPr>
      </w:pPr>
    </w:p>
    <w:p>
      <w:pPr>
        <w:jc w:val="both"/>
        <w:ind w:right="120" w:firstLine="860"/>
        <w:spacing w:after="0" w:line="253" w:lineRule="auto"/>
        <w:tabs>
          <w:tab w:leader="none" w:pos="1079" w:val="left"/>
        </w:tabs>
        <w:numPr>
          <w:ilvl w:val="0"/>
          <w:numId w:val="347"/>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67" w:lineRule="exact"/>
        <w:rPr>
          <w:rFonts w:ascii="Arial" w:cs="Arial" w:eastAsia="Arial" w:hAnsi="Arial"/>
          <w:sz w:val="16"/>
          <w:szCs w:val="16"/>
          <w:color w:val="auto"/>
        </w:rPr>
      </w:pPr>
    </w:p>
    <w:p>
      <w:pPr>
        <w:ind w:firstLine="860"/>
        <w:spacing w:after="0" w:line="312" w:lineRule="auto"/>
        <w:tabs>
          <w:tab w:leader="none" w:pos="1088" w:val="left"/>
        </w:tabs>
        <w:numPr>
          <w:ilvl w:val="0"/>
          <w:numId w:val="347"/>
        </w:numPr>
        <w:rPr>
          <w:rFonts w:ascii="Arial" w:cs="Arial" w:eastAsia="Arial" w:hAnsi="Arial"/>
          <w:sz w:val="13"/>
          <w:szCs w:val="13"/>
          <w:color w:val="auto"/>
        </w:rPr>
      </w:pPr>
      <w:r>
        <w:rPr>
          <w:rFonts w:ascii="Arial" w:cs="Arial" w:eastAsia="Arial" w:hAnsi="Arial"/>
          <w:sz w:val="13"/>
          <w:szCs w:val="13"/>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37" w:lineRule="exact"/>
        <w:rPr>
          <w:rFonts w:ascii="Arial" w:cs="Arial" w:eastAsia="Arial" w:hAnsi="Arial"/>
          <w:sz w:val="13"/>
          <w:szCs w:val="13"/>
          <w:color w:val="auto"/>
        </w:rPr>
      </w:pPr>
    </w:p>
    <w:p>
      <w:pPr>
        <w:ind w:right="100" w:firstLine="860"/>
        <w:spacing w:after="0" w:line="272" w:lineRule="auto"/>
        <w:tabs>
          <w:tab w:leader="none" w:pos="1079" w:val="left"/>
        </w:tabs>
        <w:numPr>
          <w:ilvl w:val="0"/>
          <w:numId w:val="347"/>
        </w:numPr>
        <w:rPr>
          <w:rFonts w:ascii="Arial" w:cs="Arial" w:eastAsia="Arial" w:hAnsi="Arial"/>
          <w:sz w:val="15"/>
          <w:szCs w:val="15"/>
          <w:color w:val="auto"/>
        </w:rPr>
      </w:pPr>
      <w:r>
        <w:rPr>
          <w:rFonts w:ascii="Arial" w:cs="Arial" w:eastAsia="Arial" w:hAnsi="Arial"/>
          <w:sz w:val="15"/>
          <w:szCs w:val="15"/>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9540"/>
          </w:cols>
          <w:pgMar w:left="1140" w:top="238" w:right="1219" w:bottom="1440" w:gutter="0" w:footer="0" w:header="0"/>
        </w:sectPr>
      </w:pPr>
    </w:p>
    <w:bookmarkStart w:id="490" w:name="page491"/>
    <w:bookmarkEnd w:id="490"/>
    <w:p>
      <w:pPr>
        <w:ind w:left="6" w:right="32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w:t>
      </w:r>
    </w:p>
    <w:p>
      <w:pPr>
        <w:spacing w:after="0" w:line="1" w:lineRule="exact"/>
        <w:rPr>
          <w:sz w:val="20"/>
          <w:szCs w:val="20"/>
          <w:color w:val="auto"/>
        </w:rPr>
      </w:pPr>
    </w:p>
    <w:p>
      <w:pPr>
        <w:ind w:left="6" w:right="20" w:hanging="6"/>
        <w:spacing w:after="0" w:line="249" w:lineRule="auto"/>
        <w:tabs>
          <w:tab w:leader="none" w:pos="229"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1" w:lineRule="exact"/>
        <w:rPr>
          <w:sz w:val="20"/>
          <w:szCs w:val="20"/>
          <w:color w:val="auto"/>
        </w:rPr>
      </w:pPr>
    </w:p>
    <w:p>
      <w:pPr>
        <w:ind w:left="6" w:right="160" w:firstLine="866"/>
        <w:spacing w:after="0" w:line="25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70" w:lineRule="exact"/>
        <w:rPr>
          <w:sz w:val="20"/>
          <w:szCs w:val="20"/>
          <w:color w:val="auto"/>
        </w:rPr>
      </w:pPr>
    </w:p>
    <w:p>
      <w:pPr>
        <w:ind w:left="6" w:firstLine="860"/>
        <w:spacing w:after="0" w:line="249" w:lineRule="auto"/>
        <w:tabs>
          <w:tab w:leader="none" w:pos="109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9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PARTICIPANT</w:t>
      </w:r>
    </w:p>
    <w:p>
      <w:pPr>
        <w:spacing w:after="0" w:line="394"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ectPr>
          <w:pgSz w:w="11900" w:h="16838" w:orient="portrait"/>
          <w:cols w:equalWidth="0" w:num="1">
            <w:col w:w="9606"/>
          </w:cols>
          <w:pgMar w:left="1134" w:top="256" w:right="1159" w:bottom="1440" w:gutter="0" w:footer="0" w:header="0"/>
        </w:sectPr>
      </w:pPr>
    </w:p>
    <w:bookmarkStart w:id="491" w:name="page492"/>
    <w:bookmarkEnd w:id="491"/>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6"/>
                <w:szCs w:val="16"/>
                <w:b w:val="1"/>
                <w:bCs w:val="1"/>
                <w:color w:val="auto"/>
              </w:rPr>
              <w:t>EXHIBIT C-1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91"/>
        </w:trPr>
        <w:tc>
          <w:tcPr>
            <w:tcW w:w="6440" w:type="dxa"/>
            <w:vAlign w:val="bottom"/>
            <w:gridSpan w:val="4"/>
          </w:tcPr>
          <w:p>
            <w:pPr>
              <w:jc w:val="center"/>
              <w:ind w:left="3081"/>
              <w:spacing w:after="0"/>
              <w:rPr>
                <w:sz w:val="20"/>
                <w:szCs w:val="20"/>
                <w:color w:val="auto"/>
              </w:rPr>
            </w:pPr>
            <w:r>
              <w:rPr>
                <w:rFonts w:ascii="Arial" w:cs="Arial" w:eastAsia="Arial" w:hAnsi="Arial"/>
                <w:sz w:val="16"/>
                <w:szCs w:val="16"/>
                <w:b w:val="1"/>
                <w:bCs w:val="1"/>
                <w:color w:val="auto"/>
                <w:w w:val="98"/>
              </w:rPr>
              <w:t>TENAYA THERAPEUTICS, INC.</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7"/>
        </w:trPr>
        <w:tc>
          <w:tcPr>
            <w:tcW w:w="6440" w:type="dxa"/>
            <w:vAlign w:val="bottom"/>
            <w:gridSpan w:val="4"/>
          </w:tcPr>
          <w:p>
            <w:pPr>
              <w:jc w:val="center"/>
              <w:ind w:left="3081"/>
              <w:spacing w:after="0"/>
              <w:rPr>
                <w:sz w:val="20"/>
                <w:szCs w:val="20"/>
                <w:color w:val="auto"/>
              </w:rPr>
            </w:pPr>
            <w:r>
              <w:rPr>
                <w:rFonts w:ascii="Arial" w:cs="Arial" w:eastAsia="Arial" w:hAnsi="Arial"/>
                <w:sz w:val="16"/>
                <w:szCs w:val="16"/>
                <w:b w:val="1"/>
                <w:bCs w:val="1"/>
                <w:color w:val="auto"/>
                <w:w w:val="99"/>
              </w:rPr>
              <w:t>2016 EQUITY INCENTIVE PLAN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7"/>
        </w:trPr>
        <w:tc>
          <w:tcPr>
            <w:tcW w:w="6800" w:type="dxa"/>
            <w:vAlign w:val="bottom"/>
            <w:gridSpan w:val="7"/>
          </w:tcPr>
          <w:p>
            <w:pPr>
              <w:jc w:val="center"/>
              <w:ind w:left="2741"/>
              <w:spacing w:after="0"/>
              <w:rPr>
                <w:sz w:val="20"/>
                <w:szCs w:val="20"/>
                <w:color w:val="auto"/>
              </w:rPr>
            </w:pPr>
            <w:r>
              <w:rPr>
                <w:rFonts w:ascii="Arial" w:cs="Arial" w:eastAsia="Arial" w:hAnsi="Arial"/>
                <w:sz w:val="16"/>
                <w:szCs w:val="16"/>
                <w:b w:val="1"/>
                <w:bCs w:val="1"/>
                <w:color w:val="auto"/>
                <w:w w:val="98"/>
              </w:rPr>
              <w:t>RESTRICTED STOCK PURCHASE AGREEMENT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3"/>
        </w:trPr>
        <w:tc>
          <w:tcPr>
            <w:tcW w:w="6440" w:type="dxa"/>
            <w:vAlign w:val="bottom"/>
            <w:gridSpan w:val="4"/>
          </w:tcPr>
          <w:p>
            <w:pPr>
              <w:ind w:left="380"/>
              <w:spacing w:after="0"/>
              <w:rPr>
                <w:sz w:val="20"/>
                <w:szCs w:val="20"/>
                <w:color w:val="auto"/>
              </w:rPr>
            </w:pPr>
            <w:r>
              <w:rPr>
                <w:rFonts w:ascii="Arial" w:cs="Arial" w:eastAsia="Arial" w:hAnsi="Arial"/>
                <w:sz w:val="16"/>
                <w:szCs w:val="16"/>
                <w:color w:val="auto"/>
                <w:w w:val="91"/>
              </w:rPr>
              <w:t>THIS RESTRICTED STOCK PURCHASE AGREEMENT (the “Agreement”) is made between</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Pr>
          <w:p>
            <w:pPr>
              <w:ind w:left="40"/>
              <w:spacing w:after="0"/>
              <w:rPr>
                <w:sz w:val="20"/>
                <w:szCs w:val="20"/>
                <w:color w:val="auto"/>
              </w:rPr>
            </w:pPr>
            <w:r>
              <w:rPr>
                <w:rFonts w:ascii="Arial" w:cs="Arial" w:eastAsia="Arial" w:hAnsi="Arial"/>
                <w:sz w:val="16"/>
                <w:szCs w:val="16"/>
                <w:color w:val="auto"/>
                <w:w w:val="88"/>
              </w:rPr>
              <w:t>(the “Purchaser”) and</w:t>
            </w:r>
          </w:p>
        </w:tc>
      </w:tr>
      <w:tr>
        <w:trPr>
          <w:trHeight w:val="169"/>
        </w:trPr>
        <w:tc>
          <w:tcPr>
            <w:tcW w:w="5340" w:type="dxa"/>
            <w:vAlign w:val="bottom"/>
            <w:gridSpan w:val="3"/>
          </w:tcPr>
          <w:p>
            <w:pPr>
              <w:spacing w:after="0" w:line="168" w:lineRule="exact"/>
              <w:rPr>
                <w:sz w:val="20"/>
                <w:szCs w:val="20"/>
                <w:color w:val="auto"/>
              </w:rPr>
            </w:pPr>
            <w:r>
              <w:rPr>
                <w:rFonts w:ascii="Arial" w:cs="Arial" w:eastAsia="Arial" w:hAnsi="Arial"/>
                <w:sz w:val="16"/>
                <w:szCs w:val="16"/>
                <w:color w:val="auto"/>
                <w:w w:val="88"/>
              </w:rPr>
              <w:t>Tenaya Therapeutics, Inc. (the “Company”) or its assignees of rights hereunder as of</w:t>
            </w:r>
          </w:p>
        </w:tc>
        <w:tc>
          <w:tcPr>
            <w:tcW w:w="1100" w:type="dxa"/>
            <w:vAlign w:val="bottom"/>
          </w:tcPr>
          <w:p>
            <w:pPr>
              <w:spacing w:after="0"/>
              <w:rPr>
                <w:sz w:val="14"/>
                <w:szCs w:val="14"/>
                <w:color w:val="auto"/>
              </w:rPr>
            </w:pPr>
          </w:p>
        </w:tc>
        <w:tc>
          <w:tcPr>
            <w:tcW w:w="80" w:type="dxa"/>
            <w:vAlign w:val="bottom"/>
            <w:gridSpan w:val="2"/>
          </w:tcPr>
          <w:p>
            <w:pPr>
              <w:jc w:val="right"/>
              <w:ind w:right="40"/>
              <w:spacing w:after="0"/>
              <w:rPr>
                <w:sz w:val="20"/>
                <w:szCs w:val="20"/>
                <w:color w:val="auto"/>
              </w:rPr>
            </w:pPr>
            <w:r>
              <w:rPr>
                <w:rFonts w:ascii="Arial" w:cs="Arial" w:eastAsia="Arial" w:hAnsi="Arial"/>
                <w:sz w:val="10"/>
                <w:szCs w:val="10"/>
                <w:color w:val="auto"/>
                <w:w w:val="70"/>
              </w:rPr>
              <w:t>,</w:t>
            </w:r>
          </w:p>
        </w:tc>
        <w:tc>
          <w:tcPr>
            <w:tcW w:w="280" w:type="dxa"/>
            <w:vAlign w:val="bottom"/>
          </w:tcPr>
          <w:p>
            <w:pPr>
              <w:spacing w:after="0"/>
              <w:rPr>
                <w:sz w:val="14"/>
                <w:szCs w:val="14"/>
                <w:color w:val="auto"/>
              </w:rPr>
            </w:pPr>
          </w:p>
        </w:tc>
        <w:tc>
          <w:tcPr>
            <w:tcW w:w="1100" w:type="dxa"/>
            <w:vAlign w:val="bottom"/>
            <w:gridSpan w:val="2"/>
          </w:tcPr>
          <w:p>
            <w:pPr>
              <w:jc w:val="right"/>
              <w:ind w:right="860"/>
              <w:spacing w:after="0" w:line="168" w:lineRule="exact"/>
              <w:rPr>
                <w:sz w:val="20"/>
                <w:szCs w:val="20"/>
                <w:color w:val="auto"/>
              </w:rPr>
            </w:pPr>
            <w:r>
              <w:rPr>
                <w:rFonts w:ascii="Arial" w:cs="Arial" w:eastAsia="Arial" w:hAnsi="Arial"/>
                <w:sz w:val="16"/>
                <w:szCs w:val="16"/>
                <w:color w:val="auto"/>
              </w:rPr>
              <w:t>.</w:t>
            </w:r>
          </w:p>
        </w:tc>
        <w:tc>
          <w:tcPr>
            <w:tcW w:w="1400" w:type="dxa"/>
            <w:vAlign w:val="bottom"/>
          </w:tcPr>
          <w:p>
            <w:pPr>
              <w:spacing w:after="0"/>
              <w:rPr>
                <w:sz w:val="14"/>
                <w:szCs w:val="14"/>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Unless otherwise defined herein, the terms defined in the 2016 Equity Incentive Plan shall have the same defined meanings in this Agreement.</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RECITALS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Pursuant to the exercise of the option granted to Purchaser under the Plan and pursuant to the Stock Option Agreement – Early Exercise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20"/>
                <w:szCs w:val="20"/>
                <w:color w:val="auto"/>
              </w:rPr>
            </w:pPr>
            <w:r>
              <w:rPr>
                <w:rFonts w:ascii="Arial" w:cs="Arial" w:eastAsia="Arial" w:hAnsi="Arial"/>
                <w:sz w:val="16"/>
                <w:szCs w:val="16"/>
                <w:color w:val="auto"/>
                <w:w w:val="92"/>
              </w:rPr>
              <w:t>“Option Agreement”) dated</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6120" w:type="dxa"/>
            <w:vAlign w:val="bottom"/>
            <w:gridSpan w:val="3"/>
          </w:tcPr>
          <w:p>
            <w:pPr>
              <w:ind w:left="40"/>
              <w:spacing w:after="0"/>
              <w:rPr>
                <w:sz w:val="20"/>
                <w:szCs w:val="20"/>
                <w:color w:val="auto"/>
              </w:rPr>
            </w:pPr>
            <w:r>
              <w:rPr>
                <w:rFonts w:ascii="Arial" w:cs="Arial" w:eastAsia="Arial" w:hAnsi="Arial"/>
                <w:sz w:val="16"/>
                <w:szCs w:val="16"/>
                <w:color w:val="auto"/>
                <w:w w:val="92"/>
              </w:rPr>
              <w:t>by and between the Company and Purchaser with respect to such grant (the “Option”), which</w:t>
            </w:r>
          </w:p>
        </w:tc>
      </w:tr>
      <w:tr>
        <w:trPr>
          <w:trHeight w:val="20"/>
        </w:trPr>
        <w:tc>
          <w:tcPr>
            <w:tcW w:w="1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69"/>
        </w:trPr>
        <w:tc>
          <w:tcPr>
            <w:tcW w:w="6340" w:type="dxa"/>
            <w:vAlign w:val="bottom"/>
            <w:gridSpan w:val="5"/>
          </w:tcPr>
          <w:p>
            <w:pPr>
              <w:spacing w:after="0" w:line="168" w:lineRule="exact"/>
              <w:rPr>
                <w:sz w:val="20"/>
                <w:szCs w:val="20"/>
                <w:color w:val="auto"/>
              </w:rPr>
            </w:pPr>
            <w:r>
              <w:rPr>
                <w:rFonts w:ascii="Arial" w:cs="Arial" w:eastAsia="Arial" w:hAnsi="Arial"/>
                <w:sz w:val="16"/>
                <w:szCs w:val="16"/>
                <w:color w:val="auto"/>
                <w:w w:val="87"/>
              </w:rPr>
              <w:t>Plan and Option Agreement are hereby incorporated by reference, Purchaser has elected to purchase</w:t>
            </w:r>
          </w:p>
        </w:tc>
        <w:tc>
          <w:tcPr>
            <w:tcW w:w="620" w:type="dxa"/>
            <w:vAlign w:val="bottom"/>
            <w:tcBorders>
              <w:bottom w:val="single" w:sz="8" w:color="auto"/>
            </w:tcBorders>
          </w:tcPr>
          <w:p>
            <w:pPr>
              <w:spacing w:after="0"/>
              <w:rPr>
                <w:sz w:val="14"/>
                <w:szCs w:val="14"/>
                <w:color w:val="auto"/>
              </w:rPr>
            </w:pPr>
          </w:p>
        </w:tc>
        <w:tc>
          <w:tcPr>
            <w:tcW w:w="2580" w:type="dxa"/>
            <w:vAlign w:val="bottom"/>
          </w:tcPr>
          <w:p>
            <w:pPr>
              <w:ind w:left="40"/>
              <w:spacing w:after="0" w:line="168" w:lineRule="exact"/>
              <w:rPr>
                <w:sz w:val="20"/>
                <w:szCs w:val="20"/>
                <w:color w:val="auto"/>
              </w:rPr>
            </w:pPr>
            <w:r>
              <w:rPr>
                <w:rFonts w:ascii="Arial" w:cs="Arial" w:eastAsia="Arial" w:hAnsi="Arial"/>
                <w:sz w:val="16"/>
                <w:szCs w:val="16"/>
                <w:color w:val="auto"/>
                <w:w w:val="87"/>
              </w:rPr>
              <w:t>of those shares of Common Stock which</w:t>
            </w:r>
          </w:p>
        </w:tc>
      </w:tr>
    </w:tbl>
    <w:p>
      <w:pPr>
        <w:spacing w:after="0" w:line="1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have not become vested under the vesting schedule set forth in the Option Agreement (“Unvested Shares”). The Unvested Shares and the shares subject to the Option Agreement, which have become vested are sometimes collectively referred to herein as the “Shares.”</w:t>
      </w:r>
    </w:p>
    <w:p>
      <w:pPr>
        <w:spacing w:after="0" w:line="135" w:lineRule="exact"/>
        <w:rPr>
          <w:sz w:val="20"/>
          <w:szCs w:val="20"/>
          <w:color w:val="auto"/>
        </w:rPr>
      </w:pPr>
    </w:p>
    <w:p>
      <w:pPr>
        <w:ind w:right="200" w:firstLine="385"/>
        <w:spacing w:after="0" w:line="300" w:lineRule="auto"/>
        <w:rPr>
          <w:sz w:val="20"/>
          <w:szCs w:val="20"/>
          <w:color w:val="auto"/>
        </w:rPr>
      </w:pPr>
      <w:r>
        <w:rPr>
          <w:rFonts w:ascii="Arial" w:cs="Arial" w:eastAsia="Arial" w:hAnsi="Arial"/>
          <w:sz w:val="15"/>
          <w:szCs w:val="15"/>
          <w:color w:val="auto"/>
        </w:rPr>
        <w:t>B. 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35" w:lineRule="exact"/>
        <w:rPr>
          <w:sz w:val="20"/>
          <w:szCs w:val="20"/>
          <w:color w:val="auto"/>
        </w:rPr>
      </w:pPr>
    </w:p>
    <w:p>
      <w:pPr>
        <w:ind w:left="540" w:hanging="162"/>
        <w:spacing w:after="0"/>
        <w:tabs>
          <w:tab w:leader="none" w:pos="540"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Repurchase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0" w:firstLine="860"/>
        <w:spacing w:after="0" w:line="343" w:lineRule="auto"/>
        <w:tabs>
          <w:tab w:leader="none" w:pos="1079" w:val="left"/>
        </w:tabs>
        <w:numPr>
          <w:ilvl w:val="1"/>
          <w:numId w:val="350"/>
        </w:numPr>
        <w:rPr>
          <w:rFonts w:ascii="Arial" w:cs="Arial" w:eastAsia="Arial" w:hAnsi="Arial"/>
          <w:sz w:val="13"/>
          <w:szCs w:val="13"/>
          <w:color w:val="auto"/>
        </w:rPr>
      </w:pPr>
      <w:r>
        <w:rPr>
          <w:rFonts w:ascii="Arial" w:cs="Arial" w:eastAsia="Arial" w:hAnsi="Arial"/>
          <w:sz w:val="13"/>
          <w:szCs w:val="13"/>
          <w:color w:val="auto"/>
        </w:rPr>
        <w:t>If Purchaser’s status as a Service Provider is terminated for any reason, including for death and Disability, the Company shall have the right and option for ninety (90) days from such date to purchase from Purchaser, or Purchaser’s personal representative, as the case may be, all of the Purchaser’s Unvested Shares as of the date of such termination at the price paid by the Purchaser for such Shares (the “Repurchase Option”).</w:t>
      </w:r>
    </w:p>
    <w:p>
      <w:pPr>
        <w:spacing w:after="0" w:line="113" w:lineRule="exact"/>
        <w:rPr>
          <w:rFonts w:ascii="Arial" w:cs="Arial" w:eastAsia="Arial" w:hAnsi="Arial"/>
          <w:sz w:val="13"/>
          <w:szCs w:val="13"/>
          <w:color w:val="auto"/>
        </w:rPr>
      </w:pPr>
    </w:p>
    <w:p>
      <w:pPr>
        <w:ind w:right="40" w:firstLine="860"/>
        <w:spacing w:after="0" w:line="319" w:lineRule="auto"/>
        <w:tabs>
          <w:tab w:leader="none" w:pos="1088" w:val="left"/>
        </w:tabs>
        <w:numPr>
          <w:ilvl w:val="1"/>
          <w:numId w:val="350"/>
        </w:numPr>
        <w:rPr>
          <w:rFonts w:ascii="Arial" w:cs="Arial" w:eastAsia="Arial" w:hAnsi="Arial"/>
          <w:sz w:val="13"/>
          <w:szCs w:val="13"/>
          <w:color w:val="auto"/>
        </w:rPr>
      </w:pPr>
      <w:r>
        <w:rPr>
          <w:rFonts w:ascii="Arial" w:cs="Arial" w:eastAsia="Arial" w:hAnsi="Arial"/>
          <w:sz w:val="13"/>
          <w:szCs w:val="13"/>
          <w:color w:val="auto"/>
        </w:rPr>
        <w:t>Upon the occurrence of such termination, the Company may exercise its Repurchase Option by delivering personally or by registered mail, to Purchaser (or his or her transferee or legal representative, as the case may be) with a copy to the escrow agent described in Section 2 below, a notice in writing indicating the Company’s intention to exercise the Repurchase Option AND, at the Company’s option, (i) by delivering to the Purchaser (or the Purchaser’s transferee or legal representative) a check in the amount of the aggregate repurchase price, or (ii) by the Company canceling an amount of the Purchaser’s indebtedness to the Company equal to the aggregate repurchase price, or (iii) by a combination of (i) and (ii) so that the combined payment and cancellation of indebtedness equals such aggregate repurchase price. Upon delivery of such notice</w:t>
      </w:r>
    </w:p>
    <w:p>
      <w:pPr>
        <w:sectPr>
          <w:pgSz w:w="11900" w:h="16838" w:orient="portrait"/>
          <w:cols w:equalWidth="0" w:num="1">
            <w:col w:w="9540"/>
          </w:cols>
          <w:pgMar w:left="1140" w:top="238" w:right="1219" w:bottom="1440" w:gutter="0" w:footer="0" w:header="0"/>
        </w:sectPr>
      </w:pPr>
    </w:p>
    <w:bookmarkStart w:id="492" w:name="page493"/>
    <w:bookmarkEnd w:id="492"/>
    <w:p>
      <w:pPr>
        <w:ind w:right="10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and payment of the aggregate repurchase price in any of the ways described above,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66" w:lineRule="exact"/>
        <w:rPr>
          <w:sz w:val="20"/>
          <w:szCs w:val="20"/>
          <w:color w:val="auto"/>
        </w:rPr>
      </w:pPr>
    </w:p>
    <w:p>
      <w:pPr>
        <w:ind w:right="140" w:firstLine="860"/>
        <w:spacing w:after="0" w:line="256" w:lineRule="auto"/>
        <w:tabs>
          <w:tab w:leader="none" w:pos="1079" w:val="left"/>
        </w:tabs>
        <w:numPr>
          <w:ilvl w:val="1"/>
          <w:numId w:val="351"/>
        </w:numPr>
        <w:rPr>
          <w:rFonts w:ascii="Arial" w:cs="Arial" w:eastAsia="Arial" w:hAnsi="Arial"/>
          <w:sz w:val="16"/>
          <w:szCs w:val="16"/>
          <w:color w:val="auto"/>
        </w:rPr>
      </w:pPr>
      <w:r>
        <w:rPr>
          <w:rFonts w:ascii="Arial" w:cs="Arial" w:eastAsia="Arial" w:hAnsi="Arial"/>
          <w:sz w:val="16"/>
          <w:szCs w:val="16"/>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65" w:lineRule="exact"/>
        <w:rPr>
          <w:rFonts w:ascii="Arial" w:cs="Arial" w:eastAsia="Arial" w:hAnsi="Arial"/>
          <w:sz w:val="16"/>
          <w:szCs w:val="16"/>
          <w:color w:val="auto"/>
        </w:rPr>
      </w:pPr>
    </w:p>
    <w:p>
      <w:pPr>
        <w:ind w:right="20" w:firstLine="860"/>
        <w:spacing w:after="0" w:line="266" w:lineRule="auto"/>
        <w:tabs>
          <w:tab w:leader="none" w:pos="108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If the Company does not elect to exercise the Repurchase Option conferred above by giving the requisite notice within ninety (90) days following the termination, the Repurchase Option shall terminate.</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351"/>
        </w:numPr>
        <w:rPr>
          <w:rFonts w:ascii="Arial" w:cs="Arial" w:eastAsia="Arial" w:hAnsi="Arial"/>
          <w:sz w:val="15"/>
          <w:szCs w:val="15"/>
          <w:color w:val="auto"/>
        </w:rPr>
      </w:pPr>
      <w:r>
        <w:rPr>
          <w:rFonts w:ascii="Arial" w:cs="Arial" w:eastAsia="Arial" w:hAnsi="Arial"/>
          <w:sz w:val="15"/>
          <w:szCs w:val="15"/>
          <w:color w:val="auto"/>
        </w:rPr>
        <w:t>The Repurchase Option shall terminate in accordance with the vesting schedule contained in Purchaser’s Option Agreement.</w:t>
      </w:r>
    </w:p>
    <w:p>
      <w:pPr>
        <w:spacing w:after="0" w:line="204" w:lineRule="exact"/>
        <w:rPr>
          <w:rFonts w:ascii="Arial" w:cs="Arial" w:eastAsia="Arial" w:hAnsi="Arial"/>
          <w:sz w:val="15"/>
          <w:szCs w:val="15"/>
          <w:color w:val="auto"/>
        </w:rPr>
      </w:pPr>
    </w:p>
    <w:p>
      <w:pPr>
        <w:ind w:left="540" w:hanging="162"/>
        <w:spacing w:after="0"/>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Transferability of the Shares; Escrow</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60" w:firstLine="860"/>
        <w:spacing w:after="0" w:line="266" w:lineRule="auto"/>
        <w:tabs>
          <w:tab w:leader="none" w:pos="1079" w:val="left"/>
        </w:tabs>
        <w:numPr>
          <w:ilvl w:val="1"/>
          <w:numId w:val="352"/>
        </w:numPr>
        <w:rPr>
          <w:rFonts w:ascii="Arial" w:cs="Arial" w:eastAsia="Arial" w:hAnsi="Arial"/>
          <w:sz w:val="16"/>
          <w:szCs w:val="16"/>
          <w:color w:val="auto"/>
        </w:rPr>
      </w:pPr>
      <w:r>
        <w:rPr>
          <w:rFonts w:ascii="Arial" w:cs="Arial" w:eastAsia="Arial" w:hAnsi="Arial"/>
          <w:sz w:val="16"/>
          <w:szCs w:val="16"/>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58" w:lineRule="exact"/>
        <w:rPr>
          <w:rFonts w:ascii="Arial" w:cs="Arial" w:eastAsia="Arial" w:hAnsi="Arial"/>
          <w:sz w:val="16"/>
          <w:szCs w:val="16"/>
          <w:color w:val="auto"/>
        </w:rPr>
      </w:pPr>
    </w:p>
    <w:p>
      <w:pPr>
        <w:ind w:firstLine="860"/>
        <w:spacing w:after="0" w:line="266" w:lineRule="auto"/>
        <w:tabs>
          <w:tab w:leader="none" w:pos="1088" w:val="left"/>
        </w:tabs>
        <w:numPr>
          <w:ilvl w:val="1"/>
          <w:numId w:val="352"/>
        </w:numPr>
        <w:rPr>
          <w:rFonts w:ascii="Arial" w:cs="Arial" w:eastAsia="Arial" w:hAnsi="Arial"/>
          <w:sz w:val="15"/>
          <w:szCs w:val="15"/>
          <w:color w:val="auto"/>
        </w:rPr>
      </w:pPr>
      <w:r>
        <w:rPr>
          <w:rFonts w:ascii="Arial" w:cs="Arial" w:eastAsia="Arial" w:hAnsi="Arial"/>
          <w:sz w:val="15"/>
          <w:szCs w:val="15"/>
          <w:color w:val="auto"/>
        </w:rPr>
        <w:t xml:space="preserve">To insure the availability for delivery of Purchaser’s Unvested Shares upon repurchase by the Company pursuant to the Repurchase Option under Section 1, Purchaser hereby appoints the Secretary, or any other person designated by the Company as escrow agent (the “Escrow Agent”),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5"/>
          <w:szCs w:val="15"/>
          <w:u w:val="single" w:color="auto"/>
          <w:color w:val="auto"/>
        </w:rPr>
        <w:t>Exhibit C-2</w:t>
      </w:r>
      <w:r>
        <w:rPr>
          <w:rFonts w:ascii="Arial" w:cs="Arial" w:eastAsia="Arial" w:hAnsi="Arial"/>
          <w:sz w:val="15"/>
          <w:szCs w:val="15"/>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5"/>
          <w:szCs w:val="15"/>
          <w:u w:val="single" w:color="auto"/>
          <w:color w:val="auto"/>
        </w:rPr>
        <w:t>Exhibit C-3</w:t>
      </w:r>
      <w:r>
        <w:rPr>
          <w:rFonts w:ascii="Arial" w:cs="Arial" w:eastAsia="Arial" w:hAnsi="Arial"/>
          <w:sz w:val="15"/>
          <w:szCs w:val="15"/>
          <w:color w:val="auto"/>
        </w:rPr>
        <w:t xml:space="preserve"> hereto, until the Company exercises its Repurchase Option, until such Unvested Shares are vested, or until such time as this Agreement no longer is in effect. Upon vesting of the Unvested Shares, the Escrow Agent shall promptly deliver to the Purchaser the certificate or certificates representing such Shares in the Escrow Agent’s possession belonging to the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160" w:lineRule="exact"/>
        <w:rPr>
          <w:rFonts w:ascii="Arial" w:cs="Arial" w:eastAsia="Arial" w:hAnsi="Arial"/>
          <w:sz w:val="15"/>
          <w:szCs w:val="15"/>
          <w:color w:val="auto"/>
        </w:rPr>
      </w:pPr>
    </w:p>
    <w:p>
      <w:pPr>
        <w:ind w:right="340" w:firstLine="860"/>
        <w:spacing w:after="0" w:line="266" w:lineRule="auto"/>
        <w:tabs>
          <w:tab w:leader="none" w:pos="1079" w:val="left"/>
        </w:tabs>
        <w:numPr>
          <w:ilvl w:val="1"/>
          <w:numId w:val="352"/>
        </w:numPr>
        <w:rPr>
          <w:rFonts w:ascii="Arial" w:cs="Arial" w:eastAsia="Arial" w:hAnsi="Arial"/>
          <w:sz w:val="16"/>
          <w:szCs w:val="16"/>
          <w:color w:val="auto"/>
        </w:rPr>
      </w:pPr>
      <w:r>
        <w:rPr>
          <w:rFonts w:ascii="Arial" w:cs="Arial" w:eastAsia="Arial" w:hAnsi="Arial"/>
          <w:sz w:val="16"/>
          <w:szCs w:val="16"/>
          <w:color w:val="auto"/>
        </w:rPr>
        <w:t>Neither the Company nor the Escrow Agent shall be liable for any act it may do or omit to do with respect to holding the Shares in escrow and while acting in good faith and in the exercise of its judgment.</w:t>
      </w:r>
    </w:p>
    <w:p>
      <w:pPr>
        <w:spacing w:after="0" w:line="158" w:lineRule="exact"/>
        <w:rPr>
          <w:rFonts w:ascii="Arial" w:cs="Arial" w:eastAsia="Arial" w:hAnsi="Arial"/>
          <w:sz w:val="16"/>
          <w:szCs w:val="16"/>
          <w:color w:val="auto"/>
        </w:rPr>
      </w:pPr>
    </w:p>
    <w:p>
      <w:pPr>
        <w:ind w:right="280" w:firstLine="860"/>
        <w:spacing w:after="0" w:line="281" w:lineRule="auto"/>
        <w:tabs>
          <w:tab w:leader="none" w:pos="1088" w:val="left"/>
        </w:tabs>
        <w:numPr>
          <w:ilvl w:val="1"/>
          <w:numId w:val="352"/>
        </w:numPr>
        <w:rPr>
          <w:rFonts w:ascii="Arial" w:cs="Arial" w:eastAsia="Arial" w:hAnsi="Arial"/>
          <w:sz w:val="15"/>
          <w:szCs w:val="15"/>
          <w:color w:val="auto"/>
        </w:rPr>
      </w:pPr>
      <w:r>
        <w:rPr>
          <w:rFonts w:ascii="Arial" w:cs="Arial" w:eastAsia="Arial" w:hAnsi="Arial"/>
          <w:sz w:val="15"/>
          <w:szCs w:val="15"/>
          <w:color w:val="auto"/>
        </w:rPr>
        <w:t>Transfer or sale of the Shares is subject to restrictions on transfer imposed by any applicable state and federal securities laws. Any transferee shall hold such Shares subject to all the provisions hereof and the Exercise Notice executed by the Purchaser with respect to any Unvested Shares purchased by Purchaser and shall acknowledge the same by signing a copy of this Agreement.</w:t>
      </w:r>
    </w:p>
    <w:p>
      <w:pPr>
        <w:sectPr>
          <w:pgSz w:w="11900" w:h="16838" w:orient="portrait"/>
          <w:cols w:equalWidth="0" w:num="1">
            <w:col w:w="9620"/>
          </w:cols>
          <w:pgMar w:left="1140" w:top="256" w:right="1139" w:bottom="1440" w:gutter="0" w:footer="0" w:header="0"/>
        </w:sectPr>
      </w:pPr>
    </w:p>
    <w:bookmarkStart w:id="493" w:name="page494"/>
    <w:bookmarkEnd w:id="493"/>
    <w:p>
      <w:pPr>
        <w:ind w:left="-300" w:right="660" w:firstLine="378"/>
        <w:spacing w:after="0" w:line="266" w:lineRule="auto"/>
        <w:tabs>
          <w:tab w:leader="none" w:pos="242"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Ownership, Voting Rights, Duties</w:t>
      </w:r>
      <w:r>
        <w:rPr>
          <w:rFonts w:ascii="Arial" w:cs="Arial" w:eastAsia="Arial" w:hAnsi="Arial"/>
          <w:sz w:val="16"/>
          <w:szCs w:val="16"/>
          <w:color w:val="auto"/>
        </w:rPr>
        <w:t>. This Agreement shall not affect in any way the ownership, voting rights or other rights or duties of Purchaser, except as specifically provided herein.</w:t>
      </w:r>
    </w:p>
    <w:p>
      <w:pPr>
        <w:spacing w:after="0" w:line="158" w:lineRule="exact"/>
        <w:rPr>
          <w:rFonts w:ascii="Arial" w:cs="Arial" w:eastAsia="Arial" w:hAnsi="Arial"/>
          <w:sz w:val="16"/>
          <w:szCs w:val="16"/>
          <w:color w:val="auto"/>
        </w:rPr>
      </w:pPr>
    </w:p>
    <w:p>
      <w:pPr>
        <w:ind w:left="-300" w:right="220" w:firstLine="378"/>
        <w:spacing w:after="0" w:line="266" w:lineRule="auto"/>
        <w:tabs>
          <w:tab w:leader="none" w:pos="242"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The share certificate evidencing the Shares issued hereunder shall be endorsed with the following legend (in addition to any legend required under applicable federal and state securities laws):</w:t>
      </w:r>
    </w:p>
    <w:p>
      <w:pPr>
        <w:spacing w:after="0" w:line="64" w:lineRule="exact"/>
        <w:rPr>
          <w:sz w:val="20"/>
          <w:szCs w:val="20"/>
          <w:color w:val="auto"/>
        </w:rPr>
      </w:pPr>
    </w:p>
    <w:p>
      <w:pPr>
        <w:ind w:left="560" w:right="160"/>
        <w:spacing w:after="0" w:line="256" w:lineRule="auto"/>
        <w:rPr>
          <w:sz w:val="20"/>
          <w:szCs w:val="20"/>
          <w:color w:val="auto"/>
        </w:rPr>
      </w:pPr>
      <w:r>
        <w:rPr>
          <w:rFonts w:ascii="Arial" w:cs="Arial" w:eastAsia="Arial" w:hAnsi="Arial"/>
          <w:sz w:val="16"/>
          <w:szCs w:val="16"/>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66" w:lineRule="exact"/>
        <w:rPr>
          <w:sz w:val="20"/>
          <w:szCs w:val="20"/>
          <w:color w:val="auto"/>
        </w:rPr>
      </w:pPr>
    </w:p>
    <w:p>
      <w:pPr>
        <w:ind w:left="-300" w:firstLine="378"/>
        <w:spacing w:after="0" w:line="256" w:lineRule="auto"/>
        <w:tabs>
          <w:tab w:leader="none" w:pos="24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All references to the number of Shares and the purchase price of the Shares in this Agreement shall be appropriately adjusted to reflect any stock split, stock dividend or other change in the Shares, which may be made by the Company pursuant to Section 13 of the Plan after the date of this Agreement.</w:t>
      </w:r>
    </w:p>
    <w:p>
      <w:pPr>
        <w:spacing w:after="0" w:line="165" w:lineRule="exact"/>
        <w:rPr>
          <w:rFonts w:ascii="Arial" w:cs="Arial" w:eastAsia="Arial" w:hAnsi="Arial"/>
          <w:sz w:val="16"/>
          <w:szCs w:val="16"/>
          <w:color w:val="auto"/>
        </w:rPr>
      </w:pPr>
    </w:p>
    <w:p>
      <w:pPr>
        <w:ind w:left="-300" w:right="400" w:firstLine="378"/>
        <w:spacing w:after="0" w:line="266" w:lineRule="auto"/>
        <w:tabs>
          <w:tab w:leader="none" w:pos="24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required hereunder shall be given in person or by registered mail to the address of Purchaser shown on the records of the Company, and to the Company at their respective principal executive offices.</w:t>
      </w:r>
    </w:p>
    <w:p>
      <w:pPr>
        <w:spacing w:after="0" w:line="158" w:lineRule="exact"/>
        <w:rPr>
          <w:rFonts w:ascii="Arial" w:cs="Arial" w:eastAsia="Arial" w:hAnsi="Arial"/>
          <w:sz w:val="16"/>
          <w:szCs w:val="16"/>
          <w:color w:val="auto"/>
        </w:rPr>
      </w:pPr>
    </w:p>
    <w:p>
      <w:pPr>
        <w:ind w:left="-300" w:firstLine="378"/>
        <w:spacing w:after="0" w:line="266" w:lineRule="auto"/>
        <w:tabs>
          <w:tab w:leader="none" w:pos="24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Survival of Terms</w:t>
      </w:r>
      <w:r>
        <w:rPr>
          <w:rFonts w:ascii="Arial" w:cs="Arial" w:eastAsia="Arial" w:hAnsi="Arial"/>
          <w:sz w:val="16"/>
          <w:szCs w:val="16"/>
          <w:color w:val="auto"/>
        </w:rPr>
        <w:t>. This Agreement shall apply to and bind Purchaser and the Company and their respective permitted assignees and transferees, heirs, legatees, executors, administrators and legal successors.</w:t>
      </w:r>
    </w:p>
    <w:p>
      <w:pPr>
        <w:spacing w:after="0" w:line="158" w:lineRule="exact"/>
        <w:rPr>
          <w:rFonts w:ascii="Arial" w:cs="Arial" w:eastAsia="Arial" w:hAnsi="Arial"/>
          <w:sz w:val="16"/>
          <w:szCs w:val="16"/>
          <w:color w:val="auto"/>
        </w:rPr>
      </w:pPr>
    </w:p>
    <w:p>
      <w:pPr>
        <w:ind w:left="-300" w:firstLine="378"/>
        <w:spacing w:after="0" w:line="311" w:lineRule="auto"/>
        <w:tabs>
          <w:tab w:leader="none" w:pos="242" w:val="left"/>
        </w:tabs>
        <w:numPr>
          <w:ilvl w:val="0"/>
          <w:numId w:val="354"/>
        </w:numPr>
        <w:rPr>
          <w:rFonts w:ascii="Arial" w:cs="Arial" w:eastAsia="Arial" w:hAnsi="Arial"/>
          <w:sz w:val="13"/>
          <w:szCs w:val="13"/>
          <w:color w:val="auto"/>
        </w:rPr>
      </w:pPr>
      <w:r>
        <w:rPr>
          <w:rFonts w:ascii="Arial" w:cs="Arial" w:eastAsia="Arial" w:hAnsi="Arial"/>
          <w:sz w:val="13"/>
          <w:szCs w:val="13"/>
          <w:u w:val="single" w:color="auto"/>
          <w:color w:val="auto"/>
        </w:rPr>
        <w:t>Section 83(b) Election</w:t>
      </w:r>
      <w:r>
        <w:rPr>
          <w:rFonts w:ascii="Arial" w:cs="Arial" w:eastAsia="Arial" w:hAnsi="Arial"/>
          <w:sz w:val="13"/>
          <w:szCs w:val="13"/>
          <w:color w:val="auto"/>
        </w:rPr>
        <w:t>. Purchaser hereby acknowledges that he or she has been informed that, with respect to the exercise of an Option for Unvested Shares, an election (the “Election”) may be filed by the Purchaser with the Internal Revenue Service, within thirty (30) days of the purchase of the exercised Shares, electing pursuant to Section 83(b) of the Code to be taxed currently on any difference between the purchase price of the exercised Shares and their Fair Market Value on the date of purchase. In the case of a Nonstatutory Stock Option, this will result in the recognition of taxable income to the Purchaser on the date of exercise, measured by the excess, if any, of the Fair Market Value of the exercised Shares, at the time the Option is exercised over the purchase price for the exercised Shares. Absent such an Election, taxable income will be measured and recognized by Purchaser at the time or times on which the Company’s Repurchase Option lapses. In the case of an Incentive Stock Option, such an Election will result in a recognition of income to the Purchaser for alternative minimum tax purposes on the date of exercise, measured by the excess, if any, of the Fair Market Value of the exercised Shares, at the time the option is exercised, over the purchase price for the exercised Shares. Absent such an Election, alternative minimum taxable income will be measured and recognized by Purchaser at the time or times on which the Company’s Repurchase Option lapses.</w:t>
      </w:r>
    </w:p>
    <w:p>
      <w:pPr>
        <w:sectPr>
          <w:pgSz w:w="11900" w:h="16838" w:orient="portrait"/>
          <w:cols w:equalWidth="0" w:num="1">
            <w:col w:w="9300"/>
          </w:cols>
          <w:pgMar w:left="1440" w:top="257" w:right="1159" w:bottom="1440" w:gutter="0" w:footer="0" w:header="0"/>
        </w:sectPr>
      </w:pPr>
    </w:p>
    <w:bookmarkStart w:id="494" w:name="page495"/>
    <w:bookmarkEnd w:id="494"/>
    <w:p>
      <w:pPr>
        <w:ind w:firstLine="385"/>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This discussion is intended only as a summary of the general United States income tax laws that apply to exercising Options as to Shares that have not yet vested and is accurate only as of the date this form Agreement was approved by the Board. The federal, state and local tax consequences to any particular taxpayer will depend upon his or her individual circumstances. Purchaser is strongly encouraged to seek the advice of his or her own tax consultants in connection with the purchase of the Shares and the advisability of filing of the Election under Section 83(b) of the Code. A form of Election under Section 83(b) is attached hereto as </w:t>
      </w:r>
      <w:r>
        <w:rPr>
          <w:rFonts w:ascii="Arial" w:cs="Arial" w:eastAsia="Arial" w:hAnsi="Arial"/>
          <w:sz w:val="15"/>
          <w:szCs w:val="15"/>
          <w:u w:val="single" w:color="auto"/>
          <w:color w:val="auto"/>
        </w:rPr>
        <w:t>Exhibit C-4</w:t>
      </w:r>
      <w:r>
        <w:rPr>
          <w:rFonts w:ascii="Arial" w:cs="Arial" w:eastAsia="Arial" w:hAnsi="Arial"/>
          <w:sz w:val="15"/>
          <w:szCs w:val="15"/>
          <w:color w:val="auto"/>
        </w:rPr>
        <w:t xml:space="preserve"> for reference.</w:t>
      </w:r>
    </w:p>
    <w:p>
      <w:pPr>
        <w:spacing w:after="0" w:line="154"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6"/>
          <w:szCs w:val="16"/>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66" w:lineRule="exact"/>
        <w:rPr>
          <w:sz w:val="20"/>
          <w:szCs w:val="20"/>
          <w:color w:val="auto"/>
        </w:rPr>
      </w:pPr>
    </w:p>
    <w:p>
      <w:pPr>
        <w:ind w:right="60" w:firstLine="378"/>
        <w:spacing w:after="0" w:line="275" w:lineRule="auto"/>
        <w:tabs>
          <w:tab w:leader="none" w:pos="542" w:val="left"/>
        </w:tabs>
        <w:numPr>
          <w:ilvl w:val="0"/>
          <w:numId w:val="355"/>
        </w:numPr>
        <w:rPr>
          <w:rFonts w:ascii="Arial" w:cs="Arial" w:eastAsia="Arial" w:hAnsi="Arial"/>
          <w:sz w:val="15"/>
          <w:szCs w:val="15"/>
          <w:color w:val="auto"/>
        </w:rPr>
      </w:pPr>
      <w:r>
        <w:rPr>
          <w:rFonts w:ascii="Arial" w:cs="Arial" w:eastAsia="Arial" w:hAnsi="Arial"/>
          <w:sz w:val="15"/>
          <w:szCs w:val="15"/>
          <w:u w:val="single" w:color="auto"/>
          <w:color w:val="auto"/>
        </w:rPr>
        <w:t>Representations</w:t>
      </w:r>
      <w:r>
        <w:rPr>
          <w:rFonts w:ascii="Arial" w:cs="Arial" w:eastAsia="Arial" w:hAnsi="Arial"/>
          <w:sz w:val="15"/>
          <w:szCs w:val="15"/>
          <w:color w:val="auto"/>
        </w:rPr>
        <w:t>. Purchaser has reviewed with his or her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or she (and not the Company) shall be responsible for his or her own tax liability that may arise as a result of this investment or the transactions contemplated by this Agreement.</w:t>
      </w:r>
    </w:p>
    <w:p>
      <w:pPr>
        <w:spacing w:after="0" w:line="152" w:lineRule="exact"/>
        <w:rPr>
          <w:rFonts w:ascii="Arial" w:cs="Arial" w:eastAsia="Arial" w:hAnsi="Arial"/>
          <w:sz w:val="15"/>
          <w:szCs w:val="15"/>
          <w:color w:val="auto"/>
        </w:rPr>
      </w:pPr>
    </w:p>
    <w:p>
      <w:pPr>
        <w:ind w:right="140" w:firstLine="378"/>
        <w:spacing w:after="0" w:line="272" w:lineRule="auto"/>
        <w:tabs>
          <w:tab w:leader="none" w:pos="620" w:val="left"/>
        </w:tabs>
        <w:numPr>
          <w:ilvl w:val="0"/>
          <w:numId w:val="355"/>
        </w:numPr>
        <w:rPr>
          <w:rFonts w:ascii="Arial" w:cs="Arial" w:eastAsia="Arial" w:hAnsi="Arial"/>
          <w:sz w:val="15"/>
          <w:szCs w:val="15"/>
          <w:color w:val="auto"/>
        </w:rPr>
      </w:pPr>
      <w:r>
        <w:rPr>
          <w:rFonts w:ascii="Arial" w:cs="Arial" w:eastAsia="Arial" w:hAnsi="Arial"/>
          <w:sz w:val="15"/>
          <w:szCs w:val="15"/>
          <w:u w:val="single" w:color="auto"/>
          <w:color w:val="auto"/>
        </w:rPr>
        <w:t>Entire Agreement; Governing Law</w:t>
      </w:r>
      <w:r>
        <w:rPr>
          <w:rFonts w:ascii="Arial" w:cs="Arial" w:eastAsia="Arial" w:hAnsi="Arial"/>
          <w:sz w:val="15"/>
          <w:szCs w:val="15"/>
          <w:color w:val="auto"/>
        </w:rPr>
        <w:t>. The Plan and Option Agreement are incorporated herein by reference. The Plan, the Option Agreement, the Exercise Notice, this Agreement, and the Investment Representation Statement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Delaware.</w:t>
      </w:r>
    </w:p>
    <w:p>
      <w:pPr>
        <w:spacing w:after="0" w:line="154" w:lineRule="exact"/>
        <w:rPr>
          <w:sz w:val="20"/>
          <w:szCs w:val="20"/>
          <w:color w:val="auto"/>
        </w:rPr>
      </w:pPr>
    </w:p>
    <w:p>
      <w:pPr>
        <w:ind w:right="300" w:firstLine="385"/>
        <w:spacing w:after="0" w:line="300" w:lineRule="auto"/>
        <w:rPr>
          <w:sz w:val="20"/>
          <w:szCs w:val="20"/>
          <w:color w:val="auto"/>
        </w:rPr>
      </w:pPr>
      <w:r>
        <w:rPr>
          <w:rFonts w:ascii="Arial" w:cs="Arial" w:eastAsia="Arial" w:hAnsi="Arial"/>
          <w:sz w:val="15"/>
          <w:szCs w:val="15"/>
          <w:color w:val="auto"/>
        </w:rPr>
        <w:t>Purchaser represents that he or she has read this Agreement and is familiar with its terms and provisions. Purchaser hereby agrees to accept as binding, conclusive and final all decisions or interpretations of the Board upon any questions arising under this Agreement.</w:t>
      </w:r>
    </w:p>
    <w:p>
      <w:pPr>
        <w:sectPr>
          <w:pgSz w:w="11900" w:h="16838" w:orient="portrait"/>
          <w:cols w:equalWidth="0" w:num="1">
            <w:col w:w="9600"/>
          </w:cols>
          <w:pgMar w:left="1140" w:top="256" w:right="1159" w:bottom="1440" w:gutter="0" w:footer="0" w:header="0"/>
        </w:sectPr>
      </w:pPr>
    </w:p>
    <w:bookmarkStart w:id="495" w:name="page496"/>
    <w:bookmarkEnd w:id="495"/>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 WITNESS WHEREOF, this Agreement is deemed made as of the date first set forth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40" w:type="dxa"/>
            <w:vAlign w:val="bottom"/>
            <w:gridSpan w:val="2"/>
          </w:tcPr>
          <w:p>
            <w:pPr>
              <w:spacing w:after="0"/>
              <w:rPr>
                <w:sz w:val="20"/>
                <w:szCs w:val="20"/>
                <w:color w:val="auto"/>
              </w:rPr>
            </w:pPr>
            <w:r>
              <w:rPr>
                <w:rFonts w:ascii="Arial" w:cs="Arial" w:eastAsia="Arial" w:hAnsi="Arial"/>
                <w:sz w:val="16"/>
                <w:szCs w:val="16"/>
                <w:color w:val="auto"/>
              </w:rPr>
              <w:t>PARTICIPANT</w:t>
            </w:r>
          </w:p>
        </w:tc>
        <w:tc>
          <w:tcPr>
            <w:tcW w:w="5180" w:type="dxa"/>
            <w:vAlign w:val="bottom"/>
            <w:gridSpan w:val="2"/>
          </w:tcPr>
          <w:p>
            <w:pPr>
              <w:ind w:left="76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By</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Print Name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Print Name</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Residence Address</w:t>
            </w:r>
          </w:p>
        </w:tc>
        <w:tc>
          <w:tcPr>
            <w:tcW w:w="7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620"/>
          </w:cols>
          <w:pgMar w:left="1140" w:top="256" w:right="1139" w:bottom="1440" w:gutter="0" w:footer="0" w:header="0"/>
        </w:sectPr>
      </w:pPr>
    </w:p>
    <w:bookmarkStart w:id="496" w:name="page497"/>
    <w:bookmarkEnd w:id="496"/>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C-2</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ASSIGNMENT SEPARATE FROM CERTIFICATE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ind w:left="380"/>
              <w:spacing w:after="0"/>
              <w:rPr>
                <w:sz w:val="20"/>
                <w:szCs w:val="20"/>
                <w:color w:val="auto"/>
              </w:rPr>
            </w:pPr>
            <w:r>
              <w:rPr>
                <w:rFonts w:ascii="Arial" w:cs="Arial" w:eastAsia="Arial" w:hAnsi="Arial"/>
                <w:sz w:val="16"/>
                <w:szCs w:val="16"/>
                <w:color w:val="auto"/>
                <w:w w:val="95"/>
              </w:rPr>
              <w:t>FOR VALUE RECEIVED I,</w:t>
            </w:r>
          </w:p>
        </w:tc>
        <w:tc>
          <w:tcPr>
            <w:tcW w:w="2080" w:type="dxa"/>
            <w:vAlign w:val="bottom"/>
            <w:tcBorders>
              <w:bottom w:val="single" w:sz="8" w:color="auto"/>
            </w:tcBorders>
            <w:gridSpan w:val="2"/>
          </w:tcPr>
          <w:p>
            <w:pPr>
              <w:spacing w:after="0"/>
              <w:rPr>
                <w:sz w:val="16"/>
                <w:szCs w:val="16"/>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88"/>
              </w:rPr>
              <w:t>, hereby sell, assign and transfer unto Tenaya Therapeutics, Inc.</w:t>
            </w:r>
          </w:p>
        </w:tc>
        <w:tc>
          <w:tcPr>
            <w:tcW w:w="940" w:type="dxa"/>
            <w:vAlign w:val="bottom"/>
            <w:tcBorders>
              <w:bottom w:val="single" w:sz="8" w:color="auto"/>
            </w:tcBorders>
            <w:gridSpan w:val="2"/>
          </w:tcPr>
          <w:p>
            <w:pPr>
              <w:spacing w:after="0"/>
              <w:rPr>
                <w:sz w:val="16"/>
                <w:szCs w:val="16"/>
                <w:color w:val="auto"/>
              </w:rPr>
            </w:pPr>
          </w:p>
        </w:tc>
        <w:tc>
          <w:tcPr>
            <w:tcW w:w="220" w:type="dxa"/>
            <w:vAlign w:val="bottom"/>
            <w:gridSpan w:val="2"/>
          </w:tcPr>
          <w:p>
            <w:pPr>
              <w:spacing w:after="0"/>
              <w:rPr>
                <w:sz w:val="16"/>
                <w:szCs w:val="16"/>
                <w:color w:val="auto"/>
              </w:rPr>
            </w:pPr>
          </w:p>
        </w:tc>
      </w:tr>
      <w:tr>
        <w:trPr>
          <w:trHeight w:val="169"/>
        </w:trPr>
        <w:tc>
          <w:tcPr>
            <w:tcW w:w="9000" w:type="dxa"/>
            <w:vAlign w:val="bottom"/>
            <w:gridSpan w:val="6"/>
          </w:tcPr>
          <w:p>
            <w:pPr>
              <w:spacing w:after="0" w:line="168" w:lineRule="exact"/>
              <w:rPr>
                <w:sz w:val="20"/>
                <w:szCs w:val="20"/>
                <w:color w:val="auto"/>
              </w:rPr>
            </w:pPr>
            <w:r>
              <w:rPr>
                <w:rFonts w:ascii="Arial" w:cs="Arial" w:eastAsia="Arial" w:hAnsi="Arial"/>
                <w:sz w:val="16"/>
                <w:szCs w:val="16"/>
                <w:color w:val="auto"/>
                <w:w w:val="88"/>
              </w:rPr>
              <w:t>shares of the Common Stock of Tenaya Therapeutics, Inc. standing in my name of the books of said corporation represented by Certificate No.</w:t>
            </w:r>
          </w:p>
        </w:tc>
        <w:tc>
          <w:tcPr>
            <w:tcW w:w="320" w:type="dxa"/>
            <w:vAlign w:val="bottom"/>
            <w:tcBorders>
              <w:bottom w:val="single" w:sz="8" w:color="auto"/>
            </w:tcBorders>
            <w:gridSpan w:val="2"/>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3700" w:type="dxa"/>
            <w:vAlign w:val="bottom"/>
            <w:gridSpan w:val="2"/>
          </w:tcPr>
          <w:p>
            <w:pPr>
              <w:spacing w:after="0" w:line="168" w:lineRule="exact"/>
              <w:rPr>
                <w:sz w:val="20"/>
                <w:szCs w:val="20"/>
                <w:color w:val="auto"/>
              </w:rPr>
            </w:pPr>
            <w:r>
              <w:rPr>
                <w:rFonts w:ascii="Arial" w:cs="Arial" w:eastAsia="Arial" w:hAnsi="Arial"/>
                <w:sz w:val="16"/>
                <w:szCs w:val="16"/>
                <w:color w:val="auto"/>
                <w:w w:val="89"/>
              </w:rPr>
              <w:t>herewith and do hereby irrevocably constitute and appoint</w:t>
            </w: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720" w:type="dxa"/>
            <w:vAlign w:val="bottom"/>
            <w:gridSpan w:val="5"/>
          </w:tcPr>
          <w:p>
            <w:pPr>
              <w:ind w:left="40"/>
              <w:spacing w:after="0" w:line="168" w:lineRule="exact"/>
              <w:rPr>
                <w:sz w:val="20"/>
                <w:szCs w:val="20"/>
                <w:color w:val="auto"/>
              </w:rPr>
            </w:pPr>
            <w:r>
              <w:rPr>
                <w:rFonts w:ascii="Arial" w:cs="Arial" w:eastAsia="Arial" w:hAnsi="Arial"/>
                <w:sz w:val="16"/>
                <w:szCs w:val="16"/>
                <w:color w:val="auto"/>
                <w:w w:val="88"/>
              </w:rPr>
              <w:t>to transfer the said stock on the books of the within named</w:t>
            </w:r>
          </w:p>
        </w:tc>
      </w:tr>
      <w:tr>
        <w:trPr>
          <w:trHeight w:val="203"/>
        </w:trPr>
        <w:tc>
          <w:tcPr>
            <w:tcW w:w="4300" w:type="dxa"/>
            <w:vAlign w:val="bottom"/>
            <w:gridSpan w:val="3"/>
          </w:tcPr>
          <w:p>
            <w:pPr>
              <w:spacing w:after="0"/>
              <w:rPr>
                <w:sz w:val="20"/>
                <w:szCs w:val="20"/>
                <w:color w:val="auto"/>
              </w:rPr>
            </w:pPr>
            <w:r>
              <w:rPr>
                <w:rFonts w:ascii="Arial" w:cs="Arial" w:eastAsia="Arial" w:hAnsi="Arial"/>
                <w:sz w:val="16"/>
                <w:szCs w:val="16"/>
                <w:color w:val="auto"/>
              </w:rPr>
              <w:t>corporation with full power of substitution in the premises.</w:t>
            </w:r>
          </w:p>
        </w:tc>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This Stock Assignment may be used only in accordance with the Restricted Stock Purchase Agreement between Tenaya Therapeutics, Inc. and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spacing w:after="0"/>
              <w:rPr>
                <w:sz w:val="20"/>
                <w:szCs w:val="20"/>
                <w:color w:val="auto"/>
              </w:rPr>
            </w:pPr>
            <w:r>
              <w:rPr>
                <w:rFonts w:ascii="Arial" w:cs="Arial" w:eastAsia="Arial" w:hAnsi="Arial"/>
                <w:sz w:val="16"/>
                <w:szCs w:val="16"/>
                <w:color w:val="auto"/>
                <w:w w:val="87"/>
              </w:rPr>
              <w:t>undersigned dated</w:t>
            </w:r>
          </w:p>
        </w:tc>
        <w:tc>
          <w:tcPr>
            <w:tcW w:w="62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320" w:type="dxa"/>
            <w:vAlign w:val="bottom"/>
            <w:tcBorders>
              <w:bottom w:val="single" w:sz="8" w:color="auto"/>
            </w:tcBorders>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color w:val="auto"/>
                <w:w w:val="96"/>
              </w:rPr>
              <w:t>(the “Agreement”).</w:t>
            </w:r>
          </w:p>
        </w:tc>
        <w:tc>
          <w:tcPr>
            <w:tcW w:w="2620" w:type="dxa"/>
            <w:vAlign w:val="bottom"/>
          </w:tcPr>
          <w:p>
            <w:pPr>
              <w:spacing w:after="0"/>
              <w:rPr>
                <w:sz w:val="16"/>
                <w:szCs w:val="16"/>
                <w:color w:val="auto"/>
              </w:rPr>
            </w:pPr>
          </w:p>
        </w:tc>
      </w:tr>
      <w:tr>
        <w:trPr>
          <w:trHeight w:val="381"/>
        </w:trPr>
        <w:tc>
          <w:tcPr>
            <w:tcW w:w="580" w:type="dxa"/>
            <w:vAlign w:val="bottom"/>
          </w:tcPr>
          <w:p>
            <w:pPr>
              <w:spacing w:after="0"/>
              <w:rPr>
                <w:sz w:val="20"/>
                <w:szCs w:val="20"/>
                <w:color w:val="auto"/>
              </w:rPr>
            </w:pPr>
            <w:r>
              <w:rPr>
                <w:rFonts w:ascii="Arial" w:cs="Arial" w:eastAsia="Arial" w:hAnsi="Arial"/>
                <w:sz w:val="16"/>
                <w:szCs w:val="16"/>
                <w:color w:val="auto"/>
              </w:rPr>
              <w:t>Dated:</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2620" w:type="dxa"/>
            <w:vAlign w:val="bottom"/>
          </w:tcPr>
          <w:p>
            <w:pPr>
              <w:ind w:left="1960"/>
              <w:spacing w:after="0"/>
              <w:rPr>
                <w:sz w:val="20"/>
                <w:szCs w:val="20"/>
                <w:color w:val="auto"/>
              </w:rPr>
            </w:pPr>
            <w:r>
              <w:rPr>
                <w:rFonts w:ascii="Arial" w:cs="Arial" w:eastAsia="Arial" w:hAnsi="Arial"/>
                <w:sz w:val="16"/>
                <w:szCs w:val="16"/>
                <w:color w:val="auto"/>
                <w:w w:val="87"/>
              </w:rPr>
              <w:t>Signature:</w:t>
            </w:r>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15240</wp:posOffset>
            </wp:positionV>
            <wp:extent cx="213360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191" w:lineRule="exact"/>
        <w:rPr>
          <w:sz w:val="20"/>
          <w:szCs w:val="20"/>
          <w:color w:val="auto"/>
        </w:rPr>
      </w:pPr>
    </w:p>
    <w:p>
      <w:pPr>
        <w:ind w:right="420" w:firstLine="385"/>
        <w:spacing w:after="0" w:line="383" w:lineRule="auto"/>
        <w:rPr>
          <w:sz w:val="20"/>
          <w:szCs w:val="20"/>
          <w:color w:val="auto"/>
        </w:rPr>
      </w:pPr>
      <w:r>
        <w:rPr>
          <w:rFonts w:ascii="Arial" w:cs="Arial" w:eastAsia="Arial" w:hAnsi="Arial"/>
          <w:sz w:val="13"/>
          <w:szCs w:val="13"/>
          <w:color w:val="auto"/>
        </w:rPr>
        <w:t>INSTRUCTIONS: Please do not fill in any blanks other than the signature line. The purpose of this assignment is to enable the Company to exercise its “repurchase option,” as set forth in the Agreement, without requiring additional signatures on the part of the Purchaser.</w:t>
      </w:r>
    </w:p>
    <w:p>
      <w:pPr>
        <w:sectPr>
          <w:pgSz w:w="11900" w:h="16838" w:orient="portrait"/>
          <w:cols w:equalWidth="0" w:num="1">
            <w:col w:w="9580"/>
          </w:cols>
          <w:pgMar w:left="1140" w:top="252" w:right="1179" w:bottom="1440" w:gutter="0" w:footer="0" w:header="0"/>
        </w:sectPr>
      </w:pPr>
    </w:p>
    <w:bookmarkStart w:id="497" w:name="page498"/>
    <w:bookmarkEnd w:id="497"/>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JOINT ESCROW INSTRUCTIONS</w:t>
      </w:r>
    </w:p>
    <w:p>
      <w:pPr>
        <w:spacing w:after="0" w:line="19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-10795</wp:posOffset>
            </wp:positionV>
            <wp:extent cx="84836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4836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 5th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Dear Corporate Secretary:</w:t>
      </w:r>
    </w:p>
    <w:p>
      <w:pPr>
        <w:spacing w:after="0" w:line="193" w:lineRule="exact"/>
        <w:rPr>
          <w:sz w:val="20"/>
          <w:szCs w:val="20"/>
          <w:color w:val="auto"/>
        </w:rPr>
      </w:pPr>
    </w:p>
    <w:p>
      <w:pPr>
        <w:ind w:firstLine="385"/>
        <w:spacing w:after="0" w:line="281" w:lineRule="auto"/>
        <w:rPr>
          <w:sz w:val="20"/>
          <w:szCs w:val="20"/>
          <w:color w:val="auto"/>
        </w:rPr>
      </w:pPr>
      <w:r>
        <w:rPr>
          <w:rFonts w:ascii="Arial" w:cs="Arial" w:eastAsia="Arial" w:hAnsi="Arial"/>
          <w:sz w:val="15"/>
          <w:szCs w:val="15"/>
          <w:color w:val="auto"/>
        </w:rPr>
        <w:t>As Escrow Agent for both Tenaya Therapeutics, Inc. (the “Company”), and the undersigned purchaser of stock of the Company (the “Purchaser”), you are hereby authorized and directed to hold the documents delivered to you pursuant to the terms of that certain Restricted Stock Purchase Agreement (the “Agreement”) between the Company and the undersigned, in accordance with the following instructions:</w:t>
      </w:r>
    </w:p>
    <w:p>
      <w:pPr>
        <w:spacing w:after="0" w:line="149" w:lineRule="exact"/>
        <w:rPr>
          <w:sz w:val="20"/>
          <w:szCs w:val="20"/>
          <w:color w:val="auto"/>
        </w:rPr>
      </w:pPr>
    </w:p>
    <w:p>
      <w:pPr>
        <w:jc w:val="both"/>
        <w:ind w:firstLine="378"/>
        <w:spacing w:after="0" w:line="329" w:lineRule="auto"/>
        <w:tabs>
          <w:tab w:leader="none" w:pos="542" w:val="left"/>
        </w:tabs>
        <w:numPr>
          <w:ilvl w:val="0"/>
          <w:numId w:val="356"/>
        </w:numPr>
        <w:rPr>
          <w:rFonts w:ascii="Arial" w:cs="Arial" w:eastAsia="Arial" w:hAnsi="Arial"/>
          <w:sz w:val="13"/>
          <w:szCs w:val="13"/>
          <w:color w:val="auto"/>
        </w:rPr>
      </w:pPr>
      <w:r>
        <w:rPr>
          <w:rFonts w:ascii="Arial" w:cs="Arial" w:eastAsia="Arial" w:hAnsi="Arial"/>
          <w:sz w:val="13"/>
          <w:szCs w:val="13"/>
          <w:color w:val="auto"/>
        </w:rPr>
        <w:t>In the event the Company and/or any assignee of the Company (referred to collectively for convenience herein as the “Company”)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23" w:lineRule="exact"/>
        <w:rPr>
          <w:rFonts w:ascii="Arial" w:cs="Arial" w:eastAsia="Arial" w:hAnsi="Arial"/>
          <w:sz w:val="13"/>
          <w:szCs w:val="13"/>
          <w:color w:val="auto"/>
        </w:rPr>
      </w:pPr>
    </w:p>
    <w:p>
      <w:pPr>
        <w:jc w:val="both"/>
        <w:ind w:right="80" w:firstLine="378"/>
        <w:spacing w:after="0" w:line="253" w:lineRule="auto"/>
        <w:tabs>
          <w:tab w:leader="none" w:pos="54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67" w:lineRule="exact"/>
        <w:rPr>
          <w:rFonts w:ascii="Arial" w:cs="Arial" w:eastAsia="Arial" w:hAnsi="Arial"/>
          <w:sz w:val="16"/>
          <w:szCs w:val="16"/>
          <w:color w:val="auto"/>
        </w:rPr>
      </w:pPr>
    </w:p>
    <w:p>
      <w:pPr>
        <w:ind w:right="20" w:firstLine="378"/>
        <w:spacing w:after="0" w:line="319" w:lineRule="auto"/>
        <w:tabs>
          <w:tab w:leader="none" w:pos="542" w:val="left"/>
        </w:tabs>
        <w:numPr>
          <w:ilvl w:val="0"/>
          <w:numId w:val="356"/>
        </w:numPr>
        <w:rPr>
          <w:rFonts w:ascii="Arial" w:cs="Arial" w:eastAsia="Arial" w:hAnsi="Arial"/>
          <w:sz w:val="13"/>
          <w:szCs w:val="13"/>
          <w:color w:val="auto"/>
        </w:rPr>
      </w:pPr>
      <w:r>
        <w:rPr>
          <w:rFonts w:ascii="Arial" w:cs="Arial" w:eastAsia="Arial" w:hAnsi="Arial"/>
          <w:sz w:val="13"/>
          <w:szCs w:val="13"/>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128" w:lineRule="exact"/>
        <w:rPr>
          <w:rFonts w:ascii="Arial" w:cs="Arial" w:eastAsia="Arial" w:hAnsi="Arial"/>
          <w:sz w:val="13"/>
          <w:szCs w:val="13"/>
          <w:color w:val="auto"/>
        </w:rPr>
      </w:pPr>
    </w:p>
    <w:p>
      <w:pPr>
        <w:ind w:right="200" w:firstLine="378"/>
        <w:spacing w:after="0" w:line="383" w:lineRule="auto"/>
        <w:tabs>
          <w:tab w:leader="none" w:pos="542" w:val="left"/>
        </w:tabs>
        <w:numPr>
          <w:ilvl w:val="0"/>
          <w:numId w:val="356"/>
        </w:numPr>
        <w:rPr>
          <w:rFonts w:ascii="Arial" w:cs="Arial" w:eastAsia="Arial" w:hAnsi="Arial"/>
          <w:sz w:val="13"/>
          <w:szCs w:val="13"/>
          <w:color w:val="auto"/>
        </w:rPr>
      </w:pPr>
      <w:r>
        <w:rPr>
          <w:rFonts w:ascii="Arial" w:cs="Arial" w:eastAsia="Arial" w:hAnsi="Arial"/>
          <w:sz w:val="13"/>
          <w:szCs w:val="13"/>
          <w:color w:val="auto"/>
        </w:rPr>
        <w:t>Upon written request of the Purchaser, but no more than once per calendar year, unless the Company’s repurchase option has been exercised, you shall deliver to Purchaser a certificate or certificates representing so many shares of stock as are not then subject to the Company’s repurchase</w:t>
      </w:r>
    </w:p>
    <w:p>
      <w:pPr>
        <w:sectPr>
          <w:pgSz w:w="11900" w:h="16838" w:orient="portrait"/>
          <w:cols w:equalWidth="0" w:num="1">
            <w:col w:w="9580"/>
          </w:cols>
          <w:pgMar w:left="1140" w:top="252" w:right="1179" w:bottom="1440" w:gutter="0" w:footer="0" w:header="0"/>
        </w:sectPr>
      </w:pPr>
    </w:p>
    <w:bookmarkStart w:id="498" w:name="page499"/>
    <w:bookmarkEnd w:id="498"/>
    <w:p>
      <w:pPr>
        <w:ind w:right="120"/>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option. Within one hundred and twenty (120) days after cessation of Purchaser’s continuous employment by or services to the Company, or any parent or subsidiary of the Company, you shall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14" w:lineRule="exact"/>
        <w:rPr>
          <w:sz w:val="20"/>
          <w:szCs w:val="20"/>
          <w:color w:val="auto"/>
        </w:rPr>
      </w:pPr>
    </w:p>
    <w:p>
      <w:pPr>
        <w:ind w:right="480" w:firstLine="378"/>
        <w:spacing w:after="0" w:line="300" w:lineRule="auto"/>
        <w:tabs>
          <w:tab w:leader="none" w:pos="542" w:val="left"/>
        </w:tabs>
        <w:numPr>
          <w:ilvl w:val="0"/>
          <w:numId w:val="357"/>
        </w:numPr>
        <w:rPr>
          <w:rFonts w:ascii="Arial" w:cs="Arial" w:eastAsia="Arial" w:hAnsi="Arial"/>
          <w:sz w:val="15"/>
          <w:szCs w:val="15"/>
          <w:color w:val="auto"/>
        </w:rPr>
      </w:pPr>
      <w:r>
        <w:rPr>
          <w:rFonts w:ascii="Arial" w:cs="Arial" w:eastAsia="Arial" w:hAnsi="Arial"/>
          <w:sz w:val="15"/>
          <w:szCs w:val="15"/>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34" w:lineRule="exact"/>
        <w:rPr>
          <w:rFonts w:ascii="Arial" w:cs="Arial" w:eastAsia="Arial" w:hAnsi="Arial"/>
          <w:sz w:val="15"/>
          <w:szCs w:val="15"/>
          <w:color w:val="auto"/>
        </w:rPr>
      </w:pPr>
    </w:p>
    <w:p>
      <w:pPr>
        <w:ind w:left="520" w:hanging="142"/>
        <w:spacing w:after="0"/>
        <w:tabs>
          <w:tab w:leader="none" w:pos="5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Your duties hereunder may be altered, amended, modified or revoked only by a writing signed by all of the parties hereto.</w:t>
      </w:r>
    </w:p>
    <w:p>
      <w:pPr>
        <w:spacing w:after="0" w:line="193" w:lineRule="exact"/>
        <w:rPr>
          <w:rFonts w:ascii="Arial" w:cs="Arial" w:eastAsia="Arial" w:hAnsi="Arial"/>
          <w:sz w:val="16"/>
          <w:szCs w:val="16"/>
          <w:color w:val="auto"/>
        </w:rPr>
      </w:pPr>
    </w:p>
    <w:p>
      <w:pPr>
        <w:ind w:right="40" w:firstLine="378"/>
        <w:spacing w:after="0" w:line="329" w:lineRule="auto"/>
        <w:tabs>
          <w:tab w:leader="none" w:pos="542" w:val="left"/>
        </w:tabs>
        <w:numPr>
          <w:ilvl w:val="0"/>
          <w:numId w:val="357"/>
        </w:numPr>
        <w:rPr>
          <w:rFonts w:ascii="Arial" w:cs="Arial" w:eastAsia="Arial" w:hAnsi="Arial"/>
          <w:sz w:val="13"/>
          <w:szCs w:val="13"/>
          <w:color w:val="auto"/>
        </w:rPr>
      </w:pPr>
      <w:r>
        <w:rPr>
          <w:rFonts w:ascii="Arial" w:cs="Arial" w:eastAsia="Arial" w:hAnsi="Arial"/>
          <w:sz w:val="13"/>
          <w:szCs w:val="13"/>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23" w:lineRule="exact"/>
        <w:rPr>
          <w:rFonts w:ascii="Arial" w:cs="Arial" w:eastAsia="Arial" w:hAnsi="Arial"/>
          <w:sz w:val="13"/>
          <w:szCs w:val="13"/>
          <w:color w:val="auto"/>
        </w:rPr>
      </w:pPr>
    </w:p>
    <w:p>
      <w:pPr>
        <w:ind w:firstLine="378"/>
        <w:spacing w:after="0" w:line="272" w:lineRule="auto"/>
        <w:tabs>
          <w:tab w:leader="none" w:pos="542" w:val="left"/>
        </w:tabs>
        <w:numPr>
          <w:ilvl w:val="0"/>
          <w:numId w:val="357"/>
        </w:numPr>
        <w:rPr>
          <w:rFonts w:ascii="Arial" w:cs="Arial" w:eastAsia="Arial" w:hAnsi="Arial"/>
          <w:sz w:val="15"/>
          <w:szCs w:val="15"/>
          <w:color w:val="auto"/>
        </w:rPr>
      </w:pPr>
      <w:r>
        <w:rPr>
          <w:rFonts w:ascii="Arial" w:cs="Arial" w:eastAsia="Arial" w:hAnsi="Arial"/>
          <w:sz w:val="15"/>
          <w:szCs w:val="15"/>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54" w:lineRule="exact"/>
        <w:rPr>
          <w:rFonts w:ascii="Arial" w:cs="Arial" w:eastAsia="Arial" w:hAnsi="Arial"/>
          <w:sz w:val="15"/>
          <w:szCs w:val="15"/>
          <w:color w:val="auto"/>
        </w:rPr>
      </w:pPr>
    </w:p>
    <w:p>
      <w:pPr>
        <w:ind w:right="400" w:firstLine="378"/>
        <w:spacing w:after="0" w:line="266" w:lineRule="auto"/>
        <w:tabs>
          <w:tab w:leader="none" w:pos="542" w:val="left"/>
        </w:tabs>
        <w:numPr>
          <w:ilvl w:val="0"/>
          <w:numId w:val="357"/>
        </w:numPr>
        <w:rPr>
          <w:rFonts w:ascii="Arial" w:cs="Arial" w:eastAsia="Arial" w:hAnsi="Arial"/>
          <w:sz w:val="16"/>
          <w:szCs w:val="16"/>
          <w:color w:val="auto"/>
        </w:rPr>
      </w:pPr>
      <w:r>
        <w:rPr>
          <w:rFonts w:ascii="Arial" w:cs="Arial" w:eastAsia="Arial" w:hAnsi="Arial"/>
          <w:sz w:val="16"/>
          <w:szCs w:val="16"/>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58" w:lineRule="exact"/>
        <w:rPr>
          <w:rFonts w:ascii="Arial" w:cs="Arial" w:eastAsia="Arial" w:hAnsi="Arial"/>
          <w:sz w:val="16"/>
          <w:szCs w:val="16"/>
          <w:color w:val="auto"/>
        </w:rPr>
      </w:pPr>
    </w:p>
    <w:p>
      <w:pPr>
        <w:ind w:right="160" w:firstLine="378"/>
        <w:spacing w:after="0" w:line="266" w:lineRule="auto"/>
        <w:tabs>
          <w:tab w:leader="none" w:pos="6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You shall not be liable for the outlawing of any rights under the Statute of Limitations with respect to these Joint Escrow Instructions or any documents deposited with you.</w:t>
      </w:r>
    </w:p>
    <w:p>
      <w:pPr>
        <w:spacing w:after="0" w:line="158" w:lineRule="exact"/>
        <w:rPr>
          <w:rFonts w:ascii="Arial" w:cs="Arial" w:eastAsia="Arial" w:hAnsi="Arial"/>
          <w:sz w:val="16"/>
          <w:szCs w:val="16"/>
          <w:color w:val="auto"/>
        </w:rPr>
      </w:pPr>
    </w:p>
    <w:p>
      <w:pPr>
        <w:ind w:right="260" w:firstLine="378"/>
        <w:spacing w:after="0" w:line="383" w:lineRule="auto"/>
        <w:tabs>
          <w:tab w:leader="none" w:pos="614" w:val="left"/>
        </w:tabs>
        <w:numPr>
          <w:ilvl w:val="0"/>
          <w:numId w:val="357"/>
        </w:numPr>
        <w:rPr>
          <w:rFonts w:ascii="Arial" w:cs="Arial" w:eastAsia="Arial" w:hAnsi="Arial"/>
          <w:sz w:val="13"/>
          <w:szCs w:val="13"/>
          <w:color w:val="auto"/>
        </w:rPr>
      </w:pPr>
      <w:r>
        <w:rPr>
          <w:rFonts w:ascii="Arial" w:cs="Arial" w:eastAsia="Arial" w:hAnsi="Arial"/>
          <w:sz w:val="13"/>
          <w:szCs w:val="13"/>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88" w:lineRule="exact"/>
        <w:rPr>
          <w:rFonts w:ascii="Arial" w:cs="Arial" w:eastAsia="Arial" w:hAnsi="Arial"/>
          <w:sz w:val="13"/>
          <w:szCs w:val="13"/>
          <w:color w:val="auto"/>
        </w:rPr>
      </w:pPr>
    </w:p>
    <w:p>
      <w:pPr>
        <w:ind w:right="300" w:firstLine="378"/>
        <w:spacing w:after="0" w:line="300" w:lineRule="auto"/>
        <w:tabs>
          <w:tab w:leader="none" w:pos="62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34" w:lineRule="exact"/>
        <w:rPr>
          <w:rFonts w:ascii="Arial" w:cs="Arial" w:eastAsia="Arial" w:hAnsi="Arial"/>
          <w:sz w:val="15"/>
          <w:szCs w:val="15"/>
          <w:color w:val="auto"/>
        </w:rPr>
      </w:pPr>
    </w:p>
    <w:p>
      <w:pPr>
        <w:ind w:right="140" w:firstLine="378"/>
        <w:spacing w:after="0" w:line="266" w:lineRule="auto"/>
        <w:tabs>
          <w:tab w:leader="none" w:pos="6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If you reasonably require other or further instruments in connection with these Joint Escrow Instructions or obligations in respect hereto, the necessary parties hereto shall join in furnishing such instruments.</w:t>
      </w:r>
    </w:p>
    <w:p>
      <w:pPr>
        <w:sectPr>
          <w:pgSz w:w="11900" w:h="16838" w:orient="portrait"/>
          <w:cols w:equalWidth="0" w:num="1">
            <w:col w:w="9580"/>
          </w:cols>
          <w:pgMar w:left="1140" w:top="256" w:right="1179" w:bottom="1440" w:gutter="0" w:footer="0" w:header="0"/>
        </w:sectPr>
      </w:pPr>
    </w:p>
    <w:bookmarkStart w:id="499" w:name="page500"/>
    <w:bookmarkEnd w:id="499"/>
    <w:p>
      <w:pPr>
        <w:ind w:firstLine="378"/>
        <w:spacing w:after="0" w:line="251" w:lineRule="auto"/>
        <w:tabs>
          <w:tab w:leader="none" w:pos="6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69" w:lineRule="exact"/>
        <w:rPr>
          <w:rFonts w:ascii="Arial" w:cs="Arial" w:eastAsia="Arial" w:hAnsi="Arial"/>
          <w:sz w:val="16"/>
          <w:szCs w:val="16"/>
          <w:color w:val="auto"/>
        </w:rPr>
      </w:pPr>
    </w:p>
    <w:p>
      <w:pPr>
        <w:jc w:val="both"/>
        <w:ind w:right="220" w:firstLine="378"/>
        <w:spacing w:after="0" w:line="253" w:lineRule="auto"/>
        <w:tabs>
          <w:tab w:leader="none" w:pos="6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(10) days’ advance written notice to each of the other parties hereto.</w:t>
      </w:r>
    </w:p>
    <w:p>
      <w:pPr>
        <w:spacing w:after="0" w:line="167" w:lineRule="exact"/>
        <w:rPr>
          <w:rFonts w:ascii="Arial" w:cs="Arial" w:eastAsia="Arial" w:hAnsi="Arial"/>
          <w:sz w:val="16"/>
          <w:szCs w:val="16"/>
          <w:color w:val="auto"/>
        </w:rPr>
      </w:pPr>
    </w:p>
    <w:p>
      <w:pPr>
        <w:ind w:right="380" w:firstLine="378"/>
        <w:spacing w:after="0" w:line="266" w:lineRule="auto"/>
        <w:tabs>
          <w:tab w:leader="none" w:pos="6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By signing these Joint Escrow Instructions, you become a party hereto only for the purpose of said Joint Escrow Instructions; you do not become a party to the Agreement.</w:t>
      </w:r>
    </w:p>
    <w:p>
      <w:pPr>
        <w:spacing w:after="0" w:line="158" w:lineRule="exact"/>
        <w:rPr>
          <w:rFonts w:ascii="Arial" w:cs="Arial" w:eastAsia="Arial" w:hAnsi="Arial"/>
          <w:sz w:val="16"/>
          <w:szCs w:val="16"/>
          <w:color w:val="auto"/>
        </w:rPr>
      </w:pPr>
    </w:p>
    <w:p>
      <w:pPr>
        <w:ind w:left="620" w:hanging="242"/>
        <w:spacing w:after="0"/>
        <w:tabs>
          <w:tab w:leader="none" w:pos="620" w:val="left"/>
        </w:tabs>
        <w:numPr>
          <w:ilvl w:val="0"/>
          <w:numId w:val="358"/>
        </w:numPr>
        <w:rPr>
          <w:rFonts w:ascii="Arial" w:cs="Arial" w:eastAsia="Arial" w:hAnsi="Arial"/>
          <w:sz w:val="13"/>
          <w:szCs w:val="13"/>
          <w:color w:val="auto"/>
        </w:rPr>
      </w:pPr>
      <w:r>
        <w:rPr>
          <w:rFonts w:ascii="Arial" w:cs="Arial" w:eastAsia="Arial" w:hAnsi="Arial"/>
          <w:sz w:val="13"/>
          <w:szCs w:val="13"/>
          <w:color w:val="auto"/>
        </w:rPr>
        <w:t>This instrument shall be binding upon and inure to the benefit of the parties hereto, and their respective successors and permitted assigns.</w:t>
      </w:r>
    </w:p>
    <w:p>
      <w:pPr>
        <w:spacing w:after="0" w:line="227" w:lineRule="exact"/>
        <w:rPr>
          <w:rFonts w:ascii="Arial" w:cs="Arial" w:eastAsia="Arial" w:hAnsi="Arial"/>
          <w:sz w:val="13"/>
          <w:szCs w:val="13"/>
          <w:color w:val="auto"/>
        </w:rPr>
      </w:pPr>
    </w:p>
    <w:p>
      <w:pPr>
        <w:ind w:left="620" w:hanging="242"/>
        <w:spacing w:after="0"/>
        <w:tabs>
          <w:tab w:leader="none" w:pos="62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These Joint Escrow Instructions shall be governed by the internal substantive laws, but not the choice of law rules, of Delaware.</w:t>
      </w:r>
    </w:p>
    <w:p>
      <w:pPr>
        <w:spacing w:after="0" w:line="228"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PURCHASER</w:t>
      </w:r>
      <w:r>
        <w:rPr>
          <w:sz w:val="20"/>
          <w:szCs w:val="20"/>
          <w:color w:val="auto"/>
        </w:rPr>
        <w:tab/>
      </w:r>
      <w:r>
        <w:rPr>
          <w:rFonts w:ascii="Arial" w:cs="Arial" w:eastAsia="Arial" w:hAnsi="Arial"/>
          <w:sz w:val="16"/>
          <w:szCs w:val="16"/>
          <w:color w:val="auto"/>
        </w:rPr>
        <w:t>TENAYA THERAPEUTICS, INC.</w:t>
      </w:r>
    </w:p>
    <w:p>
      <w:pPr>
        <w:sectPr>
          <w:pgSz w:w="11900" w:h="16838" w:orient="portrait"/>
          <w:cols w:equalWidth="0" w:num="1">
            <w:col w:w="9580"/>
          </w:cols>
          <w:pgMar w:left="1140" w:top="256" w:right="117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7464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287464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8746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2874645"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2874645"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ESCROW AGENT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43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-108585</wp:posOffset>
            </wp:positionV>
            <wp:extent cx="292735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927350" cy="7620"/>
                    </a:xfrm>
                    <a:prstGeom prst="rect">
                      <a:avLst/>
                    </a:prstGeom>
                    <a:noFill/>
                  </pic:spPr>
                </pic:pic>
              </a:graphicData>
            </a:graphic>
          </wp:anchor>
        </w:drawing>
      </w:r>
    </w:p>
    <w:p>
      <w:pPr>
        <w:spacing w:after="0" w:line="385" w:lineRule="exact"/>
        <w:rPr>
          <w:sz w:val="20"/>
          <w:szCs w:val="20"/>
          <w:color w:val="auto"/>
        </w:rPr>
      </w:pPr>
    </w:p>
    <w:p>
      <w:pPr>
        <w:jc w:val="center"/>
        <w:ind w:right="3760"/>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-93980</wp:posOffset>
            </wp:positionV>
            <wp:extent cx="292735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92735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41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-108585</wp:posOffset>
            </wp:positionV>
            <wp:extent cx="292735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927350" cy="7620"/>
                    </a:xfrm>
                    <a:prstGeom prst="rect">
                      <a:avLst/>
                    </a:prstGeom>
                    <a:noFill/>
                  </pic:spPr>
                </pic:pic>
              </a:graphicData>
            </a:graphic>
          </wp:anchor>
        </w:drawing>
      </w:r>
    </w:p>
    <w:p>
      <w:pPr>
        <w:spacing w:after="0" w:line="1131" w:lineRule="exact"/>
        <w:rPr>
          <w:sz w:val="20"/>
          <w:szCs w:val="20"/>
          <w:color w:val="auto"/>
        </w:rPr>
      </w:pPr>
    </w:p>
    <w:p>
      <w:pPr>
        <w:sectPr>
          <w:pgSz w:w="11900" w:h="16838" w:orient="portrait"/>
          <w:cols w:equalWidth="0" w:num="2">
            <w:col w:w="4380" w:space="720"/>
            <w:col w:w="4480"/>
          </w:cols>
          <w:pgMar w:left="1140" w:top="256" w:right="117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287464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ectPr>
          <w:pgSz w:w="11900" w:h="16838" w:orient="portrait"/>
          <w:cols w:equalWidth="0" w:num="1">
            <w:col w:w="9580"/>
          </w:cols>
          <w:pgMar w:left="1140" w:top="256" w:right="1179" w:bottom="1440" w:gutter="0" w:footer="0" w:header="0"/>
          <w:type w:val="continuous"/>
        </w:sectPr>
      </w:pPr>
    </w:p>
    <w:bookmarkStart w:id="500" w:name="page501"/>
    <w:bookmarkEnd w:id="500"/>
    <w:p>
      <w:pPr>
        <w:jc w:val="center"/>
        <w:ind w:right="-145"/>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C-4</w:t>
      </w:r>
    </w:p>
    <w:p>
      <w:pPr>
        <w:spacing w:after="0" w:line="193" w:lineRule="exact"/>
        <w:rPr>
          <w:sz w:val="20"/>
          <w:szCs w:val="20"/>
          <w:color w:val="auto"/>
        </w:rPr>
      </w:pPr>
    </w:p>
    <w:p>
      <w:pPr>
        <w:jc w:val="center"/>
        <w:ind w:right="-145"/>
        <w:spacing w:after="0"/>
        <w:rPr>
          <w:sz w:val="20"/>
          <w:szCs w:val="20"/>
          <w:color w:val="auto"/>
        </w:rPr>
      </w:pPr>
      <w:r>
        <w:rPr>
          <w:rFonts w:ascii="Arial" w:cs="Arial" w:eastAsia="Arial" w:hAnsi="Arial"/>
          <w:sz w:val="16"/>
          <w:szCs w:val="16"/>
          <w:b w:val="1"/>
          <w:bCs w:val="1"/>
          <w:color w:val="auto"/>
        </w:rPr>
        <w:t>ELECTION UNDER SECTION 83(b)</w:t>
      </w:r>
    </w:p>
    <w:p>
      <w:pPr>
        <w:spacing w:after="0" w:line="20" w:lineRule="exact"/>
        <w:rPr>
          <w:sz w:val="20"/>
          <w:szCs w:val="20"/>
          <w:color w:val="auto"/>
        </w:rPr>
      </w:pPr>
    </w:p>
    <w:p>
      <w:pPr>
        <w:jc w:val="center"/>
        <w:ind w:right="-145"/>
        <w:spacing w:after="0"/>
        <w:rPr>
          <w:sz w:val="20"/>
          <w:szCs w:val="20"/>
          <w:color w:val="auto"/>
        </w:rPr>
      </w:pPr>
      <w:r>
        <w:rPr>
          <w:rFonts w:ascii="Arial" w:cs="Arial" w:eastAsia="Arial" w:hAnsi="Arial"/>
          <w:sz w:val="16"/>
          <w:szCs w:val="16"/>
          <w:b w:val="1"/>
          <w:bCs w:val="1"/>
          <w:color w:val="auto"/>
        </w:rPr>
        <w:t>OF THE INTERNAL REVENUE CODE OF 1986</w:t>
      </w:r>
    </w:p>
    <w:p>
      <w:pPr>
        <w:spacing w:after="0" w:line="182"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83" w:lineRule="exact"/>
        <w:rPr>
          <w:sz w:val="20"/>
          <w:szCs w:val="20"/>
          <w:color w:val="auto"/>
        </w:rPr>
      </w:pPr>
    </w:p>
    <w:p>
      <w:pPr>
        <w:ind w:left="386" w:hanging="386"/>
        <w:spacing w:after="0"/>
        <w:tabs>
          <w:tab w:leader="none" w:pos="386"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name, address, taxpayer identification number and taxable year of the undersigned are as follows:</w:t>
      </w:r>
    </w:p>
    <w:p>
      <w:pPr>
        <w:spacing w:after="0" w:line="217"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6"/>
                <w:szCs w:val="16"/>
                <w:color w:val="auto"/>
              </w:rPr>
              <w:t>TAXPAYER</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color w:val="auto"/>
              </w:rPr>
              <w:t>SPOUSE</w:t>
            </w:r>
          </w:p>
        </w:tc>
        <w:tc>
          <w:tcPr>
            <w:tcW w:w="3040" w:type="dxa"/>
            <w:vAlign w:val="bottom"/>
          </w:tcPr>
          <w:p>
            <w:pPr>
              <w:spacing w:after="0"/>
              <w:rPr>
                <w:sz w:val="16"/>
                <w:szCs w:val="16"/>
                <w:color w:val="auto"/>
              </w:rPr>
            </w:pPr>
          </w:p>
        </w:tc>
      </w:tr>
      <w:tr>
        <w:trPr>
          <w:trHeight w:val="201"/>
        </w:trPr>
        <w:tc>
          <w:tcPr>
            <w:tcW w:w="240" w:type="dxa"/>
            <w:vAlign w:val="bottom"/>
          </w:tcPr>
          <w:p>
            <w:pPr>
              <w:spacing w:after="0"/>
              <w:rPr>
                <w:sz w:val="17"/>
                <w:szCs w:val="17"/>
                <w:color w:val="auto"/>
              </w:rPr>
            </w:pPr>
          </w:p>
        </w:tc>
        <w:tc>
          <w:tcPr>
            <w:tcW w:w="3300" w:type="dxa"/>
            <w:vAlign w:val="bottom"/>
            <w:gridSpan w:val="4"/>
          </w:tcPr>
          <w:p>
            <w:pPr>
              <w:ind w:left="140"/>
              <w:spacing w:after="0"/>
              <w:rPr>
                <w:sz w:val="20"/>
                <w:szCs w:val="20"/>
                <w:color w:val="auto"/>
              </w:rPr>
            </w:pPr>
            <w:r>
              <w:rPr>
                <w:rFonts w:ascii="Arial" w:cs="Arial" w:eastAsia="Arial" w:hAnsi="Arial"/>
                <w:sz w:val="16"/>
                <w:szCs w:val="16"/>
                <w:color w:val="auto"/>
              </w:rPr>
              <w:t>NAME:</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192"/>
        </w:trPr>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color w:val="auto"/>
              </w:rPr>
              <w:t>ADDRESS:</w:t>
            </w:r>
          </w:p>
        </w:tc>
        <w:tc>
          <w:tcPr>
            <w:tcW w:w="7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3040" w:type="dxa"/>
            <w:vAlign w:val="bottom"/>
            <w:tcBorders>
              <w:top w:val="single" w:sz="8" w:color="auto"/>
              <w:bottom w:val="single" w:sz="8" w:color="auto"/>
            </w:tcBorders>
          </w:tcPr>
          <w:p>
            <w:pPr>
              <w:spacing w:after="0"/>
              <w:rPr>
                <w:sz w:val="16"/>
                <w:szCs w:val="16"/>
                <w:color w:val="auto"/>
              </w:rPr>
            </w:pPr>
          </w:p>
        </w:tc>
      </w:tr>
      <w:tr>
        <w:trPr>
          <w:trHeight w:val="192"/>
        </w:trPr>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color w:val="auto"/>
              </w:rPr>
              <w:t>TAX ID NO.:</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r>
      <w:tr>
        <w:trPr>
          <w:trHeight w:val="157"/>
        </w:trPr>
        <w:tc>
          <w:tcPr>
            <w:tcW w:w="240" w:type="dxa"/>
            <w:vAlign w:val="bottom"/>
          </w:tcPr>
          <w:p>
            <w:pPr>
              <w:spacing w:after="0"/>
              <w:rPr>
                <w:sz w:val="13"/>
                <w:szCs w:val="13"/>
                <w:color w:val="auto"/>
              </w:rPr>
            </w:pPr>
          </w:p>
        </w:tc>
        <w:tc>
          <w:tcPr>
            <w:tcW w:w="1560" w:type="dxa"/>
            <w:vAlign w:val="bottom"/>
            <w:gridSpan w:val="2"/>
          </w:tcPr>
          <w:p>
            <w:pPr>
              <w:ind w:left="140"/>
              <w:spacing w:after="0" w:line="158" w:lineRule="exact"/>
              <w:rPr>
                <w:sz w:val="20"/>
                <w:szCs w:val="20"/>
                <w:color w:val="auto"/>
              </w:rPr>
            </w:pPr>
            <w:r>
              <w:rPr>
                <w:rFonts w:ascii="Arial" w:cs="Arial" w:eastAsia="Arial" w:hAnsi="Arial"/>
                <w:sz w:val="16"/>
                <w:szCs w:val="16"/>
                <w:color w:val="auto"/>
              </w:rPr>
              <w:t>TAXABLE YEAR:</w:t>
            </w: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4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58"/>
        </w:trPr>
        <w:tc>
          <w:tcPr>
            <w:tcW w:w="240" w:type="dxa"/>
            <w:vAlign w:val="bottom"/>
          </w:tcPr>
          <w:p>
            <w:pPr>
              <w:jc w:val="right"/>
              <w:ind w:right="41"/>
              <w:spacing w:after="0"/>
              <w:rPr>
                <w:sz w:val="20"/>
                <w:szCs w:val="20"/>
                <w:color w:val="auto"/>
              </w:rPr>
            </w:pPr>
            <w:r>
              <w:rPr>
                <w:rFonts w:ascii="Arial" w:cs="Arial" w:eastAsia="Arial" w:hAnsi="Arial"/>
                <w:sz w:val="16"/>
                <w:szCs w:val="16"/>
                <w:color w:val="auto"/>
                <w:w w:val="74"/>
              </w:rPr>
              <w:t>2.</w:t>
            </w:r>
          </w:p>
        </w:tc>
        <w:tc>
          <w:tcPr>
            <w:tcW w:w="5960" w:type="dxa"/>
            <w:vAlign w:val="bottom"/>
            <w:gridSpan w:val="10"/>
          </w:tcPr>
          <w:p>
            <w:pPr>
              <w:ind w:left="140"/>
              <w:spacing w:after="0"/>
              <w:rPr>
                <w:sz w:val="20"/>
                <w:szCs w:val="20"/>
                <w:color w:val="auto"/>
              </w:rPr>
            </w:pPr>
            <w:r>
              <w:rPr>
                <w:rFonts w:ascii="Arial" w:cs="Arial" w:eastAsia="Arial" w:hAnsi="Arial"/>
                <w:sz w:val="16"/>
                <w:szCs w:val="16"/>
                <w:color w:val="auto"/>
              </w:rPr>
              <w:t>The property with respect to which the election is made is described as follows:</w:t>
            </w:r>
          </w:p>
        </w:tc>
        <w:tc>
          <w:tcPr>
            <w:tcW w:w="3040" w:type="dxa"/>
            <w:vAlign w:val="bottom"/>
          </w:tcPr>
          <w:p>
            <w:pPr>
              <w:ind w:left="40"/>
              <w:spacing w:after="0"/>
              <w:rPr>
                <w:sz w:val="20"/>
                <w:szCs w:val="20"/>
                <w:color w:val="auto"/>
              </w:rPr>
            </w:pPr>
            <w:r>
              <w:rPr>
                <w:rFonts w:ascii="Arial" w:cs="Arial" w:eastAsia="Arial" w:hAnsi="Arial"/>
                <w:sz w:val="16"/>
                <w:szCs w:val="16"/>
                <w:color w:val="auto"/>
                <w:w w:val="91"/>
              </w:rPr>
              <w:t>shares (the “Shares”) of the Common Stock of</w:t>
            </w:r>
          </w:p>
        </w:tc>
      </w:tr>
      <w:tr>
        <w:trPr>
          <w:trHeight w:val="203"/>
        </w:trPr>
        <w:tc>
          <w:tcPr>
            <w:tcW w:w="240" w:type="dxa"/>
            <w:vAlign w:val="bottom"/>
          </w:tcPr>
          <w:p>
            <w:pPr>
              <w:spacing w:after="0"/>
              <w:rPr>
                <w:sz w:val="17"/>
                <w:szCs w:val="17"/>
                <w:color w:val="auto"/>
              </w:rPr>
            </w:pPr>
          </w:p>
        </w:tc>
        <w:tc>
          <w:tcPr>
            <w:tcW w:w="3300" w:type="dxa"/>
            <w:vAlign w:val="bottom"/>
            <w:gridSpan w:val="4"/>
          </w:tcPr>
          <w:p>
            <w:pPr>
              <w:ind w:left="140"/>
              <w:spacing w:after="0"/>
              <w:rPr>
                <w:sz w:val="20"/>
                <w:szCs w:val="20"/>
                <w:color w:val="auto"/>
              </w:rPr>
            </w:pPr>
            <w:r>
              <w:rPr>
                <w:rFonts w:ascii="Arial" w:cs="Arial" w:eastAsia="Arial" w:hAnsi="Arial"/>
                <w:sz w:val="16"/>
                <w:szCs w:val="16"/>
                <w:color w:val="auto"/>
              </w:rPr>
              <w:t>Tenaya Therapeutics, Inc. (the “Company”).</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40" w:type="dxa"/>
            <w:vAlign w:val="bottom"/>
          </w:tcPr>
          <w:p>
            <w:pPr>
              <w:spacing w:after="0"/>
              <w:rPr>
                <w:sz w:val="17"/>
                <w:szCs w:val="17"/>
                <w:color w:val="auto"/>
              </w:rPr>
            </w:pPr>
          </w:p>
        </w:tc>
      </w:tr>
      <w:tr>
        <w:trPr>
          <w:trHeight w:val="261"/>
        </w:trPr>
        <w:tc>
          <w:tcPr>
            <w:tcW w:w="240" w:type="dxa"/>
            <w:vAlign w:val="bottom"/>
          </w:tcPr>
          <w:p>
            <w:pPr>
              <w:jc w:val="right"/>
              <w:ind w:right="41"/>
              <w:spacing w:after="0"/>
              <w:rPr>
                <w:sz w:val="20"/>
                <w:szCs w:val="20"/>
                <w:color w:val="auto"/>
              </w:rPr>
            </w:pPr>
            <w:r>
              <w:rPr>
                <w:rFonts w:ascii="Arial" w:cs="Arial" w:eastAsia="Arial" w:hAnsi="Arial"/>
                <w:sz w:val="16"/>
                <w:szCs w:val="16"/>
                <w:color w:val="auto"/>
                <w:w w:val="74"/>
              </w:rPr>
              <w:t>3.</w:t>
            </w:r>
          </w:p>
        </w:tc>
        <w:tc>
          <w:tcPr>
            <w:tcW w:w="3300" w:type="dxa"/>
            <w:vAlign w:val="bottom"/>
            <w:gridSpan w:val="4"/>
          </w:tcPr>
          <w:p>
            <w:pPr>
              <w:ind w:left="140"/>
              <w:spacing w:after="0"/>
              <w:rPr>
                <w:sz w:val="20"/>
                <w:szCs w:val="20"/>
                <w:color w:val="auto"/>
              </w:rPr>
            </w:pPr>
            <w:r>
              <w:rPr>
                <w:rFonts w:ascii="Arial" w:cs="Arial" w:eastAsia="Arial" w:hAnsi="Arial"/>
                <w:sz w:val="16"/>
                <w:szCs w:val="16"/>
                <w:color w:val="auto"/>
                <w:w w:val="88"/>
              </w:rPr>
              <w:t>The date on which the property was transferred is:</w:t>
            </w:r>
          </w:p>
        </w:tc>
        <w:tc>
          <w:tcPr>
            <w:tcW w:w="1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117" w:lineRule="exact"/>
        <w:rPr>
          <w:sz w:val="20"/>
          <w:szCs w:val="20"/>
          <w:color w:val="auto"/>
        </w:rPr>
      </w:pPr>
    </w:p>
    <w:p>
      <w:pPr>
        <w:ind w:left="386" w:hanging="386"/>
        <w:spacing w:after="0"/>
        <w:tabs>
          <w:tab w:leader="none" w:pos="386"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property is subject to the following restrictions:</w:t>
      </w:r>
    </w:p>
    <w:p>
      <w:pPr>
        <w:spacing w:after="0" w:line="111" w:lineRule="exact"/>
        <w:rPr>
          <w:sz w:val="20"/>
          <w:szCs w:val="20"/>
          <w:color w:val="auto"/>
        </w:rPr>
      </w:pPr>
    </w:p>
    <w:p>
      <w:pPr>
        <w:ind w:left="386" w:right="400" w:hanging="379"/>
        <w:spacing w:after="0" w:line="266" w:lineRule="auto"/>
        <w:tabs>
          <w:tab w:leader="none" w:pos="366" w:val="left"/>
        </w:tabs>
        <w:rPr>
          <w:sz w:val="20"/>
          <w:szCs w:val="20"/>
          <w:color w:val="auto"/>
        </w:rPr>
      </w:pPr>
      <w:r>
        <w:rPr>
          <w:rFonts w:ascii="Arial" w:cs="Arial" w:eastAsia="Arial" w:hAnsi="Arial"/>
          <w:sz w:val="16"/>
          <w:szCs w:val="16"/>
          <w:color w:val="auto"/>
        </w:rPr>
        <w:t>The</w:t>
        <w:tab/>
        <w:t>Shares may not be transferred and are subject to forfeiture under the terms of an agreement between the taxpayer and the Company. These restrictions lapse upon the satisfaction of certain conditions contained in such agreement.</w:t>
      </w:r>
    </w:p>
    <w:p>
      <w:pPr>
        <w:spacing w:after="0" w:line="76" w:lineRule="exact"/>
        <w:rPr>
          <w:sz w:val="20"/>
          <w:szCs w:val="20"/>
          <w:color w:val="auto"/>
        </w:rPr>
      </w:pPr>
    </w:p>
    <w:p>
      <w:pPr>
        <w:ind w:left="386" w:hanging="386"/>
        <w:spacing w:after="0"/>
        <w:tabs>
          <w:tab w:leader="none" w:pos="386" w:val="left"/>
        </w:tabs>
        <w:numPr>
          <w:ilvl w:val="0"/>
          <w:numId w:val="361"/>
        </w:numPr>
        <w:rPr>
          <w:rFonts w:ascii="Arial" w:cs="Arial" w:eastAsia="Arial" w:hAnsi="Arial"/>
          <w:sz w:val="13"/>
          <w:szCs w:val="13"/>
          <w:color w:val="auto"/>
        </w:rPr>
      </w:pPr>
      <w:r>
        <w:rPr>
          <w:rFonts w:ascii="Arial" w:cs="Arial" w:eastAsia="Arial" w:hAnsi="Arial"/>
          <w:sz w:val="13"/>
          <w:szCs w:val="13"/>
          <w:color w:val="auto"/>
        </w:rPr>
        <w:t>The Fair Market Value at the time of transfer, determined without regard to any restriction other than a restriction which by its terms shall never</w:t>
      </w:r>
    </w:p>
    <w:p>
      <w:pPr>
        <w:spacing w:after="0" w:line="21"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860" w:type="dxa"/>
            <w:vAlign w:val="bottom"/>
          </w:tcPr>
          <w:p>
            <w:pPr>
              <w:ind w:left="140"/>
              <w:spacing w:after="0"/>
              <w:rPr>
                <w:sz w:val="20"/>
                <w:szCs w:val="20"/>
                <w:color w:val="auto"/>
              </w:rPr>
            </w:pPr>
            <w:r>
              <w:rPr>
                <w:rFonts w:ascii="Arial" w:cs="Arial" w:eastAsia="Arial" w:hAnsi="Arial"/>
                <w:sz w:val="16"/>
                <w:szCs w:val="16"/>
                <w:color w:val="auto"/>
                <w:w w:val="86"/>
              </w:rPr>
              <w:t>lapse, of such property is: $</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40" w:type="dxa"/>
            <w:vAlign w:val="bottom"/>
          </w:tcPr>
          <w:p>
            <w:pPr>
              <w:jc w:val="right"/>
              <w:ind w:right="41"/>
              <w:spacing w:after="0"/>
              <w:rPr>
                <w:sz w:val="20"/>
                <w:szCs w:val="20"/>
                <w:color w:val="auto"/>
              </w:rPr>
            </w:pPr>
            <w:r>
              <w:rPr>
                <w:rFonts w:ascii="Arial" w:cs="Arial" w:eastAsia="Arial" w:hAnsi="Arial"/>
                <w:sz w:val="16"/>
                <w:szCs w:val="16"/>
                <w:color w:val="auto"/>
                <w:w w:val="74"/>
              </w:rPr>
              <w:t>6.</w:t>
            </w:r>
          </w:p>
        </w:tc>
        <w:tc>
          <w:tcPr>
            <w:tcW w:w="3120" w:type="dxa"/>
            <w:vAlign w:val="bottom"/>
            <w:gridSpan w:val="3"/>
          </w:tcPr>
          <w:p>
            <w:pPr>
              <w:ind w:left="140"/>
              <w:spacing w:after="0"/>
              <w:rPr>
                <w:sz w:val="20"/>
                <w:szCs w:val="20"/>
                <w:color w:val="auto"/>
              </w:rPr>
            </w:pPr>
            <w:r>
              <w:rPr>
                <w:rFonts w:ascii="Arial" w:cs="Arial" w:eastAsia="Arial" w:hAnsi="Arial"/>
                <w:sz w:val="16"/>
                <w:szCs w:val="16"/>
                <w:color w:val="auto"/>
                <w:w w:val="89"/>
              </w:rPr>
              <w:t>The amount (if any) paid for such property is: $</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6" w:right="180"/>
        <w:spacing w:after="0" w:line="256"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The undersigned understands that the foregoing election may not be revoked except with the consent of the Commissioner</w:t>
      </w:r>
      <w:r>
        <w:rPr>
          <w:rFonts w:ascii="Arial" w:cs="Arial" w:eastAsia="Arial" w:hAnsi="Arial"/>
          <w:sz w:val="16"/>
          <w:szCs w:val="16"/>
          <w:color w:val="auto"/>
        </w:rPr>
        <w:t>.</w:t>
      </w:r>
    </w:p>
    <w:p>
      <w:pPr>
        <w:spacing w:after="0" w:line="217" w:lineRule="exact"/>
        <w:rPr>
          <w:sz w:val="20"/>
          <w:szCs w:val="20"/>
          <w:color w:val="auto"/>
        </w:rPr>
      </w:pPr>
    </w:p>
    <w:p>
      <w:pPr>
        <w:ind w:left="6"/>
        <w:spacing w:after="0"/>
        <w:tabs>
          <w:tab w:leader="none" w:pos="2826"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10795</wp:posOffset>
            </wp:positionV>
            <wp:extent cx="286766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867660" cy="762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-10795</wp:posOffset>
            </wp:positionV>
            <wp:extent cx="187071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870710" cy="7620"/>
                    </a:xfrm>
                    <a:prstGeom prst="rect">
                      <a:avLst/>
                    </a:prstGeom>
                    <a:noFill/>
                  </pic:spPr>
                </pic:pic>
              </a:graphicData>
            </a:graphic>
          </wp:anchor>
        </w:drawing>
      </w:r>
    </w:p>
    <w:p>
      <w:pPr>
        <w:spacing w:after="0" w:line="8" w:lineRule="exact"/>
        <w:rPr>
          <w:sz w:val="20"/>
          <w:szCs w:val="20"/>
          <w:color w:val="auto"/>
        </w:rPr>
      </w:pPr>
    </w:p>
    <w:p>
      <w:pPr>
        <w:ind w:left="5106"/>
        <w:spacing w:after="0"/>
        <w:rPr>
          <w:sz w:val="20"/>
          <w:szCs w:val="20"/>
          <w:color w:val="auto"/>
        </w:rPr>
      </w:pPr>
      <w:r>
        <w:rPr>
          <w:rFonts w:ascii="Arial" w:cs="Arial" w:eastAsia="Arial" w:hAnsi="Arial"/>
          <w:sz w:val="16"/>
          <w:szCs w:val="16"/>
          <w:color w:val="auto"/>
        </w:rPr>
        <w:t>Taxpayer</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undersigned spouse of taxpayer joins in this election.</w:t>
      </w:r>
    </w:p>
    <w:p>
      <w:pPr>
        <w:spacing w:after="0" w:line="217" w:lineRule="exact"/>
        <w:rPr>
          <w:sz w:val="20"/>
          <w:szCs w:val="20"/>
          <w:color w:val="auto"/>
        </w:rPr>
      </w:pPr>
    </w:p>
    <w:p>
      <w:pPr>
        <w:ind w:left="6"/>
        <w:spacing w:after="0"/>
        <w:tabs>
          <w:tab w:leader="none" w:pos="2826"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10795</wp:posOffset>
            </wp:positionV>
            <wp:extent cx="286766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867660" cy="762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-10795</wp:posOffset>
            </wp:positionV>
            <wp:extent cx="187071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870710" cy="7620"/>
                    </a:xfrm>
                    <a:prstGeom prst="rect">
                      <a:avLst/>
                    </a:prstGeom>
                    <a:noFill/>
                  </pic:spPr>
                </pic:pic>
              </a:graphicData>
            </a:graphic>
          </wp:anchor>
        </w:drawing>
      </w:r>
    </w:p>
    <w:p>
      <w:pPr>
        <w:spacing w:after="0" w:line="8" w:lineRule="exact"/>
        <w:rPr>
          <w:sz w:val="20"/>
          <w:szCs w:val="20"/>
          <w:color w:val="auto"/>
        </w:rPr>
      </w:pPr>
    </w:p>
    <w:p>
      <w:pPr>
        <w:ind w:left="5106"/>
        <w:spacing w:after="0"/>
        <w:rPr>
          <w:sz w:val="20"/>
          <w:szCs w:val="20"/>
          <w:color w:val="auto"/>
        </w:rPr>
      </w:pPr>
      <w:r>
        <w:rPr>
          <w:rFonts w:ascii="Arial" w:cs="Arial" w:eastAsia="Arial" w:hAnsi="Arial"/>
          <w:sz w:val="16"/>
          <w:szCs w:val="16"/>
          <w:color w:val="auto"/>
        </w:rPr>
        <w:t>Spouse of Taxpayer</w:t>
      </w:r>
    </w:p>
    <w:p>
      <w:pPr>
        <w:sectPr>
          <w:pgSz w:w="11900" w:h="16838" w:orient="portrait"/>
          <w:cols w:equalWidth="0" w:num="1">
            <w:col w:w="9466"/>
          </w:cols>
          <w:pgMar w:left="1134" w:top="252" w:right="1299" w:bottom="1440" w:gutter="0" w:footer="0" w:header="0"/>
        </w:sectPr>
      </w:pPr>
    </w:p>
    <w:bookmarkStart w:id="501" w:name="page502"/>
    <w:bookmarkEnd w:id="501"/>
    <w:p>
      <w:pPr>
        <w:jc w:val="right"/>
        <w:spacing w:after="0"/>
        <w:rPr>
          <w:sz w:val="20"/>
          <w:szCs w:val="20"/>
          <w:color w:val="auto"/>
        </w:rPr>
      </w:pPr>
      <w:r>
        <w:rPr>
          <w:rFonts w:ascii="Arial" w:cs="Arial" w:eastAsia="Arial" w:hAnsi="Arial"/>
          <w:sz w:val="16"/>
          <w:szCs w:val="16"/>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1579880" cy="5911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5798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June 28, 2021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Faraz Ali</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c/o Tenaya Therapeutics, Inc.</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Confirmatory Employment Letter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Dear Faraz:</w:t>
      </w:r>
    </w:p>
    <w:p>
      <w:pPr>
        <w:spacing w:after="0" w:line="193" w:lineRule="exact"/>
        <w:rPr>
          <w:sz w:val="20"/>
          <w:szCs w:val="20"/>
          <w:color w:val="auto"/>
        </w:rPr>
      </w:pPr>
    </w:p>
    <w:p>
      <w:pPr>
        <w:jc w:val="both"/>
        <w:ind w:right="80" w:firstLine="385"/>
        <w:spacing w:after="0" w:line="281" w:lineRule="auto"/>
        <w:rPr>
          <w:sz w:val="20"/>
          <w:szCs w:val="20"/>
          <w:color w:val="auto"/>
        </w:rPr>
      </w:pPr>
      <w:r>
        <w:rPr>
          <w:rFonts w:ascii="Arial" w:cs="Arial" w:eastAsia="Arial" w:hAnsi="Arial"/>
          <w:sz w:val="15"/>
          <w:szCs w:val="15"/>
          <w:color w:val="auto"/>
        </w:rPr>
        <w:t>This confirmatory employment letter agreement (the “</w:t>
      </w:r>
      <w:r>
        <w:rPr>
          <w:rFonts w:ascii="Arial" w:cs="Arial" w:eastAsia="Arial" w:hAnsi="Arial"/>
          <w:sz w:val="15"/>
          <w:szCs w:val="15"/>
          <w:u w:val="single" w:color="auto"/>
          <w:color w:val="auto"/>
        </w:rPr>
        <w:t>Agreement</w:t>
      </w:r>
      <w:r>
        <w:rPr>
          <w:rFonts w:ascii="Arial" w:cs="Arial" w:eastAsia="Arial" w:hAnsi="Arial"/>
          <w:sz w:val="15"/>
          <w:szCs w:val="15"/>
          <w:color w:val="auto"/>
        </w:rPr>
        <w:t>”) is entered into between you and Tenaya Therapeutics, Inc. (the “</w:t>
      </w:r>
      <w:r>
        <w:rPr>
          <w:rFonts w:ascii="Arial" w:cs="Arial" w:eastAsia="Arial" w:hAnsi="Arial"/>
          <w:sz w:val="15"/>
          <w:szCs w:val="15"/>
          <w:u w:val="single" w:color="auto"/>
          <w:color w:val="auto"/>
        </w:rPr>
        <w:t>Company</w:t>
      </w:r>
      <w:r>
        <w:rPr>
          <w:rFonts w:ascii="Arial" w:cs="Arial" w:eastAsia="Arial" w:hAnsi="Arial"/>
          <w:sz w:val="15"/>
          <w:szCs w:val="15"/>
          <w:color w:val="auto"/>
        </w:rPr>
        <w:t>” or “</w:t>
      </w:r>
      <w:r>
        <w:rPr>
          <w:rFonts w:ascii="Arial" w:cs="Arial" w:eastAsia="Arial" w:hAnsi="Arial"/>
          <w:sz w:val="15"/>
          <w:szCs w:val="15"/>
          <w:u w:val="single" w:color="auto"/>
          <w:color w:val="auto"/>
        </w:rPr>
        <w:t>we</w:t>
      </w:r>
      <w:r>
        <w:rPr>
          <w:rFonts w:ascii="Arial" w:cs="Arial" w:eastAsia="Arial" w:hAnsi="Arial"/>
          <w:sz w:val="15"/>
          <w:szCs w:val="15"/>
          <w:color w:val="auto"/>
        </w:rPr>
        <w:t>”), effective as of the effective date of the Company’s registration statement relating to the Company’s initial public offering (the “</w:t>
      </w:r>
      <w:r>
        <w:rPr>
          <w:rFonts w:ascii="Arial" w:cs="Arial" w:eastAsia="Arial" w:hAnsi="Arial"/>
          <w:sz w:val="15"/>
          <w:szCs w:val="15"/>
          <w:u w:val="single" w:color="auto"/>
          <w:color w:val="auto"/>
        </w:rPr>
        <w:t>Effective Date</w:t>
      </w:r>
      <w:r>
        <w:rPr>
          <w:rFonts w:ascii="Arial" w:cs="Arial" w:eastAsia="Arial" w:hAnsi="Arial"/>
          <w:sz w:val="15"/>
          <w:szCs w:val="15"/>
          <w:color w:val="auto"/>
        </w:rPr>
        <w:t>”), to confirm the terms and conditions of your employment with the Company as of the Effective Date.</w:t>
      </w:r>
    </w:p>
    <w:p>
      <w:pPr>
        <w:spacing w:after="0" w:line="149" w:lineRule="exact"/>
        <w:rPr>
          <w:sz w:val="20"/>
          <w:szCs w:val="20"/>
          <w:color w:val="auto"/>
        </w:rPr>
      </w:pPr>
    </w:p>
    <w:p>
      <w:pPr>
        <w:ind w:right="140" w:firstLine="378"/>
        <w:spacing w:after="0" w:line="256" w:lineRule="auto"/>
        <w:tabs>
          <w:tab w:leader="none" w:pos="54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Title; Position</w:t>
      </w:r>
      <w:r>
        <w:rPr>
          <w:rFonts w:ascii="Arial" w:cs="Arial" w:eastAsia="Arial" w:hAnsi="Arial"/>
          <w:sz w:val="16"/>
          <w:szCs w:val="16"/>
          <w:color w:val="auto"/>
        </w:rPr>
        <w:t>. You will continue to serve as the Company’s Chief Executive Officer. You also will continue to report to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will perform the duties and responsibilities customary for such position and such other related duties as are reasonably assigned by the Company’s Board.</w:t>
      </w:r>
    </w:p>
    <w:p>
      <w:pPr>
        <w:spacing w:after="0" w:line="165" w:lineRule="exact"/>
        <w:rPr>
          <w:rFonts w:ascii="Arial" w:cs="Arial" w:eastAsia="Arial" w:hAnsi="Arial"/>
          <w:sz w:val="16"/>
          <w:szCs w:val="16"/>
          <w:color w:val="auto"/>
        </w:rPr>
      </w:pPr>
    </w:p>
    <w:p>
      <w:pPr>
        <w:ind w:right="80" w:firstLine="378"/>
        <w:spacing w:after="0" w:line="253" w:lineRule="auto"/>
        <w:tabs>
          <w:tab w:leader="none" w:pos="54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Location</w:t>
      </w:r>
      <w:r>
        <w:rPr>
          <w:rFonts w:ascii="Arial" w:cs="Arial" w:eastAsia="Arial" w:hAnsi="Arial"/>
          <w:sz w:val="16"/>
          <w:szCs w:val="16"/>
          <w:color w:val="auto"/>
        </w:rPr>
        <w:t>. You will perform your duties from the Company’s corporate offices located in South San Francisco,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67" w:lineRule="exact"/>
        <w:rPr>
          <w:rFonts w:ascii="Arial" w:cs="Arial" w:eastAsia="Arial" w:hAnsi="Arial"/>
          <w:sz w:val="16"/>
          <w:szCs w:val="16"/>
          <w:color w:val="auto"/>
        </w:rPr>
      </w:pPr>
    </w:p>
    <w:p>
      <w:pPr>
        <w:ind w:right="180" w:firstLine="378"/>
        <w:spacing w:after="0" w:line="256" w:lineRule="auto"/>
        <w:tabs>
          <w:tab w:leader="none" w:pos="54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Your annual base salary is currently $475,000 (“</w:t>
      </w:r>
      <w:r>
        <w:rPr>
          <w:rFonts w:ascii="Arial" w:cs="Arial" w:eastAsia="Arial" w:hAnsi="Arial"/>
          <w:sz w:val="16"/>
          <w:szCs w:val="16"/>
          <w:u w:val="single" w:color="auto"/>
          <w:color w:val="auto"/>
        </w:rPr>
        <w:t>Salary</w:t>
      </w:r>
      <w:r>
        <w:rPr>
          <w:rFonts w:ascii="Arial" w:cs="Arial" w:eastAsia="Arial" w:hAnsi="Arial"/>
          <w:sz w:val="16"/>
          <w:szCs w:val="16"/>
          <w:color w:val="auto"/>
        </w:rPr>
        <w:t>”), which is payable, less any applicable withholdings, in accordance with the Company’s normal payroll practices. Your Salary will be subject to review and adjustment from time to time by our Board or its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as applicable, in its sole discretion.</w:t>
      </w:r>
    </w:p>
    <w:p>
      <w:pPr>
        <w:spacing w:after="0" w:line="165" w:lineRule="exact"/>
        <w:rPr>
          <w:rFonts w:ascii="Arial" w:cs="Arial" w:eastAsia="Arial" w:hAnsi="Arial"/>
          <w:sz w:val="16"/>
          <w:szCs w:val="16"/>
          <w:color w:val="auto"/>
        </w:rPr>
      </w:pPr>
    </w:p>
    <w:p>
      <w:pPr>
        <w:jc w:val="both"/>
        <w:ind w:right="180" w:firstLine="378"/>
        <w:spacing w:after="0" w:line="329" w:lineRule="auto"/>
        <w:tabs>
          <w:tab w:leader="none" w:pos="542" w:val="left"/>
        </w:tabs>
        <w:numPr>
          <w:ilvl w:val="0"/>
          <w:numId w:val="362"/>
        </w:numPr>
        <w:rPr>
          <w:rFonts w:ascii="Arial" w:cs="Arial" w:eastAsia="Arial" w:hAnsi="Arial"/>
          <w:sz w:val="13"/>
          <w:szCs w:val="13"/>
          <w:color w:val="auto"/>
        </w:rPr>
      </w:pPr>
      <w:r>
        <w:rPr>
          <w:rFonts w:ascii="Arial" w:cs="Arial" w:eastAsia="Arial" w:hAnsi="Arial"/>
          <w:sz w:val="13"/>
          <w:szCs w:val="13"/>
          <w:u w:val="single" w:color="auto"/>
          <w:color w:val="auto"/>
        </w:rPr>
        <w:t>Annual Bonus</w:t>
      </w:r>
      <w:r>
        <w:rPr>
          <w:rFonts w:ascii="Arial" w:cs="Arial" w:eastAsia="Arial" w:hAnsi="Arial"/>
          <w:sz w:val="13"/>
          <w:szCs w:val="13"/>
          <w:color w:val="auto"/>
        </w:rPr>
        <w:t>. You will remain eligible to participate in the Annual Bonus Program and your target bonus payout is 35% of your base salary. The amount of this bonus will be determined in the sole discretion of the Board and may be based, in part, on the performance of the Company during the calendar year along with management’s assessment of your contribution to Company goal achievement. The bonus is not earned until paid and no achieved amount of the bonus will be paid if your employment terminates for any reason prior to the payment date.</w:t>
      </w:r>
    </w:p>
    <w:p>
      <w:pPr>
        <w:spacing w:after="0" w:line="123" w:lineRule="exact"/>
        <w:rPr>
          <w:rFonts w:ascii="Arial" w:cs="Arial" w:eastAsia="Arial" w:hAnsi="Arial"/>
          <w:sz w:val="13"/>
          <w:szCs w:val="13"/>
          <w:color w:val="auto"/>
        </w:rPr>
      </w:pPr>
    </w:p>
    <w:p>
      <w:pPr>
        <w:ind w:right="20" w:firstLine="378"/>
        <w:spacing w:after="0" w:line="253" w:lineRule="auto"/>
        <w:tabs>
          <w:tab w:leader="none" w:pos="54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ectPr>
          <w:pgSz w:w="11900" w:h="16838" w:orient="portrait"/>
          <w:cols w:equalWidth="0" w:num="1">
            <w:col w:w="9620"/>
          </w:cols>
          <w:pgMar w:left="1140" w:top="122" w:right="1139" w:bottom="1440" w:gutter="0" w:footer="0" w:header="0"/>
        </w:sectPr>
      </w:pPr>
    </w:p>
    <w:bookmarkStart w:id="502" w:name="page503"/>
    <w:bookmarkEnd w:id="502"/>
    <w:p>
      <w:pPr>
        <w:ind w:left="-300" w:right="180" w:firstLine="378"/>
        <w:spacing w:after="0" w:line="281" w:lineRule="auto"/>
        <w:tabs>
          <w:tab w:leader="none" w:pos="242" w:val="left"/>
        </w:tabs>
        <w:numPr>
          <w:ilvl w:val="0"/>
          <w:numId w:val="36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Employee Benefits</w:t>
      </w:r>
      <w:r>
        <w:rPr>
          <w:rFonts w:ascii="Arial" w:cs="Arial" w:eastAsia="Arial" w:hAnsi="Arial"/>
          <w:sz w:val="15"/>
          <w:szCs w:val="15"/>
          <w:color w:val="auto"/>
        </w:rPr>
        <w:t>. As a regular employee of the Company, you will continue to be eligible to participate in all Company-sponsored benefits currently and hereafter maintained by the Company for the benefit of the Company’s senior executives, subject to the satisfaction of any eligibility requirements. You should note that the Company may modify salaries and benefits from time-to- time as it deems necessary.</w:t>
      </w:r>
    </w:p>
    <w:p>
      <w:pPr>
        <w:spacing w:after="0" w:line="148" w:lineRule="exact"/>
        <w:rPr>
          <w:rFonts w:ascii="Arial" w:cs="Arial" w:eastAsia="Arial" w:hAnsi="Arial"/>
          <w:sz w:val="15"/>
          <w:szCs w:val="15"/>
          <w:color w:val="auto"/>
        </w:rPr>
      </w:pPr>
    </w:p>
    <w:p>
      <w:pPr>
        <w:ind w:left="-300" w:firstLine="378"/>
        <w:spacing w:after="0" w:line="251" w:lineRule="auto"/>
        <w:tabs>
          <w:tab w:leader="none" w:pos="242"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for the Company’s Executive Change in Control and Severance Plan (the “</w:t>
      </w:r>
      <w:r>
        <w:rPr>
          <w:rFonts w:ascii="Arial" w:cs="Arial" w:eastAsia="Arial" w:hAnsi="Arial"/>
          <w:sz w:val="16"/>
          <w:szCs w:val="16"/>
          <w:u w:val="single" w:color="auto"/>
          <w:color w:val="auto"/>
        </w:rPr>
        <w:t>Severance Plan</w:t>
      </w:r>
      <w:r>
        <w:rPr>
          <w:rFonts w:ascii="Arial" w:cs="Arial" w:eastAsia="Arial" w:hAnsi="Arial"/>
          <w:sz w:val="16"/>
          <w:szCs w:val="16"/>
          <w:color w:val="auto"/>
        </w:rPr>
        <w:t>”). Your Participation Agreement under the Severance Plan will specify the severance payments and benefits you could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169" w:lineRule="exact"/>
        <w:rPr>
          <w:rFonts w:ascii="Arial" w:cs="Arial" w:eastAsia="Arial" w:hAnsi="Arial"/>
          <w:sz w:val="16"/>
          <w:szCs w:val="16"/>
          <w:color w:val="auto"/>
        </w:rPr>
      </w:pPr>
    </w:p>
    <w:p>
      <w:pPr>
        <w:ind w:left="-300" w:right="140" w:firstLine="378"/>
        <w:spacing w:after="0" w:line="251" w:lineRule="auto"/>
        <w:tabs>
          <w:tab w:leader="none" w:pos="242"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At-Will Employment, Confidential Information, Invention Assignment and Arbitration Agreement dated April 22, 2018, entered into between you and the Company (the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still apply.</w:t>
      </w:r>
    </w:p>
    <w:p>
      <w:pPr>
        <w:spacing w:after="0" w:line="169" w:lineRule="exact"/>
        <w:rPr>
          <w:rFonts w:ascii="Arial" w:cs="Arial" w:eastAsia="Arial" w:hAnsi="Arial"/>
          <w:sz w:val="16"/>
          <w:szCs w:val="16"/>
          <w:color w:val="auto"/>
        </w:rPr>
      </w:pPr>
    </w:p>
    <w:p>
      <w:pPr>
        <w:ind w:left="-300" w:right="60" w:firstLine="378"/>
        <w:spacing w:after="0" w:line="275" w:lineRule="auto"/>
        <w:tabs>
          <w:tab w:leader="none" w:pos="242" w:val="left"/>
        </w:tabs>
        <w:numPr>
          <w:ilvl w:val="0"/>
          <w:numId w:val="363"/>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52" w:lineRule="exact"/>
        <w:rPr>
          <w:rFonts w:ascii="Arial" w:cs="Arial" w:eastAsia="Arial" w:hAnsi="Arial"/>
          <w:sz w:val="15"/>
          <w:szCs w:val="15"/>
          <w:color w:val="auto"/>
        </w:rPr>
      </w:pPr>
    </w:p>
    <w:p>
      <w:pPr>
        <w:ind w:left="-300" w:right="100" w:firstLine="378"/>
        <w:spacing w:after="0" w:line="311" w:lineRule="auto"/>
        <w:tabs>
          <w:tab w:leader="none" w:pos="320" w:val="left"/>
        </w:tabs>
        <w:numPr>
          <w:ilvl w:val="0"/>
          <w:numId w:val="363"/>
        </w:numPr>
        <w:rPr>
          <w:rFonts w:ascii="Arial" w:cs="Arial" w:eastAsia="Arial" w:hAnsi="Arial"/>
          <w:sz w:val="13"/>
          <w:szCs w:val="13"/>
          <w:color w:val="auto"/>
        </w:rPr>
      </w:pPr>
      <w:r>
        <w:rPr>
          <w:rFonts w:ascii="Arial" w:cs="Arial" w:eastAsia="Arial" w:hAnsi="Arial"/>
          <w:sz w:val="13"/>
          <w:szCs w:val="13"/>
          <w:u w:val="single" w:color="auto"/>
          <w:color w:val="auto"/>
        </w:rPr>
        <w:t>Protected Activity Not Prohibited</w:t>
      </w:r>
      <w:r>
        <w:rPr>
          <w:rFonts w:ascii="Arial" w:cs="Arial" w:eastAsia="Arial" w:hAnsi="Arial"/>
          <w:sz w:val="13"/>
          <w:szCs w:val="13"/>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3"/>
          <w:szCs w:val="13"/>
          <w:u w:val="single" w:color="auto"/>
          <w:color w:val="auto"/>
        </w:rPr>
        <w:t>Government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Agencies</w:t>
      </w:r>
      <w:r>
        <w:rPr>
          <w:rFonts w:ascii="Arial" w:cs="Arial" w:eastAsia="Arial" w:hAnsi="Arial"/>
          <w:sz w:val="13"/>
          <w:szCs w:val="13"/>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3"/>
          <w:szCs w:val="13"/>
          <w:b w:val="1"/>
          <w:bCs w:val="1"/>
          <w:u w:val="single" w:color="auto"/>
          <w:color w:val="auto"/>
        </w:rPr>
        <w:t>Appendix A</w:t>
      </w:r>
      <w:r>
        <w:rPr>
          <w:rFonts w:ascii="Arial" w:cs="Arial" w:eastAsia="Arial" w:hAnsi="Arial"/>
          <w:sz w:val="13"/>
          <w:szCs w:val="13"/>
          <w:color w:val="auto"/>
        </w:rPr>
        <w:t>.</w:t>
      </w:r>
    </w:p>
    <w:p>
      <w:pPr>
        <w:sectPr>
          <w:pgSz w:w="11900" w:h="16838" w:orient="portrait"/>
          <w:cols w:equalWidth="0" w:num="1">
            <w:col w:w="9300"/>
          </w:cols>
          <w:pgMar w:left="1440" w:top="1317" w:right="1159" w:bottom="1440" w:gutter="0" w:footer="0" w:header="0"/>
        </w:sectPr>
      </w:pPr>
    </w:p>
    <w:bookmarkStart w:id="503" w:name="page504"/>
    <w:bookmarkEnd w:id="503"/>
    <w:p>
      <w:pPr>
        <w:ind w:left="-60" w:firstLine="378"/>
        <w:spacing w:after="0" w:line="250" w:lineRule="auto"/>
        <w:tabs>
          <w:tab w:leader="none" w:pos="554"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Miscellaneous</w:t>
      </w:r>
      <w:r>
        <w:rPr>
          <w:rFonts w:ascii="Arial" w:cs="Arial" w:eastAsia="Arial" w:hAnsi="Arial"/>
          <w:sz w:val="16"/>
          <w:szCs w:val="16"/>
          <w:color w:val="auto"/>
        </w:rPr>
        <w:t>. This Agreement, together with the Confidentiality Agreement, the Severance Agreement and the stock options granted to you by the Company under its 2017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Colorado but without regard to the conflict of law provision. This Agreement may be modified only by a written agreement signed by a duly authorized officer of the Company (other than yourself) and you.</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9500"/>
          </w:cols>
          <w:pgMar w:left="1200" w:top="1317" w:right="1199" w:bottom="1440" w:gutter="0" w:footer="0" w:header="0"/>
        </w:sectPr>
      </w:pPr>
    </w:p>
    <w:bookmarkStart w:id="504" w:name="page505"/>
    <w:bookmarkEnd w:id="504"/>
    <w:p>
      <w:pPr>
        <w:ind w:right="359"/>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90105" cy="673735"/>
                    </a:xfrm>
                    <a:prstGeom prst="rect">
                      <a:avLst/>
                    </a:prstGeom>
                    <a:noFill/>
                  </pic:spPr>
                </pic:pic>
              </a:graphicData>
            </a:graphic>
          </wp:anchor>
        </w:drawing>
        <w:t>To confirm the current terms and conditions of your employment, please sign and date in the spaces indicated and return this Agreement to the undersigned.</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Sincerely,</w:t>
      </w:r>
    </w:p>
    <w:p>
      <w:pPr>
        <w:spacing w:after="0" w:line="189"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 /s/ David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10795</wp:posOffset>
            </wp:positionV>
            <wp:extent cx="2238375"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David Goeddel, Ph.D.</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Tenaya Board of Directors</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Date: 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171065"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7106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44094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Faraz Ali</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3"/>
          <w:szCs w:val="13"/>
          <w:color w:val="auto"/>
        </w:rPr>
        <w:t>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214122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141220" cy="7620"/>
                    </a:xfrm>
                    <a:prstGeom prst="rect">
                      <a:avLst/>
                    </a:prstGeom>
                    <a:noFill/>
                  </pic:spPr>
                </pic:pic>
              </a:graphicData>
            </a:graphic>
          </wp:anchor>
        </w:drawing>
      </w:r>
    </w:p>
    <w:p>
      <w:pPr>
        <w:sectPr>
          <w:pgSz w:w="11900" w:h="16838" w:orient="portrait"/>
          <w:cols w:equalWidth="0" w:num="1">
            <w:col w:w="9319"/>
          </w:cols>
          <w:pgMar w:left="1140" w:top="1317" w:right="1440" w:bottom="1440" w:gutter="0" w:footer="0" w:header="0"/>
        </w:sectPr>
      </w:pPr>
    </w:p>
    <w:bookmarkStart w:id="505" w:name="page506"/>
    <w:bookmarkEnd w:id="505"/>
    <w:p>
      <w:pPr>
        <w:jc w:val="center"/>
        <w:ind w:right="-7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Appendix A</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Section 7 of the Defend Trade Secrets Act of 2016</w:t>
      </w:r>
    </w:p>
    <w:p>
      <w:pPr>
        <w:spacing w:after="0" w:line="19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9540"/>
          </w:cols>
          <w:pgMar w:left="1140" w:top="1313" w:right="1219" w:bottom="1440" w:gutter="0" w:footer="0" w:header="0"/>
        </w:sectPr>
      </w:pPr>
    </w:p>
    <w:bookmarkStart w:id="506" w:name="page507"/>
    <w:bookmarkEnd w:id="506"/>
    <w:p>
      <w:pPr>
        <w:jc w:val="right"/>
        <w:spacing w:after="0"/>
        <w:rPr>
          <w:sz w:val="20"/>
          <w:szCs w:val="20"/>
          <w:color w:val="auto"/>
        </w:rPr>
      </w:pPr>
      <w:r>
        <w:rPr>
          <w:rFonts w:ascii="Arial" w:cs="Arial" w:eastAsia="Arial" w:hAnsi="Arial"/>
          <w:sz w:val="16"/>
          <w:szCs w:val="16"/>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579880" cy="5911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5798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June 25, 2021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Timothy Hoey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 Tenaya Therapeutics, Inc.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Confirmatory Employment Letter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Dear Tim:</w:t>
      </w:r>
    </w:p>
    <w:p>
      <w:pPr>
        <w:spacing w:after="0" w:line="193" w:lineRule="exact"/>
        <w:rPr>
          <w:sz w:val="20"/>
          <w:szCs w:val="20"/>
          <w:color w:val="auto"/>
        </w:rPr>
      </w:pPr>
    </w:p>
    <w:p>
      <w:pPr>
        <w:jc w:val="both"/>
        <w:ind w:right="80" w:firstLine="385"/>
        <w:spacing w:after="0" w:line="281" w:lineRule="auto"/>
        <w:rPr>
          <w:sz w:val="20"/>
          <w:szCs w:val="20"/>
          <w:color w:val="auto"/>
        </w:rPr>
      </w:pPr>
      <w:r>
        <w:rPr>
          <w:rFonts w:ascii="Arial" w:cs="Arial" w:eastAsia="Arial" w:hAnsi="Arial"/>
          <w:sz w:val="15"/>
          <w:szCs w:val="15"/>
          <w:color w:val="auto"/>
        </w:rPr>
        <w:t>This confirmatory employment letter agreement (the “</w:t>
      </w:r>
      <w:r>
        <w:rPr>
          <w:rFonts w:ascii="Arial" w:cs="Arial" w:eastAsia="Arial" w:hAnsi="Arial"/>
          <w:sz w:val="15"/>
          <w:szCs w:val="15"/>
          <w:u w:val="single" w:color="auto"/>
          <w:color w:val="auto"/>
        </w:rPr>
        <w:t>Agreement</w:t>
      </w:r>
      <w:r>
        <w:rPr>
          <w:rFonts w:ascii="Arial" w:cs="Arial" w:eastAsia="Arial" w:hAnsi="Arial"/>
          <w:sz w:val="15"/>
          <w:szCs w:val="15"/>
          <w:color w:val="auto"/>
        </w:rPr>
        <w:t>”) is entered into between you and Tenaya Therapeutics, Inc. (the “</w:t>
      </w:r>
      <w:r>
        <w:rPr>
          <w:rFonts w:ascii="Arial" w:cs="Arial" w:eastAsia="Arial" w:hAnsi="Arial"/>
          <w:sz w:val="15"/>
          <w:szCs w:val="15"/>
          <w:u w:val="single" w:color="auto"/>
          <w:color w:val="auto"/>
        </w:rPr>
        <w:t>Company</w:t>
      </w:r>
      <w:r>
        <w:rPr>
          <w:rFonts w:ascii="Arial" w:cs="Arial" w:eastAsia="Arial" w:hAnsi="Arial"/>
          <w:sz w:val="15"/>
          <w:szCs w:val="15"/>
          <w:color w:val="auto"/>
        </w:rPr>
        <w:t>” or “</w:t>
      </w:r>
      <w:r>
        <w:rPr>
          <w:rFonts w:ascii="Arial" w:cs="Arial" w:eastAsia="Arial" w:hAnsi="Arial"/>
          <w:sz w:val="15"/>
          <w:szCs w:val="15"/>
          <w:u w:val="single" w:color="auto"/>
          <w:color w:val="auto"/>
        </w:rPr>
        <w:t>we</w:t>
      </w:r>
      <w:r>
        <w:rPr>
          <w:rFonts w:ascii="Arial" w:cs="Arial" w:eastAsia="Arial" w:hAnsi="Arial"/>
          <w:sz w:val="15"/>
          <w:szCs w:val="15"/>
          <w:color w:val="auto"/>
        </w:rPr>
        <w:t>”), effective as of the effective date of the Company’s registration statement relating to the Company’s initial public offering (the “</w:t>
      </w:r>
      <w:r>
        <w:rPr>
          <w:rFonts w:ascii="Arial" w:cs="Arial" w:eastAsia="Arial" w:hAnsi="Arial"/>
          <w:sz w:val="15"/>
          <w:szCs w:val="15"/>
          <w:u w:val="single" w:color="auto"/>
          <w:color w:val="auto"/>
        </w:rPr>
        <w:t>Effective Date</w:t>
      </w:r>
      <w:r>
        <w:rPr>
          <w:rFonts w:ascii="Arial" w:cs="Arial" w:eastAsia="Arial" w:hAnsi="Arial"/>
          <w:sz w:val="15"/>
          <w:szCs w:val="15"/>
          <w:color w:val="auto"/>
        </w:rPr>
        <w:t>”), to confirm the terms and conditions of your employment with the Company as of the Effective Date.</w:t>
      </w:r>
    </w:p>
    <w:p>
      <w:pPr>
        <w:spacing w:after="0" w:line="149" w:lineRule="exact"/>
        <w:rPr>
          <w:sz w:val="20"/>
          <w:szCs w:val="20"/>
          <w:color w:val="auto"/>
        </w:rPr>
      </w:pPr>
    </w:p>
    <w:p>
      <w:pPr>
        <w:jc w:val="both"/>
        <w:ind w:right="180" w:firstLine="378"/>
        <w:spacing w:after="0" w:line="256" w:lineRule="auto"/>
        <w:tabs>
          <w:tab w:leader="none" w:pos="542"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Title; Position</w:t>
      </w:r>
      <w:r>
        <w:rPr>
          <w:rFonts w:ascii="Arial" w:cs="Arial" w:eastAsia="Arial" w:hAnsi="Arial"/>
          <w:sz w:val="16"/>
          <w:szCs w:val="16"/>
          <w:color w:val="auto"/>
        </w:rPr>
        <w:t>. You will continue to serve as the Company’s Chief Scientific Officer. You also will continue to report to the Company’s Chief Executive Officer and will perform the duties and responsibilities customary for such position and such other related duties as are reasonably assigned by the Company’s Chief Executive Officer.</w:t>
      </w:r>
    </w:p>
    <w:p>
      <w:pPr>
        <w:spacing w:after="0" w:line="165" w:lineRule="exact"/>
        <w:rPr>
          <w:rFonts w:ascii="Arial" w:cs="Arial" w:eastAsia="Arial" w:hAnsi="Arial"/>
          <w:sz w:val="16"/>
          <w:szCs w:val="16"/>
          <w:color w:val="auto"/>
        </w:rPr>
      </w:pPr>
    </w:p>
    <w:p>
      <w:pPr>
        <w:ind w:right="80" w:firstLine="378"/>
        <w:spacing w:after="0" w:line="253" w:lineRule="auto"/>
        <w:tabs>
          <w:tab w:leader="none" w:pos="542"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Location</w:t>
      </w:r>
      <w:r>
        <w:rPr>
          <w:rFonts w:ascii="Arial" w:cs="Arial" w:eastAsia="Arial" w:hAnsi="Arial"/>
          <w:sz w:val="16"/>
          <w:szCs w:val="16"/>
          <w:color w:val="auto"/>
        </w:rPr>
        <w:t>. You will perform your duties from the Company’s corporate offices located in South San Francisco,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67" w:lineRule="exact"/>
        <w:rPr>
          <w:rFonts w:ascii="Arial" w:cs="Arial" w:eastAsia="Arial" w:hAnsi="Arial"/>
          <w:sz w:val="16"/>
          <w:szCs w:val="16"/>
          <w:color w:val="auto"/>
        </w:rPr>
      </w:pPr>
    </w:p>
    <w:p>
      <w:pPr>
        <w:ind w:right="80" w:firstLine="378"/>
        <w:spacing w:after="0" w:line="256" w:lineRule="auto"/>
        <w:tabs>
          <w:tab w:leader="none" w:pos="542"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Your annual base salary is currently $385,000.00 (“</w:t>
      </w:r>
      <w:r>
        <w:rPr>
          <w:rFonts w:ascii="Arial" w:cs="Arial" w:eastAsia="Arial" w:hAnsi="Arial"/>
          <w:sz w:val="16"/>
          <w:szCs w:val="16"/>
          <w:u w:val="single" w:color="auto"/>
          <w:color w:val="auto"/>
        </w:rPr>
        <w:t>Salary</w:t>
      </w:r>
      <w:r>
        <w:rPr>
          <w:rFonts w:ascii="Arial" w:cs="Arial" w:eastAsia="Arial" w:hAnsi="Arial"/>
          <w:sz w:val="16"/>
          <w:szCs w:val="16"/>
          <w:color w:val="auto"/>
        </w:rPr>
        <w:t>) which is payable, less any applicable withholdings, in accordance with the Company’s normal payroll practices. Your Salary will be subject to review and adjustment from time to time by our Board or its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as applicable, in its sole discretion.</w:t>
      </w:r>
    </w:p>
    <w:p>
      <w:pPr>
        <w:spacing w:after="0" w:line="165" w:lineRule="exact"/>
        <w:rPr>
          <w:rFonts w:ascii="Arial" w:cs="Arial" w:eastAsia="Arial" w:hAnsi="Arial"/>
          <w:sz w:val="16"/>
          <w:szCs w:val="16"/>
          <w:color w:val="auto"/>
        </w:rPr>
      </w:pPr>
    </w:p>
    <w:p>
      <w:pPr>
        <w:jc w:val="both"/>
        <w:ind w:right="180" w:firstLine="378"/>
        <w:spacing w:after="0" w:line="329" w:lineRule="auto"/>
        <w:tabs>
          <w:tab w:leader="none" w:pos="542" w:val="left"/>
        </w:tabs>
        <w:numPr>
          <w:ilvl w:val="0"/>
          <w:numId w:val="366"/>
        </w:numPr>
        <w:rPr>
          <w:rFonts w:ascii="Arial" w:cs="Arial" w:eastAsia="Arial" w:hAnsi="Arial"/>
          <w:sz w:val="13"/>
          <w:szCs w:val="13"/>
          <w:color w:val="auto"/>
        </w:rPr>
      </w:pPr>
      <w:r>
        <w:rPr>
          <w:rFonts w:ascii="Arial" w:cs="Arial" w:eastAsia="Arial" w:hAnsi="Arial"/>
          <w:sz w:val="13"/>
          <w:szCs w:val="13"/>
          <w:u w:val="single" w:color="auto"/>
          <w:color w:val="auto"/>
        </w:rPr>
        <w:t>Annual Bonus</w:t>
      </w:r>
      <w:r>
        <w:rPr>
          <w:rFonts w:ascii="Arial" w:cs="Arial" w:eastAsia="Arial" w:hAnsi="Arial"/>
          <w:sz w:val="13"/>
          <w:szCs w:val="13"/>
          <w:color w:val="auto"/>
        </w:rPr>
        <w:t>. You will remain eligible to participate in the Annual Bonus Program and your target bonus payout is 30% of your base salary. The amount of this bonus will be determined in the sole discretion of the Board and may be based, in part, on the performance of the Company during the calendar year along with management’s assessment of your contribution to Company goal achievement. The bonus is not earned until paid and no achieved amount of the bonus will be paid if your employment terminates for any reason prior to the payment date.</w:t>
      </w:r>
    </w:p>
    <w:p>
      <w:pPr>
        <w:spacing w:after="0" w:line="123" w:lineRule="exact"/>
        <w:rPr>
          <w:rFonts w:ascii="Arial" w:cs="Arial" w:eastAsia="Arial" w:hAnsi="Arial"/>
          <w:sz w:val="13"/>
          <w:szCs w:val="13"/>
          <w:color w:val="auto"/>
        </w:rPr>
      </w:pPr>
    </w:p>
    <w:p>
      <w:pPr>
        <w:ind w:right="20" w:firstLine="378"/>
        <w:spacing w:after="0" w:line="253" w:lineRule="auto"/>
        <w:tabs>
          <w:tab w:leader="none" w:pos="542"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ectPr>
          <w:pgSz w:w="11900" w:h="16838" w:orient="portrait"/>
          <w:cols w:equalWidth="0" w:num="1">
            <w:col w:w="9620"/>
          </w:cols>
          <w:pgMar w:left="1140" w:top="123" w:right="1139" w:bottom="1440" w:gutter="0" w:footer="0" w:header="0"/>
        </w:sectPr>
      </w:pPr>
    </w:p>
    <w:bookmarkStart w:id="507" w:name="page508"/>
    <w:bookmarkEnd w:id="507"/>
    <w:p>
      <w:pPr>
        <w:ind w:left="-300" w:right="180" w:firstLine="378"/>
        <w:spacing w:after="0" w:line="281" w:lineRule="auto"/>
        <w:tabs>
          <w:tab w:leader="none" w:pos="242" w:val="left"/>
        </w:tabs>
        <w:numPr>
          <w:ilvl w:val="0"/>
          <w:numId w:val="36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90105" cy="673735"/>
                    </a:xfrm>
                    <a:prstGeom prst="rect">
                      <a:avLst/>
                    </a:prstGeom>
                    <a:noFill/>
                  </pic:spPr>
                </pic:pic>
              </a:graphicData>
            </a:graphic>
          </wp:anchor>
        </w:drawing>
        <w:t>Employee Benefits</w:t>
      </w:r>
      <w:r>
        <w:rPr>
          <w:rFonts w:ascii="Arial" w:cs="Arial" w:eastAsia="Arial" w:hAnsi="Arial"/>
          <w:sz w:val="15"/>
          <w:szCs w:val="15"/>
          <w:color w:val="auto"/>
        </w:rPr>
        <w:t>. As a regular employee of the Company, you will continue to be eligible to participate in all Company-sponsored benefits currently and hereafter maintained by the Company for the benefit of the Company’s senior executives, subject to the satisfaction of any eligibility requirements. You should note that the Company may modify salaries and benefits from time-to- time as it deems necessary.</w:t>
      </w:r>
    </w:p>
    <w:p>
      <w:pPr>
        <w:spacing w:after="0" w:line="148" w:lineRule="exact"/>
        <w:rPr>
          <w:rFonts w:ascii="Arial" w:cs="Arial" w:eastAsia="Arial" w:hAnsi="Arial"/>
          <w:sz w:val="15"/>
          <w:szCs w:val="15"/>
          <w:color w:val="auto"/>
        </w:rPr>
      </w:pPr>
    </w:p>
    <w:p>
      <w:pPr>
        <w:ind w:left="-300" w:firstLine="378"/>
        <w:spacing w:after="0" w:line="251" w:lineRule="auto"/>
        <w:tabs>
          <w:tab w:leader="none" w:pos="242"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for the Company’s Executive Change in Control and Severance Plan (the “</w:t>
      </w:r>
      <w:r>
        <w:rPr>
          <w:rFonts w:ascii="Arial" w:cs="Arial" w:eastAsia="Arial" w:hAnsi="Arial"/>
          <w:sz w:val="16"/>
          <w:szCs w:val="16"/>
          <w:u w:val="single" w:color="auto"/>
          <w:color w:val="auto"/>
        </w:rPr>
        <w:t>Severance Plan</w:t>
      </w:r>
      <w:r>
        <w:rPr>
          <w:rFonts w:ascii="Arial" w:cs="Arial" w:eastAsia="Arial" w:hAnsi="Arial"/>
          <w:sz w:val="16"/>
          <w:szCs w:val="16"/>
          <w:color w:val="auto"/>
        </w:rPr>
        <w:t>”). Your Participation Agreement under the Severance Plan will specify the severance payments and benefits you could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169" w:lineRule="exact"/>
        <w:rPr>
          <w:rFonts w:ascii="Arial" w:cs="Arial" w:eastAsia="Arial" w:hAnsi="Arial"/>
          <w:sz w:val="16"/>
          <w:szCs w:val="16"/>
          <w:color w:val="auto"/>
        </w:rPr>
      </w:pPr>
    </w:p>
    <w:p>
      <w:pPr>
        <w:ind w:left="-300" w:right="140" w:firstLine="378"/>
        <w:spacing w:after="0" w:line="251" w:lineRule="auto"/>
        <w:tabs>
          <w:tab w:leader="none" w:pos="242"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At-Will Employment, Confidential Information, Invention Assignment and Arbitration Agreement dated July 7, 2017 entered into between you and the Company (the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still apply.</w:t>
      </w:r>
    </w:p>
    <w:p>
      <w:pPr>
        <w:spacing w:after="0" w:line="169" w:lineRule="exact"/>
        <w:rPr>
          <w:rFonts w:ascii="Arial" w:cs="Arial" w:eastAsia="Arial" w:hAnsi="Arial"/>
          <w:sz w:val="16"/>
          <w:szCs w:val="16"/>
          <w:color w:val="auto"/>
        </w:rPr>
      </w:pPr>
    </w:p>
    <w:p>
      <w:pPr>
        <w:ind w:left="-300" w:right="60" w:firstLine="378"/>
        <w:spacing w:after="0" w:line="275" w:lineRule="auto"/>
        <w:tabs>
          <w:tab w:leader="none" w:pos="242" w:val="left"/>
        </w:tabs>
        <w:numPr>
          <w:ilvl w:val="0"/>
          <w:numId w:val="367"/>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52" w:lineRule="exact"/>
        <w:rPr>
          <w:rFonts w:ascii="Arial" w:cs="Arial" w:eastAsia="Arial" w:hAnsi="Arial"/>
          <w:sz w:val="15"/>
          <w:szCs w:val="15"/>
          <w:color w:val="auto"/>
        </w:rPr>
      </w:pPr>
    </w:p>
    <w:p>
      <w:pPr>
        <w:ind w:left="-300" w:right="100" w:firstLine="378"/>
        <w:spacing w:after="0" w:line="311" w:lineRule="auto"/>
        <w:tabs>
          <w:tab w:leader="none" w:pos="320" w:val="left"/>
        </w:tabs>
        <w:numPr>
          <w:ilvl w:val="0"/>
          <w:numId w:val="367"/>
        </w:numPr>
        <w:rPr>
          <w:rFonts w:ascii="Arial" w:cs="Arial" w:eastAsia="Arial" w:hAnsi="Arial"/>
          <w:sz w:val="13"/>
          <w:szCs w:val="13"/>
          <w:color w:val="auto"/>
        </w:rPr>
      </w:pPr>
      <w:r>
        <w:rPr>
          <w:rFonts w:ascii="Arial" w:cs="Arial" w:eastAsia="Arial" w:hAnsi="Arial"/>
          <w:sz w:val="13"/>
          <w:szCs w:val="13"/>
          <w:u w:val="single" w:color="auto"/>
          <w:color w:val="auto"/>
        </w:rPr>
        <w:t>Protected Activity Not Prohibited</w:t>
      </w:r>
      <w:r>
        <w:rPr>
          <w:rFonts w:ascii="Arial" w:cs="Arial" w:eastAsia="Arial" w:hAnsi="Arial"/>
          <w:sz w:val="13"/>
          <w:szCs w:val="13"/>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3"/>
          <w:szCs w:val="13"/>
          <w:u w:val="single" w:color="auto"/>
          <w:color w:val="auto"/>
        </w:rPr>
        <w:t>Government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Agencies</w:t>
      </w:r>
      <w:r>
        <w:rPr>
          <w:rFonts w:ascii="Arial" w:cs="Arial" w:eastAsia="Arial" w:hAnsi="Arial"/>
          <w:sz w:val="13"/>
          <w:szCs w:val="13"/>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3"/>
          <w:szCs w:val="13"/>
          <w:b w:val="1"/>
          <w:bCs w:val="1"/>
          <w:color w:val="auto"/>
        </w:rPr>
        <w:t>Appendix A</w:t>
      </w:r>
      <w:r>
        <w:rPr>
          <w:rFonts w:ascii="Arial" w:cs="Arial" w:eastAsia="Arial" w:hAnsi="Arial"/>
          <w:sz w:val="13"/>
          <w:szCs w:val="13"/>
          <w:color w:val="auto"/>
        </w:rPr>
        <w:t>.</w:t>
      </w:r>
    </w:p>
    <w:p>
      <w:pPr>
        <w:sectPr>
          <w:pgSz w:w="11900" w:h="16838" w:orient="portrait"/>
          <w:cols w:equalWidth="0" w:num="1">
            <w:col w:w="9300"/>
          </w:cols>
          <w:pgMar w:left="1440" w:top="1317" w:right="1159" w:bottom="1440" w:gutter="0" w:footer="0" w:header="0"/>
        </w:sectPr>
      </w:pPr>
    </w:p>
    <w:bookmarkStart w:id="508" w:name="page509"/>
    <w:bookmarkEnd w:id="508"/>
    <w:p>
      <w:pPr>
        <w:ind w:left="-60" w:firstLine="378"/>
        <w:spacing w:after="0" w:line="250" w:lineRule="auto"/>
        <w:tabs>
          <w:tab w:leader="none" w:pos="554"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Miscellaneous</w:t>
      </w:r>
      <w:r>
        <w:rPr>
          <w:rFonts w:ascii="Arial" w:cs="Arial" w:eastAsia="Arial" w:hAnsi="Arial"/>
          <w:sz w:val="16"/>
          <w:szCs w:val="16"/>
          <w:color w:val="auto"/>
        </w:rPr>
        <w:t>. This Agreement, together with the Confidentiality Agreement, the Severance Agreement and the stock options granted to you by the Company under its 2017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Colorado but without regard to the conflict of law provision. This Agreement may be modified only by a written agreement signed by a duly authorized officer of the Company (other than yourself) and you.</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9500"/>
          </w:cols>
          <w:pgMar w:left="1200" w:top="1317" w:right="1199" w:bottom="1440" w:gutter="0" w:footer="0" w:header="0"/>
        </w:sectPr>
      </w:pPr>
    </w:p>
    <w:bookmarkStart w:id="509" w:name="page510"/>
    <w:bookmarkEnd w:id="509"/>
    <w:p>
      <w:pPr>
        <w:ind w:right="359"/>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To confirm the current terms and conditions of your employment, please sign and date in the spaces indicated and return this Agreement to the undersigned.</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Sincerely,</w:t>
      </w:r>
    </w:p>
    <w:p>
      <w:pPr>
        <w:spacing w:after="0" w:line="189"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6"/>
          <w:szCs w:val="16"/>
          <w:color w:val="auto"/>
        </w:rPr>
        <w:t>By:</w:t>
        <w:tab/>
        <w:t>/s/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171065"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171065" cy="7620"/>
                    </a:xfrm>
                    <a:prstGeom prst="rect">
                      <a:avLst/>
                    </a:prstGeom>
                    <a:noFill/>
                  </pic:spPr>
                </pic:pic>
              </a:graphicData>
            </a:graphic>
          </wp:anchor>
        </w:drawing>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Name: Faraz Ali</w:t>
      </w:r>
    </w:p>
    <w:p>
      <w:pPr>
        <w:spacing w:after="0" w:line="16"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Date: 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17106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7106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Tim Hoey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44094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Timothy Hoey</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3"/>
          <w:szCs w:val="13"/>
          <w:color w:val="auto"/>
        </w:rPr>
        <w:t>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21412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141220" cy="7620"/>
                    </a:xfrm>
                    <a:prstGeom prst="rect">
                      <a:avLst/>
                    </a:prstGeom>
                    <a:noFill/>
                  </pic:spPr>
                </pic:pic>
              </a:graphicData>
            </a:graphic>
          </wp:anchor>
        </w:drawing>
      </w:r>
    </w:p>
    <w:p>
      <w:pPr>
        <w:sectPr>
          <w:pgSz w:w="11900" w:h="16838" w:orient="portrait"/>
          <w:cols w:equalWidth="0" w:num="1">
            <w:col w:w="9319"/>
          </w:cols>
          <w:pgMar w:left="1140" w:top="1317" w:right="1440" w:bottom="1440" w:gutter="0" w:footer="0" w:header="0"/>
        </w:sectPr>
      </w:pPr>
    </w:p>
    <w:bookmarkStart w:id="510" w:name="page511"/>
    <w:bookmarkEnd w:id="510"/>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90105" cy="673735"/>
                    </a:xfrm>
                    <a:prstGeom prst="rect">
                      <a:avLst/>
                    </a:prstGeom>
                    <a:noFill/>
                  </pic:spPr>
                </pic:pic>
              </a:graphicData>
            </a:graphic>
          </wp:anchor>
        </w:drawing>
        <w:t>Appendix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7 of the Defend Trade Secrets Act of 2016</w:t>
      </w:r>
    </w:p>
    <w:p>
      <w:pPr>
        <w:spacing w:after="0" w:line="19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9580"/>
          </w:cols>
          <w:pgMar w:left="1140" w:top="1313" w:right="1179" w:bottom="1440" w:gutter="0" w:footer="0" w:header="0"/>
        </w:sectPr>
      </w:pPr>
    </w:p>
    <w:bookmarkStart w:id="511" w:name="page512"/>
    <w:bookmarkEnd w:id="511"/>
    <w:p>
      <w:pPr>
        <w:jc w:val="right"/>
        <w:spacing w:after="0"/>
        <w:rPr>
          <w:sz w:val="20"/>
          <w:szCs w:val="20"/>
          <w:color w:val="auto"/>
        </w:rPr>
      </w:pPr>
      <w:r>
        <w:rPr>
          <w:rFonts w:ascii="Arial" w:cs="Arial" w:eastAsia="Arial" w:hAnsi="Arial"/>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579880" cy="5911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5798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Leone Patterson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June 18, 2021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Dear Leone:</w:t>
      </w:r>
    </w:p>
    <w:p>
      <w:pPr>
        <w:spacing w:after="0" w:line="193" w:lineRule="exact"/>
        <w:rPr>
          <w:sz w:val="20"/>
          <w:szCs w:val="20"/>
          <w:color w:val="auto"/>
        </w:rPr>
      </w:pPr>
    </w:p>
    <w:p>
      <w:pPr>
        <w:ind w:right="300" w:firstLine="866"/>
        <w:spacing w:after="0" w:line="256" w:lineRule="auto"/>
        <w:rPr>
          <w:sz w:val="20"/>
          <w:szCs w:val="20"/>
          <w:color w:val="auto"/>
        </w:rPr>
      </w:pPr>
      <w:r>
        <w:rPr>
          <w:rFonts w:ascii="Arial" w:cs="Arial" w:eastAsia="Arial" w:hAnsi="Arial"/>
          <w:sz w:val="16"/>
          <w:szCs w:val="16"/>
          <w:color w:val="auto"/>
        </w:rPr>
        <w:t>On behalf of Tenaya Therapeutics, Inc. (“</w:t>
      </w:r>
      <w:r>
        <w:rPr>
          <w:rFonts w:ascii="Arial" w:cs="Arial" w:eastAsia="Arial" w:hAnsi="Arial"/>
          <w:sz w:val="16"/>
          <w:szCs w:val="16"/>
          <w:u w:val="single" w:color="auto"/>
          <w:color w:val="auto"/>
        </w:rPr>
        <w:t>we</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I am pleased to invite you to join the Company on the terms and conditions set forth in this letter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effective as of the date on which you commence employment with the Company (the “</w:t>
      </w:r>
      <w:r>
        <w:rPr>
          <w:rFonts w:ascii="Arial" w:cs="Arial" w:eastAsia="Arial" w:hAnsi="Arial"/>
          <w:sz w:val="16"/>
          <w:szCs w:val="16"/>
          <w:u w:val="single" w:color="auto"/>
          <w:color w:val="auto"/>
        </w:rPr>
        <w:t>Effective Date</w:t>
      </w:r>
      <w:r>
        <w:rPr>
          <w:rFonts w:ascii="Arial" w:cs="Arial" w:eastAsia="Arial" w:hAnsi="Arial"/>
          <w:sz w:val="16"/>
          <w:szCs w:val="16"/>
          <w:color w:val="auto"/>
        </w:rPr>
        <w:t>”). We look forward to the possibility of your joining our Company.</w:t>
      </w:r>
    </w:p>
    <w:p>
      <w:pPr>
        <w:spacing w:after="0" w:line="166" w:lineRule="exact"/>
        <w:rPr>
          <w:sz w:val="20"/>
          <w:szCs w:val="20"/>
          <w:color w:val="auto"/>
        </w:rPr>
      </w:pPr>
    </w:p>
    <w:p>
      <w:pPr>
        <w:jc w:val="both"/>
        <w:ind w:right="420" w:firstLine="378"/>
        <w:spacing w:after="0" w:line="256" w:lineRule="auto"/>
        <w:tabs>
          <w:tab w:leader="none" w:pos="542"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Title; Position</w:t>
      </w:r>
      <w:r>
        <w:rPr>
          <w:rFonts w:ascii="Arial" w:cs="Arial" w:eastAsia="Arial" w:hAnsi="Arial"/>
          <w:sz w:val="16"/>
          <w:szCs w:val="16"/>
          <w:color w:val="auto"/>
        </w:rPr>
        <w:t>. You will serve as the Company’s Chief Financial and Business Officer. You will report to the Company’s Chief Executive Officer and will perform the duties and responsibilities customary for such position and such other related duties as are reasonably assigned by the Company’s Chief Executive Officer.</w:t>
      </w:r>
    </w:p>
    <w:p>
      <w:pPr>
        <w:spacing w:after="0" w:line="165" w:lineRule="exact"/>
        <w:rPr>
          <w:rFonts w:ascii="Arial" w:cs="Arial" w:eastAsia="Arial" w:hAnsi="Arial"/>
          <w:sz w:val="16"/>
          <w:szCs w:val="16"/>
          <w:color w:val="auto"/>
        </w:rPr>
      </w:pPr>
    </w:p>
    <w:p>
      <w:pPr>
        <w:ind w:right="80" w:firstLine="378"/>
        <w:spacing w:after="0" w:line="253" w:lineRule="auto"/>
        <w:tabs>
          <w:tab w:leader="none" w:pos="542"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Location</w:t>
      </w:r>
      <w:r>
        <w:rPr>
          <w:rFonts w:ascii="Arial" w:cs="Arial" w:eastAsia="Arial" w:hAnsi="Arial"/>
          <w:sz w:val="16"/>
          <w:szCs w:val="16"/>
          <w:color w:val="auto"/>
        </w:rPr>
        <w:t>. You will perform your duties from the Company’s corporate offices located in South San Francisco,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67" w:lineRule="exact"/>
        <w:rPr>
          <w:rFonts w:ascii="Arial" w:cs="Arial" w:eastAsia="Arial" w:hAnsi="Arial"/>
          <w:sz w:val="16"/>
          <w:szCs w:val="16"/>
          <w:color w:val="auto"/>
        </w:rPr>
      </w:pPr>
    </w:p>
    <w:p>
      <w:pPr>
        <w:ind w:right="220" w:firstLine="378"/>
        <w:spacing w:after="0" w:line="253" w:lineRule="auto"/>
        <w:tabs>
          <w:tab w:leader="none" w:pos="542"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Your annual base salary will be $400,000 (“Salary”), which is payable, less any applicable withholdings, in accordance with the Company’s normal payroll practices. Your Salary will be subject to review and adjustment from time to time by our Board or its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as applicable, in its sole discretion, including a review against public peer company benchmarks as soon as practical following the IPO Effective Date.</w:t>
      </w:r>
    </w:p>
    <w:p>
      <w:pPr>
        <w:spacing w:after="0" w:line="167" w:lineRule="exact"/>
        <w:rPr>
          <w:rFonts w:ascii="Arial" w:cs="Arial" w:eastAsia="Arial" w:hAnsi="Arial"/>
          <w:sz w:val="16"/>
          <w:szCs w:val="16"/>
          <w:color w:val="auto"/>
        </w:rPr>
      </w:pPr>
    </w:p>
    <w:p>
      <w:pPr>
        <w:ind w:right="60" w:firstLine="378"/>
        <w:spacing w:after="0" w:line="323" w:lineRule="auto"/>
        <w:tabs>
          <w:tab w:leader="none" w:pos="542" w:val="left"/>
        </w:tabs>
        <w:numPr>
          <w:ilvl w:val="0"/>
          <w:numId w:val="370"/>
        </w:numPr>
        <w:rPr>
          <w:rFonts w:ascii="Arial" w:cs="Arial" w:eastAsia="Arial" w:hAnsi="Arial"/>
          <w:sz w:val="13"/>
          <w:szCs w:val="13"/>
          <w:color w:val="auto"/>
        </w:rPr>
      </w:pPr>
      <w:r>
        <w:rPr>
          <w:rFonts w:ascii="Arial" w:cs="Arial" w:eastAsia="Arial" w:hAnsi="Arial"/>
          <w:sz w:val="13"/>
          <w:szCs w:val="13"/>
          <w:u w:val="single" w:color="auto"/>
          <w:color w:val="auto"/>
        </w:rPr>
        <w:t>Annual Bonus</w:t>
      </w:r>
      <w:r>
        <w:rPr>
          <w:rFonts w:ascii="Arial" w:cs="Arial" w:eastAsia="Arial" w:hAnsi="Arial"/>
          <w:sz w:val="13"/>
          <w:szCs w:val="13"/>
          <w:color w:val="auto"/>
        </w:rPr>
        <w:t>. You will remain eligible to participate in the Annual Bonus Program and your target bonus payout will be 30% of your base salary. The amount of this bonus will be determined in the sole discretion of the Committee and may be based, in part, on the performance of the Company during the calendar year along with management’s assessment of your contribution to Company goal achievement. The bonus is not earned until paid and no achieved amount of the bonus will be paid if your employment terminates for any reason prior to the payment date. The Annual Bonus Program will be reviewed against public peer company benchmarks as soon as practical following the IPO Effective Date.</w:t>
      </w:r>
    </w:p>
    <w:p>
      <w:pPr>
        <w:spacing w:after="0" w:line="125" w:lineRule="exact"/>
        <w:rPr>
          <w:rFonts w:ascii="Arial" w:cs="Arial" w:eastAsia="Arial" w:hAnsi="Arial"/>
          <w:sz w:val="13"/>
          <w:szCs w:val="13"/>
          <w:color w:val="auto"/>
        </w:rPr>
      </w:pPr>
    </w:p>
    <w:p>
      <w:pPr>
        <w:ind w:right="120" w:firstLine="378"/>
        <w:spacing w:after="0" w:line="256" w:lineRule="auto"/>
        <w:tabs>
          <w:tab w:leader="none" w:pos="542"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Subject to the approval of the Committee, it will be recommended that the Committee will grant you an option to purchase 2,125,000 shares of the Company’s common stock (with such number subject to equitable adjustment for any Company stock split or similar Company capitalization event) at an exercise price per share equal to the fair market value of a share of the</w:t>
      </w:r>
    </w:p>
    <w:p>
      <w:pPr>
        <w:sectPr>
          <w:pgSz w:w="11900" w:h="16838" w:orient="portrait"/>
          <w:cols w:equalWidth="0" w:num="1">
            <w:col w:w="9620"/>
          </w:cols>
          <w:pgMar w:left="1140" w:top="122" w:right="1139" w:bottom="1440" w:gutter="0" w:footer="0" w:header="0"/>
        </w:sectPr>
      </w:pPr>
    </w:p>
    <w:bookmarkStart w:id="512" w:name="page513"/>
    <w:bookmarkEnd w:id="512"/>
    <w:p>
      <w:pPr>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90105" cy="673735"/>
                    </a:xfrm>
                    <a:prstGeom prst="rect">
                      <a:avLst/>
                    </a:prstGeom>
                    <a:noFill/>
                  </pic:spPr>
                </pic:pic>
              </a:graphicData>
            </a:graphic>
          </wp:anchor>
        </w:drawing>
        <w:t>Company’s common stock, as determined by the Committee (the “</w:t>
      </w:r>
      <w:r>
        <w:rPr>
          <w:rFonts w:ascii="Arial" w:cs="Arial" w:eastAsia="Arial" w:hAnsi="Arial"/>
          <w:sz w:val="15"/>
          <w:szCs w:val="15"/>
          <w:u w:val="single" w:color="auto"/>
          <w:color w:val="auto"/>
        </w:rPr>
        <w:t>Option</w:t>
      </w:r>
      <w:r>
        <w:rPr>
          <w:rFonts w:ascii="Arial" w:cs="Arial" w:eastAsia="Arial" w:hAnsi="Arial"/>
          <w:sz w:val="15"/>
          <w:szCs w:val="15"/>
          <w:color w:val="auto"/>
        </w:rPr>
        <w:t>”). The Option will vest as follows: 25% of the shares subject to the Option will vest on the one year anniversary of the Effective Date and 1/48th of the shares subject to the Option will vest each month thereafter on the same day of the month as the vesting commencement date (and if there is no corresponding day, on the last day of the month), subject to you continuing to be a service provider of the Company through each such date. The Option will be subject to the terms and conditions of the Company’s then-current equity incentive plan and your grant agreement on a form approved by the Committee.</w:t>
      </w:r>
    </w:p>
    <w:p>
      <w:pPr>
        <w:spacing w:after="0" w:line="154" w:lineRule="exact"/>
        <w:rPr>
          <w:sz w:val="20"/>
          <w:szCs w:val="20"/>
          <w:color w:val="auto"/>
        </w:rPr>
      </w:pPr>
    </w:p>
    <w:p>
      <w:pPr>
        <w:jc w:val="both"/>
        <w:ind w:right="60" w:firstLine="378"/>
        <w:spacing w:after="0" w:line="281" w:lineRule="auto"/>
        <w:tabs>
          <w:tab w:leader="none" w:pos="542" w:val="left"/>
        </w:tabs>
        <w:numPr>
          <w:ilvl w:val="0"/>
          <w:numId w:val="371"/>
        </w:numPr>
        <w:rPr>
          <w:rFonts w:ascii="Arial" w:cs="Arial" w:eastAsia="Arial" w:hAnsi="Arial"/>
          <w:sz w:val="15"/>
          <w:szCs w:val="15"/>
          <w:color w:val="auto"/>
        </w:rPr>
      </w:pPr>
      <w:r>
        <w:rPr>
          <w:rFonts w:ascii="Arial" w:cs="Arial" w:eastAsia="Arial" w:hAnsi="Arial"/>
          <w:sz w:val="15"/>
          <w:szCs w:val="15"/>
          <w:u w:val="single" w:color="auto"/>
          <w:color w:val="auto"/>
        </w:rPr>
        <w:t>Employee Benefits</w:t>
      </w:r>
      <w:r>
        <w:rPr>
          <w:rFonts w:ascii="Arial" w:cs="Arial" w:eastAsia="Arial" w:hAnsi="Arial"/>
          <w:sz w:val="15"/>
          <w:szCs w:val="15"/>
          <w:color w:val="auto"/>
        </w:rPr>
        <w:t>. As a regular employee of the Company, you will be eligible to participate in all Company-sponsored benefits currently and hereafter maintained by the Company for the benefit of the Company’s senior executives, subject to the satisfaction of any eligibility requirements. You should note that the Company may modify salaries and benefits from time-to-time as it deems necessary.</w:t>
      </w:r>
    </w:p>
    <w:p>
      <w:pPr>
        <w:spacing w:after="0" w:line="148" w:lineRule="exact"/>
        <w:rPr>
          <w:rFonts w:ascii="Arial" w:cs="Arial" w:eastAsia="Arial" w:hAnsi="Arial"/>
          <w:sz w:val="15"/>
          <w:szCs w:val="15"/>
          <w:color w:val="auto"/>
        </w:rPr>
      </w:pPr>
    </w:p>
    <w:p>
      <w:pPr>
        <w:ind w:right="160" w:firstLine="378"/>
        <w:spacing w:after="0" w:line="275" w:lineRule="auto"/>
        <w:tabs>
          <w:tab w:leader="none" w:pos="542" w:val="left"/>
        </w:tabs>
        <w:numPr>
          <w:ilvl w:val="0"/>
          <w:numId w:val="371"/>
        </w:numPr>
        <w:rPr>
          <w:rFonts w:ascii="Arial" w:cs="Arial" w:eastAsia="Arial" w:hAnsi="Arial"/>
          <w:sz w:val="15"/>
          <w:szCs w:val="15"/>
          <w:color w:val="auto"/>
        </w:rPr>
      </w:pPr>
      <w:r>
        <w:rPr>
          <w:rFonts w:ascii="Arial" w:cs="Arial" w:eastAsia="Arial" w:hAnsi="Arial"/>
          <w:sz w:val="15"/>
          <w:szCs w:val="15"/>
          <w:u w:val="single" w:color="auto"/>
          <w:color w:val="auto"/>
        </w:rPr>
        <w:t>Severance</w:t>
      </w:r>
      <w:r>
        <w:rPr>
          <w:rFonts w:ascii="Arial" w:cs="Arial" w:eastAsia="Arial" w:hAnsi="Arial"/>
          <w:sz w:val="15"/>
          <w:szCs w:val="15"/>
          <w:color w:val="auto"/>
        </w:rPr>
        <w:t>. You will be eligible for the Company’s Executive Change in Control and Severance Plan (the “</w:t>
      </w:r>
      <w:r>
        <w:rPr>
          <w:rFonts w:ascii="Arial" w:cs="Arial" w:eastAsia="Arial" w:hAnsi="Arial"/>
          <w:sz w:val="15"/>
          <w:szCs w:val="15"/>
          <w:u w:val="single" w:color="auto"/>
          <w:color w:val="auto"/>
        </w:rPr>
        <w:t>Severance Plan</w:t>
      </w:r>
      <w:r>
        <w:rPr>
          <w:rFonts w:ascii="Arial" w:cs="Arial" w:eastAsia="Arial" w:hAnsi="Arial"/>
          <w:sz w:val="15"/>
          <w:szCs w:val="15"/>
          <w:color w:val="auto"/>
        </w:rPr>
        <w:t>”) applicable to you based on your position. Your Participation Agreement under the Severance Plan (the “</w:t>
      </w:r>
      <w:r>
        <w:rPr>
          <w:rFonts w:ascii="Arial" w:cs="Arial" w:eastAsia="Arial" w:hAnsi="Arial"/>
          <w:sz w:val="15"/>
          <w:szCs w:val="15"/>
          <w:u w:val="single" w:color="auto"/>
          <w:color w:val="auto"/>
        </w:rPr>
        <w:t>Participation Agreement</w:t>
      </w:r>
      <w:r>
        <w:rPr>
          <w:rFonts w:ascii="Arial" w:cs="Arial" w:eastAsia="Arial" w:hAnsi="Arial"/>
          <w:sz w:val="15"/>
          <w:szCs w:val="15"/>
          <w:color w:val="auto"/>
        </w:rPr>
        <w:t>”) will specify the severance payments and benefits you could be eligible to receive in connection with certain terminations of your employment with the Company. Additional details regarding the Severance Plan and your benefits thereunder will be provided to you separately.</w:t>
      </w:r>
    </w:p>
    <w:p>
      <w:pPr>
        <w:spacing w:after="0" w:line="152" w:lineRule="exact"/>
        <w:rPr>
          <w:rFonts w:ascii="Arial" w:cs="Arial" w:eastAsia="Arial" w:hAnsi="Arial"/>
          <w:sz w:val="15"/>
          <w:szCs w:val="15"/>
          <w:color w:val="auto"/>
        </w:rPr>
      </w:pPr>
    </w:p>
    <w:p>
      <w:pPr>
        <w:jc w:val="both"/>
        <w:ind w:right="60" w:firstLine="378"/>
        <w:spacing w:after="0" w:line="253" w:lineRule="auto"/>
        <w:tabs>
          <w:tab w:leader="none" w:pos="542"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executive and deliver, on or before the Effective Date, the Company’s At-Will Employment, Confidential Information, Invention Assignment and Arbitration Agreement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40" w:firstLine="378"/>
        <w:spacing w:after="0" w:line="253" w:lineRule="auto"/>
        <w:tabs>
          <w:tab w:leader="none" w:pos="542"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This Agreement does not imply any right to your continued employment for any period with the Company or any parent, subsidiary, or affiliate of the Company. Your employment with the Company will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67" w:lineRule="exact"/>
        <w:rPr>
          <w:rFonts w:ascii="Arial" w:cs="Arial" w:eastAsia="Arial" w:hAnsi="Arial"/>
          <w:sz w:val="16"/>
          <w:szCs w:val="16"/>
          <w:color w:val="auto"/>
        </w:rPr>
      </w:pPr>
    </w:p>
    <w:p>
      <w:pPr>
        <w:ind w:right="20" w:firstLine="378"/>
        <w:spacing w:after="0" w:line="319" w:lineRule="auto"/>
        <w:tabs>
          <w:tab w:leader="none" w:pos="620" w:val="left"/>
        </w:tabs>
        <w:numPr>
          <w:ilvl w:val="0"/>
          <w:numId w:val="371"/>
        </w:numPr>
        <w:rPr>
          <w:rFonts w:ascii="Arial" w:cs="Arial" w:eastAsia="Arial" w:hAnsi="Arial"/>
          <w:sz w:val="13"/>
          <w:szCs w:val="13"/>
          <w:color w:val="auto"/>
        </w:rPr>
      </w:pPr>
      <w:r>
        <w:rPr>
          <w:rFonts w:ascii="Arial" w:cs="Arial" w:eastAsia="Arial" w:hAnsi="Arial"/>
          <w:sz w:val="13"/>
          <w:szCs w:val="13"/>
          <w:u w:val="single" w:color="auto"/>
          <w:color w:val="auto"/>
        </w:rPr>
        <w:t>Competitive Activities; Prior Work</w:t>
      </w:r>
      <w:r>
        <w:rPr>
          <w:rFonts w:ascii="Arial" w:cs="Arial" w:eastAsia="Arial" w:hAnsi="Arial"/>
          <w:sz w:val="13"/>
          <w:szCs w:val="13"/>
          <w:color w:val="auto"/>
        </w:rPr>
        <w:t>. While you render services to the Company, you will not engage in any other employment, occupation, or consulting activity for any direct or indirect remuneration or otherwise without the prior written approval of the Committee. 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is otherwise provided or developed by the Company. By accepting employment with the</w:t>
      </w:r>
    </w:p>
    <w:p>
      <w:pPr>
        <w:sectPr>
          <w:pgSz w:w="11900" w:h="16838" w:orient="portrait"/>
          <w:cols w:equalWidth="0" w:num="1">
            <w:col w:w="9600"/>
          </w:cols>
          <w:pgMar w:left="1140" w:top="1317" w:right="1159" w:bottom="1440" w:gutter="0" w:footer="0" w:header="0"/>
        </w:sectPr>
      </w:pPr>
    </w:p>
    <w:bookmarkStart w:id="513" w:name="page514"/>
    <w:bookmarkEnd w:id="513"/>
    <w:p>
      <w:pPr>
        <w:ind w:right="20"/>
        <w:spacing w:after="0" w:line="38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90105" cy="673735"/>
                    </a:xfrm>
                    <a:prstGeom prst="rect">
                      <a:avLst/>
                    </a:prstGeom>
                    <a:noFill/>
                  </pic:spPr>
                </pic:pic>
              </a:graphicData>
            </a:graphic>
          </wp:anchor>
        </w:drawing>
        <w:t>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pacing w:after="0" w:line="89" w:lineRule="exact"/>
        <w:rPr>
          <w:sz w:val="20"/>
          <w:szCs w:val="20"/>
          <w:color w:val="auto"/>
        </w:rPr>
      </w:pPr>
    </w:p>
    <w:p>
      <w:pPr>
        <w:ind w:right="60" w:firstLine="378"/>
        <w:spacing w:after="0" w:line="250" w:lineRule="auto"/>
        <w:tabs>
          <w:tab w:leader="none" w:pos="614"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Background Check; Immigration Matters</w:t>
      </w:r>
      <w:r>
        <w:rPr>
          <w:rFonts w:ascii="Arial" w:cs="Arial" w:eastAsia="Arial" w:hAnsi="Arial"/>
          <w:sz w:val="16"/>
          <w:szCs w:val="16"/>
          <w:color w:val="auto"/>
        </w:rPr>
        <w:t>. This offer of employment is subject to proof of your legal right to work in the United States, and your completing Verification Form I-9 and providing appropriate documentation within three (3) days of your start date. Further, the Company reserves the right to conduct background investigations, employment verifications, reference checks and/or additional checks appropriate to your role. This offer and your employment with the Company, therefore, are contingent upon satisfactory results and/or clearance of such items, if any. Any intentional misrepresentation or omission concerning your employment history may result in actions up to and including revocation of this offer or termination of your employment at the Company.</w:t>
      </w:r>
    </w:p>
    <w:p>
      <w:pPr>
        <w:spacing w:after="0" w:line="170" w:lineRule="exact"/>
        <w:rPr>
          <w:rFonts w:ascii="Arial" w:cs="Arial" w:eastAsia="Arial" w:hAnsi="Arial"/>
          <w:sz w:val="16"/>
          <w:szCs w:val="16"/>
          <w:color w:val="auto"/>
        </w:rPr>
      </w:pPr>
    </w:p>
    <w:p>
      <w:pPr>
        <w:ind w:firstLine="378"/>
        <w:spacing w:after="0" w:line="267" w:lineRule="auto"/>
        <w:tabs>
          <w:tab w:leader="none" w:pos="620" w:val="left"/>
        </w:tabs>
        <w:numPr>
          <w:ilvl w:val="0"/>
          <w:numId w:val="372"/>
        </w:numPr>
        <w:rPr>
          <w:rFonts w:ascii="Arial" w:cs="Arial" w:eastAsia="Arial" w:hAnsi="Arial"/>
          <w:sz w:val="15"/>
          <w:szCs w:val="15"/>
          <w:color w:val="auto"/>
        </w:rPr>
      </w:pPr>
      <w:r>
        <w:rPr>
          <w:rFonts w:ascii="Arial" w:cs="Arial" w:eastAsia="Arial" w:hAnsi="Arial"/>
          <w:sz w:val="15"/>
          <w:szCs w:val="15"/>
          <w:u w:val="single" w:color="auto"/>
          <w:color w:val="auto"/>
        </w:rPr>
        <w:t>Arbitration</w:t>
      </w:r>
      <w:r>
        <w:rPr>
          <w:rFonts w:ascii="Arial" w:cs="Arial" w:eastAsia="Arial" w:hAnsi="Arial"/>
          <w:sz w:val="15"/>
          <w:szCs w:val="15"/>
          <w:color w:val="auto"/>
        </w:rPr>
        <w:t>. You agree that any dispute regarding your employment, including disputes regarding compensation and any and all other conflicts, shall be resolved by final and binding arbitration on an individual basis only, and not on a class, collective, or private attorney general representative basis on behalf of other employees. You and the Company agree to bring any dispute in arbitration before JAMS, pursuant to the JAMS Employment Rules &amp; Procedures (which can be reviewed at http://www.jamsadr.com/rules-employment-arbitration/). You on the one hand, and the Company on the other, waive any rights to a jury trial or a bench trial in connection with the resolution of any dispute under this Agreement (although both parties may seek interim emergency relief from a court to prevent irreparable harm pending the conclusion of any arbitration). This Agreement be construed and interpreted in accordance with the laws of the State of California (but without regard to the conflict of law provision) and the Federal Arbitration Act (“</w:t>
      </w:r>
      <w:r>
        <w:rPr>
          <w:rFonts w:ascii="Arial" w:cs="Arial" w:eastAsia="Arial" w:hAnsi="Arial"/>
          <w:sz w:val="15"/>
          <w:szCs w:val="15"/>
          <w:u w:val="single" w:color="auto"/>
          <w:color w:val="auto"/>
        </w:rPr>
        <w:t>FAA</w:t>
      </w:r>
      <w:r>
        <w:rPr>
          <w:rFonts w:ascii="Arial" w:cs="Arial" w:eastAsia="Arial" w:hAnsi="Arial"/>
          <w:sz w:val="15"/>
          <w:szCs w:val="15"/>
          <w:color w:val="auto"/>
        </w:rPr>
        <w:t>”). In the case of a conflict, the FAA will control.</w:t>
      </w:r>
    </w:p>
    <w:p>
      <w:pPr>
        <w:spacing w:after="0" w:line="162" w:lineRule="exact"/>
        <w:rPr>
          <w:rFonts w:ascii="Arial" w:cs="Arial" w:eastAsia="Arial" w:hAnsi="Arial"/>
          <w:sz w:val="15"/>
          <w:szCs w:val="15"/>
          <w:color w:val="auto"/>
        </w:rPr>
      </w:pPr>
    </w:p>
    <w:p>
      <w:pPr>
        <w:ind w:right="20" w:firstLine="378"/>
        <w:spacing w:after="0" w:line="314" w:lineRule="auto"/>
        <w:tabs>
          <w:tab w:leader="none" w:pos="620" w:val="left"/>
        </w:tabs>
        <w:numPr>
          <w:ilvl w:val="0"/>
          <w:numId w:val="372"/>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This Agreement, together with the Confidentiality Agreement and the Participation Agreement, constitute the entire agreement between you and the Company regarding the material terms and conditions of your employment, and they supersede and replace all prior negotiations, representations or agreements between you and the Company. This Agreement may be modified only by a written agreement signed by a duly authorized officer of the Company (other than yourself) and you.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and signatures transmitted electronically will be deemed equivalent to originals.</w:t>
      </w:r>
    </w:p>
    <w:p>
      <w:pPr>
        <w:spacing w:after="0" w:line="133"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If you wish to accept employment at the Company under the terms described above, please sign and date this letter and the Confidentiality Agreement no later than 5:00pm Pacific, Monday, June 21, 2021. If you do not return these signed documents by this deadline, the Company’s offer will expire. If you accept our offer, your hire date and the Effective Date of this Agreement will be Monday, June 28, 2021, or on a date agreed upon by you and the Company’s Chief Executive Officer.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9600"/>
          </w:cols>
          <w:pgMar w:left="1140" w:top="1317" w:right="1159" w:bottom="1440" w:gutter="0" w:footer="0" w:header="0"/>
        </w:sectPr>
      </w:pPr>
    </w:p>
    <w:bookmarkStart w:id="514" w:name="page515"/>
    <w:bookmarkEnd w:id="514"/>
    <w:p>
      <w:pPr>
        <w:ind w:right="359"/>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To confirm the current terms and conditions of your employment, please sign and date in the spaces indicated and return this Agreement to the undersigned.</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Sincerely,</w:t>
      </w:r>
    </w:p>
    <w:p>
      <w:pPr>
        <w:spacing w:after="0" w:line="189"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 /s/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10795</wp:posOffset>
            </wp:positionV>
            <wp:extent cx="2238375"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Faraz Ali</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Executive Officer</w:t>
      </w:r>
    </w:p>
    <w:p>
      <w:pPr>
        <w:spacing w:after="0" w:line="19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Date: June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171065"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7106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Leone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44094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Leone Patterson</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3"/>
          <w:szCs w:val="13"/>
          <w:color w:val="auto"/>
        </w:rPr>
        <w:t>June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214122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41220" cy="7620"/>
                    </a:xfrm>
                    <a:prstGeom prst="rect">
                      <a:avLst/>
                    </a:prstGeom>
                    <a:noFill/>
                  </pic:spPr>
                </pic:pic>
              </a:graphicData>
            </a:graphic>
          </wp:anchor>
        </w:drawing>
      </w:r>
    </w:p>
    <w:p>
      <w:pPr>
        <w:sectPr>
          <w:pgSz w:w="11900" w:h="16838" w:orient="portrait"/>
          <w:cols w:equalWidth="0" w:num="1">
            <w:col w:w="9319"/>
          </w:cols>
          <w:pgMar w:left="1140" w:top="1317" w:right="1440" w:bottom="1440" w:gutter="0" w:footer="0" w:header="0"/>
        </w:sectPr>
      </w:pPr>
    </w:p>
    <w:bookmarkStart w:id="515" w:name="page516"/>
    <w:bookmarkEnd w:id="515"/>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Appendix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7 of the Defend Trade Secrets Act of 2016</w:t>
      </w:r>
    </w:p>
    <w:p>
      <w:pPr>
        <w:spacing w:after="0" w:line="19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9580"/>
          </w:cols>
          <w:pgMar w:left="1140" w:top="1313" w:right="1179" w:bottom="1440" w:gutter="0" w:footer="0" w:header="0"/>
        </w:sectPr>
      </w:pPr>
    </w:p>
    <w:bookmarkStart w:id="516" w:name="page517"/>
    <w:bookmarkEnd w:id="516"/>
    <w:p>
      <w:pPr>
        <w:jc w:val="right"/>
        <w:spacing w:after="0"/>
        <w:rPr>
          <w:sz w:val="20"/>
          <w:szCs w:val="20"/>
          <w:color w:val="auto"/>
        </w:rPr>
      </w:pPr>
      <w:r>
        <w:rPr>
          <w:rFonts w:ascii="Arial" w:cs="Arial" w:eastAsia="Arial" w:hAnsi="Arial"/>
          <w:sz w:val="16"/>
          <w:szCs w:val="16"/>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1579880" cy="5911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5798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June 25, 2021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Whittemore Tingley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 Tenaya Therapeutics, Inc.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Confirmatory Employment Letter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Dear Whit:</w:t>
      </w:r>
    </w:p>
    <w:p>
      <w:pPr>
        <w:spacing w:after="0" w:line="193" w:lineRule="exact"/>
        <w:rPr>
          <w:sz w:val="20"/>
          <w:szCs w:val="20"/>
          <w:color w:val="auto"/>
        </w:rPr>
      </w:pPr>
    </w:p>
    <w:p>
      <w:pPr>
        <w:jc w:val="both"/>
        <w:ind w:right="80" w:firstLine="385"/>
        <w:spacing w:after="0" w:line="281" w:lineRule="auto"/>
        <w:rPr>
          <w:sz w:val="20"/>
          <w:szCs w:val="20"/>
          <w:color w:val="auto"/>
        </w:rPr>
      </w:pPr>
      <w:r>
        <w:rPr>
          <w:rFonts w:ascii="Arial" w:cs="Arial" w:eastAsia="Arial" w:hAnsi="Arial"/>
          <w:sz w:val="15"/>
          <w:szCs w:val="15"/>
          <w:color w:val="auto"/>
        </w:rPr>
        <w:t>This confirmatory employment letter agreement (the “</w:t>
      </w:r>
      <w:r>
        <w:rPr>
          <w:rFonts w:ascii="Arial" w:cs="Arial" w:eastAsia="Arial" w:hAnsi="Arial"/>
          <w:sz w:val="15"/>
          <w:szCs w:val="15"/>
          <w:u w:val="single" w:color="auto"/>
          <w:color w:val="auto"/>
        </w:rPr>
        <w:t>Agreement</w:t>
      </w:r>
      <w:r>
        <w:rPr>
          <w:rFonts w:ascii="Arial" w:cs="Arial" w:eastAsia="Arial" w:hAnsi="Arial"/>
          <w:sz w:val="15"/>
          <w:szCs w:val="15"/>
          <w:color w:val="auto"/>
        </w:rPr>
        <w:t>”) is entered into between you and Tenaya Therapeutics, Inc. (the “</w:t>
      </w:r>
      <w:r>
        <w:rPr>
          <w:rFonts w:ascii="Arial" w:cs="Arial" w:eastAsia="Arial" w:hAnsi="Arial"/>
          <w:sz w:val="15"/>
          <w:szCs w:val="15"/>
          <w:u w:val="single" w:color="auto"/>
          <w:color w:val="auto"/>
        </w:rPr>
        <w:t>Company</w:t>
      </w:r>
      <w:r>
        <w:rPr>
          <w:rFonts w:ascii="Arial" w:cs="Arial" w:eastAsia="Arial" w:hAnsi="Arial"/>
          <w:sz w:val="15"/>
          <w:szCs w:val="15"/>
          <w:color w:val="auto"/>
        </w:rPr>
        <w:t>” or “</w:t>
      </w:r>
      <w:r>
        <w:rPr>
          <w:rFonts w:ascii="Arial" w:cs="Arial" w:eastAsia="Arial" w:hAnsi="Arial"/>
          <w:sz w:val="15"/>
          <w:szCs w:val="15"/>
          <w:u w:val="single" w:color="auto"/>
          <w:color w:val="auto"/>
        </w:rPr>
        <w:t>we</w:t>
      </w:r>
      <w:r>
        <w:rPr>
          <w:rFonts w:ascii="Arial" w:cs="Arial" w:eastAsia="Arial" w:hAnsi="Arial"/>
          <w:sz w:val="15"/>
          <w:szCs w:val="15"/>
          <w:color w:val="auto"/>
        </w:rPr>
        <w:t>”), effective as of the effective date of the Company’s registration statement relating to the Company’s initial public offering (the “</w:t>
      </w:r>
      <w:r>
        <w:rPr>
          <w:rFonts w:ascii="Arial" w:cs="Arial" w:eastAsia="Arial" w:hAnsi="Arial"/>
          <w:sz w:val="15"/>
          <w:szCs w:val="15"/>
          <w:u w:val="single" w:color="auto"/>
          <w:color w:val="auto"/>
        </w:rPr>
        <w:t>Effective Date</w:t>
      </w:r>
      <w:r>
        <w:rPr>
          <w:rFonts w:ascii="Arial" w:cs="Arial" w:eastAsia="Arial" w:hAnsi="Arial"/>
          <w:sz w:val="15"/>
          <w:szCs w:val="15"/>
          <w:color w:val="auto"/>
        </w:rPr>
        <w:t>”), to confirm the terms and conditions of your employment with the Company as of the Effective Date.</w:t>
      </w:r>
    </w:p>
    <w:p>
      <w:pPr>
        <w:spacing w:after="0" w:line="149" w:lineRule="exact"/>
        <w:rPr>
          <w:sz w:val="20"/>
          <w:szCs w:val="20"/>
          <w:color w:val="auto"/>
        </w:rPr>
      </w:pPr>
    </w:p>
    <w:p>
      <w:pPr>
        <w:ind w:right="180" w:firstLine="378"/>
        <w:spacing w:after="0" w:line="256" w:lineRule="auto"/>
        <w:tabs>
          <w:tab w:leader="none" w:pos="54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Title; Position</w:t>
      </w:r>
      <w:r>
        <w:rPr>
          <w:rFonts w:ascii="Arial" w:cs="Arial" w:eastAsia="Arial" w:hAnsi="Arial"/>
          <w:sz w:val="16"/>
          <w:szCs w:val="16"/>
          <w:color w:val="auto"/>
        </w:rPr>
        <w:t>. You will continue to serve as the Company’s Chief Medical Officer. You also will continue to report to the Company’s Chief Executive Officer and will perform the duties and responsibilities customary for such position and such other related duties as are reasonably assigned by the Company’s Chief Executive Officer.</w:t>
      </w:r>
    </w:p>
    <w:p>
      <w:pPr>
        <w:spacing w:after="0" w:line="165" w:lineRule="exact"/>
        <w:rPr>
          <w:rFonts w:ascii="Arial" w:cs="Arial" w:eastAsia="Arial" w:hAnsi="Arial"/>
          <w:sz w:val="16"/>
          <w:szCs w:val="16"/>
          <w:color w:val="auto"/>
        </w:rPr>
      </w:pPr>
    </w:p>
    <w:p>
      <w:pPr>
        <w:ind w:right="80" w:firstLine="378"/>
        <w:spacing w:after="0" w:line="253" w:lineRule="auto"/>
        <w:tabs>
          <w:tab w:leader="none" w:pos="54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Location</w:t>
      </w:r>
      <w:r>
        <w:rPr>
          <w:rFonts w:ascii="Arial" w:cs="Arial" w:eastAsia="Arial" w:hAnsi="Arial"/>
          <w:sz w:val="16"/>
          <w:szCs w:val="16"/>
          <w:color w:val="auto"/>
        </w:rPr>
        <w:t>. You will perform your duties from the Company’s corporate offices located in South San Francisco,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67" w:lineRule="exact"/>
        <w:rPr>
          <w:rFonts w:ascii="Arial" w:cs="Arial" w:eastAsia="Arial" w:hAnsi="Arial"/>
          <w:sz w:val="16"/>
          <w:szCs w:val="16"/>
          <w:color w:val="auto"/>
        </w:rPr>
      </w:pPr>
    </w:p>
    <w:p>
      <w:pPr>
        <w:ind w:right="80" w:firstLine="378"/>
        <w:spacing w:after="0" w:line="256" w:lineRule="auto"/>
        <w:tabs>
          <w:tab w:leader="none" w:pos="54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Your annual base salary is currently $402,000.00 (“</w:t>
      </w:r>
      <w:r>
        <w:rPr>
          <w:rFonts w:ascii="Arial" w:cs="Arial" w:eastAsia="Arial" w:hAnsi="Arial"/>
          <w:sz w:val="16"/>
          <w:szCs w:val="16"/>
          <w:u w:val="single" w:color="auto"/>
          <w:color w:val="auto"/>
        </w:rPr>
        <w:t>Salary</w:t>
      </w:r>
      <w:r>
        <w:rPr>
          <w:rFonts w:ascii="Arial" w:cs="Arial" w:eastAsia="Arial" w:hAnsi="Arial"/>
          <w:sz w:val="16"/>
          <w:szCs w:val="16"/>
          <w:color w:val="auto"/>
        </w:rPr>
        <w:t>) which is payable, less any applicable withholdings, in accordance with the Company’s normal payroll practices. Your Salary will be subject to review and adjustment from time to time by our Board or its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as applicable, in its sole discretion.</w:t>
      </w:r>
    </w:p>
    <w:p>
      <w:pPr>
        <w:spacing w:after="0" w:line="165" w:lineRule="exact"/>
        <w:rPr>
          <w:rFonts w:ascii="Arial" w:cs="Arial" w:eastAsia="Arial" w:hAnsi="Arial"/>
          <w:sz w:val="16"/>
          <w:szCs w:val="16"/>
          <w:color w:val="auto"/>
        </w:rPr>
      </w:pPr>
    </w:p>
    <w:p>
      <w:pPr>
        <w:jc w:val="both"/>
        <w:ind w:right="180" w:firstLine="378"/>
        <w:spacing w:after="0" w:line="329" w:lineRule="auto"/>
        <w:tabs>
          <w:tab w:leader="none" w:pos="542" w:val="left"/>
        </w:tabs>
        <w:numPr>
          <w:ilvl w:val="0"/>
          <w:numId w:val="374"/>
        </w:numPr>
        <w:rPr>
          <w:rFonts w:ascii="Arial" w:cs="Arial" w:eastAsia="Arial" w:hAnsi="Arial"/>
          <w:sz w:val="13"/>
          <w:szCs w:val="13"/>
          <w:color w:val="auto"/>
        </w:rPr>
      </w:pPr>
      <w:r>
        <w:rPr>
          <w:rFonts w:ascii="Arial" w:cs="Arial" w:eastAsia="Arial" w:hAnsi="Arial"/>
          <w:sz w:val="13"/>
          <w:szCs w:val="13"/>
          <w:u w:val="single" w:color="auto"/>
          <w:color w:val="auto"/>
        </w:rPr>
        <w:t>Annual Bonus</w:t>
      </w:r>
      <w:r>
        <w:rPr>
          <w:rFonts w:ascii="Arial" w:cs="Arial" w:eastAsia="Arial" w:hAnsi="Arial"/>
          <w:sz w:val="13"/>
          <w:szCs w:val="13"/>
          <w:color w:val="auto"/>
        </w:rPr>
        <w:t>. You will remain eligible to participate in the Annual Bonus Program and your target bonus payout is 30% of your base salary. The amount of this bonus will be determined in the sole discretion of the Board and may be based, in part, on the performance of the Company during the calendar year along with management’s assessment of your contribution to Company goal achievement. The bonus is not earned until paid and no achieved amount of the bonus will be paid if your employment terminates for any reason prior to the payment date.</w:t>
      </w:r>
    </w:p>
    <w:p>
      <w:pPr>
        <w:spacing w:after="0" w:line="123" w:lineRule="exact"/>
        <w:rPr>
          <w:rFonts w:ascii="Arial" w:cs="Arial" w:eastAsia="Arial" w:hAnsi="Arial"/>
          <w:sz w:val="13"/>
          <w:szCs w:val="13"/>
          <w:color w:val="auto"/>
        </w:rPr>
      </w:pPr>
    </w:p>
    <w:p>
      <w:pPr>
        <w:ind w:right="20" w:firstLine="378"/>
        <w:spacing w:after="0" w:line="253" w:lineRule="auto"/>
        <w:tabs>
          <w:tab w:leader="none" w:pos="54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ectPr>
          <w:pgSz w:w="11900" w:h="16838" w:orient="portrait"/>
          <w:cols w:equalWidth="0" w:num="1">
            <w:col w:w="9620"/>
          </w:cols>
          <w:pgMar w:left="1140" w:top="122" w:right="1139" w:bottom="1440" w:gutter="0" w:footer="0" w:header="0"/>
        </w:sectPr>
      </w:pPr>
    </w:p>
    <w:bookmarkStart w:id="517" w:name="page518"/>
    <w:bookmarkEnd w:id="517"/>
    <w:p>
      <w:pPr>
        <w:ind w:left="-300" w:right="180" w:firstLine="378"/>
        <w:spacing w:after="0" w:line="281" w:lineRule="auto"/>
        <w:tabs>
          <w:tab w:leader="none" w:pos="242" w:val="left"/>
        </w:tabs>
        <w:numPr>
          <w:ilvl w:val="0"/>
          <w:numId w:val="37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Employee Benefits</w:t>
      </w:r>
      <w:r>
        <w:rPr>
          <w:rFonts w:ascii="Arial" w:cs="Arial" w:eastAsia="Arial" w:hAnsi="Arial"/>
          <w:sz w:val="15"/>
          <w:szCs w:val="15"/>
          <w:color w:val="auto"/>
        </w:rPr>
        <w:t>. As a regular employee of the Company, you will continue to be eligible to participate in all Company-sponsored benefits currently and hereafter maintained by the Company for the benefit of the Company’s senior executives, subject to the satisfaction of any eligibility requirements. You should note that the Company may modify salaries and benefits from time-to- time as it deems necessary.</w:t>
      </w:r>
    </w:p>
    <w:p>
      <w:pPr>
        <w:spacing w:after="0" w:line="148" w:lineRule="exact"/>
        <w:rPr>
          <w:rFonts w:ascii="Arial" w:cs="Arial" w:eastAsia="Arial" w:hAnsi="Arial"/>
          <w:sz w:val="15"/>
          <w:szCs w:val="15"/>
          <w:color w:val="auto"/>
        </w:rPr>
      </w:pPr>
    </w:p>
    <w:p>
      <w:pPr>
        <w:ind w:left="-300" w:firstLine="378"/>
        <w:spacing w:after="0" w:line="251" w:lineRule="auto"/>
        <w:tabs>
          <w:tab w:leader="none" w:pos="242"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for the Company’s Executive Change in Control and Severance Plan (the “</w:t>
      </w:r>
      <w:r>
        <w:rPr>
          <w:rFonts w:ascii="Arial" w:cs="Arial" w:eastAsia="Arial" w:hAnsi="Arial"/>
          <w:sz w:val="16"/>
          <w:szCs w:val="16"/>
          <w:u w:val="single" w:color="auto"/>
          <w:color w:val="auto"/>
        </w:rPr>
        <w:t>Severance Plan</w:t>
      </w:r>
      <w:r>
        <w:rPr>
          <w:rFonts w:ascii="Arial" w:cs="Arial" w:eastAsia="Arial" w:hAnsi="Arial"/>
          <w:sz w:val="16"/>
          <w:szCs w:val="16"/>
          <w:color w:val="auto"/>
        </w:rPr>
        <w:t>”). Your Participation Agreement under the Severance Plan will specify the severance payments and benefits you could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169" w:lineRule="exact"/>
        <w:rPr>
          <w:rFonts w:ascii="Arial" w:cs="Arial" w:eastAsia="Arial" w:hAnsi="Arial"/>
          <w:sz w:val="16"/>
          <w:szCs w:val="16"/>
          <w:color w:val="auto"/>
        </w:rPr>
      </w:pPr>
    </w:p>
    <w:p>
      <w:pPr>
        <w:ind w:left="-300" w:right="140" w:firstLine="378"/>
        <w:spacing w:after="0" w:line="251" w:lineRule="auto"/>
        <w:tabs>
          <w:tab w:leader="none" w:pos="242"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At-Will Employment, Confidential Information, Invention Assignment and Arbitration Agreement dated November 19, 2018 entered into between you and the Company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still apply.</w:t>
      </w:r>
    </w:p>
    <w:p>
      <w:pPr>
        <w:spacing w:after="0" w:line="169" w:lineRule="exact"/>
        <w:rPr>
          <w:rFonts w:ascii="Arial" w:cs="Arial" w:eastAsia="Arial" w:hAnsi="Arial"/>
          <w:sz w:val="16"/>
          <w:szCs w:val="16"/>
          <w:color w:val="auto"/>
        </w:rPr>
      </w:pPr>
    </w:p>
    <w:p>
      <w:pPr>
        <w:ind w:left="-300" w:right="60" w:firstLine="378"/>
        <w:spacing w:after="0" w:line="275" w:lineRule="auto"/>
        <w:tabs>
          <w:tab w:leader="none" w:pos="242" w:val="left"/>
        </w:tabs>
        <w:numPr>
          <w:ilvl w:val="0"/>
          <w:numId w:val="375"/>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52" w:lineRule="exact"/>
        <w:rPr>
          <w:rFonts w:ascii="Arial" w:cs="Arial" w:eastAsia="Arial" w:hAnsi="Arial"/>
          <w:sz w:val="15"/>
          <w:szCs w:val="15"/>
          <w:color w:val="auto"/>
        </w:rPr>
      </w:pPr>
    </w:p>
    <w:p>
      <w:pPr>
        <w:ind w:left="-300" w:right="100" w:firstLine="378"/>
        <w:spacing w:after="0" w:line="311" w:lineRule="auto"/>
        <w:tabs>
          <w:tab w:leader="none" w:pos="320" w:val="left"/>
        </w:tabs>
        <w:numPr>
          <w:ilvl w:val="0"/>
          <w:numId w:val="375"/>
        </w:numPr>
        <w:rPr>
          <w:rFonts w:ascii="Arial" w:cs="Arial" w:eastAsia="Arial" w:hAnsi="Arial"/>
          <w:sz w:val="13"/>
          <w:szCs w:val="13"/>
          <w:color w:val="auto"/>
        </w:rPr>
      </w:pPr>
      <w:r>
        <w:rPr>
          <w:rFonts w:ascii="Arial" w:cs="Arial" w:eastAsia="Arial" w:hAnsi="Arial"/>
          <w:sz w:val="13"/>
          <w:szCs w:val="13"/>
          <w:u w:val="single" w:color="auto"/>
          <w:color w:val="auto"/>
        </w:rPr>
        <w:t>Protected Activity Not Prohibited</w:t>
      </w:r>
      <w:r>
        <w:rPr>
          <w:rFonts w:ascii="Arial" w:cs="Arial" w:eastAsia="Arial" w:hAnsi="Arial"/>
          <w:sz w:val="13"/>
          <w:szCs w:val="13"/>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3"/>
          <w:szCs w:val="13"/>
          <w:u w:val="single" w:color="auto"/>
          <w:color w:val="auto"/>
        </w:rPr>
        <w:t>Government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Agencies</w:t>
      </w:r>
      <w:r>
        <w:rPr>
          <w:rFonts w:ascii="Arial" w:cs="Arial" w:eastAsia="Arial" w:hAnsi="Arial"/>
          <w:sz w:val="13"/>
          <w:szCs w:val="13"/>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3"/>
          <w:szCs w:val="13"/>
          <w:b w:val="1"/>
          <w:bCs w:val="1"/>
          <w:color w:val="auto"/>
        </w:rPr>
        <w:t>Appendix A</w:t>
      </w:r>
      <w:r>
        <w:rPr>
          <w:rFonts w:ascii="Arial" w:cs="Arial" w:eastAsia="Arial" w:hAnsi="Arial"/>
          <w:sz w:val="13"/>
          <w:szCs w:val="13"/>
          <w:color w:val="auto"/>
        </w:rPr>
        <w:t>.</w:t>
      </w:r>
    </w:p>
    <w:p>
      <w:pPr>
        <w:sectPr>
          <w:pgSz w:w="11900" w:h="16838" w:orient="portrait"/>
          <w:cols w:equalWidth="0" w:num="1">
            <w:col w:w="9300"/>
          </w:cols>
          <w:pgMar w:left="1440" w:top="1317" w:right="1159" w:bottom="1440" w:gutter="0" w:footer="0" w:header="0"/>
        </w:sectPr>
      </w:pPr>
    </w:p>
    <w:bookmarkStart w:id="518" w:name="page519"/>
    <w:bookmarkEnd w:id="518"/>
    <w:p>
      <w:pPr>
        <w:ind w:left="-60" w:firstLine="378"/>
        <w:spacing w:after="0" w:line="250" w:lineRule="auto"/>
        <w:tabs>
          <w:tab w:leader="none" w:pos="554"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90105" cy="673100"/>
                    </a:xfrm>
                    <a:prstGeom prst="rect">
                      <a:avLst/>
                    </a:prstGeom>
                    <a:noFill/>
                  </pic:spPr>
                </pic:pic>
              </a:graphicData>
            </a:graphic>
          </wp:anchor>
        </w:drawing>
        <w:t>Miscellaneous</w:t>
      </w:r>
      <w:r>
        <w:rPr>
          <w:rFonts w:ascii="Arial" w:cs="Arial" w:eastAsia="Arial" w:hAnsi="Arial"/>
          <w:sz w:val="16"/>
          <w:szCs w:val="16"/>
          <w:color w:val="auto"/>
        </w:rPr>
        <w:t>. This Agreement, together with the Confidentiality Agreement, the Severance Agreement and the stock options granted to you by the Company under its 2017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Colorado but without regard to the conflict of law provision. This Agreement may be modified only by a written agreement signed by a duly authorized officer of the Company (other than yourself) and you.</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9500"/>
          </w:cols>
          <w:pgMar w:left="1200" w:top="1317" w:right="1199" w:bottom="1440" w:gutter="0" w:footer="0" w:header="0"/>
        </w:sectPr>
      </w:pPr>
    </w:p>
    <w:bookmarkStart w:id="519" w:name="page520"/>
    <w:bookmarkEnd w:id="519"/>
    <w:p>
      <w:pPr>
        <w:ind w:right="359"/>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90105" cy="673735"/>
                    </a:xfrm>
                    <a:prstGeom prst="rect">
                      <a:avLst/>
                    </a:prstGeom>
                    <a:noFill/>
                  </pic:spPr>
                </pic:pic>
              </a:graphicData>
            </a:graphic>
          </wp:anchor>
        </w:drawing>
        <w:t>To confirm the current terms and conditions of your employment, please sign and date in the spaces indicated and return this Agreement to the undersigned.</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Sincerely,</w:t>
      </w:r>
    </w:p>
    <w:p>
      <w:pPr>
        <w:spacing w:after="0" w:line="189"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6"/>
          <w:szCs w:val="16"/>
          <w:color w:val="auto"/>
        </w:rPr>
        <w:t>By:</w:t>
        <w:tab/>
        <w:t>/s/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171065"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171065" cy="7620"/>
                    </a:xfrm>
                    <a:prstGeom prst="rect">
                      <a:avLst/>
                    </a:prstGeom>
                    <a:noFill/>
                  </pic:spPr>
                </pic:pic>
              </a:graphicData>
            </a:graphic>
          </wp:anchor>
        </w:drawing>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Name: Faraz Ali</w:t>
      </w:r>
    </w:p>
    <w:p>
      <w:pPr>
        <w:spacing w:after="0" w:line="16"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Date: 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10795</wp:posOffset>
            </wp:positionV>
            <wp:extent cx="2171065"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7106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Whit Tingley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44094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Whittemore Tingley</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3"/>
          <w:szCs w:val="13"/>
          <w:color w:val="auto"/>
        </w:rPr>
        <w:t>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21412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141220" cy="7620"/>
                    </a:xfrm>
                    <a:prstGeom prst="rect">
                      <a:avLst/>
                    </a:prstGeom>
                    <a:noFill/>
                  </pic:spPr>
                </pic:pic>
              </a:graphicData>
            </a:graphic>
          </wp:anchor>
        </w:drawing>
      </w:r>
    </w:p>
    <w:p>
      <w:pPr>
        <w:sectPr>
          <w:pgSz w:w="11900" w:h="16838" w:orient="portrait"/>
          <w:cols w:equalWidth="0" w:num="1">
            <w:col w:w="9319"/>
          </w:cols>
          <w:pgMar w:left="1140" w:top="1317" w:right="1440" w:bottom="1440" w:gutter="0" w:footer="0" w:header="0"/>
        </w:sectPr>
      </w:pPr>
    </w:p>
    <w:bookmarkStart w:id="520" w:name="page521"/>
    <w:bookmarkEnd w:id="520"/>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673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90105" cy="673735"/>
                    </a:xfrm>
                    <a:prstGeom prst="rect">
                      <a:avLst/>
                    </a:prstGeom>
                    <a:noFill/>
                  </pic:spPr>
                </pic:pic>
              </a:graphicData>
            </a:graphic>
          </wp:anchor>
        </w:drawing>
        <w:t>Appendix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7 of the Defend Trade Secrets Act of 2016</w:t>
      </w:r>
    </w:p>
    <w:p>
      <w:pPr>
        <w:spacing w:after="0" w:line="19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9580"/>
          </w:cols>
          <w:pgMar w:left="1140" w:top="1313" w:right="1179" w:bottom="1440" w:gutter="0" w:footer="0" w:header="0"/>
        </w:sectPr>
      </w:pPr>
    </w:p>
    <w:bookmarkStart w:id="521" w:name="page522"/>
    <w:bookmarkEnd w:id="521"/>
    <w:p>
      <w:pPr>
        <w:jc w:val="right"/>
        <w:spacing w:after="0"/>
        <w:rPr>
          <w:sz w:val="20"/>
          <w:szCs w:val="20"/>
          <w:color w:val="auto"/>
        </w:rPr>
      </w:pPr>
      <w:r>
        <w:rPr>
          <w:rFonts w:ascii="Arial" w:cs="Arial" w:eastAsia="Arial" w:hAnsi="Arial"/>
          <w:sz w:val="16"/>
          <w:szCs w:val="16"/>
          <w:b w:val="1"/>
          <w:bCs w:val="1"/>
          <w:color w:val="auto"/>
        </w:rPr>
        <w:t>Exhibit 10.9</w:t>
      </w:r>
    </w:p>
    <w:p>
      <w:pPr>
        <w:spacing w:after="0" w:line="382" w:lineRule="exact"/>
        <w:rPr>
          <w:sz w:val="20"/>
          <w:szCs w:val="20"/>
          <w:color w:val="auto"/>
        </w:rPr>
      </w:pPr>
    </w:p>
    <w:p>
      <w:pPr>
        <w:jc w:val="center"/>
        <w:spacing w:after="0" w:line="259" w:lineRule="auto"/>
        <w:rPr>
          <w:sz w:val="20"/>
          <w:szCs w:val="20"/>
          <w:color w:val="auto"/>
        </w:rPr>
      </w:pPr>
      <w:r>
        <w:rPr>
          <w:rFonts w:ascii="Arial" w:cs="Arial" w:eastAsia="Arial" w:hAnsi="Arial"/>
          <w:sz w:val="16"/>
          <w:szCs w:val="16"/>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LICENSE AGREEMENT</w:t>
      </w:r>
    </w:p>
    <w:p>
      <w:pPr>
        <w:spacing w:after="0" w:line="193"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This License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is dated as of January 10, 2020 (the “</w:t>
      </w:r>
      <w:r>
        <w:rPr>
          <w:rFonts w:ascii="Arial" w:cs="Arial" w:eastAsia="Arial" w:hAnsi="Arial"/>
          <w:sz w:val="15"/>
          <w:szCs w:val="15"/>
          <w:b w:val="1"/>
          <w:bCs w:val="1"/>
          <w:color w:val="auto"/>
        </w:rPr>
        <w:t>Effective Date</w:t>
      </w:r>
      <w:r>
        <w:rPr>
          <w:rFonts w:ascii="Arial" w:cs="Arial" w:eastAsia="Arial" w:hAnsi="Arial"/>
          <w:sz w:val="15"/>
          <w:szCs w:val="15"/>
          <w:color w:val="auto"/>
        </w:rPr>
        <w:t>”) by and between The Board of Regents</w:t>
      </w:r>
    </w:p>
    <w:p>
      <w:pPr>
        <w:spacing w:after="0" w:line="32"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of the University of Texas System (“</w:t>
      </w:r>
      <w:r>
        <w:rPr>
          <w:rFonts w:ascii="Arial" w:cs="Arial" w:eastAsia="Arial" w:hAnsi="Arial"/>
          <w:sz w:val="16"/>
          <w:szCs w:val="16"/>
          <w:b w:val="1"/>
          <w:bCs w:val="1"/>
          <w:color w:val="auto"/>
        </w:rPr>
        <w:t>System</w:t>
      </w:r>
      <w:r>
        <w:rPr>
          <w:rFonts w:ascii="Arial" w:cs="Arial" w:eastAsia="Arial" w:hAnsi="Arial"/>
          <w:sz w:val="16"/>
          <w:szCs w:val="16"/>
          <w:color w:val="auto"/>
        </w:rPr>
        <w:t>”), an agency of the State of Texas, on behalf of The University of Texas Southwestern Medical Center (“</w:t>
      </w:r>
      <w:r>
        <w:rPr>
          <w:rFonts w:ascii="Arial" w:cs="Arial" w:eastAsia="Arial" w:hAnsi="Arial"/>
          <w:sz w:val="16"/>
          <w:szCs w:val="16"/>
          <w:b w:val="1"/>
          <w:bCs w:val="1"/>
          <w:color w:val="auto"/>
        </w:rPr>
        <w:t>UT Southwestern</w:t>
      </w:r>
      <w:r>
        <w:rPr>
          <w:rFonts w:ascii="Arial" w:cs="Arial" w:eastAsia="Arial" w:hAnsi="Arial"/>
          <w:sz w:val="16"/>
          <w:szCs w:val="16"/>
          <w:color w:val="auto"/>
        </w:rPr>
        <w:t>”), a component institution of System (“</w:t>
      </w:r>
      <w:r>
        <w:rPr>
          <w:rFonts w:ascii="Arial" w:cs="Arial" w:eastAsia="Arial" w:hAnsi="Arial"/>
          <w:sz w:val="16"/>
          <w:szCs w:val="16"/>
          <w:b w:val="1"/>
          <w:bCs w:val="1"/>
          <w:color w:val="auto"/>
        </w:rPr>
        <w:t>Licensor</w:t>
      </w:r>
      <w:r>
        <w:rPr>
          <w:rFonts w:ascii="Arial" w:cs="Arial" w:eastAsia="Arial" w:hAnsi="Arial"/>
          <w:sz w:val="16"/>
          <w:szCs w:val="16"/>
          <w:color w:val="auto"/>
        </w:rPr>
        <w:t>”), and Tenaya Therapeutics, Inc., a Delaware corporation (“</w:t>
      </w:r>
      <w:r>
        <w:rPr>
          <w:rFonts w:ascii="Arial" w:cs="Arial" w:eastAsia="Arial" w:hAnsi="Arial"/>
          <w:sz w:val="16"/>
          <w:szCs w:val="16"/>
          <w:b w:val="1"/>
          <w:bCs w:val="1"/>
          <w:color w:val="auto"/>
        </w:rPr>
        <w:t>Licensee</w:t>
      </w:r>
      <w:r>
        <w:rPr>
          <w:rFonts w:ascii="Arial" w:cs="Arial" w:eastAsia="Arial" w:hAnsi="Arial"/>
          <w:sz w:val="16"/>
          <w:szCs w:val="16"/>
          <w:color w:val="auto"/>
        </w:rPr>
        <w:t>”). Licensor and Licensee may be referred to herein as a “</w:t>
      </w:r>
      <w:r>
        <w:rPr>
          <w:rFonts w:ascii="Arial" w:cs="Arial" w:eastAsia="Arial" w:hAnsi="Arial"/>
          <w:sz w:val="16"/>
          <w:szCs w:val="16"/>
          <w:b w:val="1"/>
          <w:bCs w:val="1"/>
          <w:color w:val="auto"/>
        </w:rPr>
        <w:t>Party</w:t>
      </w:r>
      <w:r>
        <w:rPr>
          <w:rFonts w:ascii="Arial" w:cs="Arial" w:eastAsia="Arial" w:hAnsi="Arial"/>
          <w:sz w:val="16"/>
          <w:szCs w:val="16"/>
          <w:color w:val="auto"/>
        </w:rPr>
        <w:t>” or, collectively, as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93" w:lineRule="exact"/>
        <w:rPr>
          <w:sz w:val="20"/>
          <w:szCs w:val="20"/>
          <w:color w:val="auto"/>
        </w:rPr>
      </w:pPr>
    </w:p>
    <w:p>
      <w:pPr>
        <w:ind w:right="240" w:firstLine="385"/>
        <w:spacing w:after="0" w:line="27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Licensor owns and controls certain innovative technology relating to therapeutics overexpressing the peptide named Dwarf Open</w:t>
      </w:r>
      <w:r>
        <w:rPr>
          <w:rFonts w:ascii="Arial" w:cs="Arial" w:eastAsia="Arial" w:hAnsi="Arial"/>
          <w:sz w:val="16"/>
          <w:szCs w:val="16"/>
          <w:b w:val="1"/>
          <w:bCs w:val="1"/>
          <w:color w:val="auto"/>
        </w:rPr>
        <w:t xml:space="preserve"> </w:t>
      </w:r>
      <w:r>
        <w:rPr>
          <w:rFonts w:ascii="Arial" w:cs="Arial" w:eastAsia="Arial" w:hAnsi="Arial"/>
          <w:sz w:val="16"/>
          <w:szCs w:val="16"/>
          <w:color w:val="auto"/>
        </w:rPr>
        <w:t>Reading Frame (“</w:t>
      </w:r>
      <w:r>
        <w:rPr>
          <w:rFonts w:ascii="Arial" w:cs="Arial" w:eastAsia="Arial" w:hAnsi="Arial"/>
          <w:sz w:val="16"/>
          <w:szCs w:val="16"/>
          <w:b w:val="1"/>
          <w:bCs w:val="1"/>
          <w:color w:val="auto"/>
        </w:rPr>
        <w:t>DWORF Technology</w:t>
      </w:r>
      <w:r>
        <w:rPr>
          <w:rFonts w:ascii="Arial" w:cs="Arial" w:eastAsia="Arial" w:hAnsi="Arial"/>
          <w:sz w:val="16"/>
          <w:szCs w:val="16"/>
          <w:color w:val="auto"/>
        </w:rPr>
        <w:t>”);</w:t>
      </w:r>
    </w:p>
    <w:p>
      <w:pPr>
        <w:spacing w:after="0" w:line="149" w:lineRule="exact"/>
        <w:rPr>
          <w:sz w:val="20"/>
          <w:szCs w:val="20"/>
          <w:color w:val="auto"/>
        </w:rPr>
      </w:pPr>
    </w:p>
    <w:p>
      <w:pPr>
        <w:ind w:right="60" w:firstLine="385"/>
        <w:spacing w:after="0" w:line="25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Licensor desires to license Licensor’s patent rights in such DWORF Technology, in a manner that will benefit the public and best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 the distribution of useful products and the utilization of new technology, and where such is consistent with Licensor’s educational and research missions and goals; and</w:t>
      </w:r>
    </w:p>
    <w:p>
      <w:pPr>
        <w:spacing w:after="0" w:line="159" w:lineRule="exact"/>
        <w:rPr>
          <w:sz w:val="20"/>
          <w:szCs w:val="20"/>
          <w:color w:val="auto"/>
        </w:rPr>
      </w:pPr>
    </w:p>
    <w:p>
      <w:pPr>
        <w:ind w:right="20" w:firstLine="385"/>
        <w:spacing w:after="0" w:line="390"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Licensee desires to license from Licensor, on an exclusive basis, the DWORF Technology, including Licensor’s patent rights in such</w:t>
      </w:r>
      <w:r>
        <w:rPr>
          <w:rFonts w:ascii="Arial" w:cs="Arial" w:eastAsia="Arial" w:hAnsi="Arial"/>
          <w:sz w:val="13"/>
          <w:szCs w:val="13"/>
          <w:b w:val="1"/>
          <w:bCs w:val="1"/>
          <w:color w:val="auto"/>
        </w:rPr>
        <w:t xml:space="preserve"> </w:t>
      </w:r>
      <w:r>
        <w:rPr>
          <w:rFonts w:ascii="Arial" w:cs="Arial" w:eastAsia="Arial" w:hAnsi="Arial"/>
          <w:sz w:val="13"/>
          <w:szCs w:val="13"/>
          <w:color w:val="auto"/>
        </w:rPr>
        <w:t>DWORF Technology, to develop, manufacture and commercialize such DWORF Technology, all on the terms and conditions of this Agreement.</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various promises and undertakings set forth herein, the Parties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DEFINITIONS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Unless otherwise specifically provided herein, the following terms shall have the following meanings:</w:t>
      </w:r>
    </w:p>
    <w:p>
      <w:pPr>
        <w:spacing w:after="0" w:line="107" w:lineRule="exact"/>
        <w:rPr>
          <w:sz w:val="20"/>
          <w:szCs w:val="20"/>
          <w:color w:val="auto"/>
        </w:rPr>
      </w:pPr>
    </w:p>
    <w:p>
      <w:pPr>
        <w:ind w:left="460" w:right="280" w:hanging="471"/>
        <w:spacing w:after="0" w:line="272" w:lineRule="auto"/>
        <w:tabs>
          <w:tab w:leader="none" w:pos="4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Accounting Standards</w:t>
      </w:r>
      <w:r>
        <w:rPr>
          <w:rFonts w:ascii="Arial" w:cs="Arial" w:eastAsia="Arial" w:hAnsi="Arial"/>
          <w:sz w:val="16"/>
          <w:szCs w:val="16"/>
          <w:color w:val="auto"/>
        </w:rPr>
        <w:t>” means either GAAP or International Financial Reporting Standards (“</w:t>
      </w:r>
      <w:r>
        <w:rPr>
          <w:rFonts w:ascii="Arial" w:cs="Arial" w:eastAsia="Arial" w:hAnsi="Arial"/>
          <w:sz w:val="16"/>
          <w:szCs w:val="16"/>
          <w:b w:val="1"/>
          <w:bCs w:val="1"/>
          <w:color w:val="auto"/>
        </w:rPr>
        <w:t>IFRS</w:t>
      </w:r>
      <w:r>
        <w:rPr>
          <w:rFonts w:ascii="Arial" w:cs="Arial" w:eastAsia="Arial" w:hAnsi="Arial"/>
          <w:sz w:val="16"/>
          <w:szCs w:val="16"/>
          <w:color w:val="auto"/>
        </w:rPr>
        <w:t>”), as applicable to the Selling Party, in each case applied on a consistent basis.</w:t>
      </w:r>
    </w:p>
    <w:p>
      <w:pPr>
        <w:spacing w:after="0" w:line="66" w:lineRule="exact"/>
        <w:rPr>
          <w:sz w:val="20"/>
          <w:szCs w:val="20"/>
          <w:color w:val="auto"/>
        </w:rPr>
      </w:pPr>
    </w:p>
    <w:p>
      <w:pPr>
        <w:ind w:left="460" w:right="320" w:hanging="471"/>
        <w:spacing w:after="0" w:line="272" w:lineRule="auto"/>
        <w:tabs>
          <w:tab w:leader="none" w:pos="4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Achievement Date</w:t>
      </w:r>
      <w:r>
        <w:rPr>
          <w:rFonts w:ascii="Arial" w:cs="Arial" w:eastAsia="Arial" w:hAnsi="Arial"/>
          <w:sz w:val="16"/>
          <w:szCs w:val="16"/>
          <w:color w:val="auto"/>
        </w:rPr>
        <w:t>” means, with respect to a Diligence Event, the corresponding date such Diligence Event is to be achieved subject to the provision of Section 3.2.1 below.</w:t>
      </w:r>
    </w:p>
    <w:p>
      <w:pPr>
        <w:spacing w:after="0" w:line="66" w:lineRule="exact"/>
        <w:rPr>
          <w:sz w:val="20"/>
          <w:szCs w:val="20"/>
          <w:color w:val="auto"/>
        </w:rPr>
      </w:pPr>
    </w:p>
    <w:p>
      <w:pPr>
        <w:ind w:left="460" w:right="40" w:hanging="471"/>
        <w:spacing w:after="0" w:line="251" w:lineRule="auto"/>
        <w:tabs>
          <w:tab w:leader="none" w:pos="4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Person that controls, is controlled by or is under common control with a Party, but only for so long as such control exists. For the purposes of this Section 1.3, the word “control” (including, with correlative meaning, the terms “controlled by” or “under the common control with”) means the actual power, either directly or indirectly through one or more intermediaries, to direct the management and policies of such Person or entity, whether by the ownership of more than fifty percent (50%) of the voting stock of such entity, or by contract or otherwise. Notwithstanding the foregoing, [***] and any other entity controlled by [***] that is not controlled by Licensee shall not be deemed Affiliates of Licensee for purposes of this Agreement.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Annual Net Sales</w:t>
      </w:r>
      <w:r>
        <w:rPr>
          <w:rFonts w:ascii="Arial" w:cs="Arial" w:eastAsia="Arial" w:hAnsi="Arial"/>
          <w:sz w:val="13"/>
          <w:szCs w:val="13"/>
          <w:color w:val="auto"/>
        </w:rPr>
        <w:t>” means the total Net Sales of all Products sold in a particular calendar year.</w:t>
      </w:r>
    </w:p>
    <w:p>
      <w:pPr>
        <w:sectPr>
          <w:pgSz w:w="11900" w:h="16838" w:orient="portrait"/>
          <w:cols w:equalWidth="0" w:num="1">
            <w:col w:w="9620"/>
          </w:cols>
          <w:pgMar w:left="1140" w:top="122" w:right="1139" w:bottom="1440" w:gutter="0" w:footer="0" w:header="0"/>
        </w:sectPr>
      </w:pPr>
    </w:p>
    <w:bookmarkStart w:id="522" w:name="page523"/>
    <w:bookmarkEnd w:id="522"/>
    <w:p>
      <w:pPr>
        <w:spacing w:after="0"/>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BLA</w:t>
      </w:r>
      <w:r>
        <w:rPr>
          <w:rFonts w:ascii="Arial" w:cs="Arial" w:eastAsia="Arial" w:hAnsi="Arial"/>
          <w:sz w:val="13"/>
          <w:szCs w:val="13"/>
          <w:color w:val="auto"/>
        </w:rPr>
        <w:t>” means (a) a biologics license application as that term is used in and defined in the PHS Act and the regulations promulgated thereunder,</w:t>
      </w:r>
    </w:p>
    <w:p>
      <w:pPr>
        <w:spacing w:after="0" w:line="20" w:lineRule="exact"/>
        <w:rPr>
          <w:sz w:val="20"/>
          <w:szCs w:val="20"/>
          <w:color w:val="auto"/>
        </w:rPr>
      </w:pPr>
    </w:p>
    <w:p>
      <w:pPr>
        <w:ind w:left="460" w:right="80" w:firstLine="5"/>
        <w:spacing w:after="0" w:line="252" w:lineRule="auto"/>
        <w:tabs>
          <w:tab w:leader="none" w:pos="68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 marketing authorization application in the European Union, or (c) any equivalent or comparable application, registration or certification in any other country or region.</w:t>
      </w:r>
    </w:p>
    <w:p>
      <w:pPr>
        <w:spacing w:after="0" w:line="82" w:lineRule="exact"/>
        <w:rPr>
          <w:sz w:val="20"/>
          <w:szCs w:val="20"/>
          <w:color w:val="auto"/>
        </w:rPr>
      </w:pPr>
    </w:p>
    <w:p>
      <w:pPr>
        <w:ind w:left="460" w:hanging="471"/>
        <w:spacing w:after="0" w:line="277" w:lineRule="auto"/>
        <w:tabs>
          <w:tab w:leader="none" w:pos="44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5"/>
          <w:szCs w:val="15"/>
          <w:b w:val="1"/>
          <w:bCs w:val="1"/>
          <w:color w:val="auto"/>
        </w:rPr>
        <w:t xml:space="preserve">“cGMP” </w:t>
      </w:r>
      <w:r>
        <w:rPr>
          <w:rFonts w:ascii="Arial" w:cs="Arial" w:eastAsia="Arial" w:hAnsi="Arial"/>
          <w:sz w:val="15"/>
          <w:szCs w:val="15"/>
          <w:color w:val="auto"/>
        </w:rPr>
        <w:t>means those current good manufacturing practices and standards, as amended from time to time, related to the manufacture of</w:t>
      </w:r>
      <w:r>
        <w:rPr>
          <w:rFonts w:ascii="Arial" w:cs="Arial" w:eastAsia="Arial" w:hAnsi="Arial"/>
          <w:sz w:val="15"/>
          <w:szCs w:val="15"/>
          <w:b w:val="1"/>
          <w:bCs w:val="1"/>
          <w:color w:val="auto"/>
        </w:rPr>
        <w:t xml:space="preserve"> </w:t>
      </w:r>
      <w:r>
        <w:rPr>
          <w:rFonts w:ascii="Arial" w:cs="Arial" w:eastAsia="Arial" w:hAnsi="Arial"/>
          <w:sz w:val="15"/>
          <w:szCs w:val="15"/>
          <w:color w:val="auto"/>
        </w:rPr>
        <w:t>pharmaceutical products as provided for in 21 United States Code of Federal Regulations § 210 and § 211 et seq., § 600 and § 610 or the European Community Guide to Good Manufacturing Practice in the production of pharmaceutical products, or equivalent guidelines, regulations and standards in any other jurisdiction, as such guidelines, regulations and standards may be amended from time to time.</w:t>
      </w:r>
    </w:p>
    <w:p>
      <w:pPr>
        <w:spacing w:after="0" w:line="64" w:lineRule="exact"/>
        <w:rPr>
          <w:sz w:val="20"/>
          <w:szCs w:val="20"/>
          <w:color w:val="auto"/>
        </w:rPr>
      </w:pPr>
    </w:p>
    <w:p>
      <w:pPr>
        <w:ind w:left="460" w:right="80" w:hanging="471"/>
        <w:spacing w:after="0" w:line="306" w:lineRule="auto"/>
        <w:tabs>
          <w:tab w:leader="none" w:pos="44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Change of Control</w:t>
      </w:r>
      <w:r>
        <w:rPr>
          <w:rFonts w:ascii="Arial" w:cs="Arial" w:eastAsia="Arial" w:hAnsi="Arial"/>
          <w:sz w:val="13"/>
          <w:szCs w:val="13"/>
          <w:color w:val="auto"/>
        </w:rPr>
        <w:t>” means the occurrence of any of the following events following the Effective Date of the Agreement: (a) any Third Party (excluding any existing stockholder of Licensee as of the Effective Date) becoming the owner, directly or indirectly, of more than fifty percent (50%) of the total voting power (on an as converted basis) of the equity units or other interests of Licensee then outstanding that are normally entitled to vote in the election of directors of Licensee other than in connection with a financing or series of financing transactions; (b) the merger, consolidation or amalgamation of Licensee with or into any other Person, other than any transaction in which the holders of the outstanding voting securities of Licensee immediately prior to the transaction own, directly or indirectly, not less than fifty percent (50%) of the total voting power (on an as converted basis) of the voting securities of the party surviving such merger, consolidation or amalgamation; or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the sale of all or substantially all of the assets of Licensee.</w:t>
      </w:r>
    </w:p>
    <w:p>
      <w:pPr>
        <w:spacing w:after="0" w:line="95" w:lineRule="exact"/>
        <w:rPr>
          <w:sz w:val="20"/>
          <w:szCs w:val="20"/>
          <w:color w:val="auto"/>
        </w:rPr>
      </w:pPr>
    </w:p>
    <w:p>
      <w:pPr>
        <w:ind w:left="460" w:right="20" w:hanging="471"/>
        <w:spacing w:after="0" w:line="254" w:lineRule="auto"/>
        <w:tabs>
          <w:tab w:leader="none" w:pos="44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Combination Product</w:t>
      </w:r>
      <w:r>
        <w:rPr>
          <w:rFonts w:ascii="Arial" w:cs="Arial" w:eastAsia="Arial" w:hAnsi="Arial"/>
          <w:sz w:val="16"/>
          <w:szCs w:val="16"/>
          <w:color w:val="auto"/>
        </w:rPr>
        <w:t>” means a Product that is delivered with one or more additional active ingredients and/or other items or services incident to the administration of such Product (with or without one or more such other active ingredients), in each such case when the Product and any of the foregoing are co-formulated, co-packaged or sold under one pricing scheme (whether payment of such price is paid to the same or to more than one seller).</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w:t>
      </w:r>
    </w:p>
    <w:p>
      <w:pPr>
        <w:spacing w:after="0" w:line="107" w:lineRule="exact"/>
        <w:rPr>
          <w:sz w:val="20"/>
          <w:szCs w:val="20"/>
          <w:color w:val="auto"/>
        </w:rPr>
      </w:pPr>
    </w:p>
    <w:p>
      <w:pPr>
        <w:ind w:left="460" w:right="100" w:hanging="471"/>
        <w:spacing w:after="0" w:line="259" w:lineRule="auto"/>
        <w:tabs>
          <w:tab w:leader="none" w:pos="440" w:val="left"/>
        </w:tabs>
        <w:rPr>
          <w:sz w:val="20"/>
          <w:szCs w:val="20"/>
          <w:color w:val="auto"/>
        </w:rPr>
      </w:pPr>
      <w:r>
        <w:rPr>
          <w:rFonts w:ascii="Arial" w:cs="Arial" w:eastAsia="Arial" w:hAnsi="Arial"/>
          <w:sz w:val="16"/>
          <w:szCs w:val="16"/>
          <w:color w:val="auto"/>
        </w:rPr>
        <w:t>1.10</w:t>
        <w:tab/>
        <w:t>“</w:t>
      </w:r>
      <w:r>
        <w:rPr>
          <w:rFonts w:ascii="Arial" w:cs="Arial" w:eastAsia="Arial" w:hAnsi="Arial"/>
          <w:sz w:val="16"/>
          <w:szCs w:val="16"/>
          <w:b w:val="1"/>
          <w:bCs w:val="1"/>
          <w:color w:val="auto"/>
        </w:rPr>
        <w:t>Compulsory License</w:t>
      </w:r>
      <w:r>
        <w:rPr>
          <w:rFonts w:ascii="Arial" w:cs="Arial" w:eastAsia="Arial" w:hAnsi="Arial"/>
          <w:sz w:val="16"/>
          <w:szCs w:val="16"/>
          <w:color w:val="auto"/>
        </w:rPr>
        <w:t>” means a compulsory license under Licensor Patent Rights obtained by a Third Party through the order, decree, or grant of a competent Governmental Body or court, authorizing such Third Party to develop, make, have made, use, sell, offer to sell or import a Product in any country.</w:t>
      </w:r>
    </w:p>
    <w:p>
      <w:pPr>
        <w:spacing w:after="0" w:line="76" w:lineRule="exact"/>
        <w:rPr>
          <w:sz w:val="20"/>
          <w:szCs w:val="20"/>
          <w:color w:val="auto"/>
        </w:rPr>
      </w:pPr>
    </w:p>
    <w:p>
      <w:pPr>
        <w:ind w:left="460" w:right="80" w:hanging="471"/>
        <w:spacing w:after="0" w:line="388" w:lineRule="auto"/>
        <w:tabs>
          <w:tab w:leader="none" w:pos="44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of a Party, means (a) information relating to the business, operations or products of a Party or any of its Affiliates, including any know-how, that such Party discloses to the other Party under this Agreement, and (b) the terms of this Agreement.</w:t>
      </w:r>
    </w:p>
    <w:p>
      <w:pPr>
        <w:ind w:left="460" w:right="100" w:hanging="471"/>
        <w:spacing w:after="0" w:line="254" w:lineRule="auto"/>
        <w:tabs>
          <w:tab w:leader="none" w:pos="440" w:val="left"/>
        </w:tabs>
        <w:rPr>
          <w:sz w:val="20"/>
          <w:szCs w:val="20"/>
          <w:color w:val="auto"/>
        </w:rPr>
      </w:pPr>
      <w:r>
        <w:rPr>
          <w:rFonts w:ascii="Arial" w:cs="Arial" w:eastAsia="Arial" w:hAnsi="Arial"/>
          <w:sz w:val="16"/>
          <w:szCs w:val="16"/>
          <w:color w:val="auto"/>
        </w:rPr>
        <w:t>1.12</w:t>
        <w:tab/>
        <w:t>“</w:t>
      </w:r>
      <w:r>
        <w:rPr>
          <w:rFonts w:ascii="Arial" w:cs="Arial" w:eastAsia="Arial" w:hAnsi="Arial"/>
          <w:sz w:val="16"/>
          <w:szCs w:val="16"/>
          <w:b w:val="1"/>
          <w:bCs w:val="1"/>
          <w:color w:val="auto"/>
        </w:rPr>
        <w:t>Controlled</w:t>
      </w:r>
      <w:r>
        <w:rPr>
          <w:rFonts w:ascii="Arial" w:cs="Arial" w:eastAsia="Arial" w:hAnsi="Arial"/>
          <w:sz w:val="16"/>
          <w:szCs w:val="16"/>
          <w:color w:val="auto"/>
        </w:rPr>
        <w:t>” means, with respect to intellectual property rights, that a Party or one of its Affiliates owns or has a license or sublicense to such intellectual property rights and has the ability to provide to, grant a license or sublicense to, or assign its right, title and interest in and to, such intellectual property rights as provided for in this Agreement without violating the terms of any agreement or other arrangement with any Third Party.</w:t>
      </w:r>
    </w:p>
    <w:p>
      <w:pPr>
        <w:spacing w:after="0" w:line="82" w:lineRule="exact"/>
        <w:rPr>
          <w:sz w:val="20"/>
          <w:szCs w:val="20"/>
          <w:color w:val="auto"/>
        </w:rPr>
      </w:pPr>
    </w:p>
    <w:p>
      <w:pPr>
        <w:jc w:val="both"/>
        <w:ind w:left="460" w:right="320" w:hanging="471"/>
        <w:spacing w:after="0" w:line="284" w:lineRule="auto"/>
        <w:tabs>
          <w:tab w:leader="none" w:pos="44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Cover</w:t>
      </w:r>
      <w:r>
        <w:rPr>
          <w:rFonts w:ascii="Arial" w:cs="Arial" w:eastAsia="Arial" w:hAnsi="Arial"/>
          <w:sz w:val="15"/>
          <w:szCs w:val="15"/>
          <w:color w:val="auto"/>
        </w:rPr>
        <w:t>” means, with respect to any subject matter and a Patent Right, that the making, using, selling, offering for sale, importation or other exploitation of such subject matter would (absent a license thereunder or ownership thereof) infringe, induce infringement or contributorily infringe a Valid Claim of such Patent Right. Cognates of the word “Cover” shall have correlative meanings.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580"/>
          </w:cols>
          <w:pgMar w:left="1140" w:top="252" w:right="1179" w:bottom="1440" w:gutter="0" w:footer="0" w:header="0"/>
        </w:sectPr>
      </w:pPr>
    </w:p>
    <w:bookmarkStart w:id="523" w:name="page524"/>
    <w:bookmarkEnd w:id="523"/>
    <w:p>
      <w:pPr>
        <w:spacing w:after="0"/>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Diligence Event</w:t>
      </w:r>
      <w:r>
        <w:rPr>
          <w:rFonts w:ascii="Arial" w:cs="Arial" w:eastAsia="Arial" w:hAnsi="Arial"/>
          <w:sz w:val="13"/>
          <w:szCs w:val="13"/>
          <w:color w:val="auto"/>
        </w:rPr>
        <w:t>” means each of the events provided in the table in Section 3.2.1.</w:t>
      </w:r>
    </w:p>
    <w:p>
      <w:pPr>
        <w:spacing w:after="0" w:line="11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FD&amp;C Act</w:t>
      </w:r>
      <w:r>
        <w:rPr>
          <w:rFonts w:ascii="Arial" w:cs="Arial" w:eastAsia="Arial" w:hAnsi="Arial"/>
          <w:sz w:val="13"/>
          <w:szCs w:val="13"/>
          <w:color w:val="auto"/>
        </w:rPr>
        <w:t>” means the United States Federal Food, Drug and Cosmetic Act, as amended.</w:t>
      </w:r>
    </w:p>
    <w:p>
      <w:pPr>
        <w:spacing w:after="0" w:line="11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Field of Use</w:t>
      </w:r>
      <w:r>
        <w:rPr>
          <w:rFonts w:ascii="Arial" w:cs="Arial" w:eastAsia="Arial" w:hAnsi="Arial"/>
          <w:sz w:val="13"/>
          <w:szCs w:val="13"/>
          <w:color w:val="auto"/>
        </w:rPr>
        <w:t>” means any and all uses.</w:t>
      </w:r>
    </w:p>
    <w:p>
      <w:pPr>
        <w:spacing w:after="0" w:line="111" w:lineRule="exact"/>
        <w:rPr>
          <w:sz w:val="20"/>
          <w:szCs w:val="20"/>
          <w:color w:val="auto"/>
        </w:rPr>
      </w:pPr>
    </w:p>
    <w:p>
      <w:pPr>
        <w:ind w:left="460" w:right="20" w:hanging="471"/>
        <w:spacing w:after="0" w:line="272" w:lineRule="auto"/>
        <w:tabs>
          <w:tab w:leader="none" w:pos="440" w:val="left"/>
        </w:tabs>
        <w:rPr>
          <w:sz w:val="20"/>
          <w:szCs w:val="20"/>
          <w:color w:val="auto"/>
        </w:rPr>
      </w:pPr>
      <w:r>
        <w:rPr>
          <w:rFonts w:ascii="Arial" w:cs="Arial" w:eastAsia="Arial" w:hAnsi="Arial"/>
          <w:sz w:val="16"/>
          <w:szCs w:val="16"/>
          <w:color w:val="auto"/>
        </w:rPr>
        <w:t>1.17</w:t>
        <w:tab/>
        <w:t>“</w:t>
      </w:r>
      <w:r>
        <w:rPr>
          <w:rFonts w:ascii="Arial" w:cs="Arial" w:eastAsia="Arial" w:hAnsi="Arial"/>
          <w:sz w:val="16"/>
          <w:szCs w:val="16"/>
          <w:b w:val="1"/>
          <w:bCs w:val="1"/>
          <w:color w:val="auto"/>
        </w:rPr>
        <w:t>First Commercial Sale</w:t>
      </w:r>
      <w:r>
        <w:rPr>
          <w:rFonts w:ascii="Arial" w:cs="Arial" w:eastAsia="Arial" w:hAnsi="Arial"/>
          <w:sz w:val="16"/>
          <w:szCs w:val="16"/>
          <w:color w:val="auto"/>
        </w:rPr>
        <w:t>” means, on a country-by-country basis, the first commercial transfer or disposition for value of Product in such country to a Third Party by Licensee, or any of its Affiliates or Sublicensees.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 applied on a consistent basis.</w:t>
      </w:r>
    </w:p>
    <w:p>
      <w:pPr>
        <w:spacing w:after="0" w:line="111" w:lineRule="exact"/>
        <w:rPr>
          <w:sz w:val="20"/>
          <w:szCs w:val="20"/>
          <w:color w:val="auto"/>
        </w:rPr>
      </w:pPr>
    </w:p>
    <w:p>
      <w:pPr>
        <w:ind w:left="460" w:hanging="471"/>
        <w:spacing w:after="0" w:line="309" w:lineRule="auto"/>
        <w:tabs>
          <w:tab w:leader="none" w:pos="44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Generic Product</w:t>
      </w:r>
      <w:r>
        <w:rPr>
          <w:rFonts w:ascii="Arial" w:cs="Arial" w:eastAsia="Arial" w:hAnsi="Arial"/>
          <w:sz w:val="13"/>
          <w:szCs w:val="13"/>
          <w:color w:val="auto"/>
        </w:rPr>
        <w:t>” means, with respect to a particular Product in a country, a generic or biosimilar pharmaceutical product, that is not produced, licensed or owned by Licensee, any of its Affiliates or Sublicensees, that: (a) has the same active ingredient as such Product, is approved in reliance, in whole or in part, on a prior Regulatory Approval of the Product, and is determined by a Regulatory Authority to be substitutable for the Product, including as a “biosimilar” (in the United States) of such Product or as the foreign equivalent of a “biosimilar” of such Product; or</w:t>
      </w:r>
    </w:p>
    <w:p>
      <w:pPr>
        <w:ind w:left="460" w:right="80" w:firstLine="5"/>
        <w:spacing w:after="0" w:line="323" w:lineRule="auto"/>
        <w:tabs>
          <w:tab w:leader="none" w:pos="682" w:val="left"/>
        </w:tabs>
        <w:numPr>
          <w:ilvl w:val="0"/>
          <w:numId w:val="379"/>
        </w:numPr>
        <w:rPr>
          <w:rFonts w:ascii="Arial" w:cs="Arial" w:eastAsia="Arial" w:hAnsi="Arial"/>
          <w:sz w:val="13"/>
          <w:szCs w:val="13"/>
          <w:color w:val="auto"/>
        </w:rPr>
      </w:pPr>
      <w:r>
        <w:rPr>
          <w:rFonts w:ascii="Arial" w:cs="Arial" w:eastAsia="Arial" w:hAnsi="Arial"/>
          <w:sz w:val="13"/>
          <w:szCs w:val="13"/>
          <w:color w:val="auto"/>
        </w:rPr>
        <w:t>is approved by the Regulatory Authority as a substitutable generic or substitutable biosimilar for such Product or otherwise is approved in a manner that relies on or incorporates data submitted by Licensee, its Affiliates or Sublicensees in connection with the regulatory filings for such Product through an abbreviated new drug application or 505(b)(2) pathway, or any enabling legislation thereof, or any equivalent process where bioequivalence to such Product has been asserted (including under the Biologic Price Competition and Innovation Act of 2000).</w:t>
      </w:r>
    </w:p>
    <w:p>
      <w:pPr>
        <w:spacing w:after="0" w:line="40" w:lineRule="exact"/>
        <w:rPr>
          <w:sz w:val="20"/>
          <w:szCs w:val="20"/>
          <w:color w:val="auto"/>
        </w:rPr>
      </w:pPr>
    </w:p>
    <w:p>
      <w:pPr>
        <w:ind w:left="460" w:right="180" w:hanging="471"/>
        <w:spacing w:after="0" w:line="306" w:lineRule="auto"/>
        <w:tabs>
          <w:tab w:leader="none" w:pos="440" w:val="left"/>
        </w:tabs>
        <w:rPr>
          <w:sz w:val="20"/>
          <w:szCs w:val="20"/>
          <w:color w:val="auto"/>
        </w:rPr>
      </w:pPr>
      <w:r>
        <w:rPr>
          <w:rFonts w:ascii="Arial" w:cs="Arial" w:eastAsia="Arial" w:hAnsi="Arial"/>
          <w:sz w:val="16"/>
          <w:szCs w:val="16"/>
          <w:color w:val="auto"/>
        </w:rPr>
        <w:t>1.20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Governmental Approval</w:t>
      </w:r>
      <w:r>
        <w:rPr>
          <w:rFonts w:ascii="Arial" w:cs="Arial" w:eastAsia="Arial" w:hAnsi="Arial"/>
          <w:sz w:val="15"/>
          <w:szCs w:val="15"/>
          <w:color w:val="auto"/>
        </w:rPr>
        <w:t>” means, with respect to a Product in a country or region, all approvals, licenses, registrations and authorizations of the relevant Governmental Body, if applicable, required for the commercialization of such Product in such country.</w:t>
      </w:r>
    </w:p>
    <w:p>
      <w:pPr>
        <w:spacing w:after="0" w:line="44" w:lineRule="exact"/>
        <w:rPr>
          <w:sz w:val="20"/>
          <w:szCs w:val="20"/>
          <w:color w:val="auto"/>
        </w:rPr>
      </w:pPr>
    </w:p>
    <w:p>
      <w:pPr>
        <w:ind w:left="460" w:right="160" w:hanging="471"/>
        <w:spacing w:after="0" w:line="271" w:lineRule="auto"/>
        <w:tabs>
          <w:tab w:leader="none" w:pos="44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Governmental Body</w:t>
      </w:r>
      <w:r>
        <w:rPr>
          <w:rFonts w:ascii="Arial" w:cs="Arial" w:eastAsia="Arial" w:hAnsi="Arial"/>
          <w:sz w:val="15"/>
          <w:szCs w:val="15"/>
          <w:color w:val="auto"/>
        </w:rPr>
        <w:t>” means any: (a) nation, principality, state, commonwealth, province, territory, county, municipality, district or other jurisdiction of any nature; (b) federal, provincial,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69" w:lineRule="exact"/>
        <w:rPr>
          <w:sz w:val="20"/>
          <w:szCs w:val="20"/>
          <w:color w:val="auto"/>
        </w:rPr>
      </w:pPr>
    </w:p>
    <w:p>
      <w:pPr>
        <w:ind w:left="460" w:right="140" w:hanging="471"/>
        <w:spacing w:after="0" w:line="259" w:lineRule="auto"/>
        <w:tabs>
          <w:tab w:leader="none" w:pos="440" w:val="left"/>
        </w:tabs>
        <w:rPr>
          <w:sz w:val="20"/>
          <w:szCs w:val="20"/>
          <w:color w:val="auto"/>
        </w:rPr>
      </w:pPr>
      <w:r>
        <w:rPr>
          <w:rFonts w:ascii="Arial" w:cs="Arial" w:eastAsia="Arial" w:hAnsi="Arial"/>
          <w:sz w:val="16"/>
          <w:szCs w:val="16"/>
          <w:color w:val="auto"/>
        </w:rPr>
        <w:t>1.22</w:t>
        <w:tab/>
        <w:t>“</w:t>
      </w:r>
      <w:r>
        <w:rPr>
          <w:rFonts w:ascii="Arial" w:cs="Arial" w:eastAsia="Arial" w:hAnsi="Arial"/>
          <w:sz w:val="16"/>
          <w:szCs w:val="16"/>
          <w:b w:val="1"/>
          <w:bCs w:val="1"/>
          <w:color w:val="auto"/>
        </w:rPr>
        <w:t>IND</w:t>
      </w:r>
      <w:r>
        <w:rPr>
          <w:rFonts w:ascii="Arial" w:cs="Arial" w:eastAsia="Arial" w:hAnsi="Arial"/>
          <w:sz w:val="16"/>
          <w:szCs w:val="16"/>
          <w:color w:val="auto"/>
        </w:rPr>
        <w:t>” means an Investigational New Drug Application as defined in the FD&amp;C Act and the regulations promulgated thereunder, or the comparable application to the comparable regulatory authority in any other regulatory jurisdiction, the filing of which is necessary to initiate or conduct clinical testing of a pharmaceutical product in humans in such jurisdiction.</w:t>
      </w:r>
    </w:p>
    <w:p>
      <w:pPr>
        <w:spacing w:after="0" w:line="76" w:lineRule="exact"/>
        <w:rPr>
          <w:sz w:val="20"/>
          <w:szCs w:val="20"/>
          <w:color w:val="auto"/>
        </w:rPr>
      </w:pPr>
    </w:p>
    <w:p>
      <w:pPr>
        <w:ind w:left="460" w:right="120" w:hanging="471"/>
        <w:spacing w:after="0" w:line="272" w:lineRule="auto"/>
        <w:tabs>
          <w:tab w:leader="none" w:pos="440" w:val="left"/>
        </w:tabs>
        <w:rPr>
          <w:sz w:val="20"/>
          <w:szCs w:val="20"/>
          <w:color w:val="auto"/>
        </w:rPr>
      </w:pPr>
      <w:r>
        <w:rPr>
          <w:rFonts w:ascii="Arial" w:cs="Arial" w:eastAsia="Arial" w:hAnsi="Arial"/>
          <w:sz w:val="16"/>
          <w:szCs w:val="16"/>
          <w:color w:val="auto"/>
        </w:rPr>
        <w:t>1.23</w:t>
        <w:tab/>
        <w:t>“</w:t>
      </w:r>
      <w:r>
        <w:rPr>
          <w:rFonts w:ascii="Arial" w:cs="Arial" w:eastAsia="Arial" w:hAnsi="Arial"/>
          <w:sz w:val="16"/>
          <w:szCs w:val="16"/>
          <w:b w:val="1"/>
          <w:bCs w:val="1"/>
          <w:color w:val="auto"/>
        </w:rPr>
        <w:t>Law</w:t>
      </w:r>
      <w:r>
        <w:rPr>
          <w:rFonts w:ascii="Arial" w:cs="Arial" w:eastAsia="Arial" w:hAnsi="Arial"/>
          <w:sz w:val="16"/>
          <w:szCs w:val="16"/>
          <w:color w:val="auto"/>
        </w:rPr>
        <w:t>” or “</w:t>
      </w:r>
      <w:r>
        <w:rPr>
          <w:rFonts w:ascii="Arial" w:cs="Arial" w:eastAsia="Arial" w:hAnsi="Arial"/>
          <w:sz w:val="16"/>
          <w:szCs w:val="16"/>
          <w:b w:val="1"/>
          <w:bCs w:val="1"/>
          <w:color w:val="auto"/>
        </w:rPr>
        <w:t>Laws</w:t>
      </w:r>
      <w:r>
        <w:rPr>
          <w:rFonts w:ascii="Arial" w:cs="Arial" w:eastAsia="Arial" w:hAnsi="Arial"/>
          <w:sz w:val="16"/>
          <w:szCs w:val="16"/>
          <w:color w:val="auto"/>
        </w:rPr>
        <w:t>” means all applicable laws, statutes, rules, regulations, ordinances and other pronouncements having the binding effect of law of any Governmental Body.</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Licensor Material</w:t>
      </w:r>
      <w:r>
        <w:rPr>
          <w:rFonts w:ascii="Arial" w:cs="Arial" w:eastAsia="Arial" w:hAnsi="Arial"/>
          <w:sz w:val="13"/>
          <w:szCs w:val="13"/>
          <w:color w:val="auto"/>
        </w:rPr>
        <w:t xml:space="preserve">” means the materials listed in </w:t>
      </w:r>
      <w:r>
        <w:rPr>
          <w:rFonts w:ascii="Arial" w:cs="Arial" w:eastAsia="Arial" w:hAnsi="Arial"/>
          <w:sz w:val="13"/>
          <w:szCs w:val="13"/>
          <w:b w:val="1"/>
          <w:bCs w:val="1"/>
          <w:u w:val="single" w:color="auto"/>
          <w:color w:val="auto"/>
        </w:rPr>
        <w:t>Schedule 1.24</w:t>
      </w:r>
      <w:r>
        <w:rPr>
          <w:rFonts w:ascii="Arial" w:cs="Arial" w:eastAsia="Arial" w:hAnsi="Arial"/>
          <w:sz w:val="13"/>
          <w:szCs w:val="13"/>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00"/>
          </w:cols>
          <w:pgMar w:left="1140" w:top="252" w:right="1159" w:bottom="1440" w:gutter="0" w:footer="0" w:header="0"/>
        </w:sectPr>
      </w:pPr>
    </w:p>
    <w:bookmarkStart w:id="524" w:name="page525"/>
    <w:bookmarkEnd w:id="524"/>
    <w:p>
      <w:pPr>
        <w:ind w:left="460" w:right="200" w:hanging="471"/>
        <w:spacing w:after="0" w:line="324" w:lineRule="auto"/>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Licensor Patent Rights</w:t>
      </w:r>
      <w:r>
        <w:rPr>
          <w:rFonts w:ascii="Arial" w:cs="Arial" w:eastAsia="Arial" w:hAnsi="Arial"/>
          <w:sz w:val="13"/>
          <w:szCs w:val="13"/>
          <w:color w:val="auto"/>
        </w:rPr>
        <w:t xml:space="preserve">” means (a) the Patent Rights listed in </w:t>
      </w:r>
      <w:r>
        <w:rPr>
          <w:rFonts w:ascii="Arial" w:cs="Arial" w:eastAsia="Arial" w:hAnsi="Arial"/>
          <w:sz w:val="13"/>
          <w:szCs w:val="13"/>
          <w:b w:val="1"/>
          <w:bCs w:val="1"/>
          <w:u w:val="single" w:color="auto"/>
          <w:color w:val="auto"/>
        </w:rPr>
        <w:t>Schedule 1.25</w:t>
      </w:r>
      <w:r>
        <w:rPr>
          <w:rFonts w:ascii="Arial" w:cs="Arial" w:eastAsia="Arial" w:hAnsi="Arial"/>
          <w:sz w:val="13"/>
          <w:szCs w:val="13"/>
          <w:color w:val="auto"/>
        </w:rPr>
        <w:t xml:space="preserve">, any Patent Rights claiming any invention described in any invention disclosure listed in </w:t>
      </w:r>
      <w:r>
        <w:rPr>
          <w:rFonts w:ascii="Arial" w:cs="Arial" w:eastAsia="Arial" w:hAnsi="Arial"/>
          <w:sz w:val="13"/>
          <w:szCs w:val="13"/>
          <w:b w:val="1"/>
          <w:bCs w:val="1"/>
          <w:u w:val="single" w:color="auto"/>
          <w:color w:val="auto"/>
        </w:rPr>
        <w:t>Schedule 1.25</w:t>
      </w:r>
      <w:r>
        <w:rPr>
          <w:rFonts w:ascii="Arial" w:cs="Arial" w:eastAsia="Arial" w:hAnsi="Arial"/>
          <w:sz w:val="13"/>
          <w:szCs w:val="13"/>
          <w:color w:val="auto"/>
        </w:rPr>
        <w:t>, (b) any continuations, provisionals, continued prosecution applications, substitutions, extensions and term restorations, registrations, confirmations, reexaminations, renewals, supplementary protection certificates or reissues of subpart (a), including divisions, but excluding continuations-in-part (unless filed by Licensor without Licensee’s prior written consent), (c) any corresponding foreign Patent Rights to any of the foregoing and (d) any patent issuing on any of the foregoing applications.</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Major Market</w:t>
      </w:r>
      <w:r>
        <w:rPr>
          <w:rFonts w:ascii="Arial" w:cs="Arial" w:eastAsia="Arial" w:hAnsi="Arial"/>
          <w:sz w:val="15"/>
          <w:szCs w:val="15"/>
          <w:color w:val="auto"/>
        </w:rPr>
        <w:t>” means the [***].</w:t>
      </w:r>
    </w:p>
    <w:p>
      <w:pPr>
        <w:spacing w:after="0" w:line="11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1.27</w:t>
        <w:tab/>
        <w:t>[***].</w:t>
      </w:r>
    </w:p>
    <w:p>
      <w:pPr>
        <w:spacing w:after="0" w:line="107" w:lineRule="exact"/>
        <w:rPr>
          <w:sz w:val="20"/>
          <w:szCs w:val="20"/>
          <w:color w:val="auto"/>
        </w:rPr>
      </w:pPr>
    </w:p>
    <w:p>
      <w:pPr>
        <w:ind w:left="460" w:right="160" w:hanging="471"/>
        <w:spacing w:after="0" w:line="259" w:lineRule="auto"/>
        <w:tabs>
          <w:tab w:leader="none" w:pos="440" w:val="left"/>
        </w:tabs>
        <w:rPr>
          <w:sz w:val="20"/>
          <w:szCs w:val="20"/>
          <w:color w:val="auto"/>
        </w:rPr>
      </w:pPr>
      <w:r>
        <w:rPr>
          <w:rFonts w:ascii="Arial" w:cs="Arial" w:eastAsia="Arial" w:hAnsi="Arial"/>
          <w:sz w:val="16"/>
          <w:szCs w:val="16"/>
          <w:color w:val="auto"/>
        </w:rPr>
        <w:t>1.28</w:t>
        <w:tab/>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filed with the FDA in accordance with the FD&amp;C Act with respect to pharmaceutical products or an analogous application or filing with any Regulatory Authority outside of the United States for the purpose of obtaining approval to market and sell a pharmaceutical product in such jurisdiction.</w:t>
      </w:r>
    </w:p>
    <w:p>
      <w:pPr>
        <w:spacing w:after="0" w:line="76" w:lineRule="exact"/>
        <w:rPr>
          <w:sz w:val="20"/>
          <w:szCs w:val="20"/>
          <w:color w:val="auto"/>
        </w:rPr>
      </w:pPr>
    </w:p>
    <w:p>
      <w:pPr>
        <w:ind w:left="460" w:right="60" w:hanging="471"/>
        <w:spacing w:after="0" w:line="254" w:lineRule="auto"/>
        <w:tabs>
          <w:tab w:leader="none" w:pos="440" w:val="left"/>
        </w:tabs>
        <w:rPr>
          <w:sz w:val="20"/>
          <w:szCs w:val="20"/>
          <w:color w:val="auto"/>
        </w:rPr>
      </w:pPr>
      <w:r>
        <w:rPr>
          <w:rFonts w:ascii="Arial" w:cs="Arial" w:eastAsia="Arial" w:hAnsi="Arial"/>
          <w:sz w:val="16"/>
          <w:szCs w:val="16"/>
          <w:color w:val="auto"/>
        </w:rPr>
        <w:t>1.29</w:t>
        <w:tab/>
        <w:t>“</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amounts invoiced or received by Licensee or any of its Affiliates or Sublicensees (each, a “</w:t>
      </w:r>
      <w:r>
        <w:rPr>
          <w:rFonts w:ascii="Arial" w:cs="Arial" w:eastAsia="Arial" w:hAnsi="Arial"/>
          <w:sz w:val="16"/>
          <w:szCs w:val="16"/>
          <w:b w:val="1"/>
          <w:bCs w:val="1"/>
          <w:color w:val="auto"/>
        </w:rPr>
        <w:t>Selling Party</w:t>
      </w:r>
      <w:r>
        <w:rPr>
          <w:rFonts w:ascii="Arial" w:cs="Arial" w:eastAsia="Arial" w:hAnsi="Arial"/>
          <w:sz w:val="16"/>
          <w:szCs w:val="16"/>
          <w:color w:val="auto"/>
        </w:rPr>
        <w:t>”) for Sales of Product (whether consisting of cash or any other forms of consideration recognized as revenue by the Selling Party under Accounting Standards), less the following deductions (to the extent actually incurred and not already deducted from the gross amounts invoiced, received or otherwise charged) to the extent reasonable and customary:</w:t>
      </w:r>
    </w:p>
    <w:p>
      <w:pPr>
        <w:spacing w:after="0" w:line="86"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1.29.1</w:t>
      </w:r>
      <w:r>
        <w:rPr>
          <w:sz w:val="20"/>
          <w:szCs w:val="20"/>
          <w:color w:val="auto"/>
        </w:rPr>
        <w:tab/>
      </w:r>
      <w:r>
        <w:rPr>
          <w:rFonts w:ascii="Arial" w:cs="Arial" w:eastAsia="Arial" w:hAnsi="Arial"/>
          <w:sz w:val="13"/>
          <w:szCs w:val="13"/>
          <w:color w:val="auto"/>
        </w:rPr>
        <w:t>trade discounts, including trade, cash and quantity discounts or rebates, credits and refunds;</w:t>
      </w:r>
    </w:p>
    <w:p>
      <w:pPr>
        <w:spacing w:after="0" w:line="111" w:lineRule="exact"/>
        <w:rPr>
          <w:sz w:val="20"/>
          <w:szCs w:val="20"/>
          <w:color w:val="auto"/>
        </w:rPr>
      </w:pPr>
    </w:p>
    <w:p>
      <w:pPr>
        <w:ind w:left="1040" w:hanging="565"/>
        <w:spacing w:after="0" w:line="266" w:lineRule="auto"/>
        <w:tabs>
          <w:tab w:leader="none" w:pos="1020" w:val="left"/>
        </w:tabs>
        <w:rPr>
          <w:sz w:val="20"/>
          <w:szCs w:val="20"/>
          <w:color w:val="auto"/>
        </w:rPr>
      </w:pPr>
      <w:r>
        <w:rPr>
          <w:rFonts w:ascii="Arial" w:cs="Arial" w:eastAsia="Arial" w:hAnsi="Arial"/>
          <w:sz w:val="16"/>
          <w:szCs w:val="16"/>
          <w:color w:val="auto"/>
        </w:rPr>
        <w:t>1.29.2</w:t>
        <w:tab/>
        <w:t>allowances and amounts repaid or credits actually granted upon claims, returns or rejections of products, including recalls, regardless of the party requesting such recall, spoiled, damaged or outdated product, or for price adjustments;</w:t>
      </w:r>
    </w:p>
    <w:p>
      <w:pPr>
        <w:spacing w:after="0" w:line="76" w:lineRule="exact"/>
        <w:rPr>
          <w:sz w:val="20"/>
          <w:szCs w:val="20"/>
          <w:color w:val="auto"/>
        </w:rPr>
      </w:pPr>
    </w:p>
    <w:p>
      <w:pPr>
        <w:ind w:left="1040" w:right="260" w:hanging="565"/>
        <w:spacing w:after="0" w:line="266" w:lineRule="auto"/>
        <w:tabs>
          <w:tab w:leader="none" w:pos="1020" w:val="left"/>
        </w:tabs>
        <w:rPr>
          <w:sz w:val="20"/>
          <w:szCs w:val="20"/>
          <w:color w:val="auto"/>
        </w:rPr>
      </w:pPr>
      <w:r>
        <w:rPr>
          <w:rFonts w:ascii="Arial" w:cs="Arial" w:eastAsia="Arial" w:hAnsi="Arial"/>
          <w:sz w:val="16"/>
          <w:szCs w:val="16"/>
          <w:color w:val="auto"/>
        </w:rPr>
        <w:t>1.29.3</w:t>
        <w:tab/>
        <w:t>charges for freight, insurance, transportation, postage, handling and any other charges relating to the sale, transportation, delivery or return of such Product;</w:t>
      </w:r>
    </w:p>
    <w:p>
      <w:pPr>
        <w:spacing w:after="0" w:line="76" w:lineRule="exact"/>
        <w:rPr>
          <w:sz w:val="20"/>
          <w:szCs w:val="20"/>
          <w:color w:val="auto"/>
        </w:rPr>
      </w:pPr>
    </w:p>
    <w:p>
      <w:pPr>
        <w:ind w:left="1040" w:right="380" w:hanging="565"/>
        <w:spacing w:after="0" w:line="383" w:lineRule="auto"/>
        <w:tabs>
          <w:tab w:leader="none" w:pos="1020" w:val="left"/>
        </w:tabs>
        <w:rPr>
          <w:sz w:val="20"/>
          <w:szCs w:val="20"/>
          <w:color w:val="auto"/>
        </w:rPr>
      </w:pPr>
      <w:r>
        <w:rPr>
          <w:rFonts w:ascii="Arial" w:cs="Arial" w:eastAsia="Arial" w:hAnsi="Arial"/>
          <w:sz w:val="16"/>
          <w:szCs w:val="16"/>
          <w:color w:val="auto"/>
        </w:rPr>
        <w:t>1.29.4</w:t>
      </w:r>
      <w:r>
        <w:rPr>
          <w:sz w:val="20"/>
          <w:szCs w:val="20"/>
          <w:color w:val="auto"/>
        </w:rPr>
        <w:tab/>
      </w:r>
      <w:r>
        <w:rPr>
          <w:rFonts w:ascii="Arial" w:cs="Arial" w:eastAsia="Arial" w:hAnsi="Arial"/>
          <w:sz w:val="13"/>
          <w:szCs w:val="13"/>
          <w:color w:val="auto"/>
        </w:rPr>
        <w:t>customs duties, sales, excise and use taxes (including value added tax) actually incurred, paid or collected in connection with the transportation, distribution, import, export, use or sale of such Product (but excluding what is commonly known as income taxes);</w:t>
      </w:r>
    </w:p>
    <w:p>
      <w:pPr>
        <w:spacing w:after="0" w:line="6" w:lineRule="exact"/>
        <w:rPr>
          <w:sz w:val="20"/>
          <w:szCs w:val="20"/>
          <w:color w:val="auto"/>
        </w:rPr>
      </w:pPr>
    </w:p>
    <w:p>
      <w:pPr>
        <w:ind w:left="1040" w:right="120" w:hanging="565"/>
        <w:spacing w:after="0" w:line="383" w:lineRule="auto"/>
        <w:tabs>
          <w:tab w:leader="none" w:pos="1020" w:val="left"/>
        </w:tabs>
        <w:rPr>
          <w:sz w:val="20"/>
          <w:szCs w:val="20"/>
          <w:color w:val="auto"/>
        </w:rPr>
      </w:pPr>
      <w:r>
        <w:rPr>
          <w:rFonts w:ascii="Arial" w:cs="Arial" w:eastAsia="Arial" w:hAnsi="Arial"/>
          <w:sz w:val="16"/>
          <w:szCs w:val="16"/>
          <w:color w:val="auto"/>
        </w:rPr>
        <w:t>1.29.5</w:t>
      </w:r>
      <w:r>
        <w:rPr>
          <w:sz w:val="20"/>
          <w:szCs w:val="20"/>
          <w:color w:val="auto"/>
        </w:rPr>
        <w:tab/>
      </w:r>
      <w:r>
        <w:rPr>
          <w:rFonts w:ascii="Arial" w:cs="Arial" w:eastAsia="Arial" w:hAnsi="Arial"/>
          <w:sz w:val="13"/>
          <w:szCs w:val="13"/>
          <w:color w:val="auto"/>
        </w:rPr>
        <w:t>rebates and chargebacks or retroactive price reductions made to federal, state or local governments (or their agencies), or any Third Party payor, administrator or contractor, including managed health organizations, customers, wholesalers, distributors or resellers; and</w:t>
      </w:r>
    </w:p>
    <w:p>
      <w:pPr>
        <w:spacing w:after="0" w:line="6" w:lineRule="exact"/>
        <w:rPr>
          <w:sz w:val="20"/>
          <w:szCs w:val="20"/>
          <w:color w:val="auto"/>
        </w:rPr>
      </w:pPr>
    </w:p>
    <w:p>
      <w:pPr>
        <w:ind w:left="1040" w:right="340" w:hanging="565"/>
        <w:spacing w:after="0" w:line="266" w:lineRule="auto"/>
        <w:tabs>
          <w:tab w:leader="none" w:pos="1020" w:val="left"/>
        </w:tabs>
        <w:rPr>
          <w:sz w:val="20"/>
          <w:szCs w:val="20"/>
          <w:color w:val="auto"/>
        </w:rPr>
      </w:pPr>
      <w:r>
        <w:rPr>
          <w:rFonts w:ascii="Arial" w:cs="Arial" w:eastAsia="Arial" w:hAnsi="Arial"/>
          <w:sz w:val="16"/>
          <w:szCs w:val="16"/>
          <w:color w:val="auto"/>
        </w:rPr>
        <w:t>1.29.6</w:t>
        <w:tab/>
        <w:t>amounts reserved and credited for uncollectible accounts with respect to invoiced amounts determined in a manner consistent with Accounting Standards of such Selling Party [***].</w:t>
      </w:r>
    </w:p>
    <w:p>
      <w:pPr>
        <w:spacing w:after="0" w:line="64" w:lineRule="exact"/>
        <w:rPr>
          <w:sz w:val="20"/>
          <w:szCs w:val="20"/>
          <w:color w:val="auto"/>
        </w:rPr>
      </w:pPr>
    </w:p>
    <w:p>
      <w:pPr>
        <w:ind w:left="480" w:right="120"/>
        <w:spacing w:after="0" w:line="256" w:lineRule="auto"/>
        <w:rPr>
          <w:sz w:val="20"/>
          <w:szCs w:val="20"/>
          <w:color w:val="auto"/>
        </w:rPr>
      </w:pPr>
      <w:r>
        <w:rPr>
          <w:rFonts w:ascii="Arial" w:cs="Arial" w:eastAsia="Arial" w:hAnsi="Arial"/>
          <w:sz w:val="16"/>
          <w:szCs w:val="16"/>
          <w:color w:val="auto"/>
        </w:rPr>
        <w:t>In the event that a Product is sold as a Combination Product, the gross amount invoiced for such Product shall be calculated by multiplying the gross amount invoiced for such Combination Product by the fraction A/(A+B), where “A” is the gross amount invoiced for such Product sold separately and “B” is the gross amount invoiced for such other component(s) sold separately.</w:t>
      </w:r>
    </w:p>
    <w:p>
      <w:pPr>
        <w:spacing w:after="0" w:line="71" w:lineRule="exact"/>
        <w:rPr>
          <w:sz w:val="20"/>
          <w:szCs w:val="20"/>
          <w:color w:val="auto"/>
        </w:rPr>
      </w:pPr>
    </w:p>
    <w:p>
      <w:pPr>
        <w:ind w:left="480" w:right="100"/>
        <w:spacing w:after="0" w:line="256" w:lineRule="auto"/>
        <w:rPr>
          <w:sz w:val="20"/>
          <w:szCs w:val="20"/>
          <w:color w:val="auto"/>
        </w:rPr>
      </w:pPr>
      <w:r>
        <w:rPr>
          <w:rFonts w:ascii="Arial" w:cs="Arial" w:eastAsia="Arial" w:hAnsi="Arial"/>
          <w:sz w:val="16"/>
          <w:szCs w:val="16"/>
          <w:color w:val="auto"/>
        </w:rPr>
        <w:t>In the event that such other component(s) are not sold separately (but such Product is), the gross amount invoiced for such Product shall be calculated by multiplying the gross amount invoiced for such Combination Product by the fraction A/C, where “A” is the gross invoice amount for such Product, and “C” is the gross invoice amount for the Combination Product.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580"/>
          </w:cols>
          <w:pgMar w:left="1140" w:top="252" w:right="1179" w:bottom="1440" w:gutter="0" w:footer="0" w:header="0"/>
        </w:sectPr>
      </w:pPr>
    </w:p>
    <w:bookmarkStart w:id="525" w:name="page526"/>
    <w:bookmarkEnd w:id="525"/>
    <w:p>
      <w:pPr>
        <w:jc w:val="both"/>
        <w:ind w:left="480" w:right="320"/>
        <w:spacing w:after="0" w:line="32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 the case of a Combination Product where such Product is not sold separately, the Parties shall negotiate in good faith an allocation of Net Sales of such Combination Product to the respective Product component and other components thereof, as the case may be, based on the fair market value of such components and the Product for the purposes of determining a product-specific allocation of such Net Sales. Payments related to such Combination Product under this Agreement, including royalties and Milestone Payments, will be calculated, due and payable based only on the portion of such Net Sales so allocated to the Product component of such Combination Product.</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p>
    <w:p>
      <w:pPr>
        <w:spacing w:after="0" w:line="107" w:lineRule="exact"/>
        <w:rPr>
          <w:sz w:val="20"/>
          <w:szCs w:val="20"/>
          <w:color w:val="auto"/>
        </w:rPr>
      </w:pPr>
    </w:p>
    <w:p>
      <w:pPr>
        <w:ind w:left="460" w:right="300" w:hanging="471"/>
        <w:spacing w:after="0" w:line="277" w:lineRule="auto"/>
        <w:tabs>
          <w:tab w:leader="none" w:pos="440" w:val="left"/>
        </w:tabs>
        <w:rPr>
          <w:sz w:val="20"/>
          <w:szCs w:val="20"/>
          <w:color w:val="auto"/>
        </w:rPr>
      </w:pPr>
      <w:r>
        <w:rPr>
          <w:rFonts w:ascii="Arial" w:cs="Arial" w:eastAsia="Arial" w:hAnsi="Arial"/>
          <w:sz w:val="16"/>
          <w:szCs w:val="16"/>
          <w:color w:val="auto"/>
        </w:rPr>
        <w:t>1.30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Non-Royalty Sublicense Income</w:t>
      </w:r>
      <w:r>
        <w:rPr>
          <w:rFonts w:ascii="Arial" w:cs="Arial" w:eastAsia="Arial" w:hAnsi="Arial"/>
          <w:sz w:val="15"/>
          <w:szCs w:val="15"/>
          <w:color w:val="auto"/>
        </w:rPr>
        <w:t>” means non-refundable cash payments received by Licensee from a non-Affiliate Sublicensee in consideration of the grant of a Sublicense or option or other right to obtain a Sublicense under the Licensor Patent Rights (including, without limitation, license fees, fees to maintain such sublicense rights, and milestone payments), as well as any securities received from the non-Affiliate Sublicensee in lieu of such cash payments [***]. Notwithstanding the foregoing [***].</w:t>
      </w:r>
    </w:p>
    <w:p>
      <w:pPr>
        <w:spacing w:after="0" w:line="64" w:lineRule="exact"/>
        <w:rPr>
          <w:sz w:val="20"/>
          <w:szCs w:val="20"/>
          <w:color w:val="auto"/>
        </w:rPr>
      </w:pPr>
    </w:p>
    <w:p>
      <w:pPr>
        <w:ind w:left="460" w:right="60" w:hanging="471"/>
        <w:spacing w:after="0" w:line="254" w:lineRule="auto"/>
        <w:tabs>
          <w:tab w:leader="none" w:pos="440" w:val="left"/>
        </w:tabs>
        <w:rPr>
          <w:sz w:val="20"/>
          <w:szCs w:val="20"/>
          <w:color w:val="auto"/>
        </w:rPr>
      </w:pPr>
      <w:r>
        <w:rPr>
          <w:rFonts w:ascii="Arial" w:cs="Arial" w:eastAsia="Arial" w:hAnsi="Arial"/>
          <w:sz w:val="16"/>
          <w:szCs w:val="16"/>
          <w:color w:val="auto"/>
        </w:rPr>
        <w:t>1.31</w:t>
        <w:tab/>
        <w:t>“</w:t>
      </w:r>
      <w:r>
        <w:rPr>
          <w:rFonts w:ascii="Arial" w:cs="Arial" w:eastAsia="Arial" w:hAnsi="Arial"/>
          <w:sz w:val="16"/>
          <w:szCs w:val="16"/>
          <w:b w:val="1"/>
          <w:bCs w:val="1"/>
          <w:color w:val="auto"/>
        </w:rPr>
        <w:t>Patent Rights</w:t>
      </w:r>
      <w:r>
        <w:rPr>
          <w:rFonts w:ascii="Arial" w:cs="Arial" w:eastAsia="Arial" w:hAnsi="Arial"/>
          <w:sz w:val="16"/>
          <w:szCs w:val="16"/>
          <w:color w:val="auto"/>
        </w:rPr>
        <w:t>” means any of the following, whether existing now or in the future anywhere in the world: issued patent, including inventor’s certificates, supplementary protection certificates, substitutions, extensions, confirmations, reissues, re-examination, renewal or any like governmental grant for protection of inventions, and any pending application, including all provisional applications, continuations, divisions and all patents granted thereon, for any of the foregoing.</w:t>
      </w:r>
    </w:p>
    <w:p>
      <w:pPr>
        <w:spacing w:after="0" w:line="82" w:lineRule="exact"/>
        <w:rPr>
          <w:sz w:val="20"/>
          <w:szCs w:val="20"/>
          <w:color w:val="auto"/>
        </w:rPr>
      </w:pPr>
    </w:p>
    <w:p>
      <w:pPr>
        <w:ind w:left="460" w:right="360" w:hanging="471"/>
        <w:spacing w:after="0" w:line="272" w:lineRule="auto"/>
        <w:tabs>
          <w:tab w:leader="none" w:pos="440" w:val="left"/>
        </w:tabs>
        <w:rPr>
          <w:sz w:val="20"/>
          <w:szCs w:val="20"/>
          <w:color w:val="auto"/>
        </w:rPr>
      </w:pPr>
      <w:r>
        <w:rPr>
          <w:rFonts w:ascii="Arial" w:cs="Arial" w:eastAsia="Arial" w:hAnsi="Arial"/>
          <w:sz w:val="16"/>
          <w:szCs w:val="16"/>
          <w:color w:val="auto"/>
        </w:rPr>
        <w:t>1.32</w:t>
        <w:tab/>
        <w:t>“</w:t>
      </w:r>
      <w:r>
        <w:rPr>
          <w:rFonts w:ascii="Arial" w:cs="Arial" w:eastAsia="Arial" w:hAnsi="Arial"/>
          <w:sz w:val="16"/>
          <w:szCs w:val="16"/>
          <w:b w:val="1"/>
          <w:bCs w:val="1"/>
          <w:color w:val="auto"/>
        </w:rPr>
        <w:t>Person</w:t>
      </w:r>
      <w:r>
        <w:rPr>
          <w:rFonts w:ascii="Arial" w:cs="Arial" w:eastAsia="Arial" w:hAnsi="Arial"/>
          <w:sz w:val="16"/>
          <w:szCs w:val="16"/>
          <w:color w:val="auto"/>
        </w:rPr>
        <w:t>” means any natural person, corporation, firm, business trust, joint venture, association, organization, company, partnership or other business entity, or any government or agency or political subdivision thereof.</w:t>
      </w:r>
    </w:p>
    <w:p>
      <w:pPr>
        <w:spacing w:after="0" w:line="66" w:lineRule="exact"/>
        <w:rPr>
          <w:sz w:val="20"/>
          <w:szCs w:val="20"/>
          <w:color w:val="auto"/>
        </w:rPr>
      </w:pPr>
    </w:p>
    <w:p>
      <w:pPr>
        <w:ind w:left="460" w:right="80" w:hanging="471"/>
        <w:spacing w:after="0" w:line="277" w:lineRule="auto"/>
        <w:tabs>
          <w:tab w:leader="none" w:pos="44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Phase I Clinical Trial</w:t>
      </w:r>
      <w:r>
        <w:rPr>
          <w:rFonts w:ascii="Arial" w:cs="Arial" w:eastAsia="Arial" w:hAnsi="Arial"/>
          <w:sz w:val="15"/>
          <w:szCs w:val="15"/>
          <w:color w:val="auto"/>
        </w:rPr>
        <w:t>” means a clinical study of a drug candidate in human patients with the primary objective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 The drug candidate can be administered to patients as a single agent or in combination with other investigational or marketed agents.</w:t>
      </w:r>
    </w:p>
    <w:p>
      <w:pPr>
        <w:spacing w:after="0" w:line="64" w:lineRule="exact"/>
        <w:rPr>
          <w:sz w:val="20"/>
          <w:szCs w:val="20"/>
          <w:color w:val="auto"/>
        </w:rPr>
      </w:pPr>
    </w:p>
    <w:p>
      <w:pPr>
        <w:ind w:left="460" w:right="60" w:hanging="471"/>
        <w:spacing w:after="0" w:line="315" w:lineRule="auto"/>
        <w:tabs>
          <w:tab w:leader="none" w:pos="44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Phase III Clinical Trial</w:t>
      </w:r>
      <w:r>
        <w:rPr>
          <w:rFonts w:ascii="Arial" w:cs="Arial" w:eastAsia="Arial" w:hAnsi="Arial"/>
          <w:sz w:val="13"/>
          <w:szCs w:val="13"/>
          <w:color w:val="auto"/>
        </w:rPr>
        <w:t>” means a clinical study of a drug candidate in human patients that incorporates accepted endpoints for confirmation of statistical significance of efficacy and safety with the aim to (a) establish that the drug candidate is safe and efficacious for its intended use,</w:t>
      </w:r>
    </w:p>
    <w:p>
      <w:pPr>
        <w:jc w:val="both"/>
        <w:ind w:left="460" w:right="20" w:firstLine="5"/>
        <w:spacing w:after="0" w:line="248" w:lineRule="auto"/>
        <w:tabs>
          <w:tab w:leader="none" w:pos="68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define adverse reactions associated with the drug candidate and (c) be the basis for applying for and obtaining Regulatory Approval in any country as described in 21 C.F.R. 312.21(c), or a comparable clinical study prescribed by the relevant Regulatory Authority in a country other than the United States. The relevant drug candidate may be administered to patients as a single agent or in combination with other investigational or marketed agents.</w:t>
      </w:r>
    </w:p>
    <w:p>
      <w:pPr>
        <w:spacing w:after="0" w:line="8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PHS Act</w:t>
      </w:r>
      <w:r>
        <w:rPr>
          <w:rFonts w:ascii="Arial" w:cs="Arial" w:eastAsia="Arial" w:hAnsi="Arial"/>
          <w:sz w:val="13"/>
          <w:szCs w:val="13"/>
          <w:color w:val="auto"/>
        </w:rPr>
        <w:t>” means the United States Public Health Service Act, as amended.</w:t>
      </w:r>
    </w:p>
    <w:p>
      <w:pPr>
        <w:spacing w:after="0" w:line="111" w:lineRule="exact"/>
        <w:rPr>
          <w:sz w:val="20"/>
          <w:szCs w:val="20"/>
          <w:color w:val="auto"/>
        </w:rPr>
      </w:pPr>
    </w:p>
    <w:p>
      <w:pPr>
        <w:ind w:left="460" w:hanging="471"/>
        <w:spacing w:after="0" w:line="259" w:lineRule="auto"/>
        <w:tabs>
          <w:tab w:leader="none" w:pos="440" w:val="left"/>
        </w:tabs>
        <w:rPr>
          <w:sz w:val="20"/>
          <w:szCs w:val="20"/>
          <w:color w:val="auto"/>
        </w:rPr>
      </w:pPr>
      <w:r>
        <w:rPr>
          <w:rFonts w:ascii="Arial" w:cs="Arial" w:eastAsia="Arial" w:hAnsi="Arial"/>
          <w:sz w:val="16"/>
          <w:szCs w:val="16"/>
          <w:color w:val="auto"/>
        </w:rPr>
        <w:t>1.36</w:t>
        <w:tab/>
        <w:t>“</w:t>
      </w:r>
      <w:r>
        <w:rPr>
          <w:rFonts w:ascii="Arial" w:cs="Arial" w:eastAsia="Arial" w:hAnsi="Arial"/>
          <w:sz w:val="16"/>
          <w:szCs w:val="16"/>
          <w:b w:val="1"/>
          <w:bCs w:val="1"/>
          <w:color w:val="auto"/>
        </w:rPr>
        <w:t>Product</w:t>
      </w:r>
      <w:r>
        <w:rPr>
          <w:rFonts w:ascii="Arial" w:cs="Arial" w:eastAsia="Arial" w:hAnsi="Arial"/>
          <w:sz w:val="16"/>
          <w:szCs w:val="16"/>
          <w:color w:val="auto"/>
        </w:rPr>
        <w:t>” means any article, composition, apparatus, substance, chemical or any other material whose manufacture, import, use, offer for sale or sale would, absent a license under the Licensor Patent Rights, constitute an infringement, inducement of infringement or contributory infringement of any Valid Claim of the Licensor Patent Rights.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20"/>
          </w:cols>
          <w:pgMar w:left="1140" w:top="256" w:right="1139" w:bottom="1440" w:gutter="0" w:footer="0" w:header="0"/>
        </w:sectPr>
      </w:pPr>
    </w:p>
    <w:bookmarkStart w:id="526" w:name="page527"/>
    <w:bookmarkEnd w:id="526"/>
    <w:p>
      <w:pPr>
        <w:ind w:left="460" w:hanging="471"/>
        <w:spacing w:after="0" w:line="254" w:lineRule="auto"/>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1.37</w:t>
        <w:tab/>
        <w:t>“</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with respect to a product in any regulatory jurisdiction, approval from the applicable Regulatory Authority sufficient for the manufacture, distribution, use, marketing and sale of such pharmaceutical product in such jurisdiction in accordance with Laws. “Regulatory Approval” does not include authorization by a Regulatory Authority to conduct named patient, compassionate use or other similar activities.</w:t>
      </w:r>
    </w:p>
    <w:p>
      <w:pPr>
        <w:spacing w:after="0" w:line="82" w:lineRule="exact"/>
        <w:rPr>
          <w:sz w:val="20"/>
          <w:szCs w:val="20"/>
          <w:color w:val="auto"/>
        </w:rPr>
      </w:pPr>
    </w:p>
    <w:p>
      <w:pPr>
        <w:ind w:left="460" w:right="240" w:hanging="471"/>
        <w:spacing w:after="0" w:line="259" w:lineRule="auto"/>
        <w:tabs>
          <w:tab w:leader="none" w:pos="440" w:val="left"/>
        </w:tabs>
        <w:rPr>
          <w:sz w:val="20"/>
          <w:szCs w:val="20"/>
          <w:color w:val="auto"/>
        </w:rPr>
      </w:pPr>
      <w:r>
        <w:rPr>
          <w:rFonts w:ascii="Arial" w:cs="Arial" w:eastAsia="Arial" w:hAnsi="Arial"/>
          <w:sz w:val="16"/>
          <w:szCs w:val="16"/>
          <w:color w:val="auto"/>
        </w:rPr>
        <w:t>1.38</w:t>
        <w:tab/>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any Governmental Body, including, but not limited to the FDA, or any successor agency thereto, that has responsibility for granting any licenses or approvals or granting pricing or reimbursement approvals necessary for the marketing and sale of a pharmaceutical product in any country.</w:t>
      </w:r>
    </w:p>
    <w:p>
      <w:pPr>
        <w:spacing w:after="0" w:line="76" w:lineRule="exact"/>
        <w:rPr>
          <w:sz w:val="20"/>
          <w:szCs w:val="20"/>
          <w:color w:val="auto"/>
        </w:rPr>
      </w:pPr>
    </w:p>
    <w:p>
      <w:pPr>
        <w:ind w:left="460" w:right="220" w:hanging="471"/>
        <w:spacing w:after="0" w:line="254" w:lineRule="auto"/>
        <w:tabs>
          <w:tab w:leader="none" w:pos="440" w:val="left"/>
        </w:tabs>
        <w:rPr>
          <w:sz w:val="20"/>
          <w:szCs w:val="20"/>
          <w:color w:val="auto"/>
        </w:rPr>
      </w:pPr>
      <w:r>
        <w:rPr>
          <w:rFonts w:ascii="Arial" w:cs="Arial" w:eastAsia="Arial" w:hAnsi="Arial"/>
          <w:sz w:val="16"/>
          <w:szCs w:val="16"/>
          <w:color w:val="auto"/>
        </w:rPr>
        <w:t>1.39</w:t>
        <w:tab/>
        <w:t>“</w:t>
      </w:r>
      <w:r>
        <w:rPr>
          <w:rFonts w:ascii="Arial" w:cs="Arial" w:eastAsia="Arial" w:hAnsi="Arial"/>
          <w:sz w:val="16"/>
          <w:szCs w:val="16"/>
          <w:b w:val="1"/>
          <w:bCs w:val="1"/>
          <w:color w:val="auto"/>
        </w:rPr>
        <w:t>Sale</w:t>
      </w:r>
      <w:r>
        <w:rPr>
          <w:rFonts w:ascii="Arial" w:cs="Arial" w:eastAsia="Arial" w:hAnsi="Arial"/>
          <w:sz w:val="16"/>
          <w:szCs w:val="16"/>
          <w:color w:val="auto"/>
        </w:rPr>
        <w:t>” means any transaction for which consideration is received or expected by Licensee, its Affiliates or Sublicensees for sale, use, lease, transfer or other disposition of a Product to or for the benefit of a Third Party. Sales or other dispositions for [***] shall not be deemed to be a Sale or be included in the calculation of Net Sales hereunder [***]. For clarity, sale, use, lease, transfer or other disposition of a Product [***] shall not be deemed a Sale.</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1.40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Sublicensee</w:t>
      </w:r>
      <w:r>
        <w:rPr>
          <w:rFonts w:ascii="Arial" w:cs="Arial" w:eastAsia="Arial" w:hAnsi="Arial"/>
          <w:sz w:val="13"/>
          <w:szCs w:val="13"/>
          <w:color w:val="auto"/>
        </w:rPr>
        <w:t>” means a Person (including any Affiliate) to which a Sublicense is granted pursuant to the terms of Section 2.4.</w:t>
      </w:r>
    </w:p>
    <w:p>
      <w:pPr>
        <w:spacing w:after="0" w:line="111" w:lineRule="exact"/>
        <w:rPr>
          <w:sz w:val="20"/>
          <w:szCs w:val="20"/>
          <w:color w:val="auto"/>
        </w:rPr>
      </w:pPr>
    </w:p>
    <w:p>
      <w:pPr>
        <w:ind w:left="460" w:right="120" w:hanging="471"/>
        <w:spacing w:after="0" w:line="332" w:lineRule="auto"/>
        <w:tabs>
          <w:tab w:leader="none" w:pos="44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Sublicense Documents</w:t>
      </w:r>
      <w:r>
        <w:rPr>
          <w:rFonts w:ascii="Arial" w:cs="Arial" w:eastAsia="Arial" w:hAnsi="Arial"/>
          <w:sz w:val="13"/>
          <w:szCs w:val="13"/>
          <w:color w:val="auto"/>
        </w:rPr>
        <w:t>” means any and all agreements, amendments or written understandings entered into by Licensee with a non-Affiliate Sublicensee for the grant of a Sublicense. For clarity, a development agreement (other than for the development on behalf of Licensee such as a clinical research organization) or distribution agreement (other than where the distributor is not primarily responsible for the marketing of a Product) for a Product, in each case, pursuant to which a Sublicense is granted pursuant to the terms of Section 2.4, is a Sublicense Document.</w:t>
      </w:r>
    </w:p>
    <w:p>
      <w:pPr>
        <w:spacing w:after="0" w:line="33" w:lineRule="exact"/>
        <w:rPr>
          <w:sz w:val="20"/>
          <w:szCs w:val="20"/>
          <w:color w:val="auto"/>
        </w:rPr>
      </w:pPr>
    </w:p>
    <w:p>
      <w:pPr>
        <w:ind w:left="460" w:hanging="471"/>
        <w:spacing w:after="0" w:line="259" w:lineRule="auto"/>
        <w:tabs>
          <w:tab w:leader="none" w:pos="440" w:val="left"/>
        </w:tabs>
        <w:rPr>
          <w:sz w:val="20"/>
          <w:szCs w:val="20"/>
          <w:color w:val="auto"/>
        </w:rPr>
      </w:pPr>
      <w:r>
        <w:rPr>
          <w:rFonts w:ascii="Arial" w:cs="Arial" w:eastAsia="Arial" w:hAnsi="Arial"/>
          <w:sz w:val="16"/>
          <w:szCs w:val="16"/>
          <w:color w:val="auto"/>
        </w:rPr>
        <w:t>1.42</w:t>
        <w:tab/>
        <w:t>“</w:t>
      </w:r>
      <w:r>
        <w:rPr>
          <w:rFonts w:ascii="Arial" w:cs="Arial" w:eastAsia="Arial" w:hAnsi="Arial"/>
          <w:sz w:val="16"/>
          <w:szCs w:val="16"/>
          <w:b w:val="1"/>
          <w:bCs w:val="1"/>
          <w:color w:val="auto"/>
        </w:rPr>
        <w:t>Tax</w:t>
      </w:r>
      <w:r>
        <w:rPr>
          <w:rFonts w:ascii="Arial" w:cs="Arial" w:eastAsia="Arial" w:hAnsi="Arial"/>
          <w:sz w:val="16"/>
          <w:szCs w:val="16"/>
          <w:color w:val="auto"/>
        </w:rPr>
        <w:t>” means all taxes, duties, fees, premiums, assessments, imposts, levies, rates, withholdings, dues, government contributions and other charges of any kind whatsoever, whether direct or indirect, together with all interest, penalties, fines, additions to tax or other additional amounts, imposed by any Governmental Body on any payments made by or on behalf of Licensee hereunder.</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w:t>
      </w:r>
      <w:r>
        <w:rPr>
          <w:rFonts w:ascii="Arial" w:cs="Arial" w:eastAsia="Arial" w:hAnsi="Arial"/>
          <w:sz w:val="13"/>
          <w:szCs w:val="13"/>
          <w:color w:val="auto"/>
        </w:rPr>
        <w:t>” means any Person other than Licensor, Licensee or any of their respective Affiliates.</w:t>
      </w:r>
    </w:p>
    <w:p>
      <w:pPr>
        <w:spacing w:after="0" w:line="11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means the United States of America, its territories and possessions.</w:t>
      </w:r>
    </w:p>
    <w:p>
      <w:pPr>
        <w:spacing w:after="0" w:line="111" w:lineRule="exact"/>
        <w:rPr>
          <w:sz w:val="20"/>
          <w:szCs w:val="20"/>
          <w:color w:val="auto"/>
        </w:rPr>
      </w:pPr>
    </w:p>
    <w:p>
      <w:pPr>
        <w:ind w:left="460" w:right="120" w:hanging="471"/>
        <w:spacing w:after="0" w:line="272" w:lineRule="auto"/>
        <w:tabs>
          <w:tab w:leader="none" w:pos="440" w:val="left"/>
        </w:tabs>
        <w:rPr>
          <w:sz w:val="20"/>
          <w:szCs w:val="20"/>
          <w:color w:val="auto"/>
        </w:rPr>
      </w:pPr>
      <w:r>
        <w:rPr>
          <w:rFonts w:ascii="Arial" w:cs="Arial" w:eastAsia="Arial" w:hAnsi="Arial"/>
          <w:sz w:val="16"/>
          <w:szCs w:val="16"/>
          <w:color w:val="auto"/>
        </w:rPr>
        <w:t>1.45</w:t>
        <w:tab/>
        <w:t>“</w:t>
      </w:r>
      <w:r>
        <w:rPr>
          <w:rFonts w:ascii="Arial" w:cs="Arial" w:eastAsia="Arial" w:hAnsi="Arial"/>
          <w:sz w:val="16"/>
          <w:szCs w:val="16"/>
          <w:b w:val="1"/>
          <w:bCs w:val="1"/>
          <w:color w:val="auto"/>
        </w:rPr>
        <w:t>Upfront Amount</w:t>
      </w:r>
      <w:r>
        <w:rPr>
          <w:rFonts w:ascii="Arial" w:cs="Arial" w:eastAsia="Arial" w:hAnsi="Arial"/>
          <w:sz w:val="16"/>
          <w:szCs w:val="16"/>
          <w:color w:val="auto"/>
        </w:rPr>
        <w:t>” means amounts paid upon execution of a Sublicense, or within a defined time period thereafter, and which in each case are not contingent on milestones or other events occurring after the effective date of the Sublicense.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1.46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USD</w:t>
      </w:r>
      <w:r>
        <w:rPr>
          <w:rFonts w:ascii="Arial" w:cs="Arial" w:eastAsia="Arial" w:hAnsi="Arial"/>
          <w:sz w:val="13"/>
          <w:szCs w:val="13"/>
          <w:color w:val="auto"/>
        </w:rPr>
        <w:t>” or “</w:t>
      </w:r>
      <w:r>
        <w:rPr>
          <w:rFonts w:ascii="Arial" w:cs="Arial" w:eastAsia="Arial" w:hAnsi="Arial"/>
          <w:sz w:val="13"/>
          <w:szCs w:val="13"/>
          <w:b w:val="1"/>
          <w:bCs w:val="1"/>
          <w:color w:val="auto"/>
        </w:rPr>
        <w:t>$</w:t>
      </w:r>
      <w:r>
        <w:rPr>
          <w:rFonts w:ascii="Arial" w:cs="Arial" w:eastAsia="Arial" w:hAnsi="Arial"/>
          <w:sz w:val="13"/>
          <w:szCs w:val="13"/>
          <w:color w:val="auto"/>
        </w:rPr>
        <w:t>” means the lawful currency of the United States of America.</w:t>
      </w:r>
    </w:p>
    <w:p>
      <w:pPr>
        <w:spacing w:after="0" w:line="111" w:lineRule="exact"/>
        <w:rPr>
          <w:sz w:val="20"/>
          <w:szCs w:val="20"/>
          <w:color w:val="auto"/>
        </w:rPr>
      </w:pPr>
    </w:p>
    <w:p>
      <w:pPr>
        <w:ind w:left="460" w:right="40" w:hanging="471"/>
        <w:spacing w:after="0" w:line="252" w:lineRule="auto"/>
        <w:tabs>
          <w:tab w:leader="none" w:pos="440" w:val="left"/>
        </w:tabs>
        <w:rPr>
          <w:sz w:val="20"/>
          <w:szCs w:val="20"/>
          <w:color w:val="auto"/>
        </w:rPr>
      </w:pPr>
      <w:r>
        <w:rPr>
          <w:rFonts w:ascii="Arial" w:cs="Arial" w:eastAsia="Arial" w:hAnsi="Arial"/>
          <w:sz w:val="16"/>
          <w:szCs w:val="16"/>
          <w:color w:val="auto"/>
        </w:rPr>
        <w:t>1.47</w:t>
        <w:tab/>
        <w:t>“</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 an issued and unexpired patent in Licensor Patent Rights which claim has not been revoked or held unenforceable or invalid by a decision of a court or governmental agency of competent jurisdiction from which no further appeal can be taken or has been taken within the time allowed for appeal, and has not been abandoned, disclaimed, denied or admitted to be invalid or unenforceable through reissue or disclaimer and that is not admitted to be invalid or unenforceable through reissue, disclaimer or otherwise; or (b) a pending patent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00"/>
          </w:cols>
          <w:pgMar w:left="1140" w:top="252" w:right="1159" w:bottom="1440" w:gutter="0" w:footer="0" w:header="0"/>
        </w:sectPr>
      </w:pPr>
    </w:p>
    <w:bookmarkStart w:id="527" w:name="page528"/>
    <w:bookmarkEnd w:id="527"/>
    <w:p>
      <w:pPr>
        <w:ind w:left="460"/>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application that is included in Licensor Patent Rights which was filed and is being prosecuted in good faith, and has not been abandoned, finally disallowed or expired without the possibility of appeal or re-filing of the application; provided however that not more than [***] have elapsed from the earliest priority filing date for such application. If a claim of a patent application that ceased to be a Valid Claim under clause (b) of this subsection later issues or grants as a patent within the scope of clause (a) of this subsection, then such claim shall again be considered to be a Valid Claim, effective as of the earlier of the grant or issuance of such patent.</w:t>
      </w:r>
    </w:p>
    <w:p>
      <w:pPr>
        <w:spacing w:after="0" w:line="68"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3"/>
          <w:szCs w:val="13"/>
          <w:b w:val="1"/>
          <w:bCs w:val="1"/>
          <w:color w:val="auto"/>
        </w:rPr>
        <w:t>Other Terms</w:t>
      </w:r>
      <w:r>
        <w:rPr>
          <w:rFonts w:ascii="Arial" w:cs="Arial" w:eastAsia="Arial" w:hAnsi="Arial"/>
          <w:sz w:val="13"/>
          <w:szCs w:val="13"/>
          <w:color w:val="auto"/>
        </w:rPr>
        <w:t>. The definition of each of the following terms is set forth in the section of the Agreement indicated below:</w:t>
      </w:r>
    </w:p>
    <w:p>
      <w:pPr>
        <w:spacing w:after="0" w:line="214"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740" w:type="dxa"/>
            <w:vAlign w:val="bottom"/>
            <w:gridSpan w:val="2"/>
          </w:tcPr>
          <w:p>
            <w:pPr>
              <w:spacing w:after="0"/>
              <w:rPr>
                <w:sz w:val="20"/>
                <w:szCs w:val="20"/>
                <w:color w:val="auto"/>
              </w:rPr>
            </w:pPr>
            <w:r>
              <w:rPr>
                <w:rFonts w:ascii="Arial" w:cs="Arial" w:eastAsia="Arial" w:hAnsi="Arial"/>
                <w:sz w:val="13"/>
                <w:szCs w:val="13"/>
                <w:b w:val="1"/>
                <w:bCs w:val="1"/>
                <w:color w:val="auto"/>
              </w:rPr>
              <w:t>Defined Term</w:t>
            </w:r>
          </w:p>
        </w:tc>
        <w:tc>
          <w:tcPr>
            <w:tcW w:w="30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5"/>
              </w:rPr>
              <w:t>Section</w:t>
            </w:r>
          </w:p>
        </w:tc>
      </w:tr>
      <w:tr>
        <w:trPr>
          <w:trHeight w:val="160"/>
        </w:trPr>
        <w:tc>
          <w:tcPr>
            <w:tcW w:w="74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w w:val="91"/>
              </w:rPr>
              <w:t>Agreement</w:t>
            </w:r>
          </w:p>
        </w:tc>
        <w:tc>
          <w:tcPr>
            <w:tcW w:w="20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7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6"/>
                <w:szCs w:val="16"/>
                <w:color w:val="auto"/>
                <w:w w:val="87"/>
              </w:rPr>
              <w:t>Preamble</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Anti-Stacking Percentage</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4.3.3(b)(i)</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Bankruptcy Action</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8.3.4</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Board</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Commercial Milestone</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6"/>
              </w:rPr>
              <w:t>4.2.2(a)</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Commercial Milestone Payment</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6"/>
              </w:rPr>
              <w:t>4.2.2(a)</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Development Milestone</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6"/>
              </w:rPr>
              <w:t>4.2.1(a)</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Development Milestone Payment</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6"/>
              </w:rPr>
              <w:t>4.2.1(a)</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DWORF Technology</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1"/>
              </w:rPr>
              <w:t>Recitals</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Effective Date</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Election Notice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5.1.1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Enforcement Action</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5.3.2</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Financial Report</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4.6</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First Step Down Date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4.4.1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Funding Reserve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1.30</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IFRS</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1.1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Infringement Notice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5.3.1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Issue Fee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4.1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License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2.1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Licensee</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Licensor</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Licensor Indemnitees</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7.1.1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M&amp;A Transaction</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1.30</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Maximum Anti-Stacking Reduction</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94"/>
              </w:rPr>
              <w:t>4.3.3(b)(iii)</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Parties</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Party</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Patent Costs</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5.2.1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Patent Counsel</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5.1.1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Patent Extensions</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5.1.2</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Progress Report</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3.3.1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Royalty</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4.3.1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Royalty Period</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4.3.2</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Second Step Down Date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4.4.1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Sublicense</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2.4.1</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System</w:t>
            </w:r>
          </w:p>
        </w:tc>
        <w:tc>
          <w:tcPr>
            <w:tcW w:w="30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189"/>
        </w:trPr>
        <w:tc>
          <w:tcPr>
            <w:tcW w:w="74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Pr>
          <w:p>
            <w:pPr>
              <w:spacing w:after="0"/>
              <w:rPr>
                <w:sz w:val="16"/>
                <w:szCs w:val="16"/>
                <w:color w:val="auto"/>
              </w:rPr>
            </w:pP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1.3</w:t>
            </w:r>
          </w:p>
        </w:tc>
      </w:tr>
      <w:tr>
        <w:trPr>
          <w:trHeight w:val="189"/>
        </w:trPr>
        <w:tc>
          <w:tcPr>
            <w:tcW w:w="2740" w:type="dxa"/>
            <w:vAlign w:val="bottom"/>
            <w:gridSpan w:val="2"/>
          </w:tcPr>
          <w:p>
            <w:pPr>
              <w:spacing w:after="0"/>
              <w:rPr>
                <w:sz w:val="20"/>
                <w:szCs w:val="20"/>
                <w:color w:val="auto"/>
              </w:rPr>
            </w:pPr>
            <w:r>
              <w:rPr>
                <w:rFonts w:ascii="Arial" w:cs="Arial" w:eastAsia="Arial" w:hAnsi="Arial"/>
                <w:sz w:val="16"/>
                <w:szCs w:val="16"/>
                <w:color w:val="auto"/>
              </w:rPr>
              <w:t>Term</w:t>
            </w:r>
          </w:p>
        </w:tc>
        <w:tc>
          <w:tcPr>
            <w:tcW w:w="3800" w:type="dxa"/>
            <w:vAlign w:val="bottom"/>
            <w:gridSpan w:val="2"/>
          </w:tcPr>
          <w:p>
            <w:pPr>
              <w:jc w:val="center"/>
              <w:ind w:left="2961"/>
              <w:spacing w:after="0"/>
              <w:rPr>
                <w:sz w:val="20"/>
                <w:szCs w:val="20"/>
                <w:color w:val="auto"/>
              </w:rPr>
            </w:pPr>
            <w:r>
              <w:rPr>
                <w:rFonts w:ascii="Arial" w:cs="Arial" w:eastAsia="Arial" w:hAnsi="Arial"/>
                <w:sz w:val="16"/>
                <w:szCs w:val="16"/>
                <w:color w:val="auto"/>
                <w:w w:val="89"/>
              </w:rPr>
              <w:t>8.1</w:t>
            </w:r>
          </w:p>
        </w:tc>
      </w:tr>
      <w:tr>
        <w:trPr>
          <w:trHeight w:val="200"/>
        </w:trPr>
        <w:tc>
          <w:tcPr>
            <w:tcW w:w="2740" w:type="dxa"/>
            <w:vAlign w:val="bottom"/>
            <w:gridSpan w:val="2"/>
          </w:tcPr>
          <w:p>
            <w:pPr>
              <w:spacing w:after="0"/>
              <w:rPr>
                <w:sz w:val="20"/>
                <w:szCs w:val="20"/>
                <w:color w:val="auto"/>
              </w:rPr>
            </w:pPr>
            <w:r>
              <w:rPr>
                <w:rFonts w:ascii="Arial" w:cs="Arial" w:eastAsia="Arial" w:hAnsi="Arial"/>
                <w:sz w:val="16"/>
                <w:szCs w:val="16"/>
                <w:color w:val="auto"/>
              </w:rPr>
              <w:t>UT Southwestern</w:t>
            </w:r>
          </w:p>
        </w:tc>
        <w:tc>
          <w:tcPr>
            <w:tcW w:w="30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7"/>
              </w:rPr>
              <w:t>Preamble</w:t>
            </w:r>
          </w:p>
        </w:tc>
      </w:tr>
      <w:tr>
        <w:trPr>
          <w:trHeight w:val="318"/>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60" w:type="dxa"/>
            <w:vAlign w:val="bottom"/>
          </w:tcPr>
          <w:p>
            <w:pPr>
              <w:jc w:val="right"/>
              <w:ind w:right="2421"/>
              <w:spacing w:after="0"/>
              <w:rPr>
                <w:sz w:val="20"/>
                <w:szCs w:val="20"/>
                <w:color w:val="auto"/>
              </w:rPr>
            </w:pPr>
            <w:r>
              <w:rPr>
                <w:rFonts w:ascii="Arial" w:cs="Arial" w:eastAsia="Arial" w:hAnsi="Arial"/>
                <w:sz w:val="16"/>
                <w:szCs w:val="16"/>
                <w:color w:val="auto"/>
              </w:rPr>
              <w:t>7</w:t>
            </w:r>
          </w:p>
        </w:tc>
        <w:tc>
          <w:tcPr>
            <w:tcW w:w="740" w:type="dxa"/>
            <w:vAlign w:val="bottom"/>
          </w:tcPr>
          <w:p>
            <w:pPr>
              <w:spacing w:after="0"/>
              <w:rPr>
                <w:sz w:val="24"/>
                <w:szCs w:val="24"/>
                <w:color w:val="auto"/>
              </w:rPr>
            </w:pPr>
          </w:p>
        </w:tc>
      </w:tr>
    </w:tbl>
    <w:p>
      <w:pPr>
        <w:sectPr>
          <w:pgSz w:w="11900" w:h="16838" w:orient="portrait"/>
          <w:cols w:equalWidth="0" w:num="1">
            <w:col w:w="9560"/>
          </w:cols>
          <w:pgMar w:left="1140" w:top="256" w:right="1199" w:bottom="1440" w:gutter="0" w:footer="0" w:header="0"/>
        </w:sectPr>
      </w:pPr>
    </w:p>
    <w:bookmarkStart w:id="528" w:name="page529"/>
    <w:bookmarkEnd w:id="52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LICENSES AND OTHER RIGHTS</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3"/>
          <w:szCs w:val="13"/>
          <w:b w:val="1"/>
          <w:bCs w:val="1"/>
          <w:color w:val="auto"/>
        </w:rPr>
        <w:t>Grant of License</w:t>
      </w:r>
      <w:r>
        <w:rPr>
          <w:rFonts w:ascii="Arial" w:cs="Arial" w:eastAsia="Arial" w:hAnsi="Arial"/>
          <w:sz w:val="13"/>
          <w:szCs w:val="13"/>
          <w:color w:val="auto"/>
        </w:rPr>
        <w:t>. Subject to the terms and conditions of this Agreement, Licensor hereby grants to Licensee:</w:t>
      </w:r>
    </w:p>
    <w:p>
      <w:pPr>
        <w:spacing w:after="0" w:line="103" w:lineRule="exact"/>
        <w:rPr>
          <w:sz w:val="20"/>
          <w:szCs w:val="20"/>
          <w:color w:val="auto"/>
        </w:rPr>
      </w:pPr>
    </w:p>
    <w:p>
      <w:pPr>
        <w:ind w:left="860" w:right="100"/>
        <w:spacing w:after="0" w:line="281" w:lineRule="auto"/>
        <w:tabs>
          <w:tab w:leader="none" w:pos="1074" w:val="left"/>
        </w:tabs>
        <w:numPr>
          <w:ilvl w:val="0"/>
          <w:numId w:val="381"/>
        </w:numPr>
        <w:rPr>
          <w:rFonts w:ascii="Arial" w:cs="Arial" w:eastAsia="Arial" w:hAnsi="Arial"/>
          <w:sz w:val="15"/>
          <w:szCs w:val="15"/>
          <w:color w:val="auto"/>
        </w:rPr>
      </w:pPr>
      <w:r>
        <w:rPr>
          <w:rFonts w:ascii="Arial" w:cs="Arial" w:eastAsia="Arial" w:hAnsi="Arial"/>
          <w:sz w:val="15"/>
          <w:szCs w:val="15"/>
          <w:color w:val="auto"/>
        </w:rPr>
        <w:t>an exclusive, worldwide, royalty-bearing right and license (with the right to grant sublicenses, through multiple tiers, as provided in, and subject to, the provisions of Section 2.4) under the Licensor Patent Rights to develop, make, have made, use, sell, offer to sell, import and commercialize Products and otherwise exploit the Licensor Patent Rights in the Field of Use; and</w:t>
      </w:r>
    </w:p>
    <w:p>
      <w:pPr>
        <w:spacing w:after="0" w:line="54" w:lineRule="exact"/>
        <w:rPr>
          <w:rFonts w:ascii="Arial" w:cs="Arial" w:eastAsia="Arial" w:hAnsi="Arial"/>
          <w:sz w:val="15"/>
          <w:szCs w:val="15"/>
          <w:color w:val="auto"/>
        </w:rPr>
      </w:pPr>
    </w:p>
    <w:p>
      <w:pPr>
        <w:ind w:left="860" w:right="20"/>
        <w:spacing w:after="0" w:line="281" w:lineRule="auto"/>
        <w:tabs>
          <w:tab w:leader="none" w:pos="1082" w:val="left"/>
        </w:tabs>
        <w:numPr>
          <w:ilvl w:val="0"/>
          <w:numId w:val="381"/>
        </w:numPr>
        <w:rPr>
          <w:rFonts w:ascii="Arial" w:cs="Arial" w:eastAsia="Arial" w:hAnsi="Arial"/>
          <w:sz w:val="15"/>
          <w:szCs w:val="15"/>
          <w:color w:val="auto"/>
        </w:rPr>
      </w:pPr>
      <w:r>
        <w:rPr>
          <w:rFonts w:ascii="Arial" w:cs="Arial" w:eastAsia="Arial" w:hAnsi="Arial"/>
          <w:sz w:val="15"/>
          <w:szCs w:val="15"/>
          <w:color w:val="auto"/>
        </w:rPr>
        <w:t>a limited, worldwide, non-exclusive, non-sublicensable (except in connection with a Sublicense for the Product) right and license to the Licensor Material for exploitation of the license under the Licensor Patent Rights in subsection (a) (the “</w:t>
      </w:r>
      <w:r>
        <w:rPr>
          <w:rFonts w:ascii="Arial" w:cs="Arial" w:eastAsia="Arial" w:hAnsi="Arial"/>
          <w:sz w:val="15"/>
          <w:szCs w:val="15"/>
          <w:b w:val="1"/>
          <w:bCs w:val="1"/>
          <w:color w:val="auto"/>
        </w:rPr>
        <w:t>License</w:t>
      </w:r>
      <w:r>
        <w:rPr>
          <w:rFonts w:ascii="Arial" w:cs="Arial" w:eastAsia="Arial" w:hAnsi="Arial"/>
          <w:sz w:val="15"/>
          <w:szCs w:val="15"/>
          <w:color w:val="auto"/>
        </w:rPr>
        <w:t>”). For clarity, nothing in this Section 2.1(b) shall limit the exclusivity of the license granted under Licensor Patent Rights in Section 2.1(a).</w:t>
      </w:r>
    </w:p>
    <w:p>
      <w:pPr>
        <w:spacing w:after="0" w:line="54" w:lineRule="exact"/>
        <w:rPr>
          <w:rFonts w:ascii="Arial" w:cs="Arial" w:eastAsia="Arial" w:hAnsi="Arial"/>
          <w:sz w:val="15"/>
          <w:szCs w:val="15"/>
          <w:color w:val="auto"/>
        </w:rPr>
      </w:pPr>
    </w:p>
    <w:p>
      <w:pPr>
        <w:ind w:left="1080" w:hanging="220"/>
        <w:spacing w:after="0"/>
        <w:tabs>
          <w:tab w:leader="none" w:pos="1080" w:val="left"/>
        </w:tabs>
        <w:numPr>
          <w:ilvl w:val="0"/>
          <w:numId w:val="381"/>
        </w:numPr>
        <w:rPr>
          <w:rFonts w:ascii="Arial" w:cs="Arial" w:eastAsia="Arial" w:hAnsi="Arial"/>
          <w:sz w:val="13"/>
          <w:szCs w:val="13"/>
          <w:color w:val="auto"/>
        </w:rPr>
      </w:pPr>
      <w:r>
        <w:rPr>
          <w:rFonts w:ascii="Arial" w:cs="Arial" w:eastAsia="Arial" w:hAnsi="Arial"/>
          <w:sz w:val="13"/>
          <w:szCs w:val="13"/>
          <w:color w:val="auto"/>
        </w:rPr>
        <w:t>For clarity, the license granted pursuant to Section 2.1(b) includes the right to transfer the Licensor Materials to (x) Sublicensees and</w:t>
      </w:r>
    </w:p>
    <w:p>
      <w:pPr>
        <w:spacing w:after="0" w:line="50" w:lineRule="exact"/>
        <w:rPr>
          <w:rFonts w:ascii="Arial" w:cs="Arial" w:eastAsia="Arial" w:hAnsi="Arial"/>
          <w:sz w:val="13"/>
          <w:szCs w:val="13"/>
          <w:color w:val="auto"/>
        </w:rPr>
      </w:pPr>
    </w:p>
    <w:p>
      <w:pPr>
        <w:ind w:left="860" w:right="80"/>
        <w:spacing w:after="0" w:line="302" w:lineRule="auto"/>
        <w:tabs>
          <w:tab w:leader="none" w:pos="1080" w:val="left"/>
        </w:tabs>
        <w:numPr>
          <w:ilvl w:val="0"/>
          <w:numId w:val="382"/>
        </w:numPr>
        <w:rPr>
          <w:rFonts w:ascii="Arial" w:cs="Arial" w:eastAsia="Arial" w:hAnsi="Arial"/>
          <w:sz w:val="13"/>
          <w:szCs w:val="13"/>
          <w:color w:val="auto"/>
        </w:rPr>
      </w:pPr>
      <w:r>
        <w:rPr>
          <w:rFonts w:ascii="Arial" w:cs="Arial" w:eastAsia="Arial" w:hAnsi="Arial"/>
          <w:sz w:val="13"/>
          <w:szCs w:val="13"/>
          <w:color w:val="auto"/>
        </w:rPr>
        <w:t>Third Parties acting on behalf of Licensee or a Sublicensee and to grant limited rights in such Licensor Materials to such Third Parties acting on behalf of Licensee and Sublicensee, provided that: (i) such transfer is solely for Licensee’s or Sublicensees’ exploitation of the license granted under the Licensor Patent Rights in Section 2.1(a); and (ii) such Sublicensees and Third Parties are bound in a writing that includes: (x) a restriction that prohibits the further transfer or any use of the Licensor Materials inconsistent with this Agreement; and</w:t>
      </w:r>
    </w:p>
    <w:p>
      <w:pPr>
        <w:spacing w:after="0" w:line="2" w:lineRule="exact"/>
        <w:rPr>
          <w:rFonts w:ascii="Arial" w:cs="Arial" w:eastAsia="Arial" w:hAnsi="Arial"/>
          <w:sz w:val="13"/>
          <w:szCs w:val="13"/>
          <w:color w:val="auto"/>
        </w:rPr>
      </w:pPr>
    </w:p>
    <w:p>
      <w:pPr>
        <w:ind w:left="860" w:right="80"/>
        <w:spacing w:after="0" w:line="252" w:lineRule="auto"/>
        <w:tabs>
          <w:tab w:leader="none" w:pos="108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confidentiality provisions with respect to Confidential Information of Licensor concerning such Licensor Materials consistent with the restrictions on Licensee in Section 5.5 of this Agreement.</w:t>
      </w:r>
    </w:p>
    <w:p>
      <w:pPr>
        <w:spacing w:after="0" w:line="82" w:lineRule="exact"/>
        <w:rPr>
          <w:sz w:val="20"/>
          <w:szCs w:val="20"/>
          <w:color w:val="auto"/>
        </w:rPr>
      </w:pPr>
    </w:p>
    <w:p>
      <w:pPr>
        <w:ind w:left="460" w:right="80" w:hanging="471"/>
        <w:spacing w:after="0" w:line="259" w:lineRule="auto"/>
        <w:tabs>
          <w:tab w:leader="none" w:pos="4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b w:val="1"/>
          <w:bCs w:val="1"/>
          <w:color w:val="auto"/>
        </w:rPr>
        <w:t>Retained Rights by Licensor</w:t>
      </w:r>
      <w:r>
        <w:rPr>
          <w:rFonts w:ascii="Arial" w:cs="Arial" w:eastAsia="Arial" w:hAnsi="Arial"/>
          <w:sz w:val="16"/>
          <w:szCs w:val="16"/>
          <w:color w:val="auto"/>
        </w:rPr>
        <w:t>. Notwithstanding the License, Licensor retains the right under Licensor Patent Rights to: (a) conduct educational,</w:t>
      </w:r>
      <w:r>
        <w:rPr>
          <w:rFonts w:ascii="Arial" w:cs="Arial" w:eastAsia="Arial" w:hAnsi="Arial"/>
          <w:sz w:val="16"/>
          <w:szCs w:val="16"/>
          <w:b w:val="1"/>
          <w:bCs w:val="1"/>
          <w:color w:val="auto"/>
        </w:rPr>
        <w:t xml:space="preserve"> </w:t>
      </w:r>
      <w:r>
        <w:rPr>
          <w:rFonts w:ascii="Arial" w:cs="Arial" w:eastAsia="Arial" w:hAnsi="Arial"/>
          <w:sz w:val="16"/>
          <w:szCs w:val="16"/>
          <w:color w:val="auto"/>
        </w:rPr>
        <w:t>non-commercial research activities itself and (b) authorize non-commercial Third Parties to conduct educational and non-commercial research activities.</w:t>
      </w:r>
    </w:p>
    <w:p>
      <w:pPr>
        <w:spacing w:after="0" w:line="76" w:lineRule="exact"/>
        <w:rPr>
          <w:sz w:val="20"/>
          <w:szCs w:val="20"/>
          <w:color w:val="auto"/>
        </w:rPr>
      </w:pPr>
    </w:p>
    <w:p>
      <w:pPr>
        <w:ind w:left="460" w:hanging="471"/>
        <w:spacing w:after="0" w:line="271" w:lineRule="auto"/>
        <w:tabs>
          <w:tab w:leader="none" w:pos="44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b w:val="1"/>
          <w:bCs w:val="1"/>
          <w:color w:val="auto"/>
        </w:rPr>
        <w:t>U.S. Government Rights</w:t>
      </w:r>
      <w:r>
        <w:rPr>
          <w:rFonts w:ascii="Arial" w:cs="Arial" w:eastAsia="Arial" w:hAnsi="Arial"/>
          <w:sz w:val="15"/>
          <w:szCs w:val="15"/>
          <w:color w:val="auto"/>
        </w:rPr>
        <w:t>. The License is expressly subject to all applicable obligations to the United States Federal Government under 35</w:t>
      </w:r>
      <w:r>
        <w:rPr>
          <w:rFonts w:ascii="Arial" w:cs="Arial" w:eastAsia="Arial" w:hAnsi="Arial"/>
          <w:sz w:val="15"/>
          <w:szCs w:val="15"/>
          <w:b w:val="1"/>
          <w:bCs w:val="1"/>
          <w:color w:val="auto"/>
        </w:rPr>
        <w:t xml:space="preserve"> </w:t>
      </w:r>
      <w:r>
        <w:rPr>
          <w:rFonts w:ascii="Arial" w:cs="Arial" w:eastAsia="Arial" w:hAnsi="Arial"/>
          <w:sz w:val="15"/>
          <w:szCs w:val="15"/>
          <w:color w:val="auto"/>
        </w:rPr>
        <w:t>U.S.C. §§200-212, applicable governmental implementing regulations, including that products that result from intellectual property funded by the United States Federal Government that are sold in the United States be substantially manufactured in the United States to the extent so required by such Laws and regulations. In the event that Licensee makes a good faith request to Licensor in writing to assist in obtaining a waiver of such requirement to substantially manufacture products in the United States from the United States Government, then Licensor shall, at the reasonable cost of Licensee, diligently cooperate and assist in obtaining such waiver.</w:t>
      </w:r>
    </w:p>
    <w:p>
      <w:pPr>
        <w:spacing w:after="0" w:line="69"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3"/>
          <w:szCs w:val="13"/>
          <w:b w:val="1"/>
          <w:bCs w:val="1"/>
          <w:color w:val="auto"/>
        </w:rPr>
        <w:t>Grant of Sublicense by Licensee</w:t>
      </w:r>
      <w:r>
        <w:rPr>
          <w:rFonts w:ascii="Arial" w:cs="Arial" w:eastAsia="Arial" w:hAnsi="Arial"/>
          <w:sz w:val="13"/>
          <w:szCs w:val="13"/>
          <w:color w:val="auto"/>
        </w:rPr>
        <w:t>.</w:t>
      </w:r>
    </w:p>
    <w:p>
      <w:pPr>
        <w:spacing w:after="0" w:line="115" w:lineRule="exact"/>
        <w:rPr>
          <w:sz w:val="20"/>
          <w:szCs w:val="20"/>
          <w:color w:val="auto"/>
        </w:rPr>
      </w:pPr>
    </w:p>
    <w:p>
      <w:pPr>
        <w:ind w:left="1040" w:right="140" w:hanging="565"/>
        <w:spacing w:after="0" w:line="383" w:lineRule="auto"/>
        <w:tabs>
          <w:tab w:leader="none" w:pos="102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3"/>
          <w:szCs w:val="13"/>
          <w:color w:val="auto"/>
        </w:rPr>
        <w:t>Licensor grants to Licensee the right to grant sublicenses under the Licensor Patent Rights, in whole or in part, through multiple tiers, under the license granted in Section 2.1(a) of the License (each, a “</w:t>
      </w:r>
      <w:r>
        <w:rPr>
          <w:rFonts w:ascii="Arial" w:cs="Arial" w:eastAsia="Arial" w:hAnsi="Arial"/>
          <w:sz w:val="13"/>
          <w:szCs w:val="13"/>
          <w:b w:val="1"/>
          <w:bCs w:val="1"/>
          <w:color w:val="auto"/>
        </w:rPr>
        <w:t>Sublicense</w:t>
      </w:r>
      <w:r>
        <w:rPr>
          <w:rFonts w:ascii="Arial" w:cs="Arial" w:eastAsia="Arial" w:hAnsi="Arial"/>
          <w:sz w:val="13"/>
          <w:szCs w:val="13"/>
          <w:color w:val="auto"/>
        </w:rPr>
        <w:t>”) subject to the terms and conditions of this Agreement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20"/>
          </w:cols>
          <w:pgMar w:left="1140" w:top="252" w:right="1139" w:bottom="1440" w:gutter="0" w:footer="0" w:header="0"/>
        </w:sectPr>
      </w:pPr>
    </w:p>
    <w:bookmarkStart w:id="529" w:name="page530"/>
    <w:bookmarkEnd w:id="529"/>
    <w:p>
      <w:pPr>
        <w:ind w:left="1040" w:right="18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and specifically this Section 2.4. For clarity, Licensee may grant sublicenses to the Licensor Material in connection with a Sublicense for the Product as provided in Section 2.1(b) and 2.1(c).</w:t>
      </w:r>
    </w:p>
    <w:p>
      <w:pPr>
        <w:spacing w:after="0" w:line="76" w:lineRule="exact"/>
        <w:rPr>
          <w:sz w:val="20"/>
          <w:szCs w:val="20"/>
          <w:color w:val="auto"/>
        </w:rPr>
      </w:pPr>
    </w:p>
    <w:p>
      <w:pPr>
        <w:ind w:left="1040" w:right="200" w:hanging="565"/>
        <w:spacing w:after="0" w:line="266" w:lineRule="auto"/>
        <w:tabs>
          <w:tab w:leader="none" w:pos="102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6"/>
          <w:szCs w:val="16"/>
          <w:color w:val="auto"/>
        </w:rPr>
        <w:t>All Sublicenses granted to a non-Affiliate will be granted in agreements that (a) are in writing, (b) to the extent applicable, include or incorporate terms and conditions [***] and (c) [***]:</w:t>
      </w:r>
    </w:p>
    <w:p>
      <w:pPr>
        <w:spacing w:after="0" w:line="76" w:lineRule="exact"/>
        <w:rPr>
          <w:sz w:val="20"/>
          <w:szCs w:val="20"/>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p>
    <w:p>
      <w:pPr>
        <w:spacing w:after="0" w:line="111" w:lineRule="exact"/>
        <w:rPr>
          <w:sz w:val="20"/>
          <w:szCs w:val="20"/>
          <w:color w:val="auto"/>
        </w:rPr>
      </w:pPr>
    </w:p>
    <w:p>
      <w:pPr>
        <w:ind w:left="1040" w:right="60" w:hanging="565"/>
        <w:spacing w:after="0" w:line="323" w:lineRule="auto"/>
        <w:tabs>
          <w:tab w:leader="none" w:pos="1020" w:val="left"/>
        </w:tabs>
        <w:rPr>
          <w:sz w:val="20"/>
          <w:szCs w:val="20"/>
          <w:color w:val="auto"/>
        </w:rPr>
      </w:pPr>
      <w:r>
        <w:rPr>
          <w:rFonts w:ascii="Arial" w:cs="Arial" w:eastAsia="Arial" w:hAnsi="Arial"/>
          <w:sz w:val="16"/>
          <w:szCs w:val="16"/>
          <w:color w:val="auto"/>
        </w:rPr>
        <w:t>2.4.3</w:t>
      </w:r>
      <w:r>
        <w:rPr>
          <w:sz w:val="20"/>
          <w:szCs w:val="20"/>
          <w:color w:val="auto"/>
        </w:rPr>
        <w:tab/>
      </w:r>
      <w:r>
        <w:rPr>
          <w:rFonts w:ascii="Arial" w:cs="Arial" w:eastAsia="Arial" w:hAnsi="Arial"/>
          <w:sz w:val="13"/>
          <w:szCs w:val="13"/>
          <w:color w:val="auto"/>
        </w:rPr>
        <w:t>If Licensee grants a Sublicense in an agreement that does not [***] as set forth in Section 2.4.2 or is not granted in accordance with Section 2.4.1, Licensor shall notify Licensee that such Sublicense is not accordance with Sections 2.4.1 and 2.4.2, and specify the basis for such notice. Upon receipt of such notice from Licensor, Licensee shall have the right, for [***] such notice from Licensor to obtain from such Sublicensee written agreement that such Sublicensee will comply with the terms and conditions [***] applicable to such Sublicensee. If Licensee receives such agreement from such Sublicensee within such [***], Licensee [***].</w:t>
      </w:r>
    </w:p>
    <w:p>
      <w:pPr>
        <w:spacing w:after="0" w:line="43" w:lineRule="exact"/>
        <w:rPr>
          <w:sz w:val="20"/>
          <w:szCs w:val="20"/>
          <w:color w:val="auto"/>
        </w:rPr>
      </w:pPr>
    </w:p>
    <w:p>
      <w:pPr>
        <w:ind w:left="1040" w:right="240" w:hanging="565"/>
        <w:spacing w:after="0" w:line="266" w:lineRule="auto"/>
        <w:tabs>
          <w:tab w:leader="none" w:pos="1020" w:val="left"/>
        </w:tabs>
        <w:rPr>
          <w:sz w:val="20"/>
          <w:szCs w:val="20"/>
          <w:color w:val="auto"/>
        </w:rPr>
      </w:pPr>
      <w:r>
        <w:rPr>
          <w:rFonts w:ascii="Arial" w:cs="Arial" w:eastAsia="Arial" w:hAnsi="Arial"/>
          <w:sz w:val="16"/>
          <w:szCs w:val="16"/>
          <w:color w:val="auto"/>
        </w:rPr>
        <w:t>2.4.4</w:t>
      </w:r>
      <w:r>
        <w:rPr>
          <w:sz w:val="20"/>
          <w:szCs w:val="20"/>
          <w:color w:val="auto"/>
        </w:rPr>
        <w:tab/>
      </w:r>
      <w:r>
        <w:rPr>
          <w:rFonts w:ascii="Arial" w:cs="Arial" w:eastAsia="Arial" w:hAnsi="Arial"/>
          <w:sz w:val="16"/>
          <w:szCs w:val="16"/>
          <w:color w:val="auto"/>
        </w:rPr>
        <w:t>Within [***] after the execution of a Sublicense Document, Licensee shall provide a complete and accurate copy of such Sublicense Document to Licensor.</w:t>
      </w:r>
    </w:p>
    <w:p>
      <w:pPr>
        <w:spacing w:after="0" w:line="72" w:lineRule="exact"/>
        <w:rPr>
          <w:sz w:val="20"/>
          <w:szCs w:val="20"/>
          <w:color w:val="auto"/>
        </w:rPr>
      </w:pPr>
    </w:p>
    <w:p>
      <w:pPr>
        <w:ind w:left="460" w:right="120" w:hanging="471"/>
        <w:spacing w:after="0" w:line="332" w:lineRule="auto"/>
        <w:tabs>
          <w:tab w:leader="none" w:pos="4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3"/>
          <w:szCs w:val="13"/>
          <w:b w:val="1"/>
          <w:bCs w:val="1"/>
          <w:color w:val="auto"/>
        </w:rPr>
        <w:t>No Implied License</w:t>
      </w:r>
      <w:r>
        <w:rPr>
          <w:rFonts w:ascii="Arial" w:cs="Arial" w:eastAsia="Arial" w:hAnsi="Arial"/>
          <w:sz w:val="13"/>
          <w:szCs w:val="13"/>
          <w:color w:val="auto"/>
        </w:rPr>
        <w:t>. Each Party acknowledges that the rights and licenses granted in this Agreement are limited to the scope expressly granted</w:t>
      </w:r>
      <w:r>
        <w:rPr>
          <w:rFonts w:ascii="Arial" w:cs="Arial" w:eastAsia="Arial" w:hAnsi="Arial"/>
          <w:sz w:val="13"/>
          <w:szCs w:val="13"/>
          <w:b w:val="1"/>
          <w:bCs w:val="1"/>
          <w:color w:val="auto"/>
        </w:rPr>
        <w:t xml:space="preserve"> </w:t>
      </w:r>
      <w:r>
        <w:rPr>
          <w:rFonts w:ascii="Arial" w:cs="Arial" w:eastAsia="Arial" w:hAnsi="Arial"/>
          <w:sz w:val="13"/>
          <w:szCs w:val="13"/>
          <w:color w:val="auto"/>
        </w:rPr>
        <w:t>herein. Accordingly, except for the rights expressly granted under this Agreement, no right, title, or interest of any nature whatsoever is granted whether by implication, estoppel, reliance, or otherwise, by either Party to the other Party. All rights with respect to any know-how, patent or other intellectual property rights that are not specifically granted herein are reserved to the owner thereof.</w:t>
      </w:r>
    </w:p>
    <w:p>
      <w:pPr>
        <w:spacing w:after="0" w:line="30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ARTICLE 3</w:t>
      </w:r>
    </w:p>
    <w:p>
      <w:pPr>
        <w:spacing w:after="0" w:line="20"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DILIGENCE</w:t>
      </w:r>
    </w:p>
    <w:p>
      <w:pPr>
        <w:spacing w:after="0" w:line="201" w:lineRule="exact"/>
        <w:rPr>
          <w:sz w:val="20"/>
          <w:szCs w:val="20"/>
          <w:color w:val="auto"/>
        </w:rPr>
      </w:pPr>
    </w:p>
    <w:p>
      <w:pPr>
        <w:ind w:left="460" w:hanging="471"/>
        <w:spacing w:after="0" w:line="272" w:lineRule="auto"/>
        <w:tabs>
          <w:tab w:leader="none" w:pos="4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b w:val="1"/>
          <w:bCs w:val="1"/>
          <w:color w:val="auto"/>
        </w:rPr>
        <w:t>General Diligence</w:t>
      </w:r>
      <w:r>
        <w:rPr>
          <w:rFonts w:ascii="Arial" w:cs="Arial" w:eastAsia="Arial" w:hAnsi="Arial"/>
          <w:sz w:val="16"/>
          <w:szCs w:val="16"/>
          <w:color w:val="auto"/>
        </w:rPr>
        <w:t>. Licensee, itself or through its Affiliates, Sublicensees or partners and/or its or their contractors shall use [***] to: (a)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at least one Product [***], and obtain and maintain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600"/>
          </w:cols>
          <w:pgMar w:left="1140" w:top="256" w:right="1159" w:bottom="1440" w:gutter="0" w:footer="0" w:header="0"/>
        </w:sectPr>
      </w:pPr>
    </w:p>
    <w:bookmarkStart w:id="530" w:name="page531"/>
    <w:bookmarkEnd w:id="530"/>
    <w:p>
      <w:pPr>
        <w:jc w:val="both"/>
        <w:ind w:left="460" w:right="38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such Governmental Approvals and Regulatory Approvals, as may be necessary for the sale of such Product, (b) after receipt of Regulatory Approval for such Product, commercialize such Product and (c) develop at least one Product (whether the same as or different than the first Product) [***].</w:t>
      </w: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3"/>
          <w:szCs w:val="13"/>
          <w:b w:val="1"/>
          <w:bCs w:val="1"/>
          <w:color w:val="auto"/>
        </w:rPr>
        <w:t>Diligence Events</w:t>
      </w:r>
      <w:r>
        <w:rPr>
          <w:rFonts w:ascii="Arial" w:cs="Arial" w:eastAsia="Arial" w:hAnsi="Arial"/>
          <w:sz w:val="13"/>
          <w:szCs w:val="13"/>
          <w:color w:val="auto"/>
        </w:rPr>
        <w:t>.</w:t>
      </w:r>
    </w:p>
    <w:p>
      <w:pPr>
        <w:spacing w:after="0" w:line="115" w:lineRule="exact"/>
        <w:rPr>
          <w:sz w:val="20"/>
          <w:szCs w:val="20"/>
          <w:color w:val="auto"/>
        </w:rPr>
      </w:pPr>
    </w:p>
    <w:p>
      <w:pPr>
        <w:ind w:left="1040" w:right="20" w:hanging="565"/>
        <w:spacing w:after="0" w:line="253" w:lineRule="auto"/>
        <w:tabs>
          <w:tab w:leader="none" w:pos="102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Licensee, itself or through its Affiliates, Sublicensees or partners and/or its or their contractors shall use [***] to achieve each Diligence Event by the corresponding Achievement Date with respect to a Product. Licensee may extend any Achievement Date for a Diligence Event by [***]. If a Diligence Event is so extended, subsequent Diligence Events would be automatically extended by the same amount of time.</w:t>
      </w:r>
    </w:p>
    <w:p>
      <w:pPr>
        <w:spacing w:after="0" w:line="164"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6"/>
              </w:rPr>
              <w:t>Diligence Event</w:t>
            </w:r>
          </w:p>
        </w:tc>
        <w:tc>
          <w:tcPr>
            <w:tcW w:w="5680" w:type="dxa"/>
            <w:vAlign w:val="bottom"/>
            <w:gridSpan w:val="2"/>
          </w:tcPr>
          <w:p>
            <w:pPr>
              <w:jc w:val="center"/>
              <w:ind w:left="4865"/>
              <w:spacing w:after="0"/>
              <w:rPr>
                <w:sz w:val="20"/>
                <w:szCs w:val="20"/>
                <w:color w:val="auto"/>
              </w:rPr>
            </w:pPr>
            <w:r>
              <w:rPr>
                <w:rFonts w:ascii="Arial" w:cs="Arial" w:eastAsia="Arial" w:hAnsi="Arial"/>
                <w:sz w:val="13"/>
                <w:szCs w:val="13"/>
                <w:b w:val="1"/>
                <w:bCs w:val="1"/>
                <w:color w:val="auto"/>
                <w:w w:val="86"/>
              </w:rPr>
              <w:t>Achievement</w:t>
            </w:r>
          </w:p>
        </w:tc>
        <w:tc>
          <w:tcPr>
            <w:tcW w:w="0" w:type="dxa"/>
            <w:vAlign w:val="bottom"/>
          </w:tcPr>
          <w:p>
            <w:pPr>
              <w:spacing w:after="0"/>
              <w:rPr>
                <w:sz w:val="1"/>
                <w:szCs w:val="1"/>
                <w:color w:val="auto"/>
              </w:rPr>
            </w:pPr>
          </w:p>
        </w:tc>
      </w:tr>
      <w:tr>
        <w:trPr>
          <w:trHeight w:val="158"/>
        </w:trPr>
        <w:tc>
          <w:tcPr>
            <w:tcW w:w="860" w:type="dxa"/>
            <w:vAlign w:val="bottom"/>
            <w:tcBorders>
              <w:bottom w:val="single" w:sz="8" w:color="auto"/>
            </w:tcBorders>
            <w:vMerge w:val="continue"/>
          </w:tcPr>
          <w:p>
            <w:pPr>
              <w:spacing w:after="0"/>
              <w:rPr>
                <w:sz w:val="13"/>
                <w:szCs w:val="13"/>
                <w:color w:val="auto"/>
              </w:rPr>
            </w:pPr>
          </w:p>
        </w:tc>
        <w:tc>
          <w:tcPr>
            <w:tcW w:w="496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60"/>
        </w:trPr>
        <w:tc>
          <w:tcPr>
            <w:tcW w:w="860" w:type="dxa"/>
            <w:vAlign w:val="bottom"/>
          </w:tcPr>
          <w:p>
            <w:pPr>
              <w:spacing w:after="0" w:line="160" w:lineRule="exact"/>
              <w:rPr>
                <w:sz w:val="20"/>
                <w:szCs w:val="20"/>
                <w:color w:val="auto"/>
              </w:rPr>
            </w:pPr>
            <w:r>
              <w:rPr>
                <w:rFonts w:ascii="Arial" w:cs="Arial" w:eastAsia="Arial" w:hAnsi="Arial"/>
                <w:sz w:val="16"/>
                <w:szCs w:val="16"/>
                <w:color w:val="auto"/>
              </w:rPr>
              <w:t>[***]</w:t>
            </w:r>
          </w:p>
        </w:tc>
        <w:tc>
          <w:tcPr>
            <w:tcW w:w="49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w:t>
            </w:r>
          </w:p>
        </w:tc>
        <w:tc>
          <w:tcPr>
            <w:tcW w:w="5680" w:type="dxa"/>
            <w:vAlign w:val="bottom"/>
            <w:gridSpan w:val="2"/>
          </w:tcPr>
          <w:p>
            <w:pPr>
              <w:jc w:val="center"/>
              <w:ind w:left="48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w:t>
            </w:r>
          </w:p>
        </w:tc>
        <w:tc>
          <w:tcPr>
            <w:tcW w:w="5680" w:type="dxa"/>
            <w:vAlign w:val="bottom"/>
            <w:gridSpan w:val="2"/>
          </w:tcPr>
          <w:p>
            <w:pPr>
              <w:jc w:val="center"/>
              <w:ind w:left="48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20"/>
                <w:szCs w:val="20"/>
                <w:color w:val="auto"/>
              </w:rPr>
            </w:pPr>
            <w:r>
              <w:rPr>
                <w:rFonts w:ascii="Arial" w:cs="Arial" w:eastAsia="Arial" w:hAnsi="Arial"/>
                <w:sz w:val="16"/>
                <w:szCs w:val="16"/>
                <w:color w:val="auto"/>
              </w:rPr>
              <w:t>[***]</w:t>
            </w:r>
          </w:p>
        </w:tc>
        <w:tc>
          <w:tcPr>
            <w:tcW w:w="5680" w:type="dxa"/>
            <w:vAlign w:val="bottom"/>
            <w:gridSpan w:val="2"/>
          </w:tcPr>
          <w:p>
            <w:pPr>
              <w:jc w:val="center"/>
              <w:ind w:left="48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040" w:hanging="565"/>
        <w:spacing w:after="0" w:line="266" w:lineRule="auto"/>
        <w:tabs>
          <w:tab w:leader="none" w:pos="102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Licensee’s obligation to use [***] with respect to a [***] for the Product as set forth in Section 3.1(c) shall be deemed satisfied upon the completion of [***] for [***].</w:t>
      </w:r>
    </w:p>
    <w:p>
      <w:pPr>
        <w:spacing w:after="0" w:line="284"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3"/>
          <w:szCs w:val="13"/>
          <w:b w:val="1"/>
          <w:bCs w:val="1"/>
          <w:color w:val="auto"/>
        </w:rPr>
        <w:t>Progress Reports</w:t>
      </w:r>
      <w:r>
        <w:rPr>
          <w:rFonts w:ascii="Arial" w:cs="Arial" w:eastAsia="Arial" w:hAnsi="Arial"/>
          <w:sz w:val="13"/>
          <w:szCs w:val="13"/>
          <w:color w:val="auto"/>
        </w:rPr>
        <w:t>.</w:t>
      </w:r>
    </w:p>
    <w:p>
      <w:pPr>
        <w:spacing w:after="0" w:line="115" w:lineRule="exact"/>
        <w:rPr>
          <w:sz w:val="20"/>
          <w:szCs w:val="20"/>
          <w:color w:val="auto"/>
        </w:rPr>
      </w:pPr>
    </w:p>
    <w:p>
      <w:pPr>
        <w:jc w:val="both"/>
        <w:ind w:left="1040" w:right="300" w:hanging="565"/>
        <w:spacing w:after="0" w:line="343" w:lineRule="auto"/>
        <w:tabs>
          <w:tab w:leader="none" w:pos="1020"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3"/>
          <w:szCs w:val="13"/>
          <w:color w:val="auto"/>
        </w:rPr>
        <w:t>Until the First Commercial Sale of a Product in a Major Market, Licensee on [***] basis, [***], shall submit to Licensor a progress report (each, a “</w:t>
      </w:r>
      <w:r>
        <w:rPr>
          <w:rFonts w:ascii="Arial" w:cs="Arial" w:eastAsia="Arial" w:hAnsi="Arial"/>
          <w:sz w:val="13"/>
          <w:szCs w:val="13"/>
          <w:b w:val="1"/>
          <w:bCs w:val="1"/>
          <w:color w:val="auto"/>
        </w:rPr>
        <w:t>Progress Report</w:t>
      </w:r>
      <w:r>
        <w:rPr>
          <w:rFonts w:ascii="Arial" w:cs="Arial" w:eastAsia="Arial" w:hAnsi="Arial"/>
          <w:sz w:val="13"/>
          <w:szCs w:val="13"/>
          <w:color w:val="auto"/>
        </w:rPr>
        <w:t>”) providing a high-level summary of Licensee’s (and any Affiliates’ and Sublicensees’) activities related to the development of Products and the obtaining of Governmental Approvals necessary for commercialization of Products.</w:t>
      </w:r>
    </w:p>
    <w:p>
      <w:pPr>
        <w:spacing w:after="0" w:line="3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3"/>
          <w:szCs w:val="13"/>
          <w:color w:val="auto"/>
        </w:rPr>
        <w:t>Progress Reports must include a summary of the following as applicable:</w:t>
      </w:r>
    </w:p>
    <w:p>
      <w:pPr>
        <w:spacing w:after="0" w:line="111" w:lineRule="exact"/>
        <w:rPr>
          <w:sz w:val="20"/>
          <w:szCs w:val="20"/>
          <w:color w:val="auto"/>
        </w:rPr>
      </w:pPr>
    </w:p>
    <w:p>
      <w:pPr>
        <w:ind w:left="1520" w:hanging="477"/>
        <w:spacing w:after="0"/>
        <w:tabs>
          <w:tab w:leader="none" w:pos="1520" w:val="left"/>
        </w:tabs>
        <w:numPr>
          <w:ilvl w:val="0"/>
          <w:numId w:val="385"/>
        </w:numPr>
        <w:rPr>
          <w:rFonts w:ascii="Arial" w:cs="Arial" w:eastAsia="Arial" w:hAnsi="Arial"/>
          <w:sz w:val="13"/>
          <w:szCs w:val="13"/>
          <w:color w:val="auto"/>
        </w:rPr>
      </w:pPr>
      <w:r>
        <w:rPr>
          <w:rFonts w:ascii="Arial" w:cs="Arial" w:eastAsia="Arial" w:hAnsi="Arial"/>
          <w:sz w:val="13"/>
          <w:szCs w:val="13"/>
          <w:color w:val="auto"/>
        </w:rPr>
        <w:t>Summary of work completed for such period and high-level summary of activities anticipated for the following calendar year;</w:t>
      </w:r>
    </w:p>
    <w:p>
      <w:pPr>
        <w:spacing w:after="0" w:line="145" w:lineRule="exact"/>
        <w:rPr>
          <w:rFonts w:ascii="Arial" w:cs="Arial" w:eastAsia="Arial" w:hAnsi="Arial"/>
          <w:sz w:val="13"/>
          <w:szCs w:val="13"/>
          <w:color w:val="auto"/>
        </w:rPr>
      </w:pPr>
    </w:p>
    <w:p>
      <w:pPr>
        <w:ind w:left="1520" w:hanging="477"/>
        <w:spacing w:after="0"/>
        <w:tabs>
          <w:tab w:leader="none" w:pos="152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Work in progress;</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5"/>
        </w:numPr>
        <w:rPr>
          <w:rFonts w:ascii="Arial" w:cs="Arial" w:eastAsia="Arial" w:hAnsi="Arial"/>
          <w:sz w:val="13"/>
          <w:szCs w:val="13"/>
          <w:color w:val="auto"/>
        </w:rPr>
      </w:pPr>
      <w:r>
        <w:rPr>
          <w:rFonts w:ascii="Arial" w:cs="Arial" w:eastAsia="Arial" w:hAnsi="Arial"/>
          <w:sz w:val="13"/>
          <w:szCs w:val="13"/>
          <w:color w:val="auto"/>
        </w:rPr>
        <w:t>Current schedule of anticipated events or milestones, including anticipated timeline for achievement of Diligence Events; and</w:t>
      </w:r>
    </w:p>
    <w:p>
      <w:pPr>
        <w:spacing w:after="0" w:line="145" w:lineRule="exact"/>
        <w:rPr>
          <w:rFonts w:ascii="Arial" w:cs="Arial" w:eastAsia="Arial" w:hAnsi="Arial"/>
          <w:sz w:val="13"/>
          <w:szCs w:val="13"/>
          <w:color w:val="auto"/>
        </w:rPr>
      </w:pPr>
    </w:p>
    <w:p>
      <w:pPr>
        <w:ind w:left="1520" w:hanging="477"/>
        <w:spacing w:after="0"/>
        <w:tabs>
          <w:tab w:leader="none" w:pos="152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An updated listing of any and all Sublicenses granted by Licensee.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FINANCIAL PROVISIONS</w:t>
      </w:r>
    </w:p>
    <w:p>
      <w:pPr>
        <w:spacing w:after="0" w:line="201" w:lineRule="exact"/>
        <w:rPr>
          <w:sz w:val="20"/>
          <w:szCs w:val="20"/>
          <w:color w:val="auto"/>
        </w:rPr>
      </w:pPr>
    </w:p>
    <w:p>
      <w:pPr>
        <w:ind w:left="460" w:right="20" w:hanging="471"/>
        <w:spacing w:after="0" w:line="254" w:lineRule="auto"/>
        <w:tabs>
          <w:tab w:leader="none" w:pos="4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b w:val="1"/>
          <w:bCs w:val="1"/>
          <w:color w:val="auto"/>
        </w:rPr>
        <w:t>Issue Fee</w:t>
      </w:r>
      <w:r>
        <w:rPr>
          <w:rFonts w:ascii="Arial" w:cs="Arial" w:eastAsia="Arial" w:hAnsi="Arial"/>
          <w:sz w:val="16"/>
          <w:szCs w:val="16"/>
          <w:color w:val="auto"/>
        </w:rPr>
        <w:t>. In partial consideration of the License, Licensee will pay to Licensor a one-time license issue fee of [***] (“</w:t>
      </w:r>
      <w:r>
        <w:rPr>
          <w:rFonts w:ascii="Arial" w:cs="Arial" w:eastAsia="Arial" w:hAnsi="Arial"/>
          <w:sz w:val="16"/>
          <w:szCs w:val="16"/>
          <w:b w:val="1"/>
          <w:bCs w:val="1"/>
          <w:color w:val="auto"/>
        </w:rPr>
        <w:t>Issue Fee</w:t>
      </w:r>
      <w:r>
        <w:rPr>
          <w:rFonts w:ascii="Arial" w:cs="Arial" w:eastAsia="Arial" w:hAnsi="Arial"/>
          <w:sz w:val="16"/>
          <w:szCs w:val="16"/>
          <w:color w:val="auto"/>
        </w:rPr>
        <w:t>”) within [***]</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Effective Date. The Issue Fee is non-refundable and non-creditable against any other amounts, including any royalties due by Licensee. Notwithstanding the foregoing, the Issue Fee is inclusive of the reimbursable patent prosecution costs incurred by Licensor prior to the Effective Date of the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600"/>
          </w:cols>
          <w:pgMar w:left="1140" w:top="256" w:right="1159" w:bottom="1440" w:gutter="0" w:footer="0" w:header="0"/>
        </w:sectPr>
      </w:pPr>
    </w:p>
    <w:bookmarkStart w:id="531" w:name="page532"/>
    <w:bookmarkEnd w:id="531"/>
    <w:p>
      <w:pPr>
        <w:spacing w:after="0"/>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4.2</w:t>
      </w:r>
      <w:r>
        <w:rPr>
          <w:sz w:val="20"/>
          <w:szCs w:val="20"/>
          <w:color w:val="auto"/>
        </w:rPr>
        <w:tab/>
      </w:r>
      <w:r>
        <w:rPr>
          <w:rFonts w:ascii="Arial" w:cs="Arial" w:eastAsia="Arial" w:hAnsi="Arial"/>
          <w:sz w:val="13"/>
          <w:szCs w:val="13"/>
          <w:b w:val="1"/>
          <w:bCs w:val="1"/>
          <w:color w:val="auto"/>
        </w:rPr>
        <w:t>Milestone Payments</w:t>
      </w:r>
      <w:r>
        <w:rPr>
          <w:rFonts w:ascii="Arial" w:cs="Arial" w:eastAsia="Arial" w:hAnsi="Arial"/>
          <w:sz w:val="13"/>
          <w:szCs w:val="13"/>
          <w:color w:val="auto"/>
        </w:rPr>
        <w:t>.</w:t>
      </w:r>
    </w:p>
    <w:p>
      <w:pPr>
        <w:spacing w:after="0" w:line="11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4.2.1</w:t>
      </w:r>
      <w:r>
        <w:rPr>
          <w:sz w:val="20"/>
          <w:szCs w:val="20"/>
          <w:color w:val="auto"/>
        </w:rPr>
        <w:tab/>
      </w:r>
      <w:r>
        <w:rPr>
          <w:rFonts w:ascii="Arial" w:cs="Arial" w:eastAsia="Arial" w:hAnsi="Arial"/>
          <w:sz w:val="13"/>
          <w:szCs w:val="13"/>
          <w:b w:val="1"/>
          <w:bCs w:val="1"/>
          <w:color w:val="auto"/>
        </w:rPr>
        <w:t>Development Milestones</w:t>
      </w:r>
    </w:p>
    <w:p>
      <w:pPr>
        <w:spacing w:after="0" w:line="115" w:lineRule="exact"/>
        <w:rPr>
          <w:sz w:val="20"/>
          <w:szCs w:val="20"/>
          <w:color w:val="auto"/>
        </w:rPr>
      </w:pPr>
    </w:p>
    <w:p>
      <w:pPr>
        <w:ind w:left="1520" w:right="20" w:hanging="477"/>
        <w:spacing w:after="0" w:line="319" w:lineRule="auto"/>
        <w:tabs>
          <w:tab w:leader="none" w:pos="1520" w:val="left"/>
        </w:tabs>
        <w:numPr>
          <w:ilvl w:val="0"/>
          <w:numId w:val="386"/>
        </w:numPr>
        <w:rPr>
          <w:rFonts w:ascii="Arial" w:cs="Arial" w:eastAsia="Arial" w:hAnsi="Arial"/>
          <w:sz w:val="13"/>
          <w:szCs w:val="13"/>
          <w:color w:val="auto"/>
        </w:rPr>
      </w:pPr>
      <w:r>
        <w:rPr>
          <w:rFonts w:ascii="Arial" w:cs="Arial" w:eastAsia="Arial" w:hAnsi="Arial"/>
          <w:sz w:val="13"/>
          <w:szCs w:val="13"/>
          <w:color w:val="auto"/>
        </w:rPr>
        <w:t>As additional consideration for the License, Licensee will pay Licensor the following development milestone payments (each, a “</w:t>
      </w:r>
      <w:r>
        <w:rPr>
          <w:rFonts w:ascii="Arial" w:cs="Arial" w:eastAsia="Arial" w:hAnsi="Arial"/>
          <w:sz w:val="13"/>
          <w:szCs w:val="13"/>
          <w:b w:val="1"/>
          <w:bCs w:val="1"/>
          <w:color w:val="auto"/>
        </w:rPr>
        <w:t>Development Milestone Payment</w:t>
      </w:r>
      <w:r>
        <w:rPr>
          <w:rFonts w:ascii="Arial" w:cs="Arial" w:eastAsia="Arial" w:hAnsi="Arial"/>
          <w:sz w:val="13"/>
          <w:szCs w:val="13"/>
          <w:color w:val="auto"/>
        </w:rPr>
        <w:t>”) upon the first achievement of such milestones by Licensee, its Affiliates or Sublicensee (each, a “</w:t>
      </w:r>
      <w:r>
        <w:rPr>
          <w:rFonts w:ascii="Arial" w:cs="Arial" w:eastAsia="Arial" w:hAnsi="Arial"/>
          <w:sz w:val="13"/>
          <w:szCs w:val="13"/>
          <w:b w:val="1"/>
          <w:bCs w:val="1"/>
          <w:color w:val="auto"/>
        </w:rPr>
        <w:t>Development Milestone</w:t>
      </w:r>
      <w:r>
        <w:rPr>
          <w:rFonts w:ascii="Arial" w:cs="Arial" w:eastAsia="Arial" w:hAnsi="Arial"/>
          <w:sz w:val="13"/>
          <w:szCs w:val="13"/>
          <w:color w:val="auto"/>
        </w:rPr>
        <w:t>”). Licensee shall notify Licensor in writing of the achievement of any such Development Milestone within [***] of such achievement by Licensee or its Affiliates (or if achieved by a Sublicensee, then within [***] of such Sublicensee notifying Licensee of such achievement by Sublicensee) and Licensee shall pay Licensor, in full, the corresponding Development Milestone Payment within [***] after such notice to Licensor. For clarity, [***].</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80" w:type="dxa"/>
            <w:vAlign w:val="bottom"/>
            <w:gridSpan w:val="4"/>
          </w:tcPr>
          <w:p>
            <w:pPr>
              <w:ind w:left="440"/>
              <w:spacing w:after="0"/>
              <w:rPr>
                <w:sz w:val="20"/>
                <w:szCs w:val="20"/>
                <w:color w:val="auto"/>
              </w:rPr>
            </w:pPr>
            <w:r>
              <w:rPr>
                <w:rFonts w:ascii="Arial" w:cs="Arial" w:eastAsia="Arial" w:hAnsi="Arial"/>
                <w:sz w:val="13"/>
                <w:szCs w:val="13"/>
                <w:b w:val="1"/>
                <w:bCs w:val="1"/>
                <w:color w:val="auto"/>
              </w:rPr>
              <w:t>Development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21"/>
              <w:spacing w:after="0" w:line="130" w:lineRule="exact"/>
              <w:rPr>
                <w:sz w:val="20"/>
                <w:szCs w:val="20"/>
                <w:color w:val="auto"/>
              </w:rPr>
            </w:pPr>
            <w:r>
              <w:rPr>
                <w:rFonts w:ascii="Arial" w:cs="Arial" w:eastAsia="Arial" w:hAnsi="Arial"/>
                <w:sz w:val="13"/>
                <w:szCs w:val="13"/>
                <w:b w:val="1"/>
                <w:bCs w:val="1"/>
                <w:color w:val="auto"/>
                <w:w w:val="86"/>
              </w:rPr>
              <w:t>Milestone</w:t>
            </w:r>
          </w:p>
        </w:tc>
        <w:tc>
          <w:tcPr>
            <w:tcW w:w="0" w:type="dxa"/>
            <w:vAlign w:val="bottom"/>
          </w:tcPr>
          <w:p>
            <w:pPr>
              <w:spacing w:after="0"/>
              <w:rPr>
                <w:sz w:val="1"/>
                <w:szCs w:val="1"/>
                <w:color w:val="auto"/>
              </w:rPr>
            </w:pPr>
          </w:p>
        </w:tc>
      </w:tr>
      <w:tr>
        <w:trPr>
          <w:trHeight w:val="130"/>
        </w:trPr>
        <w:tc>
          <w:tcPr>
            <w:tcW w:w="2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5"/>
              </w:rPr>
              <w:t>No.</w:t>
            </w:r>
          </w:p>
        </w:tc>
        <w:tc>
          <w:tcPr>
            <w:tcW w:w="460" w:type="dxa"/>
            <w:vAlign w:val="bottom"/>
          </w:tcPr>
          <w:p>
            <w:pPr>
              <w:spacing w:after="0"/>
              <w:rPr>
                <w:sz w:val="11"/>
                <w:szCs w:val="11"/>
                <w:color w:val="auto"/>
              </w:rPr>
            </w:pPr>
          </w:p>
        </w:tc>
        <w:tc>
          <w:tcPr>
            <w:tcW w:w="5180" w:type="dxa"/>
            <w:vAlign w:val="bottom"/>
            <w:vMerge w:val="restart"/>
          </w:tcPr>
          <w:p>
            <w:pPr>
              <w:jc w:val="right"/>
              <w:ind w:right="1889"/>
              <w:spacing w:after="0"/>
              <w:rPr>
                <w:sz w:val="20"/>
                <w:szCs w:val="20"/>
                <w:color w:val="auto"/>
              </w:rPr>
            </w:pPr>
            <w:r>
              <w:rPr>
                <w:rFonts w:ascii="Arial" w:cs="Arial" w:eastAsia="Arial" w:hAnsi="Arial"/>
                <w:sz w:val="13"/>
                <w:szCs w:val="13"/>
                <w:b w:val="1"/>
                <w:bCs w:val="1"/>
                <w:color w:val="auto"/>
              </w:rPr>
              <w:t>Development Milestone</w:t>
            </w:r>
          </w:p>
        </w:tc>
        <w:tc>
          <w:tcPr>
            <w:tcW w:w="440" w:type="dxa"/>
            <w:vAlign w:val="bottom"/>
          </w:tcPr>
          <w:p>
            <w:pPr>
              <w:spacing w:after="0"/>
              <w:rPr>
                <w:sz w:val="11"/>
                <w:szCs w:val="11"/>
                <w:color w:val="auto"/>
              </w:rPr>
            </w:pPr>
          </w:p>
        </w:tc>
        <w:tc>
          <w:tcPr>
            <w:tcW w:w="1040" w:type="dxa"/>
            <w:vAlign w:val="bottom"/>
            <w:gridSpan w:val="3"/>
          </w:tcPr>
          <w:p>
            <w:pPr>
              <w:jc w:val="center"/>
              <w:ind w:right="261"/>
              <w:spacing w:after="0" w:line="130" w:lineRule="exact"/>
              <w:rPr>
                <w:sz w:val="20"/>
                <w:szCs w:val="20"/>
                <w:color w:val="auto"/>
              </w:rPr>
            </w:pPr>
            <w:r>
              <w:rPr>
                <w:rFonts w:ascii="Arial" w:cs="Arial" w:eastAsia="Arial" w:hAnsi="Arial"/>
                <w:sz w:val="13"/>
                <w:szCs w:val="13"/>
                <w:b w:val="1"/>
                <w:bCs w:val="1"/>
                <w:color w:val="auto"/>
                <w:w w:val="89"/>
              </w:rPr>
              <w:t>Payment (in</w:t>
            </w:r>
          </w:p>
        </w:tc>
        <w:tc>
          <w:tcPr>
            <w:tcW w:w="0" w:type="dxa"/>
            <w:vAlign w:val="bottom"/>
          </w:tcPr>
          <w:p>
            <w:pPr>
              <w:spacing w:after="0"/>
              <w:rPr>
                <w:sz w:val="1"/>
                <w:szCs w:val="1"/>
                <w:color w:val="auto"/>
              </w:rPr>
            </w:pPr>
          </w:p>
        </w:tc>
      </w:tr>
      <w:tr>
        <w:trPr>
          <w:trHeight w:val="158"/>
        </w:trPr>
        <w:tc>
          <w:tcPr>
            <w:tcW w:w="2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51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gridSpan w:val="3"/>
          </w:tcPr>
          <w:p>
            <w:pPr>
              <w:jc w:val="center"/>
              <w:ind w:right="261"/>
              <w:spacing w:after="0" w:line="138" w:lineRule="exact"/>
              <w:rPr>
                <w:sz w:val="20"/>
                <w:szCs w:val="20"/>
                <w:color w:val="auto"/>
              </w:rPr>
            </w:pPr>
            <w:r>
              <w:rPr>
                <w:rFonts w:ascii="Arial" w:cs="Arial" w:eastAsia="Arial" w:hAnsi="Arial"/>
                <w:sz w:val="13"/>
                <w:szCs w:val="13"/>
                <w:b w:val="1"/>
                <w:bCs w:val="1"/>
                <w:color w:val="auto"/>
                <w:w w:val="86"/>
              </w:rPr>
              <w:t>U.S. dollars)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1</w:t>
            </w:r>
          </w:p>
        </w:tc>
        <w:tc>
          <w:tcPr>
            <w:tcW w:w="460" w:type="dxa"/>
            <w:vAlign w:val="bottom"/>
            <w:tcBorders>
              <w:top w:val="single" w:sz="8" w:color="CCEEFF"/>
            </w:tcBorders>
            <w:shd w:val="clear" w:color="auto" w:fill="CCEEFF"/>
          </w:tcPr>
          <w:p>
            <w:pPr>
              <w:spacing w:after="0"/>
              <w:rPr>
                <w:sz w:val="14"/>
                <w:szCs w:val="14"/>
                <w:color w:val="auto"/>
              </w:rPr>
            </w:pPr>
          </w:p>
        </w:tc>
        <w:tc>
          <w:tcPr>
            <w:tcW w:w="5180" w:type="dxa"/>
            <w:vAlign w:val="bottom"/>
            <w:tcBorders>
              <w:top w:val="single" w:sz="8" w:color="auto"/>
            </w:tcBorders>
            <w:shd w:val="clear" w:color="auto" w:fill="CCEEFF"/>
          </w:tcPr>
          <w:p>
            <w:pPr>
              <w:jc w:val="right"/>
              <w:ind w:right="4769"/>
              <w:spacing w:after="0" w:line="172"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4"/>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2</w:t>
            </w:r>
          </w:p>
        </w:tc>
        <w:tc>
          <w:tcPr>
            <w:tcW w:w="5640" w:type="dxa"/>
            <w:vAlign w:val="bottom"/>
            <w:gridSpan w:val="2"/>
          </w:tcPr>
          <w:p>
            <w:pPr>
              <w:jc w:val="right"/>
              <w:ind w:right="4769"/>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5640" w:type="dxa"/>
            <w:vAlign w:val="bottom"/>
            <w:gridSpan w:val="2"/>
            <w:shd w:val="clear" w:color="auto" w:fill="CCEEFF"/>
          </w:tcPr>
          <w:p>
            <w:pPr>
              <w:jc w:val="right"/>
              <w:ind w:right="476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4</w:t>
            </w:r>
          </w:p>
        </w:tc>
        <w:tc>
          <w:tcPr>
            <w:tcW w:w="5640" w:type="dxa"/>
            <w:vAlign w:val="bottom"/>
            <w:gridSpan w:val="2"/>
          </w:tcPr>
          <w:p>
            <w:pPr>
              <w:jc w:val="right"/>
              <w:ind w:right="4769"/>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5640" w:type="dxa"/>
            <w:vAlign w:val="bottom"/>
            <w:gridSpan w:val="2"/>
            <w:shd w:val="clear" w:color="auto" w:fill="CCEEFF"/>
          </w:tcPr>
          <w:p>
            <w:pPr>
              <w:jc w:val="right"/>
              <w:ind w:right="476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6</w:t>
            </w:r>
          </w:p>
        </w:tc>
        <w:tc>
          <w:tcPr>
            <w:tcW w:w="5640" w:type="dxa"/>
            <w:vAlign w:val="bottom"/>
            <w:gridSpan w:val="2"/>
          </w:tcPr>
          <w:p>
            <w:pPr>
              <w:jc w:val="right"/>
              <w:ind w:right="4769"/>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20" w:hanging="477"/>
        <w:spacing w:after="0"/>
        <w:tabs>
          <w:tab w:leader="none" w:pos="152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Notwithstanding the foregoing, [***].</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For purposes of this Section 4.2.1, (i) [***] and (ii) [***]. For clarity, [***].</w:t>
      </w:r>
    </w:p>
    <w:p>
      <w:pPr>
        <w:spacing w:after="0" w:line="110" w:lineRule="exact"/>
        <w:rPr>
          <w:rFonts w:ascii="Arial" w:cs="Arial" w:eastAsia="Arial" w:hAnsi="Arial"/>
          <w:sz w:val="16"/>
          <w:szCs w:val="16"/>
          <w:color w:val="auto"/>
        </w:rPr>
      </w:pPr>
    </w:p>
    <w:p>
      <w:pPr>
        <w:jc w:val="both"/>
        <w:ind w:left="1520" w:right="100" w:hanging="477"/>
        <w:spacing w:after="0" w:line="256" w:lineRule="auto"/>
        <w:tabs>
          <w:tab w:leader="none" w:pos="152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With respect to each Development Milestone, the Development Milestone Payments to be made under this Agreement shall be due and payable only once, and in no event shall the aggregate amount to be paid by Licensee to Licensor under Section 4.2.1 [***]).</w:t>
      </w:r>
    </w:p>
    <w:p>
      <w:pPr>
        <w:spacing w:after="0" w:line="29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4.2.2</w:t>
      </w:r>
      <w:r>
        <w:rPr>
          <w:sz w:val="20"/>
          <w:szCs w:val="20"/>
          <w:color w:val="auto"/>
        </w:rPr>
        <w:tab/>
      </w:r>
      <w:r>
        <w:rPr>
          <w:rFonts w:ascii="Arial" w:cs="Arial" w:eastAsia="Arial" w:hAnsi="Arial"/>
          <w:sz w:val="13"/>
          <w:szCs w:val="13"/>
          <w:b w:val="1"/>
          <w:bCs w:val="1"/>
          <w:color w:val="auto"/>
        </w:rPr>
        <w:t>Commercial Milestones</w:t>
      </w:r>
    </w:p>
    <w:p>
      <w:pPr>
        <w:spacing w:after="0" w:line="115" w:lineRule="exact"/>
        <w:rPr>
          <w:sz w:val="20"/>
          <w:szCs w:val="20"/>
          <w:color w:val="auto"/>
        </w:rPr>
      </w:pPr>
    </w:p>
    <w:p>
      <w:pPr>
        <w:ind w:left="1520" w:hanging="477"/>
        <w:spacing w:after="0" w:line="267" w:lineRule="auto"/>
        <w:tabs>
          <w:tab w:leader="none" w:pos="1520" w:val="left"/>
        </w:tabs>
        <w:numPr>
          <w:ilvl w:val="0"/>
          <w:numId w:val="388"/>
        </w:numPr>
        <w:rPr>
          <w:rFonts w:ascii="Arial" w:cs="Arial" w:eastAsia="Arial" w:hAnsi="Arial"/>
          <w:sz w:val="15"/>
          <w:szCs w:val="15"/>
          <w:color w:val="auto"/>
        </w:rPr>
      </w:pPr>
      <w:r>
        <w:rPr>
          <w:rFonts w:ascii="Arial" w:cs="Arial" w:eastAsia="Arial" w:hAnsi="Arial"/>
          <w:sz w:val="15"/>
          <w:szCs w:val="15"/>
          <w:color w:val="auto"/>
        </w:rPr>
        <w:t>As additional consideration for the License, Licensee will pay Licensor the following commercial milestone payments (each, a “</w:t>
      </w:r>
      <w:r>
        <w:rPr>
          <w:rFonts w:ascii="Arial" w:cs="Arial" w:eastAsia="Arial" w:hAnsi="Arial"/>
          <w:sz w:val="15"/>
          <w:szCs w:val="15"/>
          <w:b w:val="1"/>
          <w:bCs w:val="1"/>
          <w:color w:val="auto"/>
        </w:rPr>
        <w:t>Commercial Milestone Payment</w:t>
      </w:r>
      <w:r>
        <w:rPr>
          <w:rFonts w:ascii="Arial" w:cs="Arial" w:eastAsia="Arial" w:hAnsi="Arial"/>
          <w:sz w:val="15"/>
          <w:szCs w:val="15"/>
          <w:color w:val="auto"/>
        </w:rPr>
        <w:t>”) upon the first achievement of the corresponding milestone (each, a “</w:t>
      </w:r>
      <w:r>
        <w:rPr>
          <w:rFonts w:ascii="Arial" w:cs="Arial" w:eastAsia="Arial" w:hAnsi="Arial"/>
          <w:sz w:val="15"/>
          <w:szCs w:val="15"/>
          <w:b w:val="1"/>
          <w:bCs w:val="1"/>
          <w:color w:val="auto"/>
        </w:rPr>
        <w:t>Commercial</w:t>
      </w:r>
      <w:r>
        <w:rPr>
          <w:rFonts w:ascii="Arial" w:cs="Arial" w:eastAsia="Arial" w:hAnsi="Arial"/>
          <w:sz w:val="15"/>
          <w:szCs w:val="15"/>
          <w:color w:val="auto"/>
        </w:rPr>
        <w:t xml:space="preserve"> </w:t>
      </w:r>
      <w:r>
        <w:rPr>
          <w:rFonts w:ascii="Arial" w:cs="Arial" w:eastAsia="Arial" w:hAnsi="Arial"/>
          <w:sz w:val="15"/>
          <w:szCs w:val="15"/>
          <w:b w:val="1"/>
          <w:bCs w:val="1"/>
          <w:color w:val="auto"/>
        </w:rPr>
        <w:t>Milestone</w:t>
      </w:r>
      <w:r>
        <w:rPr>
          <w:rFonts w:ascii="Arial" w:cs="Arial" w:eastAsia="Arial" w:hAnsi="Arial"/>
          <w:sz w:val="15"/>
          <w:szCs w:val="15"/>
          <w:color w:val="auto"/>
        </w:rPr>
        <w:t>”). Licensee shall notify Licensor of the achievement of any such Commercial Milestone in the Financial Report</w:t>
      </w:r>
      <w:r>
        <w:rPr>
          <w:rFonts w:ascii="Arial" w:cs="Arial" w:eastAsia="Arial" w:hAnsi="Arial"/>
          <w:sz w:val="15"/>
          <w:szCs w:val="15"/>
          <w:b w:val="1"/>
          <w:bCs w:val="1"/>
          <w:color w:val="auto"/>
        </w:rPr>
        <w:t xml:space="preserve"> </w:t>
      </w:r>
      <w:r>
        <w:rPr>
          <w:rFonts w:ascii="Arial" w:cs="Arial" w:eastAsia="Arial" w:hAnsi="Arial"/>
          <w:sz w:val="15"/>
          <w:szCs w:val="15"/>
          <w:color w:val="auto"/>
        </w:rPr>
        <w:t>corresponding to the quarter in which such Commercial Milestone is achieved and Licensee shall pay Licensor in full the corresponding Commercial Milestone Payment within [***] after the end of the calendar year in which such milestone was achieved. For clarity, each Commercial Milestone Payment is [***]. With respect to each Commercial Milestone, the Commercial Milestone Payments to be made under this Agreement shall be due and payable only once, and in no event shall the aggregate amount to be paid by Licensee to Licensor under Section 4.2.2 [***].</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580"/>
          </w:cols>
          <w:pgMar w:left="1140" w:top="252" w:right="1179" w:bottom="1440" w:gutter="0" w:footer="0" w:header="0"/>
        </w:sectPr>
      </w:pPr>
    </w:p>
    <w:bookmarkStart w:id="532" w:name="page533"/>
    <w:bookmarkEnd w:id="532"/>
    <w:tbl>
      <w:tblPr>
        <w:tblLayout w:type="fixed"/>
        <w:tblInd w:w="154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41"/>
              <w:spacing w:after="0"/>
              <w:rPr>
                <w:sz w:val="20"/>
                <w:szCs w:val="20"/>
                <w:color w:val="auto"/>
              </w:rPr>
            </w:pPr>
            <w:r>
              <w:rPr>
                <w:rFonts w:ascii="Arial" w:cs="Arial" w:eastAsia="Arial" w:hAnsi="Arial"/>
                <w:sz w:val="13"/>
                <w:szCs w:val="13"/>
                <w:b w:val="1"/>
                <w:bCs w:val="1"/>
                <w:color w:val="auto"/>
                <w:w w:val="93"/>
              </w:rPr>
              <w:t>One-Time</w:t>
            </w: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341"/>
              <w:spacing w:after="0" w:line="130" w:lineRule="exact"/>
              <w:rPr>
                <w:sz w:val="20"/>
                <w:szCs w:val="20"/>
                <w:color w:val="auto"/>
              </w:rPr>
            </w:pPr>
            <w:r>
              <w:rPr>
                <w:rFonts w:ascii="Arial" w:cs="Arial" w:eastAsia="Arial" w:hAnsi="Arial"/>
                <w:sz w:val="13"/>
                <w:szCs w:val="13"/>
                <w:b w:val="1"/>
                <w:bCs w:val="1"/>
                <w:color w:val="auto"/>
                <w:w w:val="86"/>
              </w:rPr>
              <w:t>Milestone</w:t>
            </w:r>
          </w:p>
        </w:tc>
        <w:tc>
          <w:tcPr>
            <w:tcW w:w="0" w:type="dxa"/>
            <w:vAlign w:val="bottom"/>
          </w:tcPr>
          <w:p>
            <w:pPr>
              <w:spacing w:after="0"/>
              <w:rPr>
                <w:sz w:val="1"/>
                <w:szCs w:val="1"/>
                <w:color w:val="auto"/>
              </w:rPr>
            </w:pPr>
          </w:p>
        </w:tc>
      </w:tr>
      <w:tr>
        <w:trPr>
          <w:trHeight w:val="130"/>
        </w:trPr>
        <w:tc>
          <w:tcPr>
            <w:tcW w:w="1580" w:type="dxa"/>
            <w:vAlign w:val="bottom"/>
            <w:vMerge w:val="restart"/>
          </w:tcPr>
          <w:p>
            <w:pPr>
              <w:spacing w:after="0"/>
              <w:rPr>
                <w:sz w:val="20"/>
                <w:szCs w:val="20"/>
                <w:color w:val="auto"/>
              </w:rPr>
            </w:pPr>
            <w:r>
              <w:rPr>
                <w:rFonts w:ascii="Arial" w:cs="Arial" w:eastAsia="Arial" w:hAnsi="Arial"/>
                <w:sz w:val="13"/>
                <w:szCs w:val="13"/>
                <w:b w:val="1"/>
                <w:bCs w:val="1"/>
                <w:color w:val="auto"/>
                <w:w w:val="88"/>
              </w:rPr>
              <w:t>Commercial Milestone Event</w:t>
            </w:r>
          </w:p>
        </w:tc>
        <w:tc>
          <w:tcPr>
            <w:tcW w:w="3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341"/>
              <w:spacing w:after="0" w:line="130" w:lineRule="exact"/>
              <w:rPr>
                <w:sz w:val="20"/>
                <w:szCs w:val="20"/>
                <w:color w:val="auto"/>
              </w:rPr>
            </w:pPr>
            <w:r>
              <w:rPr>
                <w:rFonts w:ascii="Arial" w:cs="Arial" w:eastAsia="Arial" w:hAnsi="Arial"/>
                <w:sz w:val="13"/>
                <w:szCs w:val="13"/>
                <w:b w:val="1"/>
                <w:bCs w:val="1"/>
                <w:color w:val="auto"/>
                <w:w w:val="88"/>
              </w:rPr>
              <w:t>Payment</w:t>
            </w:r>
          </w:p>
        </w:tc>
        <w:tc>
          <w:tcPr>
            <w:tcW w:w="0" w:type="dxa"/>
            <w:vAlign w:val="bottom"/>
          </w:tcPr>
          <w:p>
            <w:pPr>
              <w:spacing w:after="0"/>
              <w:rPr>
                <w:sz w:val="1"/>
                <w:szCs w:val="1"/>
                <w:color w:val="auto"/>
              </w:rPr>
            </w:pPr>
          </w:p>
        </w:tc>
      </w:tr>
      <w:tr>
        <w:trPr>
          <w:trHeight w:val="158"/>
        </w:trPr>
        <w:tc>
          <w:tcPr>
            <w:tcW w:w="1580" w:type="dxa"/>
            <w:vAlign w:val="bottom"/>
            <w:tcBorders>
              <w:bottom w:val="single" w:sz="8" w:color="auto"/>
            </w:tcBorders>
            <w:vMerge w:val="continue"/>
          </w:tcPr>
          <w:p>
            <w:pPr>
              <w:spacing w:after="0"/>
              <w:rPr>
                <w:sz w:val="13"/>
                <w:szCs w:val="13"/>
                <w:color w:val="auto"/>
              </w:rPr>
            </w:pPr>
          </w:p>
        </w:tc>
        <w:tc>
          <w:tcPr>
            <w:tcW w:w="4960" w:type="dxa"/>
            <w:vAlign w:val="bottom"/>
            <w:gridSpan w:val="4"/>
          </w:tcPr>
          <w:p>
            <w:pPr>
              <w:ind w:left="3900"/>
              <w:spacing w:after="0" w:line="138" w:lineRule="exact"/>
              <w:rPr>
                <w:sz w:val="20"/>
                <w:szCs w:val="20"/>
                <w:color w:val="auto"/>
              </w:rPr>
            </w:pPr>
            <w:r>
              <w:rPr>
                <w:rFonts w:ascii="Arial" w:cs="Arial" w:eastAsia="Arial" w:hAnsi="Arial"/>
                <w:sz w:val="13"/>
                <w:szCs w:val="13"/>
                <w:b w:val="1"/>
                <w:bCs w:val="1"/>
                <w:color w:val="auto"/>
              </w:rPr>
              <w:t>(U.S. dollars)</w:t>
            </w:r>
          </w:p>
        </w:tc>
        <w:tc>
          <w:tcPr>
            <w:tcW w:w="0" w:type="dxa"/>
            <w:vAlign w:val="bottom"/>
          </w:tcPr>
          <w:p>
            <w:pPr>
              <w:spacing w:after="0"/>
              <w:rPr>
                <w:sz w:val="1"/>
                <w:szCs w:val="1"/>
                <w:color w:val="auto"/>
              </w:rPr>
            </w:pPr>
          </w:p>
        </w:tc>
      </w:tr>
      <w:tr>
        <w:trPr>
          <w:trHeight w:val="172"/>
        </w:trPr>
        <w:tc>
          <w:tcPr>
            <w:tcW w:w="158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w:t>
            </w:r>
          </w:p>
        </w:tc>
        <w:tc>
          <w:tcPr>
            <w:tcW w:w="39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4"/>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6"/>
                <w:szCs w:val="16"/>
                <w:color w:val="auto"/>
              </w:rPr>
              <w:t>[***]</w:t>
            </w:r>
          </w:p>
        </w:tc>
        <w:tc>
          <w:tcPr>
            <w:tcW w:w="3980" w:type="dxa"/>
            <w:vAlign w:val="bottom"/>
            <w:gridSpan w:val="2"/>
          </w:tcPr>
          <w:p>
            <w:pPr>
              <w:ind w:left="390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980" w:type="dxa"/>
            <w:vAlign w:val="bottom"/>
            <w:gridSpan w:val="2"/>
            <w:shd w:val="clear" w:color="auto" w:fill="CCEEFF"/>
          </w:tcPr>
          <w:p>
            <w:pPr>
              <w:ind w:left="39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580" w:type="dxa"/>
            <w:vAlign w:val="bottom"/>
          </w:tcPr>
          <w:p>
            <w:pPr>
              <w:spacing w:after="0"/>
              <w:rPr>
                <w:sz w:val="20"/>
                <w:szCs w:val="20"/>
                <w:color w:val="auto"/>
              </w:rPr>
            </w:pPr>
            <w:r>
              <w:rPr>
                <w:rFonts w:ascii="Arial" w:cs="Arial" w:eastAsia="Arial" w:hAnsi="Arial"/>
                <w:sz w:val="16"/>
                <w:szCs w:val="16"/>
                <w:color w:val="auto"/>
              </w:rPr>
              <w:t>[***]</w:t>
            </w:r>
          </w:p>
        </w:tc>
        <w:tc>
          <w:tcPr>
            <w:tcW w:w="3980" w:type="dxa"/>
            <w:vAlign w:val="bottom"/>
            <w:gridSpan w:val="2"/>
          </w:tcPr>
          <w:p>
            <w:pPr>
              <w:ind w:left="3900"/>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3"/>
          <w:szCs w:val="13"/>
          <w:b w:val="1"/>
          <w:bCs w:val="1"/>
          <w:color w:val="auto"/>
        </w:rPr>
        <w:t>Royalties</w:t>
      </w:r>
      <w:r>
        <w:rPr>
          <w:rFonts w:ascii="Arial" w:cs="Arial" w:eastAsia="Arial" w:hAnsi="Arial"/>
          <w:sz w:val="13"/>
          <w:szCs w:val="13"/>
          <w:color w:val="auto"/>
        </w:rPr>
        <w:t>.</w:t>
      </w:r>
    </w:p>
    <w:p>
      <w:pPr>
        <w:spacing w:after="0" w:line="111" w:lineRule="exact"/>
        <w:rPr>
          <w:sz w:val="20"/>
          <w:szCs w:val="20"/>
          <w:color w:val="auto"/>
        </w:rPr>
      </w:pPr>
    </w:p>
    <w:p>
      <w:pPr>
        <w:ind w:left="1040" w:right="460" w:hanging="565"/>
        <w:spacing w:after="0" w:line="259" w:lineRule="auto"/>
        <w:tabs>
          <w:tab w:leader="none" w:pos="1020" w:val="left"/>
        </w:tabs>
        <w:rPr>
          <w:sz w:val="20"/>
          <w:szCs w:val="20"/>
          <w:color w:val="auto"/>
        </w:rPr>
      </w:pPr>
      <w:r>
        <w:rPr>
          <w:rFonts w:ascii="Arial" w:cs="Arial" w:eastAsia="Arial" w:hAnsi="Arial"/>
          <w:sz w:val="16"/>
          <w:szCs w:val="16"/>
          <w:color w:val="auto"/>
        </w:rPr>
        <w:t>4.3.1</w:t>
      </w:r>
      <w:r>
        <w:rPr>
          <w:sz w:val="20"/>
          <w:szCs w:val="20"/>
          <w:color w:val="auto"/>
        </w:rPr>
        <w:tab/>
      </w:r>
      <w:r>
        <w:rPr>
          <w:rFonts w:ascii="Arial" w:cs="Arial" w:eastAsia="Arial" w:hAnsi="Arial"/>
          <w:sz w:val="16"/>
          <w:szCs w:val="16"/>
          <w:b w:val="1"/>
          <w:bCs w:val="1"/>
          <w:color w:val="auto"/>
        </w:rPr>
        <w:t>Royalty</w:t>
      </w:r>
      <w:r>
        <w:rPr>
          <w:rFonts w:ascii="Arial" w:cs="Arial" w:eastAsia="Arial" w:hAnsi="Arial"/>
          <w:sz w:val="16"/>
          <w:szCs w:val="16"/>
          <w:color w:val="auto"/>
        </w:rPr>
        <w:t>. As further consideration for the License and subject to Sections 4.3.3 and 4.3.4, on a Product-by-Product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country-by-country basis, during the Royalty Period, Licensee shall pay to Licensor a [***] royalty on Net Sales of each Product (“</w:t>
      </w:r>
      <w:r>
        <w:rPr>
          <w:rFonts w:ascii="Arial" w:cs="Arial" w:eastAsia="Arial" w:hAnsi="Arial"/>
          <w:sz w:val="16"/>
          <w:szCs w:val="16"/>
          <w:b w:val="1"/>
          <w:bCs w:val="1"/>
          <w:color w:val="auto"/>
        </w:rPr>
        <w:t>Royalty</w:t>
      </w:r>
      <w:r>
        <w:rPr>
          <w:rFonts w:ascii="Arial" w:cs="Arial" w:eastAsia="Arial" w:hAnsi="Arial"/>
          <w:sz w:val="16"/>
          <w:szCs w:val="16"/>
          <w:color w:val="auto"/>
        </w:rPr>
        <w:t>”) as set forth below:</w:t>
      </w:r>
    </w:p>
    <w:p>
      <w:pPr>
        <w:spacing w:after="0" w:line="167"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3600" w:type="dxa"/>
            <w:vAlign w:val="bottom"/>
            <w:gridSpan w:val="2"/>
          </w:tcPr>
          <w:p>
            <w:pPr>
              <w:spacing w:after="0"/>
              <w:rPr>
                <w:sz w:val="20"/>
                <w:szCs w:val="20"/>
                <w:color w:val="auto"/>
              </w:rPr>
            </w:pPr>
            <w:r>
              <w:rPr>
                <w:rFonts w:ascii="Arial" w:cs="Arial" w:eastAsia="Arial" w:hAnsi="Arial"/>
                <w:sz w:val="13"/>
                <w:szCs w:val="13"/>
                <w:b w:val="1"/>
                <w:bCs w:val="1"/>
                <w:color w:val="auto"/>
              </w:rPr>
              <w:t>Worldwide Annual Net Sales</w:t>
            </w:r>
          </w:p>
        </w:tc>
        <w:tc>
          <w:tcPr>
            <w:tcW w:w="2940" w:type="dxa"/>
            <w:vAlign w:val="bottom"/>
            <w:gridSpan w:val="3"/>
          </w:tcPr>
          <w:p>
            <w:pPr>
              <w:jc w:val="right"/>
              <w:ind w:right="401"/>
              <w:spacing w:after="0"/>
              <w:rPr>
                <w:sz w:val="20"/>
                <w:szCs w:val="20"/>
                <w:color w:val="auto"/>
              </w:rPr>
            </w:pPr>
            <w:r>
              <w:rPr>
                <w:rFonts w:ascii="Arial" w:cs="Arial" w:eastAsia="Arial" w:hAnsi="Arial"/>
                <w:sz w:val="13"/>
                <w:szCs w:val="13"/>
                <w:b w:val="1"/>
                <w:bCs w:val="1"/>
                <w:color w:val="auto"/>
              </w:rPr>
              <w:t>Royalty</w:t>
            </w:r>
          </w:p>
        </w:tc>
      </w:tr>
      <w:tr>
        <w:trPr>
          <w:trHeight w:val="161"/>
        </w:trPr>
        <w:tc>
          <w:tcPr>
            <w:tcW w:w="36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(of the applicable Product)</w:t>
            </w:r>
          </w:p>
        </w:tc>
        <w:tc>
          <w:tcPr>
            <w:tcW w:w="2060" w:type="dxa"/>
            <w:vAlign w:val="bottom"/>
          </w:tcPr>
          <w:p>
            <w:pPr>
              <w:spacing w:after="0"/>
              <w:rPr>
                <w:sz w:val="14"/>
                <w:szCs w:val="14"/>
                <w:color w:val="auto"/>
              </w:rPr>
            </w:pPr>
          </w:p>
        </w:tc>
        <w:tc>
          <w:tcPr>
            <w:tcW w:w="880" w:type="dxa"/>
            <w:vAlign w:val="bottom"/>
            <w:gridSpan w:val="2"/>
          </w:tcPr>
          <w:p>
            <w:pPr>
              <w:jc w:val="right"/>
              <w:ind w:right="481"/>
              <w:spacing w:after="0" w:line="142" w:lineRule="exact"/>
              <w:rPr>
                <w:sz w:val="20"/>
                <w:szCs w:val="20"/>
                <w:color w:val="auto"/>
              </w:rPr>
            </w:pPr>
            <w:r>
              <w:rPr>
                <w:rFonts w:ascii="Arial" w:cs="Arial" w:eastAsia="Arial" w:hAnsi="Arial"/>
                <w:sz w:val="13"/>
                <w:szCs w:val="13"/>
                <w:b w:val="1"/>
                <w:bCs w:val="1"/>
                <w:color w:val="auto"/>
              </w:rPr>
              <w:t>Rate</w:t>
            </w:r>
          </w:p>
        </w:tc>
      </w:tr>
      <w:tr>
        <w:trPr>
          <w:trHeight w:val="172"/>
        </w:trPr>
        <w:tc>
          <w:tcPr>
            <w:tcW w:w="144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t>
            </w:r>
          </w:p>
        </w:tc>
        <w:tc>
          <w:tcPr>
            <w:tcW w:w="216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0"/>
              </w:rPr>
              <w:t>[***]%</w:t>
            </w:r>
          </w:p>
        </w:tc>
      </w:tr>
      <w:tr>
        <w:trPr>
          <w:trHeight w:val="200"/>
        </w:trPr>
        <w:tc>
          <w:tcPr>
            <w:tcW w:w="1440" w:type="dxa"/>
            <w:vAlign w:val="bottom"/>
          </w:tcPr>
          <w:p>
            <w:pPr>
              <w:spacing w:after="0"/>
              <w:rPr>
                <w:sz w:val="20"/>
                <w:szCs w:val="20"/>
                <w:color w:val="auto"/>
              </w:rPr>
            </w:pPr>
            <w:r>
              <w:rPr>
                <w:rFonts w:ascii="Arial" w:cs="Arial" w:eastAsia="Arial" w:hAnsi="Arial"/>
                <w:sz w:val="16"/>
                <w:szCs w:val="16"/>
                <w:color w:val="auto"/>
              </w:rPr>
              <w:t>[***]</w:t>
            </w:r>
          </w:p>
        </w:tc>
        <w:tc>
          <w:tcPr>
            <w:tcW w:w="216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ind w:left="1040" w:hanging="565"/>
        <w:spacing w:after="0" w:line="269" w:lineRule="auto"/>
        <w:tabs>
          <w:tab w:leader="none" w:pos="1020" w:val="left"/>
        </w:tabs>
        <w:rPr>
          <w:sz w:val="20"/>
          <w:szCs w:val="20"/>
          <w:color w:val="auto"/>
        </w:rPr>
      </w:pPr>
      <w:r>
        <w:rPr>
          <w:rFonts w:ascii="Arial" w:cs="Arial" w:eastAsia="Arial" w:hAnsi="Arial"/>
          <w:sz w:val="16"/>
          <w:szCs w:val="16"/>
          <w:color w:val="auto"/>
        </w:rPr>
        <w:t>4.3.2</w:t>
      </w:r>
      <w:r>
        <w:rPr>
          <w:sz w:val="20"/>
          <w:szCs w:val="20"/>
          <w:color w:val="auto"/>
        </w:rPr>
        <w:tab/>
      </w:r>
      <w:r>
        <w:rPr>
          <w:rFonts w:ascii="Arial" w:cs="Arial" w:eastAsia="Arial" w:hAnsi="Arial"/>
          <w:sz w:val="15"/>
          <w:szCs w:val="15"/>
          <w:b w:val="1"/>
          <w:bCs w:val="1"/>
          <w:color w:val="auto"/>
        </w:rPr>
        <w:t>Royalty Period</w:t>
      </w:r>
      <w:r>
        <w:rPr>
          <w:rFonts w:ascii="Arial" w:cs="Arial" w:eastAsia="Arial" w:hAnsi="Arial"/>
          <w:sz w:val="15"/>
          <w:szCs w:val="15"/>
          <w:color w:val="auto"/>
        </w:rPr>
        <w:t>. Licensee’s obligation to pay Licensor the Royalty will commence on a country-by-country and Product-by-Product</w:t>
      </w:r>
      <w:r>
        <w:rPr>
          <w:rFonts w:ascii="Arial" w:cs="Arial" w:eastAsia="Arial" w:hAnsi="Arial"/>
          <w:sz w:val="15"/>
          <w:szCs w:val="15"/>
          <w:b w:val="1"/>
          <w:bCs w:val="1"/>
          <w:color w:val="auto"/>
        </w:rPr>
        <w:t xml:space="preserve"> </w:t>
      </w:r>
      <w:r>
        <w:rPr>
          <w:rFonts w:ascii="Arial" w:cs="Arial" w:eastAsia="Arial" w:hAnsi="Arial"/>
          <w:sz w:val="15"/>
          <w:szCs w:val="15"/>
          <w:color w:val="auto"/>
        </w:rPr>
        <w:t>basis from the date of First Commercial Sale of a Product Covered by a Valid Claim within the Licensor Patent Rights in the country of Sale until the latest of (a) the expiration or abandonment of the last Valid Claim within the Licensor Patent Rights Covering such Product in such country in which such Product is used or sold, (b) the expiration of the [***] exclusivity term [***] in such country with respect to such Product [***] , and (c) the [***] of the First Commercial Sale of such Product in such country (such royalty period, the “</w:t>
      </w:r>
      <w:r>
        <w:rPr>
          <w:rFonts w:ascii="Arial" w:cs="Arial" w:eastAsia="Arial" w:hAnsi="Arial"/>
          <w:sz w:val="15"/>
          <w:szCs w:val="15"/>
          <w:b w:val="1"/>
          <w:bCs w:val="1"/>
          <w:color w:val="auto"/>
        </w:rPr>
        <w:t>Royalty Period</w:t>
      </w:r>
      <w:r>
        <w:rPr>
          <w:rFonts w:ascii="Arial" w:cs="Arial" w:eastAsia="Arial" w:hAnsi="Arial"/>
          <w:sz w:val="15"/>
          <w:szCs w:val="15"/>
          <w:color w:val="auto"/>
        </w:rPr>
        <w:t>”). For purposes of this Section 4.3, Products that are different than one another shall be considered the same Product if they are (i) [***] or (ii) [***] and in the case of this clause (ii): (x) [***] or (y) [***].</w:t>
      </w:r>
    </w:p>
    <w:p>
      <w:pPr>
        <w:spacing w:after="0" w:line="7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4.3.3</w:t>
      </w:r>
      <w:r>
        <w:rPr>
          <w:sz w:val="20"/>
          <w:szCs w:val="20"/>
          <w:color w:val="auto"/>
        </w:rPr>
        <w:tab/>
      </w:r>
      <w:r>
        <w:rPr>
          <w:rFonts w:ascii="Arial" w:cs="Arial" w:eastAsia="Arial" w:hAnsi="Arial"/>
          <w:sz w:val="13"/>
          <w:szCs w:val="13"/>
          <w:b w:val="1"/>
          <w:bCs w:val="1"/>
          <w:color w:val="auto"/>
        </w:rPr>
        <w:t>Royalty Reductions</w:t>
      </w:r>
      <w:r>
        <w:rPr>
          <w:rFonts w:ascii="Arial" w:cs="Arial" w:eastAsia="Arial" w:hAnsi="Arial"/>
          <w:sz w:val="13"/>
          <w:szCs w:val="13"/>
          <w:color w:val="auto"/>
        </w:rPr>
        <w:t>.</w:t>
      </w:r>
    </w:p>
    <w:p>
      <w:pPr>
        <w:spacing w:after="0" w:line="115" w:lineRule="exact"/>
        <w:rPr>
          <w:sz w:val="20"/>
          <w:szCs w:val="20"/>
          <w:color w:val="auto"/>
        </w:rPr>
      </w:pPr>
    </w:p>
    <w:p>
      <w:pPr>
        <w:ind w:left="1520" w:hanging="477"/>
        <w:spacing w:after="0" w:line="250" w:lineRule="auto"/>
        <w:tabs>
          <w:tab w:leader="none" w:pos="152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Notwithstanding anything in this Section 4.3, in the event that Licensor or Licensee receives a request for a Compulsory License anywhere in the world, it shall promptly notify the other Party and, at Licensee’s request, the Parties shall cooperate to oppose such Compulsory License. If any Third Party obtains a Compulsory License in any country, then: (i) Licensor or Licensee (whoever has first notice) shall promptly notify the other Party; and (ii) beginning as of [***], (x) the royalty rate payable under this Section 4.3 to Licensor for Net Sales in such country will be adjusted to [***] and (y) any other payments required to be paid by Licensee to Licensor shall be [***].</w:t>
      </w:r>
    </w:p>
    <w:p>
      <w:pPr>
        <w:spacing w:after="0" w:line="88" w:lineRule="exact"/>
        <w:rPr>
          <w:rFonts w:ascii="Arial" w:cs="Arial" w:eastAsia="Arial" w:hAnsi="Arial"/>
          <w:sz w:val="16"/>
          <w:szCs w:val="16"/>
          <w:color w:val="auto"/>
        </w:rPr>
      </w:pPr>
    </w:p>
    <w:p>
      <w:pPr>
        <w:ind w:left="1520" w:hanging="477"/>
        <w:spacing w:after="0"/>
        <w:tabs>
          <w:tab w:leader="none" w:pos="1520"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Third Party Licenses and Generic Competition</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2480" w:right="60" w:hanging="470"/>
        <w:spacing w:after="0" w:line="256" w:lineRule="auto"/>
        <w:tabs>
          <w:tab w:leader="none" w:pos="248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If Licensee or its Sublicensee is obligated to pay additional [***] to Third Parties (or is required by court order or settlement to pay [***]) to develop, commercialize, or manufacture a Product, Licensee may deduct from any [***] payments due to Licensor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00"/>
          </w:cols>
          <w:pgMar w:left="1140" w:top="229" w:right="1159" w:bottom="1440" w:gutter="0" w:footer="0" w:header="0"/>
        </w:sectPr>
      </w:pPr>
    </w:p>
    <w:bookmarkStart w:id="533" w:name="page534"/>
    <w:bookmarkEnd w:id="533"/>
    <w:p>
      <w:pPr>
        <w:ind w:left="22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under [***] of this Agreement (A) an amount equal to [***] (the “</w:t>
      </w:r>
      <w:r>
        <w:rPr>
          <w:rFonts w:ascii="Arial" w:cs="Arial" w:eastAsia="Arial" w:hAnsi="Arial"/>
          <w:sz w:val="15"/>
          <w:szCs w:val="15"/>
          <w:b w:val="1"/>
          <w:bCs w:val="1"/>
          <w:color w:val="auto"/>
        </w:rPr>
        <w:t>Anti-Stacking Percentage</w:t>
      </w:r>
      <w:r>
        <w:rPr>
          <w:rFonts w:ascii="Arial" w:cs="Arial" w:eastAsia="Arial" w:hAnsi="Arial"/>
          <w:sz w:val="15"/>
          <w:szCs w:val="15"/>
          <w:color w:val="auto"/>
        </w:rPr>
        <w:t>”) of any such</w:t>
      </w:r>
    </w:p>
    <w:p>
      <w:pPr>
        <w:spacing w:after="0" w:line="32" w:lineRule="exact"/>
        <w:rPr>
          <w:sz w:val="20"/>
          <w:szCs w:val="20"/>
          <w:color w:val="auto"/>
        </w:rPr>
      </w:pPr>
    </w:p>
    <w:p>
      <w:pPr>
        <w:ind w:left="2200" w:right="400" w:hanging="7"/>
        <w:spacing w:after="0" w:line="252" w:lineRule="auto"/>
        <w:tabs>
          <w:tab w:leader="none" w:pos="2580" w:val="left"/>
        </w:tabs>
        <w:numPr>
          <w:ilvl w:val="2"/>
          <w:numId w:val="390"/>
        </w:numPr>
        <w:rPr>
          <w:rFonts w:ascii="Arial" w:cs="Arial" w:eastAsia="Arial" w:hAnsi="Arial"/>
          <w:sz w:val="16"/>
          <w:szCs w:val="16"/>
          <w:color w:val="auto"/>
        </w:rPr>
      </w:pPr>
      <w:r>
        <w:rPr>
          <w:rFonts w:ascii="Arial" w:cs="Arial" w:eastAsia="Arial" w:hAnsi="Arial"/>
          <w:sz w:val="16"/>
          <w:szCs w:val="16"/>
          <w:color w:val="auto"/>
        </w:rPr>
        <w:t>paid by Licensee to a Third Party on Sales with respect to a particular Product in a particular country during a calendar quarter.</w:t>
      </w:r>
    </w:p>
    <w:p>
      <w:pPr>
        <w:spacing w:after="0" w:line="85" w:lineRule="exact"/>
        <w:rPr>
          <w:rFonts w:ascii="Arial" w:cs="Arial" w:eastAsia="Arial" w:hAnsi="Arial"/>
          <w:sz w:val="16"/>
          <w:szCs w:val="16"/>
          <w:color w:val="auto"/>
        </w:rPr>
      </w:pPr>
    </w:p>
    <w:p>
      <w:pPr>
        <w:ind w:left="2180" w:right="180" w:hanging="470"/>
        <w:spacing w:after="0" w:line="308" w:lineRule="auto"/>
        <w:tabs>
          <w:tab w:leader="none" w:pos="2180" w:val="left"/>
        </w:tabs>
        <w:numPr>
          <w:ilvl w:val="0"/>
          <w:numId w:val="390"/>
        </w:numPr>
        <w:rPr>
          <w:rFonts w:ascii="Arial" w:cs="Arial" w:eastAsia="Arial" w:hAnsi="Arial"/>
          <w:sz w:val="13"/>
          <w:szCs w:val="13"/>
          <w:color w:val="auto"/>
        </w:rPr>
      </w:pPr>
      <w:r>
        <w:rPr>
          <w:rFonts w:ascii="Arial" w:cs="Arial" w:eastAsia="Arial" w:hAnsi="Arial"/>
          <w:sz w:val="13"/>
          <w:szCs w:val="13"/>
          <w:color w:val="auto"/>
        </w:rPr>
        <w:t>In the event that one or more Generic Product(s) with respect to a particular Product enter(s) the market in a particular country, and such Generic Product(s) [***], Licensee may reduce the [***] payments for [***] such Product in such country by [***]; provided that if Licensee reduced the [***] payments under this</w:t>
      </w:r>
    </w:p>
    <w:p>
      <w:pPr>
        <w:spacing w:after="0" w:line="1" w:lineRule="exact"/>
        <w:rPr>
          <w:rFonts w:ascii="Arial" w:cs="Arial" w:eastAsia="Arial" w:hAnsi="Arial"/>
          <w:sz w:val="13"/>
          <w:szCs w:val="13"/>
          <w:color w:val="auto"/>
        </w:rPr>
      </w:pPr>
    </w:p>
    <w:p>
      <w:pPr>
        <w:ind w:left="2180"/>
        <w:spacing w:after="0"/>
        <w:rPr>
          <w:rFonts w:ascii="Arial" w:cs="Arial" w:eastAsia="Arial" w:hAnsi="Arial"/>
          <w:sz w:val="13"/>
          <w:szCs w:val="13"/>
          <w:color w:val="auto"/>
        </w:rPr>
      </w:pPr>
      <w:r>
        <w:rPr>
          <w:rFonts w:ascii="Arial" w:cs="Arial" w:eastAsia="Arial" w:hAnsi="Arial"/>
          <w:sz w:val="13"/>
          <w:szCs w:val="13"/>
          <w:color w:val="auto"/>
        </w:rPr>
        <w:t>Section 4.3.3(b)(ii), Licensee shall resume making [***] payment without reduction under this Section 4.3.3(b)</w:t>
      </w:r>
    </w:p>
    <w:p>
      <w:pPr>
        <w:spacing w:after="0" w:line="39" w:lineRule="exact"/>
        <w:rPr>
          <w:rFonts w:ascii="Arial" w:cs="Arial" w:eastAsia="Arial" w:hAnsi="Arial"/>
          <w:sz w:val="13"/>
          <w:szCs w:val="13"/>
          <w:color w:val="auto"/>
        </w:rPr>
      </w:pPr>
    </w:p>
    <w:p>
      <w:pPr>
        <w:ind w:left="2420" w:hanging="239"/>
        <w:spacing w:after="0"/>
        <w:tabs>
          <w:tab w:leader="none" w:pos="242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as of the [***] of (a) [***] and (b) [***].</w:t>
      </w:r>
    </w:p>
    <w:p>
      <w:pPr>
        <w:spacing w:after="0" w:line="99" w:lineRule="exact"/>
        <w:rPr>
          <w:rFonts w:ascii="Arial" w:cs="Arial" w:eastAsia="Arial" w:hAnsi="Arial"/>
          <w:sz w:val="16"/>
          <w:szCs w:val="16"/>
          <w:color w:val="auto"/>
        </w:rPr>
      </w:pPr>
    </w:p>
    <w:p>
      <w:pPr>
        <w:ind w:left="2180" w:right="140" w:hanging="470"/>
        <w:spacing w:after="0" w:line="253" w:lineRule="auto"/>
        <w:tabs>
          <w:tab w:leader="none" w:pos="218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Notwithstanding the foregoing, in no event will the deductions under Section 4.3.3(b) reduce the [***] payable in respect of [***] such Product in such country in any given calendar quarter by more than [***] (the “</w:t>
      </w:r>
      <w:r>
        <w:rPr>
          <w:rFonts w:ascii="Arial" w:cs="Arial" w:eastAsia="Arial" w:hAnsi="Arial"/>
          <w:sz w:val="16"/>
          <w:szCs w:val="16"/>
          <w:b w:val="1"/>
          <w:bCs w:val="1"/>
          <w:color w:val="auto"/>
        </w:rPr>
        <w:t>Maximum Anti-Stacking Reduction</w:t>
      </w:r>
      <w:r>
        <w:rPr>
          <w:rFonts w:ascii="Arial" w:cs="Arial" w:eastAsia="Arial" w:hAnsi="Arial"/>
          <w:sz w:val="16"/>
          <w:szCs w:val="16"/>
          <w:color w:val="auto"/>
        </w:rPr>
        <w:t>”) of the [***]. Licensee shall be entitled [***] but for such Maximum Anti-Stacking Reduction.</w:t>
      </w:r>
    </w:p>
    <w:p>
      <w:pPr>
        <w:spacing w:after="0" w:line="81" w:lineRule="exact"/>
        <w:rPr>
          <w:sz w:val="20"/>
          <w:szCs w:val="20"/>
          <w:color w:val="auto"/>
        </w:rPr>
      </w:pPr>
    </w:p>
    <w:p>
      <w:pPr>
        <w:ind w:left="160"/>
        <w:spacing w:after="0"/>
        <w:tabs>
          <w:tab w:leader="none" w:pos="720" w:val="left"/>
        </w:tabs>
        <w:rPr>
          <w:sz w:val="20"/>
          <w:szCs w:val="20"/>
          <w:color w:val="auto"/>
        </w:rPr>
      </w:pPr>
      <w:r>
        <w:rPr>
          <w:rFonts w:ascii="Arial" w:cs="Arial" w:eastAsia="Arial" w:hAnsi="Arial"/>
          <w:sz w:val="16"/>
          <w:szCs w:val="16"/>
          <w:color w:val="auto"/>
        </w:rPr>
        <w:t>4.3.4</w:t>
      </w:r>
      <w:r>
        <w:rPr>
          <w:sz w:val="20"/>
          <w:szCs w:val="20"/>
          <w:color w:val="auto"/>
        </w:rPr>
        <w:tab/>
      </w:r>
      <w:r>
        <w:rPr>
          <w:rFonts w:ascii="Arial" w:cs="Arial" w:eastAsia="Arial" w:hAnsi="Arial"/>
          <w:sz w:val="13"/>
          <w:szCs w:val="13"/>
          <w:b w:val="1"/>
          <w:bCs w:val="1"/>
          <w:color w:val="auto"/>
        </w:rPr>
        <w:t>Calculations</w:t>
      </w:r>
      <w:r>
        <w:rPr>
          <w:rFonts w:ascii="Arial" w:cs="Arial" w:eastAsia="Arial" w:hAnsi="Arial"/>
          <w:sz w:val="13"/>
          <w:szCs w:val="13"/>
          <w:color w:val="auto"/>
        </w:rPr>
        <w:t>. Licensee must pay Royalties owed to Licensor on a calendar quarter basis within [***] after the following dates:</w:t>
      </w:r>
    </w:p>
    <w:p>
      <w:pPr>
        <w:spacing w:after="0" w:line="115" w:lineRule="exact"/>
        <w:rPr>
          <w:sz w:val="20"/>
          <w:szCs w:val="20"/>
          <w:color w:val="auto"/>
        </w:rPr>
      </w:pPr>
    </w:p>
    <w:p>
      <w:pPr>
        <w:ind w:left="1220" w:hanging="477"/>
        <w:spacing w:after="0"/>
        <w:tabs>
          <w:tab w:leader="none" w:pos="122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February 28 for any Sales that took place in the calendar quarter ending December 31, of the prior year;</w:t>
      </w:r>
    </w:p>
    <w:p>
      <w:pPr>
        <w:spacing w:after="0" w:line="110" w:lineRule="exact"/>
        <w:rPr>
          <w:rFonts w:ascii="Arial" w:cs="Arial" w:eastAsia="Arial" w:hAnsi="Arial"/>
          <w:sz w:val="16"/>
          <w:szCs w:val="16"/>
          <w:color w:val="auto"/>
        </w:rPr>
      </w:pPr>
    </w:p>
    <w:p>
      <w:pPr>
        <w:ind w:left="1220" w:hanging="477"/>
        <w:spacing w:after="0"/>
        <w:tabs>
          <w:tab w:leader="none" w:pos="122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May 31 for any Sales that took place in the calendar quarter ending March 31 of such calendar year;</w:t>
      </w:r>
    </w:p>
    <w:p>
      <w:pPr>
        <w:spacing w:after="0" w:line="110" w:lineRule="exact"/>
        <w:rPr>
          <w:rFonts w:ascii="Arial" w:cs="Arial" w:eastAsia="Arial" w:hAnsi="Arial"/>
          <w:sz w:val="16"/>
          <w:szCs w:val="16"/>
          <w:color w:val="auto"/>
        </w:rPr>
      </w:pPr>
    </w:p>
    <w:p>
      <w:pPr>
        <w:ind w:left="1220" w:hanging="477"/>
        <w:spacing w:after="0"/>
        <w:tabs>
          <w:tab w:leader="none" w:pos="122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August 31 for any Sales that took place in the calendar quarter ending June 30 of such calendar year; and</w:t>
      </w:r>
    </w:p>
    <w:p>
      <w:pPr>
        <w:spacing w:after="0" w:line="110" w:lineRule="exact"/>
        <w:rPr>
          <w:rFonts w:ascii="Arial" w:cs="Arial" w:eastAsia="Arial" w:hAnsi="Arial"/>
          <w:sz w:val="16"/>
          <w:szCs w:val="16"/>
          <w:color w:val="auto"/>
        </w:rPr>
      </w:pPr>
    </w:p>
    <w:p>
      <w:pPr>
        <w:ind w:left="-300" w:right="1160" w:firstLine="1043"/>
        <w:spacing w:after="0" w:line="384" w:lineRule="auto"/>
        <w:tabs>
          <w:tab w:leader="none" w:pos="1221"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November 30 for any Sales that took place in the calendar quarter ending September 30 of such calendar year. 4.4 </w:t>
      </w:r>
      <w:r>
        <w:rPr>
          <w:rFonts w:ascii="Arial" w:cs="Arial" w:eastAsia="Arial" w:hAnsi="Arial"/>
          <w:sz w:val="16"/>
          <w:szCs w:val="16"/>
          <w:b w:val="1"/>
          <w:bCs w:val="1"/>
          <w:color w:val="auto"/>
        </w:rPr>
        <w:t>Non-Royalty Sublicense Income</w:t>
      </w:r>
      <w:r>
        <w:rPr>
          <w:rFonts w:ascii="Arial" w:cs="Arial" w:eastAsia="Arial" w:hAnsi="Arial"/>
          <w:sz w:val="16"/>
          <w:szCs w:val="16"/>
          <w:color w:val="auto"/>
        </w:rPr>
        <w:t>.</w:t>
      </w:r>
    </w:p>
    <w:p>
      <w:pPr>
        <w:spacing w:after="0" w:line="1" w:lineRule="exact"/>
        <w:rPr>
          <w:sz w:val="20"/>
          <w:szCs w:val="20"/>
          <w:color w:val="auto"/>
        </w:rPr>
      </w:pPr>
    </w:p>
    <w:p>
      <w:pPr>
        <w:ind w:left="740" w:hanging="565"/>
        <w:spacing w:after="0" w:line="266" w:lineRule="auto"/>
        <w:tabs>
          <w:tab w:leader="none" w:pos="720" w:val="left"/>
        </w:tabs>
        <w:rPr>
          <w:sz w:val="20"/>
          <w:szCs w:val="20"/>
          <w:color w:val="auto"/>
        </w:rPr>
      </w:pPr>
      <w:r>
        <w:rPr>
          <w:rFonts w:ascii="Arial" w:cs="Arial" w:eastAsia="Arial" w:hAnsi="Arial"/>
          <w:sz w:val="16"/>
          <w:szCs w:val="16"/>
          <w:color w:val="auto"/>
        </w:rPr>
        <w:t>4.4.1</w:t>
      </w:r>
      <w:r>
        <w:rPr>
          <w:sz w:val="20"/>
          <w:szCs w:val="20"/>
          <w:color w:val="auto"/>
        </w:rPr>
        <w:tab/>
      </w:r>
      <w:r>
        <w:rPr>
          <w:rFonts w:ascii="Arial" w:cs="Arial" w:eastAsia="Arial" w:hAnsi="Arial"/>
          <w:sz w:val="16"/>
          <w:szCs w:val="16"/>
          <w:color w:val="auto"/>
        </w:rPr>
        <w:t>Licensee will pay to Licensor a percentage of Non-Royalty Sublicense Income received by Licensee from a non-Affiliate Sublicensee in consideration for a Sublicense under the Licensor Patent Rights as follows:</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jc w:val="center"/>
              <w:ind w:right="401"/>
              <w:spacing w:after="0"/>
              <w:rPr>
                <w:sz w:val="20"/>
                <w:szCs w:val="20"/>
                <w:color w:val="auto"/>
              </w:rPr>
            </w:pPr>
            <w:r>
              <w:rPr>
                <w:rFonts w:ascii="Arial" w:cs="Arial" w:eastAsia="Arial" w:hAnsi="Arial"/>
                <w:sz w:val="13"/>
                <w:szCs w:val="13"/>
                <w:b w:val="1"/>
                <w:bCs w:val="1"/>
                <w:color w:val="auto"/>
                <w:w w:val="89"/>
              </w:rPr>
              <w:t>% of Non-Royalty</w:t>
            </w:r>
          </w:p>
        </w:tc>
        <w:tc>
          <w:tcPr>
            <w:tcW w:w="0" w:type="dxa"/>
            <w:vAlign w:val="bottom"/>
          </w:tcPr>
          <w:p>
            <w:pPr>
              <w:spacing w:after="0"/>
              <w:rPr>
                <w:sz w:val="1"/>
                <w:szCs w:val="1"/>
                <w:color w:val="auto"/>
              </w:rPr>
            </w:pPr>
          </w:p>
        </w:tc>
      </w:tr>
      <w:tr>
        <w:trPr>
          <w:trHeight w:val="130"/>
        </w:trPr>
        <w:tc>
          <w:tcPr>
            <w:tcW w:w="5060" w:type="dxa"/>
            <w:vAlign w:val="bottom"/>
            <w:gridSpan w:val="3"/>
            <w:vMerge w:val="restart"/>
          </w:tcPr>
          <w:p>
            <w:pPr>
              <w:ind w:left="480"/>
              <w:spacing w:after="0"/>
              <w:rPr>
                <w:sz w:val="20"/>
                <w:szCs w:val="20"/>
                <w:color w:val="auto"/>
              </w:rPr>
            </w:pPr>
            <w:r>
              <w:rPr>
                <w:rFonts w:ascii="Arial" w:cs="Arial" w:eastAsia="Arial" w:hAnsi="Arial"/>
                <w:sz w:val="13"/>
                <w:szCs w:val="13"/>
                <w:b w:val="1"/>
                <w:bCs w:val="1"/>
                <w:color w:val="auto"/>
              </w:rPr>
              <w:t>Stage at Which Sublicense is Granted by Licensee</w:t>
            </w:r>
          </w:p>
        </w:tc>
        <w:tc>
          <w:tcPr>
            <w:tcW w:w="440" w:type="dxa"/>
            <w:vAlign w:val="bottom"/>
          </w:tcPr>
          <w:p>
            <w:pPr>
              <w:spacing w:after="0"/>
              <w:rPr>
                <w:sz w:val="11"/>
                <w:szCs w:val="11"/>
                <w:color w:val="auto"/>
              </w:rPr>
            </w:pPr>
          </w:p>
        </w:tc>
        <w:tc>
          <w:tcPr>
            <w:tcW w:w="1520" w:type="dxa"/>
            <w:vAlign w:val="bottom"/>
            <w:gridSpan w:val="2"/>
          </w:tcPr>
          <w:p>
            <w:pPr>
              <w:jc w:val="center"/>
              <w:ind w:right="401"/>
              <w:spacing w:after="0" w:line="130" w:lineRule="exact"/>
              <w:rPr>
                <w:sz w:val="20"/>
                <w:szCs w:val="20"/>
                <w:color w:val="auto"/>
              </w:rPr>
            </w:pPr>
            <w:r>
              <w:rPr>
                <w:rFonts w:ascii="Arial" w:cs="Arial" w:eastAsia="Arial" w:hAnsi="Arial"/>
                <w:sz w:val="13"/>
                <w:szCs w:val="13"/>
                <w:b w:val="1"/>
                <w:bCs w:val="1"/>
                <w:color w:val="auto"/>
                <w:w w:val="84"/>
              </w:rPr>
              <w:t>Sublicense Income</w:t>
            </w:r>
          </w:p>
        </w:tc>
        <w:tc>
          <w:tcPr>
            <w:tcW w:w="0" w:type="dxa"/>
            <w:vAlign w:val="bottom"/>
          </w:tcPr>
          <w:p>
            <w:pPr>
              <w:spacing w:after="0"/>
              <w:rPr>
                <w:sz w:val="1"/>
                <w:szCs w:val="1"/>
                <w:color w:val="auto"/>
              </w:rPr>
            </w:pPr>
          </w:p>
        </w:tc>
      </w:tr>
      <w:tr>
        <w:trPr>
          <w:trHeight w:val="158"/>
        </w:trPr>
        <w:tc>
          <w:tcPr>
            <w:tcW w:w="5060" w:type="dxa"/>
            <w:vAlign w:val="bottom"/>
            <w:gridSpan w:val="3"/>
            <w:vMerge w:val="continue"/>
          </w:tcPr>
          <w:p>
            <w:pPr>
              <w:spacing w:after="0"/>
              <w:rPr>
                <w:sz w:val="13"/>
                <w:szCs w:val="13"/>
                <w:color w:val="auto"/>
              </w:rPr>
            </w:pPr>
          </w:p>
        </w:tc>
        <w:tc>
          <w:tcPr>
            <w:tcW w:w="196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87"/>
              </w:rPr>
              <w:t>Payable to Licensor</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14"/>
                <w:szCs w:val="14"/>
                <w:color w:val="auto"/>
              </w:rPr>
            </w:pPr>
          </w:p>
        </w:tc>
        <w:tc>
          <w:tcPr>
            <w:tcW w:w="26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t>
            </w:r>
          </w:p>
        </w:tc>
        <w:tc>
          <w:tcPr>
            <w:tcW w:w="19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0"/>
              </w:rPr>
              <w:t>[***]%</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spacing w:after="0"/>
              <w:rPr>
                <w:sz w:val="16"/>
                <w:szCs w:val="16"/>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2"/>
        </w:trPr>
        <w:tc>
          <w:tcPr>
            <w:tcW w:w="5060" w:type="dxa"/>
            <w:vAlign w:val="bottom"/>
            <w:gridSpan w:val="3"/>
          </w:tcPr>
          <w:p>
            <w:pPr>
              <w:spacing w:after="0"/>
              <w:rPr>
                <w:sz w:val="20"/>
                <w:szCs w:val="20"/>
                <w:color w:val="auto"/>
              </w:rPr>
            </w:pPr>
            <w:r>
              <w:rPr>
                <w:rFonts w:ascii="Arial" w:cs="Arial" w:eastAsia="Arial" w:hAnsi="Arial"/>
                <w:sz w:val="16"/>
                <w:szCs w:val="16"/>
                <w:color w:val="auto"/>
              </w:rPr>
              <w:t>The amount owing to Licensor with respect to the foregoing would [***].</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60" w:type="dxa"/>
            <w:vAlign w:val="bottom"/>
            <w:gridSpan w:val="3"/>
          </w:tcPr>
          <w:p>
            <w:pPr>
              <w:jc w:val="right"/>
              <w:ind w:right="1240"/>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00"/>
          </w:cols>
          <w:pgMar w:left="1440" w:top="253" w:right="1159" w:bottom="1440" w:gutter="0" w:footer="0" w:header="0"/>
        </w:sectPr>
      </w:pPr>
    </w:p>
    <w:bookmarkStart w:id="534" w:name="page535"/>
    <w:bookmarkEnd w:id="534"/>
    <w:p>
      <w:pPr>
        <w:ind w:left="1040" w:hanging="565"/>
        <w:spacing w:after="0" w:line="329" w:lineRule="auto"/>
        <w:tabs>
          <w:tab w:leader="none" w:pos="10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4.4.2</w:t>
      </w:r>
      <w:r>
        <w:rPr>
          <w:sz w:val="20"/>
          <w:szCs w:val="20"/>
          <w:color w:val="auto"/>
        </w:rPr>
        <w:tab/>
      </w:r>
      <w:r>
        <w:rPr>
          <w:rFonts w:ascii="Arial" w:cs="Arial" w:eastAsia="Arial" w:hAnsi="Arial"/>
          <w:sz w:val="13"/>
          <w:szCs w:val="13"/>
          <w:color w:val="auto"/>
        </w:rPr>
        <w:t>To the extent that a payment received from a Sublicensee represents an unallocated combined payment for both (a) a Sublicense or option or other right to obtain a Sublicense of the Licensor Patent Rights as well as (b) [***], such payment from such sublicensing arrangement for calculating payments due to Licensor for Non-Royalty Sublicense Income would be reasonably allocated between such Licensor Patent Rights and such other items described in clause (b) [***]; provided that (x) [***] and (y) [***].</w:t>
      </w:r>
    </w:p>
    <w:p>
      <w:pPr>
        <w:spacing w:after="0" w:line="41" w:lineRule="exact"/>
        <w:rPr>
          <w:sz w:val="20"/>
          <w:szCs w:val="20"/>
          <w:color w:val="auto"/>
        </w:rPr>
      </w:pPr>
    </w:p>
    <w:p>
      <w:pPr>
        <w:ind w:left="1040" w:right="100" w:hanging="565"/>
        <w:spacing w:after="0" w:line="266" w:lineRule="auto"/>
        <w:tabs>
          <w:tab w:leader="none" w:pos="1020" w:val="left"/>
        </w:tabs>
        <w:rPr>
          <w:sz w:val="20"/>
          <w:szCs w:val="20"/>
          <w:color w:val="auto"/>
        </w:rPr>
      </w:pPr>
      <w:r>
        <w:rPr>
          <w:rFonts w:ascii="Arial" w:cs="Arial" w:eastAsia="Arial" w:hAnsi="Arial"/>
          <w:sz w:val="16"/>
          <w:szCs w:val="16"/>
          <w:color w:val="auto"/>
        </w:rPr>
        <w:t>4.4.3</w:t>
      </w:r>
      <w:r>
        <w:rPr>
          <w:sz w:val="20"/>
          <w:szCs w:val="20"/>
          <w:color w:val="auto"/>
        </w:rPr>
        <w:tab/>
      </w:r>
      <w:r>
        <w:rPr>
          <w:rFonts w:ascii="Arial" w:cs="Arial" w:eastAsia="Arial" w:hAnsi="Arial"/>
          <w:sz w:val="16"/>
          <w:szCs w:val="16"/>
          <w:color w:val="auto"/>
        </w:rPr>
        <w:t>To the extent a payment received from a Sublicensee will be attributed to Funding Reserve, [***], and such Funding Reserve shall not be deemed Non-Royalty Sublicense Income, provided, that, [***].</w:t>
      </w:r>
    </w:p>
    <w:p>
      <w:pPr>
        <w:spacing w:after="0" w:line="76"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4.4.4</w:t>
      </w:r>
      <w:r>
        <w:rPr>
          <w:sz w:val="20"/>
          <w:szCs w:val="20"/>
          <w:color w:val="auto"/>
        </w:rPr>
        <w:tab/>
      </w:r>
      <w:r>
        <w:rPr>
          <w:rFonts w:ascii="Arial" w:cs="Arial" w:eastAsia="Arial" w:hAnsi="Arial"/>
          <w:sz w:val="13"/>
          <w:szCs w:val="13"/>
          <w:color w:val="auto"/>
        </w:rPr>
        <w:t>Licensee will make payment with respect to Non-Royalty Sublicense Income to Licensor on or before the following dates:</w:t>
      </w:r>
    </w:p>
    <w:p>
      <w:pPr>
        <w:spacing w:after="0" w:line="111" w:lineRule="exact"/>
        <w:rPr>
          <w:sz w:val="20"/>
          <w:szCs w:val="20"/>
          <w:color w:val="auto"/>
        </w:rPr>
      </w:pPr>
    </w:p>
    <w:p>
      <w:pPr>
        <w:ind w:left="1520" w:right="200" w:hanging="477"/>
        <w:spacing w:after="0" w:line="266" w:lineRule="auto"/>
        <w:tabs>
          <w:tab w:leader="none" w:pos="152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for any Non-Royalty Sublicense Income received by Licensee in the calendar quarter ending December 31, of the prior year;</w:t>
      </w:r>
    </w:p>
    <w:p>
      <w:pPr>
        <w:spacing w:after="0" w:line="75" w:lineRule="exact"/>
        <w:rPr>
          <w:rFonts w:ascii="Arial" w:cs="Arial" w:eastAsia="Arial" w:hAnsi="Arial"/>
          <w:sz w:val="16"/>
          <w:szCs w:val="16"/>
          <w:color w:val="auto"/>
        </w:rPr>
      </w:pPr>
    </w:p>
    <w:p>
      <w:pPr>
        <w:ind w:left="1520" w:right="160" w:hanging="477"/>
        <w:spacing w:after="0" w:line="266" w:lineRule="auto"/>
        <w:tabs>
          <w:tab w:leader="none" w:pos="152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for any Non-Royalty Sublicense Income received by Licensee in the calendar quarter ending March 31 of such calendar year;</w:t>
      </w:r>
    </w:p>
    <w:p>
      <w:pPr>
        <w:spacing w:after="0" w:line="75" w:lineRule="exact"/>
        <w:rPr>
          <w:rFonts w:ascii="Arial" w:cs="Arial" w:eastAsia="Arial" w:hAnsi="Arial"/>
          <w:sz w:val="16"/>
          <w:szCs w:val="16"/>
          <w:color w:val="auto"/>
        </w:rPr>
      </w:pPr>
    </w:p>
    <w:p>
      <w:pPr>
        <w:ind w:left="1520" w:right="460" w:hanging="477"/>
        <w:spacing w:after="0" w:line="266" w:lineRule="auto"/>
        <w:tabs>
          <w:tab w:leader="none" w:pos="152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for any Non-Royalty Sublicense Income received by Licensee in the calendar quarter ending September 30 of such calendar year.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3"/>
          <w:szCs w:val="13"/>
          <w:b w:val="1"/>
          <w:bCs w:val="1"/>
          <w:color w:val="auto"/>
        </w:rPr>
        <w:t>Mode of Payment and Currency</w:t>
      </w:r>
      <w:r>
        <w:rPr>
          <w:rFonts w:ascii="Arial" w:cs="Arial" w:eastAsia="Arial" w:hAnsi="Arial"/>
          <w:sz w:val="13"/>
          <w:szCs w:val="13"/>
          <w:color w:val="auto"/>
        </w:rPr>
        <w:t>. All payments to Licensor hereunder shall be made by deposit of USD in the requisite amount to “UT</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Southwestern” and will be made by delivery by ACH/WIRE as follows:</w:t>
      </w:r>
    </w:p>
    <w:p>
      <w:pPr>
        <w:spacing w:after="0" w:line="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p>
    <w:p>
      <w:pPr>
        <w:spacing w:after="0" w:line="99" w:lineRule="exact"/>
        <w:rPr>
          <w:sz w:val="20"/>
          <w:szCs w:val="20"/>
          <w:color w:val="auto"/>
        </w:rPr>
      </w:pPr>
    </w:p>
    <w:p>
      <w:pPr>
        <w:ind w:left="480" w:right="60"/>
        <w:spacing w:after="0" w:line="266" w:lineRule="auto"/>
        <w:rPr>
          <w:sz w:val="20"/>
          <w:szCs w:val="20"/>
          <w:color w:val="auto"/>
        </w:rPr>
      </w:pPr>
      <w:r>
        <w:rPr>
          <w:rFonts w:ascii="Arial" w:cs="Arial" w:eastAsia="Arial" w:hAnsi="Arial"/>
          <w:sz w:val="16"/>
          <w:szCs w:val="16"/>
          <w:color w:val="auto"/>
        </w:rPr>
        <w:t>Prior to the initiation of any ACH/WIRE, Licensee must send an email to [***] for identification and documentation purposes. Such email shall include the following information:</w:t>
      </w:r>
    </w:p>
    <w:p>
      <w:pPr>
        <w:spacing w:after="0" w:line="76" w:lineRule="exact"/>
        <w:rPr>
          <w:sz w:val="20"/>
          <w:szCs w:val="20"/>
          <w:color w:val="auto"/>
        </w:rPr>
      </w:pPr>
    </w:p>
    <w:p>
      <w:pPr>
        <w:ind w:left="1520" w:hanging="477"/>
        <w:spacing w:after="0"/>
        <w:tabs>
          <w:tab w:leader="none" w:pos="152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amount of the ACH/WIRE payment and the date the ACH/WIRE payment is expected;</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Sub-ledger account and account;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Any pertinent information that can be used to identify the payment from Licensee.</w:t>
      </w:r>
    </w:p>
    <w:p>
      <w:pPr>
        <w:spacing w:after="0" w:line="99" w:lineRule="exact"/>
        <w:rPr>
          <w:sz w:val="20"/>
          <w:szCs w:val="20"/>
          <w:color w:val="auto"/>
        </w:rPr>
      </w:pPr>
    </w:p>
    <w:p>
      <w:pPr>
        <w:ind w:left="480" w:right="20"/>
        <w:spacing w:after="0" w:line="256" w:lineRule="auto"/>
        <w:rPr>
          <w:sz w:val="20"/>
          <w:szCs w:val="20"/>
          <w:color w:val="auto"/>
        </w:rPr>
      </w:pPr>
      <w:r>
        <w:rPr>
          <w:rFonts w:ascii="Arial" w:cs="Arial" w:eastAsia="Arial" w:hAnsi="Arial"/>
          <w:sz w:val="16"/>
          <w:szCs w:val="16"/>
          <w:color w:val="auto"/>
        </w:rPr>
        <w:t>Payments under this Agreement shall be made in USD. All Royalties payable shall be calculated first in the currency of the jurisdiction in which payment was made, and if not in the United States, then converted into USD. The exchange rate for such conversion shall be [***] for such Royalty payment made.</w:t>
      </w:r>
    </w:p>
    <w:p>
      <w:pPr>
        <w:spacing w:after="0" w:line="79" w:lineRule="exact"/>
        <w:rPr>
          <w:sz w:val="20"/>
          <w:szCs w:val="20"/>
          <w:color w:val="auto"/>
        </w:rPr>
      </w:pPr>
    </w:p>
    <w:p>
      <w:pPr>
        <w:ind w:left="460" w:right="120" w:hanging="471"/>
        <w:spacing w:after="0" w:line="259" w:lineRule="auto"/>
        <w:tabs>
          <w:tab w:leader="none" w:pos="44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b w:val="1"/>
          <w:bCs w:val="1"/>
          <w:color w:val="auto"/>
        </w:rPr>
        <w:t>Royalty and Non-Royalty Sublicense Income Reports</w:t>
      </w:r>
      <w:r>
        <w:rPr>
          <w:rFonts w:ascii="Arial" w:cs="Arial" w:eastAsia="Arial" w:hAnsi="Arial"/>
          <w:sz w:val="16"/>
          <w:szCs w:val="16"/>
          <w:color w:val="auto"/>
        </w:rPr>
        <w:t>. Within [***] after the end of each calendar quarter (i.e. [***]), Licensee shall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to Licensor a report (“</w:t>
      </w:r>
      <w:r>
        <w:rPr>
          <w:rFonts w:ascii="Arial" w:cs="Arial" w:eastAsia="Arial" w:hAnsi="Arial"/>
          <w:sz w:val="16"/>
          <w:szCs w:val="16"/>
          <w:b w:val="1"/>
          <w:bCs w:val="1"/>
          <w:color w:val="auto"/>
        </w:rPr>
        <w:t>Financial Report</w:t>
      </w:r>
      <w:r>
        <w:rPr>
          <w:rFonts w:ascii="Arial" w:cs="Arial" w:eastAsia="Arial" w:hAnsi="Arial"/>
          <w:sz w:val="16"/>
          <w:szCs w:val="16"/>
          <w:color w:val="auto"/>
        </w:rPr>
        <w:t>”) setting out all details necessary to calculate the Commercial Milestone Payment, Royalty and Non-Royalty Sublicense Income due under this Article 4 for such calendar quarter, including:</w:t>
      </w:r>
    </w:p>
    <w:p>
      <w:pPr>
        <w:spacing w:after="0" w:line="80" w:lineRule="exact"/>
        <w:rPr>
          <w:sz w:val="20"/>
          <w:szCs w:val="20"/>
          <w:color w:val="auto"/>
        </w:rPr>
      </w:pPr>
    </w:p>
    <w:p>
      <w:pPr>
        <w:ind w:left="1040" w:right="500" w:hanging="565"/>
        <w:spacing w:after="0" w:line="266" w:lineRule="auto"/>
        <w:tabs>
          <w:tab w:leader="none" w:pos="1020" w:val="left"/>
        </w:tabs>
        <w:rPr>
          <w:sz w:val="20"/>
          <w:szCs w:val="20"/>
          <w:color w:val="auto"/>
        </w:rPr>
      </w:pPr>
      <w:r>
        <w:rPr>
          <w:rFonts w:ascii="Arial" w:cs="Arial" w:eastAsia="Arial" w:hAnsi="Arial"/>
          <w:sz w:val="16"/>
          <w:szCs w:val="16"/>
          <w:color w:val="auto"/>
        </w:rPr>
        <w:t>4.6.1</w:t>
      </w:r>
      <w:r>
        <w:rPr>
          <w:sz w:val="20"/>
          <w:szCs w:val="20"/>
          <w:color w:val="auto"/>
        </w:rPr>
        <w:tab/>
      </w:r>
      <w:r>
        <w:rPr>
          <w:rFonts w:ascii="Arial" w:cs="Arial" w:eastAsia="Arial" w:hAnsi="Arial"/>
          <w:sz w:val="16"/>
          <w:szCs w:val="16"/>
          <w:color w:val="auto"/>
        </w:rPr>
        <w:t>Number of each Product Sold by Licensee, its Affiliates and Sublicensees in each country, the corresponding name of each such Product;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580"/>
          </w:cols>
          <w:pgMar w:left="1140" w:top="256" w:right="1179" w:bottom="1440" w:gutter="0" w:footer="0" w:header="0"/>
        </w:sectPr>
      </w:pPr>
    </w:p>
    <w:bookmarkStart w:id="535" w:name="page536"/>
    <w:bookmarkEnd w:id="535"/>
    <w:p>
      <w:pPr>
        <w:ind w:left="460"/>
        <w:spacing w:after="0"/>
        <w:tabs>
          <w:tab w:leader="none" w:pos="10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90105" cy="34290"/>
                    </a:xfrm>
                    <a:prstGeom prst="rect">
                      <a:avLst/>
                    </a:prstGeom>
                    <a:noFill/>
                  </pic:spPr>
                </pic:pic>
              </a:graphicData>
            </a:graphic>
          </wp:anchor>
        </w:drawing>
        <w:t>4.6.2</w:t>
      </w:r>
      <w:r>
        <w:rPr>
          <w:sz w:val="20"/>
          <w:szCs w:val="20"/>
          <w:color w:val="auto"/>
        </w:rPr>
        <w:tab/>
      </w:r>
      <w:r>
        <w:rPr>
          <w:rFonts w:ascii="Arial" w:cs="Arial" w:eastAsia="Arial" w:hAnsi="Arial"/>
          <w:sz w:val="13"/>
          <w:szCs w:val="13"/>
          <w:color w:val="auto"/>
        </w:rPr>
        <w:t>Gross Sales and Net Sales of each Product made by Licensee, its Affiliates and Sublicensees;</w:t>
      </w:r>
    </w:p>
    <w:p>
      <w:pPr>
        <w:spacing w:after="0" w:line="11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4.6.3</w:t>
      </w:r>
      <w:r>
        <w:rPr>
          <w:sz w:val="20"/>
          <w:szCs w:val="20"/>
          <w:color w:val="auto"/>
        </w:rPr>
        <w:tab/>
      </w:r>
      <w:r>
        <w:rPr>
          <w:rFonts w:ascii="Arial" w:cs="Arial" w:eastAsia="Arial" w:hAnsi="Arial"/>
          <w:sz w:val="13"/>
          <w:szCs w:val="13"/>
          <w:color w:val="auto"/>
        </w:rPr>
        <w:t>Royalties payable on Net Sales in U.S. Dollars;</w:t>
      </w:r>
    </w:p>
    <w:p>
      <w:pPr>
        <w:spacing w:after="0" w:line="11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4.6.4</w:t>
      </w:r>
      <w:r>
        <w:rPr>
          <w:sz w:val="20"/>
          <w:szCs w:val="20"/>
          <w:color w:val="auto"/>
        </w:rPr>
        <w:tab/>
      </w:r>
      <w:r>
        <w:rPr>
          <w:rFonts w:ascii="Arial" w:cs="Arial" w:eastAsia="Arial" w:hAnsi="Arial"/>
          <w:sz w:val="13"/>
          <w:szCs w:val="13"/>
          <w:color w:val="auto"/>
        </w:rPr>
        <w:t>Non-Royalty Sublicense Income received;</w:t>
      </w:r>
    </w:p>
    <w:p>
      <w:pPr>
        <w:spacing w:after="0" w:line="11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4.6.5</w:t>
      </w:r>
      <w:r>
        <w:rPr>
          <w:sz w:val="20"/>
          <w:szCs w:val="20"/>
          <w:color w:val="auto"/>
        </w:rPr>
        <w:tab/>
      </w:r>
      <w:r>
        <w:rPr>
          <w:rFonts w:ascii="Arial" w:cs="Arial" w:eastAsia="Arial" w:hAnsi="Arial"/>
          <w:sz w:val="13"/>
          <w:szCs w:val="13"/>
          <w:color w:val="auto"/>
        </w:rPr>
        <w:t>The currency exchange rates (if any) used to calculate the Royalties and Licensor Non-Royalty Sublicense Income;</w:t>
      </w:r>
    </w:p>
    <w:p>
      <w:pPr>
        <w:spacing w:after="0" w:line="11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4.6.6</w:t>
      </w:r>
      <w:r>
        <w:rPr>
          <w:sz w:val="20"/>
          <w:szCs w:val="20"/>
          <w:color w:val="auto"/>
        </w:rPr>
        <w:tab/>
      </w:r>
      <w:r>
        <w:rPr>
          <w:rFonts w:ascii="Arial" w:cs="Arial" w:eastAsia="Arial" w:hAnsi="Arial"/>
          <w:sz w:val="13"/>
          <w:szCs w:val="13"/>
          <w:color w:val="auto"/>
        </w:rPr>
        <w:t>A specification of all deductions and their dollar value that were taken to calculate Net Sales;</w:t>
      </w:r>
    </w:p>
    <w:p>
      <w:pPr>
        <w:spacing w:after="0" w:line="111" w:lineRule="exact"/>
        <w:rPr>
          <w:sz w:val="20"/>
          <w:szCs w:val="20"/>
          <w:color w:val="auto"/>
        </w:rPr>
      </w:pPr>
    </w:p>
    <w:p>
      <w:pPr>
        <w:ind w:left="1040" w:right="760" w:hanging="565"/>
        <w:spacing w:after="0" w:line="266" w:lineRule="auto"/>
        <w:tabs>
          <w:tab w:leader="none" w:pos="1020" w:val="left"/>
        </w:tabs>
        <w:rPr>
          <w:sz w:val="20"/>
          <w:szCs w:val="20"/>
          <w:color w:val="auto"/>
        </w:rPr>
      </w:pPr>
      <w:r>
        <w:rPr>
          <w:rFonts w:ascii="Arial" w:cs="Arial" w:eastAsia="Arial" w:hAnsi="Arial"/>
          <w:sz w:val="16"/>
          <w:szCs w:val="16"/>
          <w:color w:val="auto"/>
        </w:rPr>
        <w:t>4.6.7</w:t>
      </w:r>
      <w:r>
        <w:rPr>
          <w:sz w:val="20"/>
          <w:szCs w:val="20"/>
          <w:color w:val="auto"/>
        </w:rPr>
        <w:tab/>
      </w:r>
      <w:r>
        <w:rPr>
          <w:rFonts w:ascii="Arial" w:cs="Arial" w:eastAsia="Arial" w:hAnsi="Arial"/>
          <w:sz w:val="16"/>
          <w:szCs w:val="16"/>
          <w:color w:val="auto"/>
        </w:rPr>
        <w:t>Date of First Commercial Sale in the United States (this need only be reported in the first royalty report following such First Commercial Sale in the United States).</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Each Financial Report shall be in the form of the sample report attached hereto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w:t>
      </w:r>
    </w:p>
    <w:p>
      <w:pPr>
        <w:spacing w:after="0" w:line="111" w:lineRule="exact"/>
        <w:rPr>
          <w:sz w:val="20"/>
          <w:szCs w:val="20"/>
          <w:color w:val="auto"/>
        </w:rPr>
      </w:pPr>
    </w:p>
    <w:p>
      <w:pPr>
        <w:ind w:left="460" w:hanging="471"/>
        <w:spacing w:after="0" w:line="259" w:lineRule="auto"/>
        <w:tabs>
          <w:tab w:leader="none" w:pos="44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6"/>
          <w:szCs w:val="16"/>
          <w:b w:val="1"/>
          <w:bCs w:val="1"/>
          <w:color w:val="auto"/>
        </w:rPr>
        <w:t>Change of Control Fee</w:t>
      </w:r>
      <w:r>
        <w:rPr>
          <w:rFonts w:ascii="Arial" w:cs="Arial" w:eastAsia="Arial" w:hAnsi="Arial"/>
          <w:sz w:val="16"/>
          <w:szCs w:val="16"/>
          <w:color w:val="auto"/>
        </w:rPr>
        <w:t>. In partial consideration for the License, upon the first Change of Control event of Licensee, if at the time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 of Control Licensee has [***] a Product and development (or commercialization) of such Product is ongoing, Licensee will pay Licensor a non-refundable, one-time payment of: (a) [***] or (b) [***].</w:t>
      </w:r>
    </w:p>
    <w:p>
      <w:pPr>
        <w:spacing w:after="0" w:line="76" w:lineRule="exact"/>
        <w:rPr>
          <w:sz w:val="20"/>
          <w:szCs w:val="20"/>
          <w:color w:val="auto"/>
        </w:rPr>
      </w:pPr>
    </w:p>
    <w:p>
      <w:pPr>
        <w:ind w:left="460" w:right="420" w:hanging="471"/>
        <w:spacing w:after="0" w:line="388" w:lineRule="auto"/>
        <w:tabs>
          <w:tab w:leader="none" w:pos="44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3"/>
          <w:szCs w:val="13"/>
          <w:b w:val="1"/>
          <w:bCs w:val="1"/>
          <w:color w:val="auto"/>
        </w:rPr>
        <w:t>Late Payments</w:t>
      </w:r>
      <w:r>
        <w:rPr>
          <w:rFonts w:ascii="Arial" w:cs="Arial" w:eastAsia="Arial" w:hAnsi="Arial"/>
          <w:sz w:val="13"/>
          <w:szCs w:val="13"/>
          <w:color w:val="auto"/>
        </w:rPr>
        <w:t>. Any failure by Licensee to make a payment within [***] after the date when due shall obligate Licensee to pay computed</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 the interest period commencing on the due date and ending on the actual payment date, to Licensor at a rate [***].</w:t>
      </w:r>
    </w:p>
    <w:p>
      <w:pPr>
        <w:ind w:left="460" w:right="380" w:hanging="471"/>
        <w:spacing w:after="0" w:line="272" w:lineRule="auto"/>
        <w:tabs>
          <w:tab w:leader="none" w:pos="44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6"/>
          <w:szCs w:val="16"/>
          <w:b w:val="1"/>
          <w:bCs w:val="1"/>
          <w:color w:val="auto"/>
        </w:rPr>
        <w:t>Accounting</w:t>
      </w:r>
      <w:r>
        <w:rPr>
          <w:rFonts w:ascii="Arial" w:cs="Arial" w:eastAsia="Arial" w:hAnsi="Arial"/>
          <w:sz w:val="16"/>
          <w:szCs w:val="16"/>
          <w:color w:val="auto"/>
        </w:rPr>
        <w:t>. Each Party shall calculate all payment amounts, and perform other accounting procedures required, under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it in accordance with Accounting Standards.</w:t>
      </w:r>
    </w:p>
    <w:p>
      <w:pPr>
        <w:spacing w:after="0" w:line="66" w:lineRule="exact"/>
        <w:rPr>
          <w:sz w:val="20"/>
          <w:szCs w:val="20"/>
          <w:color w:val="auto"/>
        </w:rPr>
      </w:pPr>
    </w:p>
    <w:p>
      <w:pPr>
        <w:jc w:val="both"/>
        <w:ind w:left="460" w:right="220" w:hanging="471"/>
        <w:spacing w:after="0" w:line="259" w:lineRule="auto"/>
        <w:tabs>
          <w:tab w:leader="none" w:pos="440" w:val="left"/>
        </w:tabs>
        <w:rPr>
          <w:sz w:val="20"/>
          <w:szCs w:val="20"/>
          <w:color w:val="auto"/>
        </w:rPr>
      </w:pPr>
      <w:r>
        <w:rPr>
          <w:rFonts w:ascii="Arial" w:cs="Arial" w:eastAsia="Arial" w:hAnsi="Arial"/>
          <w:sz w:val="16"/>
          <w:szCs w:val="16"/>
          <w:color w:val="auto"/>
        </w:rPr>
        <w:t>4.10</w:t>
      </w:r>
      <w:r>
        <w:rPr>
          <w:sz w:val="20"/>
          <w:szCs w:val="20"/>
          <w:color w:val="auto"/>
        </w:rPr>
        <w:tab/>
      </w:r>
      <w:r>
        <w:rPr>
          <w:rFonts w:ascii="Arial" w:cs="Arial" w:eastAsia="Arial" w:hAnsi="Arial"/>
          <w:sz w:val="16"/>
          <w:szCs w:val="16"/>
          <w:b w:val="1"/>
          <w:bCs w:val="1"/>
          <w:color w:val="auto"/>
        </w:rPr>
        <w:t>Books and Records</w:t>
      </w:r>
      <w:r>
        <w:rPr>
          <w:rFonts w:ascii="Arial" w:cs="Arial" w:eastAsia="Arial" w:hAnsi="Arial"/>
          <w:sz w:val="16"/>
          <w:szCs w:val="16"/>
          <w:color w:val="auto"/>
        </w:rPr>
        <w:t>. Licensee will keep accurate books and records of all Products as necessary for the purpose of showing amounts owed to</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under this Agreement. Licensee will preserve these books and records for [***] from the date of the Financial Report to which they pertain.</w:t>
      </w:r>
    </w:p>
    <w:p>
      <w:pPr>
        <w:spacing w:after="0" w:line="76" w:lineRule="exact"/>
        <w:rPr>
          <w:sz w:val="20"/>
          <w:szCs w:val="20"/>
          <w:color w:val="auto"/>
        </w:rPr>
      </w:pPr>
    </w:p>
    <w:p>
      <w:pPr>
        <w:ind w:left="460" w:right="20" w:hanging="471"/>
        <w:spacing w:after="0" w:line="266" w:lineRule="auto"/>
        <w:tabs>
          <w:tab w:leader="none" w:pos="44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5"/>
          <w:szCs w:val="15"/>
          <w:b w:val="1"/>
          <w:bCs w:val="1"/>
          <w:color w:val="auto"/>
        </w:rPr>
        <w:t>Audits</w:t>
      </w:r>
      <w:r>
        <w:rPr>
          <w:rFonts w:ascii="Arial" w:cs="Arial" w:eastAsia="Arial" w:hAnsi="Arial"/>
          <w:sz w:val="15"/>
          <w:szCs w:val="15"/>
          <w:color w:val="auto"/>
        </w:rPr>
        <w:t>. Licensor, at its own cost, through an independent auditor reasonably acceptable to Licensee (and who has executed an appropriate</w:t>
      </w:r>
      <w:r>
        <w:rPr>
          <w:rFonts w:ascii="Arial" w:cs="Arial" w:eastAsia="Arial" w:hAnsi="Arial"/>
          <w:sz w:val="15"/>
          <w:szCs w:val="15"/>
          <w:b w:val="1"/>
          <w:bCs w:val="1"/>
          <w:color w:val="auto"/>
        </w:rPr>
        <w:t xml:space="preserve"> </w:t>
      </w:r>
      <w:r>
        <w:rPr>
          <w:rFonts w:ascii="Arial" w:cs="Arial" w:eastAsia="Arial" w:hAnsi="Arial"/>
          <w:sz w:val="15"/>
          <w:szCs w:val="15"/>
          <w:color w:val="auto"/>
        </w:rPr>
        <w:t>confidentiality agreement reasonably acceptable to Licensee that requires the auditor to keep any information learned by it confidential except as needed to report its audit conclusions to Licensor), may inspect and audit the relevant records of Licensee pertaining to the calculation of any Royalties and Licensor Non-Royalty Sublicense Income due to Licensor under this Agreement. Licensee shall provide such auditors with access to the records during reasonable business hours. Such access need not be given more often than [***] or [***] after the date of any report to be audited. Licensor shall provide Licensee with written notice of its election to inspect and audit the records related to the amounts due hereunder not less than [***] prior to the proposed date of review of Licensee’s records by Licensor’s auditors. Should the auditor find any underpayment of Royalties or Licensor Non-Royalty Sublicense Income by Licensee, Licensee shall promptly pay Licensor the amount of such underpayment and should such underpayment [***] (a) [***] and (b) [***] during the time period audited then Licensee shall reimburse Licensor for [***] costs incurred by Licensor for such audit. If the auditor finds overpayment by Licensee, then Licensee shall have the right to deduct the overpayment from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00"/>
          </w:cols>
          <w:pgMar w:left="1140" w:top="256" w:right="1159" w:bottom="1440" w:gutter="0" w:footer="0" w:header="0"/>
        </w:sectPr>
      </w:pPr>
    </w:p>
    <w:bookmarkStart w:id="536" w:name="page537"/>
    <w:bookmarkEnd w:id="536"/>
    <w:p>
      <w:pPr>
        <w:ind w:left="460" w:right="200"/>
        <w:spacing w:after="0" w:line="32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any future royalties due to Licensor by Licensee or, if no such future royalties are payable, then Licensor shall refund the overpayment to Licensee within [***] after Licensor receives the audit report. Licensee may designate competitively sensitive information which such auditor may see and review but which it may not disclose to Licensor; provided, however, that such designation shall not restrict the auditor’s investigation or conclusions. The results of such audit shall be the Confidential Information of Licensee and once Licensor has audited a particular period, it may not audit that same period again, unless for cause that calls into question the validity of the prior audit.</w:t>
      </w:r>
    </w:p>
    <w:p>
      <w:pPr>
        <w:spacing w:after="0" w:line="39" w:lineRule="exact"/>
        <w:rPr>
          <w:sz w:val="20"/>
          <w:szCs w:val="20"/>
          <w:color w:val="auto"/>
        </w:rPr>
      </w:pPr>
    </w:p>
    <w:p>
      <w:pPr>
        <w:ind w:left="460" w:right="60" w:hanging="471"/>
        <w:spacing w:after="0" w:line="272" w:lineRule="auto"/>
        <w:tabs>
          <w:tab w:leader="none" w:pos="440" w:val="left"/>
        </w:tabs>
        <w:rPr>
          <w:sz w:val="20"/>
          <w:szCs w:val="20"/>
          <w:color w:val="auto"/>
        </w:rPr>
      </w:pPr>
      <w:r>
        <w:rPr>
          <w:rFonts w:ascii="Arial" w:cs="Arial" w:eastAsia="Arial" w:hAnsi="Arial"/>
          <w:sz w:val="16"/>
          <w:szCs w:val="16"/>
          <w:color w:val="auto"/>
        </w:rPr>
        <w:t>4.12</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 All payments made by Licensee under the Agreement shall be made free and clear of and without any deduction for or on account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Taxes.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INTELLECTUAL PROPERTY</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3"/>
          <w:szCs w:val="13"/>
          <w:b w:val="1"/>
          <w:bCs w:val="1"/>
          <w:color w:val="auto"/>
        </w:rPr>
        <w:t>Patent Filing Prosecution and Maintenance</w:t>
      </w:r>
      <w:r>
        <w:rPr>
          <w:rFonts w:ascii="Arial" w:cs="Arial" w:eastAsia="Arial" w:hAnsi="Arial"/>
          <w:sz w:val="13"/>
          <w:szCs w:val="13"/>
          <w:color w:val="auto"/>
        </w:rPr>
        <w:t>.</w:t>
      </w:r>
    </w:p>
    <w:p>
      <w:pPr>
        <w:spacing w:after="0" w:line="115" w:lineRule="exact"/>
        <w:rPr>
          <w:sz w:val="20"/>
          <w:szCs w:val="20"/>
          <w:color w:val="auto"/>
        </w:rPr>
      </w:pPr>
    </w:p>
    <w:p>
      <w:pPr>
        <w:ind w:left="1040" w:hanging="565"/>
        <w:spacing w:after="0" w:line="307" w:lineRule="auto"/>
        <w:tabs>
          <w:tab w:leader="none" w:pos="102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3"/>
          <w:szCs w:val="13"/>
          <w:color w:val="auto"/>
        </w:rPr>
        <w:t>Licensor Patent Rights will be held in the name of Licensor and obtained with counsel selected by Licensor and reasonably acceptable to Licensee (“</w:t>
      </w:r>
      <w:r>
        <w:rPr>
          <w:rFonts w:ascii="Arial" w:cs="Arial" w:eastAsia="Arial" w:hAnsi="Arial"/>
          <w:sz w:val="13"/>
          <w:szCs w:val="13"/>
          <w:b w:val="1"/>
          <w:bCs w:val="1"/>
          <w:color w:val="auto"/>
        </w:rPr>
        <w:t>Patent Counsel</w:t>
      </w:r>
      <w:r>
        <w:rPr>
          <w:rFonts w:ascii="Arial" w:cs="Arial" w:eastAsia="Arial" w:hAnsi="Arial"/>
          <w:sz w:val="13"/>
          <w:szCs w:val="13"/>
          <w:color w:val="auto"/>
        </w:rPr>
        <w:t>”). Licensor shall control all actions and decisions with respect to the filing, prosecution and maintenance of Licensor Patent Rights and will incorporate any reasonable comments or suggestions by Licensee with respect thereto; provided that, Licensor shall not file a continuation-in-part with respect to any Licensor Patent Right without Licensee’s prior written consent. Subject to the foregoing, Licensor shall have the right to make all final decisions as to the prosecution strategy for all Licensor Patent Rights; provided Licensee shall be consulted in a timely fashion with respect to the prosecution strategy of the Licensor Patent Rights. Licensor will cause Patent Counsel to provide to Licensee for Licensee’s review and comment (in the case of any filing or submission, prior to any filing or submission), copies of all correspondence related to Licensor Patent Rights (including all copies of patent applications, office action, response to office action, request for terminal disclaimer, and request for reissue or reexamination of any patent or patent application) and to confer with Licensee in regards to the preparation, filing, prosecution and maintenance of Licensor Patent Rights. In the event Licensor elects to forego or abandon filing, prosecution or maintenance of any of the Licensor Patent Rights, Licensor will notify Licensee of such election at least [***] prior to any act of abandonment and any filing or payment due date, or any other due date that requires action (“</w:t>
      </w:r>
      <w:r>
        <w:rPr>
          <w:rFonts w:ascii="Arial" w:cs="Arial" w:eastAsia="Arial" w:hAnsi="Arial"/>
          <w:sz w:val="13"/>
          <w:szCs w:val="13"/>
          <w:b w:val="1"/>
          <w:bCs w:val="1"/>
          <w:color w:val="auto"/>
        </w:rPr>
        <w:t>Election Notice</w:t>
      </w:r>
      <w:r>
        <w:rPr>
          <w:rFonts w:ascii="Arial" w:cs="Arial" w:eastAsia="Arial" w:hAnsi="Arial"/>
          <w:sz w:val="13"/>
          <w:szCs w:val="13"/>
          <w:color w:val="auto"/>
        </w:rPr>
        <w:t xml:space="preserve">”). Upon receipt of an Election Notice, Licensee will be entitled, upon written notice to Licensor, to require the continued prosecution or maintenance of such Licensor Patent Right in such country and Licensor shall comply with such requirement, provided that Licensor still desires to forego or abandon such Licensor Patent Rights. In such event, Licensee shall provide written instructions to Licensor as to the filing, prosecution and maintenance of such Licensor Patent Rights and Licensor shall incorporate in any submission or filing in connection therewith any instructions provided by Licensee. Notwithstanding the foregoing, if Licensee fails to provide written instructions to Licensor, Licensor may forgo and abandon such Licensor Patent Rights to the extent Licensor has provided at least [***] to provide such instructions. Without limiting the foregoing, Licensor shall file, prosecute and maintain the Licensor Patent Rights in the list of countries and territories identified on </w:t>
      </w:r>
      <w:r>
        <w:rPr>
          <w:rFonts w:ascii="Arial" w:cs="Arial" w:eastAsia="Arial" w:hAnsi="Arial"/>
          <w:sz w:val="13"/>
          <w:szCs w:val="13"/>
          <w:b w:val="1"/>
          <w:bCs w:val="1"/>
          <w:u w:val="single" w:color="auto"/>
          <w:color w:val="auto"/>
        </w:rPr>
        <w:t>Schedule 5.1.1</w:t>
      </w:r>
      <w:r>
        <w:rPr>
          <w:rFonts w:ascii="Arial" w:cs="Arial" w:eastAsia="Arial" w:hAnsi="Arial"/>
          <w:sz w:val="13"/>
          <w:szCs w:val="13"/>
          <w:color w:val="auto"/>
        </w:rPr>
        <w:t>, unless otherwise instructed by Licensee or Licensee elects to cease paying Patent Costs for such country or territory.</w:t>
      </w:r>
    </w:p>
    <w:p>
      <w:pPr>
        <w:spacing w:after="0" w:line="200" w:lineRule="exact"/>
        <w:rPr>
          <w:sz w:val="20"/>
          <w:szCs w:val="20"/>
          <w:color w:val="auto"/>
        </w:rPr>
      </w:pPr>
    </w:p>
    <w:p>
      <w:pPr>
        <w:spacing w:after="0" w:line="234" w:lineRule="exact"/>
        <w:rPr>
          <w:sz w:val="20"/>
          <w:szCs w:val="20"/>
          <w:color w:val="auto"/>
        </w:rPr>
      </w:pPr>
    </w:p>
    <w:p>
      <w:pPr>
        <w:ind w:left="1040" w:right="420" w:hanging="565"/>
        <w:spacing w:after="0" w:line="266" w:lineRule="auto"/>
        <w:tabs>
          <w:tab w:leader="none" w:pos="1020" w:val="left"/>
        </w:tabs>
        <w:rPr>
          <w:sz w:val="20"/>
          <w:szCs w:val="20"/>
          <w:color w:val="auto"/>
        </w:rPr>
      </w:pPr>
      <w:r>
        <w:rPr>
          <w:rFonts w:ascii="Arial" w:cs="Arial" w:eastAsia="Arial" w:hAnsi="Arial"/>
          <w:sz w:val="16"/>
          <w:szCs w:val="16"/>
          <w:color w:val="auto"/>
        </w:rPr>
        <w:t>5.1.2</w:t>
      </w:r>
      <w:r>
        <w:rPr>
          <w:sz w:val="20"/>
          <w:szCs w:val="20"/>
          <w:color w:val="auto"/>
        </w:rPr>
        <w:tab/>
      </w:r>
      <w:r>
        <w:rPr>
          <w:rFonts w:ascii="Arial" w:cs="Arial" w:eastAsia="Arial" w:hAnsi="Arial"/>
          <w:sz w:val="16"/>
          <w:szCs w:val="16"/>
          <w:color w:val="auto"/>
        </w:rPr>
        <w:t>Licensor will provide reasonable assistance to Licensee in connection with obtaining supplementary protection certificates for the Licensor Patent Rights at Licensee’s cost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600"/>
          </w:cols>
          <w:pgMar w:left="1140" w:top="256" w:right="1159" w:bottom="1440" w:gutter="0" w:footer="0" w:header="0"/>
        </w:sectPr>
      </w:pPr>
    </w:p>
    <w:bookmarkStart w:id="537" w:name="page538"/>
    <w:bookmarkEnd w:id="537"/>
    <w:p>
      <w:pPr>
        <w:ind w:left="1040" w:right="20"/>
        <w:spacing w:after="0" w:line="3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expense, and Licensor will provide reasonable assistance to Licensee in connection with obtaining patent term extensions or similar protection (such certificates, extension and protections, “</w:t>
      </w:r>
      <w:r>
        <w:rPr>
          <w:rFonts w:ascii="Arial" w:cs="Arial" w:eastAsia="Arial" w:hAnsi="Arial"/>
          <w:sz w:val="13"/>
          <w:szCs w:val="13"/>
          <w:b w:val="1"/>
          <w:bCs w:val="1"/>
          <w:color w:val="auto"/>
        </w:rPr>
        <w:t>Patent Extensions</w:t>
      </w:r>
      <w:r>
        <w:rPr>
          <w:rFonts w:ascii="Arial" w:cs="Arial" w:eastAsia="Arial" w:hAnsi="Arial"/>
          <w:sz w:val="13"/>
          <w:szCs w:val="13"/>
          <w:color w:val="auto"/>
        </w:rPr>
        <w:t>”) for Licensor Patent Rights with respect to the Products at Licensee’s cost and expense. Notwithstanding anything herein to the contrary, Licensee or its designee shall have the sole right to select any Licensor Patent Right for which a Patent Extension will be sought in connection with Regulatory Approval for each Product.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3"/>
          <w:szCs w:val="13"/>
          <w:b w:val="1"/>
          <w:bCs w:val="1"/>
          <w:color w:val="auto"/>
        </w:rPr>
        <w:t>Patent Costs</w:t>
      </w:r>
      <w:r>
        <w:rPr>
          <w:rFonts w:ascii="Arial" w:cs="Arial" w:eastAsia="Arial" w:hAnsi="Arial"/>
          <w:sz w:val="13"/>
          <w:szCs w:val="13"/>
          <w:color w:val="auto"/>
        </w:rPr>
        <w:t>.</w:t>
      </w:r>
    </w:p>
    <w:p>
      <w:pPr>
        <w:spacing w:after="0" w:line="115" w:lineRule="exact"/>
        <w:rPr>
          <w:sz w:val="20"/>
          <w:szCs w:val="20"/>
          <w:color w:val="auto"/>
        </w:rPr>
      </w:pPr>
    </w:p>
    <w:p>
      <w:pPr>
        <w:ind w:left="1040" w:hanging="565"/>
        <w:spacing w:after="0" w:line="315" w:lineRule="auto"/>
        <w:tabs>
          <w:tab w:leader="none" w:pos="1020" w:val="left"/>
        </w:tabs>
        <w:rPr>
          <w:sz w:val="20"/>
          <w:szCs w:val="20"/>
          <w:color w:val="auto"/>
        </w:rPr>
      </w:pPr>
      <w:r>
        <w:rPr>
          <w:rFonts w:ascii="Arial" w:cs="Arial" w:eastAsia="Arial" w:hAnsi="Arial"/>
          <w:sz w:val="16"/>
          <w:szCs w:val="16"/>
          <w:color w:val="auto"/>
        </w:rPr>
        <w:t>5.2.1</w:t>
      </w:r>
      <w:r>
        <w:rPr>
          <w:sz w:val="20"/>
          <w:szCs w:val="20"/>
          <w:color w:val="auto"/>
        </w:rPr>
        <w:tab/>
      </w:r>
      <w:r>
        <w:rPr>
          <w:rFonts w:ascii="Arial" w:cs="Arial" w:eastAsia="Arial" w:hAnsi="Arial"/>
          <w:sz w:val="13"/>
          <w:szCs w:val="13"/>
          <w:color w:val="auto"/>
        </w:rPr>
        <w:t>Licensee will bear all reasonable out-of-pocket costs for the filing, prosecution and maintenance of Licensor Patent Rights, including all reasonable documented accrued attorney fees, expenses, official and filing fees incurring during the Term (“</w:t>
      </w:r>
      <w:r>
        <w:rPr>
          <w:rFonts w:ascii="Arial" w:cs="Arial" w:eastAsia="Arial" w:hAnsi="Arial"/>
          <w:sz w:val="13"/>
          <w:szCs w:val="13"/>
          <w:b w:val="1"/>
          <w:bCs w:val="1"/>
          <w:color w:val="auto"/>
        </w:rPr>
        <w:t>Patent Costs</w:t>
      </w:r>
      <w:r>
        <w:rPr>
          <w:rFonts w:ascii="Arial" w:cs="Arial" w:eastAsia="Arial" w:hAnsi="Arial"/>
          <w:sz w:val="13"/>
          <w:szCs w:val="13"/>
          <w:color w:val="auto"/>
        </w:rPr>
        <w:t>”) incurred after the Effective Date and shall pay such amounts within [***] of receipt of an undisputed invoice for such Patent Costs. Licensee shall have the right to cease paying Patent Costs for a particular Patent Right or a Patent Right in a particular jurisdiction, in which case Licensee would retain a non-exclusive license under such Patent Right or such Patent Right in such jurisdiction, as applicable, unless Licensee ceased paying for such Patent Right in a Major Market. In the event Licensee ceases to pay Patent Costs for a Patent Right in a Major Market, the License for such Patent Right with respect to that Major market shall terminate and Licensee shall have no right with respect to that Patent Right in such Major Market, exclusive, non-exclusive or otherwise.</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3"/>
          <w:szCs w:val="13"/>
          <w:b w:val="1"/>
          <w:bCs w:val="1"/>
          <w:color w:val="auto"/>
        </w:rPr>
        <w:t>Infringement</w:t>
      </w:r>
      <w:r>
        <w:rPr>
          <w:rFonts w:ascii="Arial" w:cs="Arial" w:eastAsia="Arial" w:hAnsi="Arial"/>
          <w:sz w:val="13"/>
          <w:szCs w:val="13"/>
          <w:color w:val="auto"/>
        </w:rPr>
        <w:t>.</w:t>
      </w:r>
    </w:p>
    <w:p>
      <w:pPr>
        <w:spacing w:after="0" w:line="115" w:lineRule="exact"/>
        <w:rPr>
          <w:sz w:val="20"/>
          <w:szCs w:val="20"/>
          <w:color w:val="auto"/>
        </w:rPr>
      </w:pPr>
    </w:p>
    <w:p>
      <w:pPr>
        <w:ind w:left="1040" w:right="80" w:hanging="565"/>
        <w:spacing w:after="0" w:line="256" w:lineRule="auto"/>
        <w:tabs>
          <w:tab w:leader="none" w:pos="1020" w:val="left"/>
        </w:tabs>
        <w:rPr>
          <w:sz w:val="20"/>
          <w:szCs w:val="20"/>
          <w:color w:val="auto"/>
        </w:rPr>
      </w:pPr>
      <w:r>
        <w:rPr>
          <w:rFonts w:ascii="Arial" w:cs="Arial" w:eastAsia="Arial" w:hAnsi="Arial"/>
          <w:sz w:val="16"/>
          <w:szCs w:val="16"/>
          <w:color w:val="auto"/>
        </w:rPr>
        <w:t>5.3.1</w:t>
      </w:r>
      <w:r>
        <w:rPr>
          <w:sz w:val="20"/>
          <w:szCs w:val="20"/>
          <w:color w:val="auto"/>
        </w:rPr>
        <w:tab/>
      </w:r>
      <w:r>
        <w:rPr>
          <w:rFonts w:ascii="Arial" w:cs="Arial" w:eastAsia="Arial" w:hAnsi="Arial"/>
          <w:sz w:val="16"/>
          <w:szCs w:val="16"/>
          <w:color w:val="auto"/>
        </w:rPr>
        <w:t>If either Party believes that an infringement by a Third Party with respect to any Licensor Patent Right is occurring, the knowledgeable Party will provide the other Party with (a) written notice of such infringement or potential infringement and (b) evidence of such infringement (the “</w:t>
      </w:r>
      <w:r>
        <w:rPr>
          <w:rFonts w:ascii="Arial" w:cs="Arial" w:eastAsia="Arial" w:hAnsi="Arial"/>
          <w:sz w:val="16"/>
          <w:szCs w:val="16"/>
          <w:b w:val="1"/>
          <w:bCs w:val="1"/>
          <w:color w:val="auto"/>
        </w:rPr>
        <w:t>Infringement Notice</w:t>
      </w:r>
      <w:r>
        <w:rPr>
          <w:rFonts w:ascii="Arial" w:cs="Arial" w:eastAsia="Arial" w:hAnsi="Arial"/>
          <w:sz w:val="16"/>
          <w:szCs w:val="16"/>
          <w:color w:val="auto"/>
        </w:rPr>
        <w:t>”).</w:t>
      </w:r>
    </w:p>
    <w:p>
      <w:pPr>
        <w:spacing w:after="0" w:line="83" w:lineRule="exact"/>
        <w:rPr>
          <w:sz w:val="20"/>
          <w:szCs w:val="20"/>
          <w:color w:val="auto"/>
        </w:rPr>
      </w:pPr>
    </w:p>
    <w:p>
      <w:pPr>
        <w:ind w:left="1040" w:right="60" w:hanging="565"/>
        <w:spacing w:after="0" w:line="308" w:lineRule="auto"/>
        <w:tabs>
          <w:tab w:leader="none" w:pos="1020" w:val="left"/>
        </w:tabs>
        <w:rPr>
          <w:sz w:val="20"/>
          <w:szCs w:val="20"/>
          <w:color w:val="auto"/>
        </w:rPr>
      </w:pPr>
      <w:r>
        <w:rPr>
          <w:rFonts w:ascii="Arial" w:cs="Arial" w:eastAsia="Arial" w:hAnsi="Arial"/>
          <w:sz w:val="16"/>
          <w:szCs w:val="16"/>
          <w:color w:val="auto"/>
        </w:rPr>
        <w:t>5.3.2</w:t>
      </w:r>
      <w:r>
        <w:rPr>
          <w:sz w:val="20"/>
          <w:szCs w:val="20"/>
          <w:color w:val="auto"/>
        </w:rPr>
        <w:tab/>
      </w:r>
      <w:r>
        <w:rPr>
          <w:rFonts w:ascii="Arial" w:cs="Arial" w:eastAsia="Arial" w:hAnsi="Arial"/>
          <w:sz w:val="13"/>
          <w:szCs w:val="13"/>
          <w:color w:val="auto"/>
        </w:rPr>
        <w:t>As between the Parties, Licensee, itself or through its designee, shall have the first right to enforce the Licensor Patent Rights against any actual, alleged or threatened infringement by Third Parties, and to defend and control any declaratory judgment action or challenge or other adversarial procedure brought with respect to Licensor Patent Rights (each such action or procedure with respect to the Licensor Patent Rights being referred to herein as an “</w:t>
      </w:r>
      <w:r>
        <w:rPr>
          <w:rFonts w:ascii="Arial" w:cs="Arial" w:eastAsia="Arial" w:hAnsi="Arial"/>
          <w:sz w:val="13"/>
          <w:szCs w:val="13"/>
          <w:b w:val="1"/>
          <w:bCs w:val="1"/>
          <w:color w:val="auto"/>
        </w:rPr>
        <w:t>Enforcement Action</w:t>
      </w:r>
      <w:r>
        <w:rPr>
          <w:rFonts w:ascii="Arial" w:cs="Arial" w:eastAsia="Arial" w:hAnsi="Arial"/>
          <w:sz w:val="13"/>
          <w:szCs w:val="13"/>
          <w:color w:val="auto"/>
        </w:rPr>
        <w:t>”) with counsel of its own choosing. Licensee shall keep Licensor advised of the status of such Enforcement Action. Upon Licensee’s request, and to the extent able to join such Enforcement Action, Licensor shall join such Enforcement Action at Licensee’s reasonable expense, including Licensor’s attorney’s fees and any out-of-pocket costs incurred by Licensor for such Enforcement Action; provided that, if Licensor is required to join such Enforcement Action for such Enforcement Action to be initiated or maintained and does not join such Enforcement Action for any reason, [***] . Licensee shall be free to enter into a settlement, consent judgment or other voluntary disposition, provided that any settlement, consent judgment or other voluntary disposition that (i) admits the invalidity or unenforceability of any issued and unexpired claims within the Licensor Patent Rights or (ii) admits fault or wrongdoing on the part of Licensor must be approved in advance by Licensor in writing such approval not to be unreasonably withheld. Licensor shall provide Licensee notice of its approval or denial within [***] of any request for such approval by Licensee, provided that (x) in the event Licensor wishes to deny such approval, such notice shall include a detailed written description of Licensor’s reasonable objections to the proposed settlement, consent judgment, or other voluntary disposition and (y) Licensor shall be deemed to have approved of such proposed settlement, consent judgment, or other voluntary disposition in the event it fails to provide such notice within such [***] period in accordance herewith.</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600"/>
          </w:cols>
          <w:pgMar w:left="1140" w:top="256" w:right="1159" w:bottom="1440" w:gutter="0" w:footer="0" w:header="0"/>
        </w:sectPr>
      </w:pPr>
    </w:p>
    <w:bookmarkStart w:id="538" w:name="page539"/>
    <w:bookmarkEnd w:id="538"/>
    <w:p>
      <w:pPr>
        <w:ind w:left="740" w:hanging="565"/>
        <w:spacing w:after="0" w:line="305" w:lineRule="auto"/>
        <w:tabs>
          <w:tab w:leader="none" w:pos="7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5.3.3</w:t>
      </w:r>
      <w:r>
        <w:rPr>
          <w:sz w:val="20"/>
          <w:szCs w:val="20"/>
          <w:color w:val="auto"/>
        </w:rPr>
        <w:tab/>
      </w:r>
      <w:r>
        <w:rPr>
          <w:rFonts w:ascii="Arial" w:cs="Arial" w:eastAsia="Arial" w:hAnsi="Arial"/>
          <w:sz w:val="13"/>
          <w:szCs w:val="13"/>
          <w:color w:val="auto"/>
        </w:rPr>
        <w:t>If Licensee does not take steps to abate such infringement within [***] following Licensor’s request to do so, and infringing activity of material commercial significance has not been abated, then Licensor may institute suit for patent infringement against the infringer. Licensor agrees to keep Licensee reasonably informed regarding the suit and to consider the views of Licensee regarding the advisability of the proposed action and its effect on Licensee’s business. If Licensor institutes such suit, then Licensee may not join such suit without the prior written consent of Licensor and may not thereafter commence suit against the infringer for the acts of infringement that are the subject of Licensor’s suit or any judgment rendered in such suit. Licensor shall be free to enter into a settlement, consent judgment or other voluntary disposition, provided that any settlement, consent judgment or other voluntary disposition that (a) admits the invalidity or unenforceability of any issued and unexpired claims within the Licensor Patent Rights</w:t>
      </w:r>
    </w:p>
    <w:p>
      <w:pPr>
        <w:spacing w:after="0" w:line="1" w:lineRule="exact"/>
        <w:rPr>
          <w:sz w:val="20"/>
          <w:szCs w:val="20"/>
          <w:color w:val="auto"/>
        </w:rPr>
      </w:pPr>
    </w:p>
    <w:p>
      <w:pPr>
        <w:ind w:left="740" w:right="160" w:hanging="9"/>
        <w:spacing w:after="0" w:line="249" w:lineRule="auto"/>
        <w:tabs>
          <w:tab w:leader="none" w:pos="963" w:val="left"/>
        </w:tabs>
        <w:numPr>
          <w:ilvl w:val="0"/>
          <w:numId w:val="394"/>
        </w:numPr>
        <w:rPr>
          <w:rFonts w:ascii="Arial" w:cs="Arial" w:eastAsia="Arial" w:hAnsi="Arial"/>
          <w:sz w:val="16"/>
          <w:szCs w:val="16"/>
          <w:color w:val="auto"/>
        </w:rPr>
      </w:pPr>
      <w:r>
        <w:rPr>
          <w:rFonts w:ascii="Arial" w:cs="Arial" w:eastAsia="Arial" w:hAnsi="Arial"/>
          <w:sz w:val="16"/>
          <w:szCs w:val="16"/>
          <w:color w:val="auto"/>
        </w:rPr>
        <w:t>admits fault or wrongdoing on the part of Licensee (c) imposes financial liability or other obligation or (d) otherwise limits Licensee’s rights under this Agreement or grants rights under the Licensor Patent Rights, must be approved in advance by Licensee in writing.</w:t>
      </w:r>
    </w:p>
    <w:p>
      <w:pPr>
        <w:spacing w:after="0" w:line="88" w:lineRule="exact"/>
        <w:rPr>
          <w:sz w:val="20"/>
          <w:szCs w:val="20"/>
          <w:color w:val="auto"/>
        </w:rPr>
      </w:pPr>
    </w:p>
    <w:p>
      <w:pPr>
        <w:ind w:left="740" w:right="20" w:hanging="565"/>
        <w:spacing w:after="0" w:line="253" w:lineRule="auto"/>
        <w:tabs>
          <w:tab w:leader="none" w:pos="720" w:val="left"/>
        </w:tabs>
        <w:rPr>
          <w:sz w:val="20"/>
          <w:szCs w:val="20"/>
          <w:color w:val="auto"/>
        </w:rPr>
      </w:pPr>
      <w:r>
        <w:rPr>
          <w:rFonts w:ascii="Arial" w:cs="Arial" w:eastAsia="Arial" w:hAnsi="Arial"/>
          <w:sz w:val="16"/>
          <w:szCs w:val="16"/>
          <w:color w:val="auto"/>
        </w:rPr>
        <w:t>5.3.4</w:t>
      </w:r>
      <w:r>
        <w:rPr>
          <w:sz w:val="20"/>
          <w:szCs w:val="20"/>
          <w:color w:val="auto"/>
        </w:rPr>
        <w:tab/>
      </w:r>
      <w:r>
        <w:rPr>
          <w:rFonts w:ascii="Arial" w:cs="Arial" w:eastAsia="Arial" w:hAnsi="Arial"/>
          <w:sz w:val="16"/>
          <w:szCs w:val="16"/>
          <w:color w:val="auto"/>
        </w:rPr>
        <w:t>Any recovery or settlement received in connection with any suit or Enforcement Action will first be used to reimburse any out-of-pocket litigation costs and expenses (including attorneys’ fees) of the non-controlling Party, then to reimburse any out-of-pocket litigation costs and expenses (including attorneys’ fees) incurred by the controlling Party in participating in such Enforcement Action or suit. Any remaining recoveries shall be allocated as follows:</w:t>
      </w:r>
    </w:p>
    <w:p>
      <w:pPr>
        <w:spacing w:after="0" w:line="73" w:lineRule="exact"/>
        <w:rPr>
          <w:sz w:val="20"/>
          <w:szCs w:val="20"/>
          <w:color w:val="auto"/>
        </w:rPr>
      </w:pPr>
    </w:p>
    <w:p>
      <w:pPr>
        <w:ind w:left="760" w:right="820"/>
        <w:spacing w:after="0" w:line="266" w:lineRule="auto"/>
        <w:rPr>
          <w:sz w:val="20"/>
          <w:szCs w:val="20"/>
          <w:color w:val="auto"/>
        </w:rPr>
      </w:pPr>
      <w:r>
        <w:rPr>
          <w:rFonts w:ascii="Arial" w:cs="Arial" w:eastAsia="Arial" w:hAnsi="Arial"/>
          <w:sz w:val="16"/>
          <w:szCs w:val="16"/>
          <w:color w:val="auto"/>
        </w:rPr>
        <w:t>For any portion of the recovery or settlement, other than for amounts attributable and paid as enhanced damages for willful infringement:</w:t>
      </w:r>
    </w:p>
    <w:p>
      <w:pPr>
        <w:spacing w:after="0" w:line="76" w:lineRule="exact"/>
        <w:rPr>
          <w:sz w:val="20"/>
          <w:szCs w:val="20"/>
          <w:color w:val="auto"/>
        </w:rPr>
      </w:pPr>
    </w:p>
    <w:p>
      <w:pPr>
        <w:ind w:left="1220" w:right="620" w:hanging="477"/>
        <w:spacing w:after="0" w:line="266" w:lineRule="auto"/>
        <w:tabs>
          <w:tab w:leader="none" w:pos="122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for any suit that is initiated by Licensee, Licensor shall receive [***] of the recovery and the Licensee shall receive the remainder; and</w:t>
      </w:r>
    </w:p>
    <w:p>
      <w:pPr>
        <w:spacing w:after="0" w:line="75" w:lineRule="exact"/>
        <w:rPr>
          <w:rFonts w:ascii="Arial" w:cs="Arial" w:eastAsia="Arial" w:hAnsi="Arial"/>
          <w:sz w:val="16"/>
          <w:szCs w:val="16"/>
          <w:color w:val="auto"/>
        </w:rPr>
      </w:pPr>
    </w:p>
    <w:p>
      <w:pPr>
        <w:ind w:left="1220" w:right="100" w:hanging="477"/>
        <w:spacing w:after="0" w:line="267" w:lineRule="auto"/>
        <w:tabs>
          <w:tab w:leader="none" w:pos="122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for any suit that is initiated by the Licensee or Licensor and that the other Party joins voluntarily (but only to the extent such voluntary joining is allowed under this Agreement or expressly by the other Party in a separate agreement) or involuntarily, the non-initiating Party’s shall receive a portion of the recovery equal to the percentage of the total litigation costs incurred by Licensor and Licensee, but in no event shall the non-initiating Party receive [***] of such recovery, while the initiating Party shall receive the remainder, and in no case shall Licensor receive [***] of such recovery. For clarity, the “total litigation costs” incurred by Licensor (if Licensor is the controlling Party) or by Licensee (if Licensee is the controlling Party), as applicable, shall include such amounts paid to the non-controlling Party in reimbursing out-of-pocket litigation costs and expenses (including attorneys’ fees) incurred by the non-controlling Party.</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any portion of the recovery or settlement paid as enhanced damages for willful infringement:</w:t>
      </w:r>
    </w:p>
    <w:p>
      <w:pPr>
        <w:spacing w:after="0" w:line="111" w:lineRule="exact"/>
        <w:rPr>
          <w:sz w:val="20"/>
          <w:szCs w:val="20"/>
          <w:color w:val="auto"/>
        </w:rPr>
      </w:pPr>
    </w:p>
    <w:p>
      <w:pPr>
        <w:ind w:left="1220" w:hanging="477"/>
        <w:spacing w:after="0" w:line="256" w:lineRule="auto"/>
        <w:tabs>
          <w:tab w:leader="none" w:pos="122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for any suit that is initiated by Licensee or Licensor and the other Party voluntarily (but only to the extent such voluntary joining is allowed under this Agreement or expressly by the other party in a separate agreement) or involuntarily joins, Licensor shall receive [***] and Licensee shall receive the remainder; and</w:t>
      </w:r>
    </w:p>
    <w:p>
      <w:pPr>
        <w:spacing w:after="0" w:line="10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300"/>
          </w:cols>
          <w:pgMar w:left="1440" w:top="256" w:right="1159" w:bottom="1440" w:gutter="0" w:footer="0" w:header="0"/>
        </w:sectPr>
      </w:pPr>
    </w:p>
    <w:bookmarkStart w:id="539" w:name="page540"/>
    <w:bookmarkEnd w:id="539"/>
    <w:p>
      <w:pPr>
        <w:ind w:left="1520" w:hanging="477"/>
        <w:spacing w:after="0" w:line="266" w:lineRule="auto"/>
        <w:tabs>
          <w:tab w:leader="none" w:pos="1520" w:val="left"/>
        </w:tabs>
        <w:numPr>
          <w:ilvl w:val="0"/>
          <w:numId w:val="3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for any suit that is initiated by Licensee and in which Licensor was not a party in the litigation, Licensor shall receive [***] and Licensee shall receive the remainder.</w:t>
      </w:r>
    </w:p>
    <w:p>
      <w:pPr>
        <w:spacing w:after="0" w:line="64" w:lineRule="exact"/>
        <w:rPr>
          <w:sz w:val="20"/>
          <w:szCs w:val="20"/>
          <w:color w:val="auto"/>
        </w:rPr>
      </w:pPr>
    </w:p>
    <w:p>
      <w:pPr>
        <w:ind w:left="1060" w:right="140"/>
        <w:spacing w:after="0" w:line="266" w:lineRule="auto"/>
        <w:rPr>
          <w:sz w:val="20"/>
          <w:szCs w:val="20"/>
          <w:color w:val="auto"/>
        </w:rPr>
      </w:pPr>
      <w:r>
        <w:rPr>
          <w:rFonts w:ascii="Arial" w:cs="Arial" w:eastAsia="Arial" w:hAnsi="Arial"/>
          <w:sz w:val="16"/>
          <w:szCs w:val="16"/>
          <w:color w:val="auto"/>
        </w:rPr>
        <w:t>For any portion of the recovery or settlement received in connection with any suit that is initiated by Licensor and in which Licensee was not a party to the litigation, any recovery in excess of litigation costs will belong to Licensor.</w:t>
      </w:r>
    </w:p>
    <w:p>
      <w:pPr>
        <w:spacing w:after="0" w:line="76" w:lineRule="exact"/>
        <w:rPr>
          <w:sz w:val="20"/>
          <w:szCs w:val="20"/>
          <w:color w:val="auto"/>
        </w:rPr>
      </w:pPr>
    </w:p>
    <w:p>
      <w:pPr>
        <w:ind w:left="1040" w:hanging="565"/>
        <w:spacing w:after="0" w:line="329" w:lineRule="auto"/>
        <w:tabs>
          <w:tab w:leader="none" w:pos="1020" w:val="left"/>
        </w:tabs>
        <w:rPr>
          <w:sz w:val="20"/>
          <w:szCs w:val="20"/>
          <w:color w:val="auto"/>
        </w:rPr>
      </w:pPr>
      <w:r>
        <w:rPr>
          <w:rFonts w:ascii="Arial" w:cs="Arial" w:eastAsia="Arial" w:hAnsi="Arial"/>
          <w:sz w:val="16"/>
          <w:szCs w:val="16"/>
          <w:color w:val="auto"/>
        </w:rPr>
        <w:t>5.3.5</w:t>
      </w:r>
      <w:r>
        <w:rPr>
          <w:sz w:val="20"/>
          <w:szCs w:val="20"/>
          <w:color w:val="auto"/>
        </w:rPr>
        <w:tab/>
      </w:r>
      <w:r>
        <w:rPr>
          <w:rFonts w:ascii="Arial" w:cs="Arial" w:eastAsia="Arial" w:hAnsi="Arial"/>
          <w:sz w:val="13"/>
          <w:szCs w:val="13"/>
          <w:color w:val="auto"/>
        </w:rPr>
        <w:t>Each Party will reasonably cooperate and assist with the other in litigation proceedings instituted hereunder but at the expense of the Party who initiated the suit (unless such suit is being jointly prosecuted by the Parties) including to the extent reasonably possible, by having its employees testify when requested and make available relevant records, papers, information, samples, specimens and the like. For clarity, such requirement does not require a Party to join a suit unless otherwise specifically required under this Agreement.</w:t>
      </w:r>
    </w:p>
    <w:p>
      <w:pPr>
        <w:spacing w:after="0" w:line="37" w:lineRule="exact"/>
        <w:rPr>
          <w:sz w:val="20"/>
          <w:szCs w:val="20"/>
          <w:color w:val="auto"/>
        </w:rPr>
      </w:pPr>
    </w:p>
    <w:p>
      <w:pPr>
        <w:jc w:val="both"/>
        <w:ind w:left="460" w:right="160" w:hanging="471"/>
        <w:spacing w:after="0" w:line="259" w:lineRule="auto"/>
        <w:tabs>
          <w:tab w:leader="none" w:pos="44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b w:val="1"/>
          <w:bCs w:val="1"/>
          <w:color w:val="auto"/>
        </w:rPr>
        <w:t>Patent Marking</w:t>
      </w:r>
      <w:r>
        <w:rPr>
          <w:rFonts w:ascii="Arial" w:cs="Arial" w:eastAsia="Arial" w:hAnsi="Arial"/>
          <w:sz w:val="16"/>
          <w:szCs w:val="16"/>
          <w:color w:val="auto"/>
        </w:rPr>
        <w:t>. Licensee shall place in a conspicuous location on any Product (or its packaging where appropriate and practicable) made or</w:t>
      </w:r>
      <w:r>
        <w:rPr>
          <w:rFonts w:ascii="Arial" w:cs="Arial" w:eastAsia="Arial" w:hAnsi="Arial"/>
          <w:sz w:val="16"/>
          <w:szCs w:val="16"/>
          <w:b w:val="1"/>
          <w:bCs w:val="1"/>
          <w:color w:val="auto"/>
        </w:rPr>
        <w:t xml:space="preserve"> </w:t>
      </w:r>
      <w:r>
        <w:rPr>
          <w:rFonts w:ascii="Arial" w:cs="Arial" w:eastAsia="Arial" w:hAnsi="Arial"/>
          <w:sz w:val="16"/>
          <w:szCs w:val="16"/>
          <w:color w:val="auto"/>
        </w:rPr>
        <w:t>sold under this Agreement a patent notice as required by the Laws concerning the marking of patented articles where such Product is made or sold, as applicable.</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3"/>
          <w:szCs w:val="13"/>
          <w:b w:val="1"/>
          <w:bCs w:val="1"/>
          <w:color w:val="auto"/>
        </w:rPr>
        <w:t>Confidentiality.</w:t>
      </w:r>
    </w:p>
    <w:p>
      <w:pPr>
        <w:spacing w:after="0" w:line="115" w:lineRule="exact"/>
        <w:rPr>
          <w:sz w:val="20"/>
          <w:szCs w:val="20"/>
          <w:color w:val="auto"/>
        </w:rPr>
      </w:pPr>
    </w:p>
    <w:p>
      <w:pPr>
        <w:ind w:left="1040" w:right="100" w:hanging="565"/>
        <w:spacing w:after="0" w:line="314" w:lineRule="auto"/>
        <w:tabs>
          <w:tab w:leader="none" w:pos="1020" w:val="left"/>
        </w:tabs>
        <w:rPr>
          <w:sz w:val="20"/>
          <w:szCs w:val="20"/>
          <w:color w:val="auto"/>
        </w:rPr>
      </w:pPr>
      <w:r>
        <w:rPr>
          <w:rFonts w:ascii="Arial" w:cs="Arial" w:eastAsia="Arial" w:hAnsi="Arial"/>
          <w:sz w:val="16"/>
          <w:szCs w:val="16"/>
          <w:color w:val="auto"/>
        </w:rPr>
        <w:t>5.5.1</w:t>
      </w:r>
      <w:r>
        <w:rPr>
          <w:sz w:val="20"/>
          <w:szCs w:val="20"/>
          <w:color w:val="auto"/>
        </w:rPr>
        <w:tab/>
      </w:r>
      <w:r>
        <w:rPr>
          <w:rFonts w:ascii="Arial" w:cs="Arial" w:eastAsia="Arial" w:hAnsi="Arial"/>
          <w:sz w:val="13"/>
          <w:szCs w:val="13"/>
          <w:color w:val="auto"/>
        </w:rPr>
        <w:t>Each Party agrees that, for [***], such Party shall (a) use the same degree of care to maintain the secrecy of the Confidential Information of the other Party that it uses to maintain the secrecy of its Confidential Information of like kind, (b) use and disclose the Confidential Information only to (i) exercise its rights and perform its obligations under this Agreement and (ii) in connection with prosecuting or defending litigation or obtaining Regulatory Approval, making other regulatory filings and communications and filing, prosecuting and enforcing Patent Rights, in each case, in connection with the recipient’s rights and obligations pursuant to this Agreement and (c) ensure that any employees, customers, distributors and others who receive Confidential Information of the other Party are bound by similar obligations of non-use, non-disclosure and confidence as this Agreement and to make such disclosure of such Confidential Information of the other Party only as required to accomplish the purposes of this Agreement.</w:t>
      </w:r>
    </w:p>
    <w:p>
      <w:pPr>
        <w:spacing w:after="0" w:line="5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5.5.2</w:t>
      </w:r>
      <w:r>
        <w:rPr>
          <w:sz w:val="20"/>
          <w:szCs w:val="20"/>
          <w:color w:val="auto"/>
        </w:rPr>
        <w:tab/>
      </w:r>
      <w:r>
        <w:rPr>
          <w:rFonts w:ascii="Arial" w:cs="Arial" w:eastAsia="Arial" w:hAnsi="Arial"/>
          <w:sz w:val="13"/>
          <w:szCs w:val="13"/>
          <w:color w:val="auto"/>
        </w:rPr>
        <w:t>Neither Party will have any confidentiality obligations with respect to Confidential Information belonging to the other Party that:</w:t>
      </w:r>
    </w:p>
    <w:p>
      <w:pPr>
        <w:spacing w:after="0" w:line="111" w:lineRule="exact"/>
        <w:rPr>
          <w:sz w:val="20"/>
          <w:szCs w:val="20"/>
          <w:color w:val="auto"/>
        </w:rPr>
      </w:pPr>
    </w:p>
    <w:p>
      <w:pPr>
        <w:ind w:left="1520" w:hanging="477"/>
        <w:spacing w:after="0"/>
        <w:tabs>
          <w:tab w:leader="none" w:pos="152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is or becomes generally available to the public other than as a result of disclosure by the recipient;</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is already known by or in the possession of the recipient at the time of disclosure by the disclosing Party;</w:t>
      </w:r>
    </w:p>
    <w:p>
      <w:pPr>
        <w:spacing w:after="0" w:line="110" w:lineRule="exact"/>
        <w:rPr>
          <w:rFonts w:ascii="Arial" w:cs="Arial" w:eastAsia="Arial" w:hAnsi="Arial"/>
          <w:sz w:val="16"/>
          <w:szCs w:val="16"/>
          <w:color w:val="auto"/>
        </w:rPr>
      </w:pPr>
    </w:p>
    <w:p>
      <w:pPr>
        <w:ind w:left="1520" w:hanging="477"/>
        <w:spacing w:after="0"/>
        <w:tabs>
          <w:tab w:leader="none" w:pos="152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is independently developed by recipient without use of or reference to the disclosing Party’s Confidential Information; or</w:t>
      </w:r>
    </w:p>
    <w:p>
      <w:pPr>
        <w:spacing w:after="0" w:line="122" w:lineRule="exact"/>
        <w:rPr>
          <w:rFonts w:ascii="Arial" w:cs="Arial" w:eastAsia="Arial" w:hAnsi="Arial"/>
          <w:sz w:val="15"/>
          <w:szCs w:val="15"/>
          <w:color w:val="auto"/>
        </w:rPr>
      </w:pPr>
    </w:p>
    <w:p>
      <w:pPr>
        <w:ind w:left="1520" w:hanging="477"/>
        <w:spacing w:after="0"/>
        <w:tabs>
          <w:tab w:leader="none" w:pos="152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is obtained by recipient from a Third Party that has not breached any obligations of confidentiality.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540"/>
          </w:cols>
          <w:pgMar w:left="1140" w:top="256" w:right="1219" w:bottom="1440" w:gutter="0" w:footer="0" w:header="0"/>
        </w:sectPr>
      </w:pPr>
    </w:p>
    <w:bookmarkStart w:id="540" w:name="page541"/>
    <w:bookmarkEnd w:id="540"/>
    <w:p>
      <w:pPr>
        <w:ind w:left="1040" w:right="20" w:hanging="565"/>
        <w:spacing w:after="0" w:line="267" w:lineRule="auto"/>
        <w:tabs>
          <w:tab w:leader="none" w:pos="10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5.5.3</w:t>
      </w:r>
      <w:r>
        <w:rPr>
          <w:sz w:val="20"/>
          <w:szCs w:val="20"/>
          <w:color w:val="auto"/>
        </w:rPr>
        <w:tab/>
      </w:r>
      <w:r>
        <w:rPr>
          <w:rFonts w:ascii="Arial" w:cs="Arial" w:eastAsia="Arial" w:hAnsi="Arial"/>
          <w:sz w:val="15"/>
          <w:szCs w:val="15"/>
          <w:color w:val="auto"/>
        </w:rPr>
        <w:t>A Party may disclose the Confidential Information of the other Party to the extent required by Law (including any securities law or regulation or the rules of a security exchange, provided that such proposed securities disclosure is provided to the other party for review and approval prior to such disclosure to the extent not prevented by such Laws or rules) or court order; provided, however, that the recipient promptly provides to the disclosing Party prior written notice of such disclosure and an opportunity to review and approve such disclosure, in each case, to the extent not prevented by such Laws or rules, an opportunity to apply for a protective order, injunction or for confidential treatment of such Confidential Information and provides reasonable assistance in obtaining such an order, injunction or other remedy protecting the Confidential Information from public disclosure, in each case, to the extent allowable by Law. A Party shall disclose only the minimum Confidential Information to be disclosed in order to comply, whether or not a protective order or other similar order is obtained by the other Party.</w:t>
      </w:r>
    </w:p>
    <w:p>
      <w:pPr>
        <w:spacing w:after="0" w:line="77" w:lineRule="exact"/>
        <w:rPr>
          <w:sz w:val="20"/>
          <w:szCs w:val="20"/>
          <w:color w:val="auto"/>
        </w:rPr>
      </w:pPr>
    </w:p>
    <w:p>
      <w:pPr>
        <w:ind w:left="1040" w:right="40" w:hanging="565"/>
        <w:spacing w:after="0" w:line="268" w:lineRule="auto"/>
        <w:tabs>
          <w:tab w:leader="none" w:pos="1020" w:val="left"/>
        </w:tabs>
        <w:rPr>
          <w:sz w:val="20"/>
          <w:szCs w:val="20"/>
          <w:color w:val="auto"/>
        </w:rPr>
      </w:pPr>
      <w:r>
        <w:rPr>
          <w:rFonts w:ascii="Arial" w:cs="Arial" w:eastAsia="Arial" w:hAnsi="Arial"/>
          <w:sz w:val="16"/>
          <w:szCs w:val="16"/>
          <w:color w:val="auto"/>
        </w:rPr>
        <w:t>5.5.4</w:t>
      </w:r>
      <w:r>
        <w:rPr>
          <w:sz w:val="20"/>
          <w:szCs w:val="20"/>
          <w:color w:val="auto"/>
        </w:rPr>
        <w:tab/>
      </w:r>
      <w:r>
        <w:rPr>
          <w:rFonts w:ascii="Arial" w:cs="Arial" w:eastAsia="Arial" w:hAnsi="Arial"/>
          <w:sz w:val="15"/>
          <w:szCs w:val="15"/>
          <w:color w:val="auto"/>
        </w:rPr>
        <w:t>Notwithstanding the foregoing, (i) Licensee may disclose the terms of this Agreement to advisors (including financial advisors, attorneys and accountants), actual or potential acquisition partners, Sublicensees, private investors, licensees and/or collaborators, and others on a reasonable need to know basis under confidentiality provisions substantially similar to those contained herein and (ii) either Party may disclose the terms of this Agreement to the extent necessary to comply with Laws and court orders (including securities laws or regulations and the applicable rules of any public stock exchange). Notwithstanding any other provisions of this Agreement the Parties may make factual statements regarding the existence, nature, and type of this Agreement, provided that such statements do not disclose specific terms hereof.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WARRANTIES AND COVENANTS</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3"/>
          <w:szCs w:val="13"/>
          <w:b w:val="1"/>
          <w:bCs w:val="1"/>
          <w:color w:val="auto"/>
        </w:rPr>
        <w:t>Mutual Representations and Warranties</w:t>
      </w:r>
      <w:r>
        <w:rPr>
          <w:rFonts w:ascii="Arial" w:cs="Arial" w:eastAsia="Arial" w:hAnsi="Arial"/>
          <w:sz w:val="13"/>
          <w:szCs w:val="13"/>
          <w:color w:val="auto"/>
        </w:rPr>
        <w:t>. Each Party represents and warrants to the other Party that, as of the Effective Date:</w:t>
      </w:r>
    </w:p>
    <w:p>
      <w:pPr>
        <w:spacing w:after="0" w:line="11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6.1.1</w:t>
      </w:r>
      <w:r>
        <w:rPr>
          <w:sz w:val="20"/>
          <w:szCs w:val="20"/>
          <w:color w:val="auto"/>
        </w:rPr>
        <w:tab/>
      </w:r>
      <w:r>
        <w:rPr>
          <w:rFonts w:ascii="Arial" w:cs="Arial" w:eastAsia="Arial" w:hAnsi="Arial"/>
          <w:sz w:val="13"/>
          <w:szCs w:val="13"/>
          <w:color w:val="auto"/>
        </w:rPr>
        <w:t>such Party is duly organized and validly existing under the Laws of the jurisdiction of its incorporation or organization;</w:t>
      </w:r>
    </w:p>
    <w:p>
      <w:pPr>
        <w:spacing w:after="0" w:line="111" w:lineRule="exact"/>
        <w:rPr>
          <w:sz w:val="20"/>
          <w:szCs w:val="20"/>
          <w:color w:val="auto"/>
        </w:rPr>
      </w:pPr>
    </w:p>
    <w:p>
      <w:pPr>
        <w:ind w:left="1040" w:right="660" w:hanging="565"/>
        <w:spacing w:after="0" w:line="266" w:lineRule="auto"/>
        <w:tabs>
          <w:tab w:leader="none" w:pos="1020" w:val="left"/>
        </w:tabs>
        <w:rPr>
          <w:sz w:val="20"/>
          <w:szCs w:val="20"/>
          <w:color w:val="auto"/>
        </w:rPr>
      </w:pPr>
      <w:r>
        <w:rPr>
          <w:rFonts w:ascii="Arial" w:cs="Arial" w:eastAsia="Arial" w:hAnsi="Arial"/>
          <w:sz w:val="16"/>
          <w:szCs w:val="16"/>
          <w:color w:val="auto"/>
        </w:rPr>
        <w:t>6.1.2</w:t>
      </w:r>
      <w:r>
        <w:rPr>
          <w:sz w:val="20"/>
          <w:szCs w:val="20"/>
          <w:color w:val="auto"/>
        </w:rPr>
        <w:tab/>
      </w:r>
      <w:r>
        <w:rPr>
          <w:rFonts w:ascii="Arial" w:cs="Arial" w:eastAsia="Arial" w:hAnsi="Arial"/>
          <w:sz w:val="16"/>
          <w:szCs w:val="16"/>
          <w:color w:val="auto"/>
        </w:rPr>
        <w:t>such Party has taken all action necessary to authorize the execution and delivery of this Agreement and the performance of its obligations under this Agreement;</w:t>
      </w:r>
    </w:p>
    <w:p>
      <w:pPr>
        <w:spacing w:after="0" w:line="76" w:lineRule="exact"/>
        <w:rPr>
          <w:sz w:val="20"/>
          <w:szCs w:val="20"/>
          <w:color w:val="auto"/>
        </w:rPr>
      </w:pPr>
    </w:p>
    <w:p>
      <w:pPr>
        <w:ind w:left="1040" w:hanging="565"/>
        <w:spacing w:after="0" w:line="319" w:lineRule="auto"/>
        <w:tabs>
          <w:tab w:leader="none" w:pos="1020" w:val="left"/>
        </w:tabs>
        <w:rPr>
          <w:sz w:val="20"/>
          <w:szCs w:val="20"/>
          <w:color w:val="auto"/>
        </w:rPr>
      </w:pPr>
      <w:r>
        <w:rPr>
          <w:rFonts w:ascii="Arial" w:cs="Arial" w:eastAsia="Arial" w:hAnsi="Arial"/>
          <w:sz w:val="16"/>
          <w:szCs w:val="16"/>
          <w:color w:val="auto"/>
        </w:rPr>
        <w:t>6.1.3</w:t>
      </w:r>
      <w:r>
        <w:rPr>
          <w:sz w:val="20"/>
          <w:szCs w:val="20"/>
          <w:color w:val="auto"/>
        </w:rPr>
        <w:tab/>
      </w:r>
      <w:r>
        <w:rPr>
          <w:rFonts w:ascii="Arial" w:cs="Arial" w:eastAsia="Arial" w:hAnsi="Arial"/>
          <w:sz w:val="13"/>
          <w:szCs w:val="13"/>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 The execution, delivery and performance of this Agreement by such Party does not conflict with, breach or create in any Third Party the right to accelerate, terminate or modify any agreement or instrument to which such Party is a party or by which such Party is bound, and does not violate any Law of any Governmental Body having authority over such Party; and</w:t>
      </w:r>
    </w:p>
    <w:p>
      <w:pPr>
        <w:spacing w:after="0" w:line="46" w:lineRule="exact"/>
        <w:rPr>
          <w:sz w:val="20"/>
          <w:szCs w:val="20"/>
          <w:color w:val="auto"/>
        </w:rPr>
      </w:pPr>
    </w:p>
    <w:p>
      <w:pPr>
        <w:jc w:val="center"/>
        <w:ind w:right="420"/>
        <w:spacing w:after="0"/>
        <w:tabs>
          <w:tab w:leader="none" w:pos="240" w:val="left"/>
        </w:tabs>
        <w:rPr>
          <w:sz w:val="20"/>
          <w:szCs w:val="20"/>
          <w:color w:val="auto"/>
        </w:rPr>
      </w:pPr>
      <w:r>
        <w:rPr>
          <w:rFonts w:ascii="Arial" w:cs="Arial" w:eastAsia="Arial" w:hAnsi="Arial"/>
          <w:sz w:val="16"/>
          <w:szCs w:val="16"/>
          <w:color w:val="auto"/>
        </w:rPr>
        <w:t>6.1.4</w:t>
      </w:r>
      <w:r>
        <w:rPr>
          <w:sz w:val="20"/>
          <w:szCs w:val="20"/>
          <w:color w:val="auto"/>
        </w:rPr>
        <w:tab/>
      </w:r>
      <w:r>
        <w:rPr>
          <w:rFonts w:ascii="Arial" w:cs="Arial" w:eastAsia="Arial" w:hAnsi="Arial"/>
          <w:sz w:val="13"/>
          <w:szCs w:val="13"/>
          <w:color w:val="auto"/>
        </w:rPr>
        <w:t>such Party has all right, power and authority to enter into this Agreement, to perform its obligations under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600"/>
          </w:cols>
          <w:pgMar w:left="1140" w:top="256" w:right="1159" w:bottom="1440" w:gutter="0" w:footer="0" w:header="0"/>
        </w:sectPr>
      </w:pPr>
    </w:p>
    <w:bookmarkStart w:id="541" w:name="page542"/>
    <w:bookmarkEnd w:id="541"/>
    <w:p>
      <w:pPr>
        <w:ind w:left="460" w:hanging="471"/>
        <w:spacing w:after="0" w:line="306" w:lineRule="auto"/>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6.2</w:t>
      </w:r>
      <w:r>
        <w:rPr>
          <w:sz w:val="20"/>
          <w:szCs w:val="20"/>
          <w:color w:val="auto"/>
        </w:rPr>
        <w:tab/>
      </w:r>
      <w:r>
        <w:rPr>
          <w:rFonts w:ascii="Arial" w:cs="Arial" w:eastAsia="Arial" w:hAnsi="Arial"/>
          <w:sz w:val="13"/>
          <w:szCs w:val="13"/>
          <w:color w:val="auto"/>
        </w:rPr>
        <w:t xml:space="preserve">Licensor hereby certifies to Licensee, that to the knowledge of Licensor’s designated office for technology and commercialization (including the Office for Institutional Advancement) (the “OTC”), as of the Effective Date: (i) Board owns (and Licensor is the sole agent of the Board with the authorization to grant licenses under) the entire right, title and interest in and to the Patent Rights listed on </w:t>
      </w:r>
      <w:r>
        <w:rPr>
          <w:rFonts w:ascii="Arial" w:cs="Arial" w:eastAsia="Arial" w:hAnsi="Arial"/>
          <w:sz w:val="13"/>
          <w:szCs w:val="13"/>
          <w:b w:val="1"/>
          <w:bCs w:val="1"/>
          <w:u w:val="single" w:color="auto"/>
          <w:color w:val="auto"/>
        </w:rPr>
        <w:t>Schedule 1.25</w:t>
      </w:r>
      <w:r>
        <w:rPr>
          <w:rFonts w:ascii="Arial" w:cs="Arial" w:eastAsia="Arial" w:hAnsi="Arial"/>
          <w:sz w:val="13"/>
          <w:szCs w:val="13"/>
          <w:color w:val="auto"/>
        </w:rPr>
        <w:t>; (ii) Licensor has the right to grant to Licensee the licenses it purports to grant in Section 2.1; (iii) neither Licensor nor Board has knowingly entered and will not, during the Term, knowingly enter into any agreements that are inconsistent with the rights and licenses granted to Licensee hereunder; and</w:t>
      </w:r>
    </w:p>
    <w:p>
      <w:pPr>
        <w:spacing w:after="0" w:line="2" w:lineRule="exact"/>
        <w:rPr>
          <w:sz w:val="20"/>
          <w:szCs w:val="20"/>
          <w:color w:val="auto"/>
        </w:rPr>
      </w:pPr>
    </w:p>
    <w:p>
      <w:pPr>
        <w:ind w:left="460" w:right="60" w:firstLine="5"/>
        <w:spacing w:after="0" w:line="284" w:lineRule="auto"/>
        <w:tabs>
          <w:tab w:leader="none" w:pos="726" w:val="left"/>
        </w:tabs>
        <w:numPr>
          <w:ilvl w:val="0"/>
          <w:numId w:val="399"/>
        </w:numPr>
        <w:rPr>
          <w:rFonts w:ascii="Arial" w:cs="Arial" w:eastAsia="Arial" w:hAnsi="Arial"/>
          <w:sz w:val="15"/>
          <w:szCs w:val="15"/>
          <w:color w:val="auto"/>
        </w:rPr>
      </w:pPr>
      <w:r>
        <w:rPr>
          <w:rFonts w:ascii="Arial" w:cs="Arial" w:eastAsia="Arial" w:hAnsi="Arial"/>
          <w:sz w:val="15"/>
          <w:szCs w:val="15"/>
          <w:color w:val="auto"/>
        </w:rPr>
        <w:t>Licensor has received written assignments from each of the inventors listed on the patent applications for each of the Licensor Patent Rights assigning to Board each such inventor’s entire right, title and interest in and to the Licensor Patent Rights.</w:t>
      </w:r>
    </w:p>
    <w:p>
      <w:pPr>
        <w:spacing w:after="0" w:line="6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3"/>
          <w:szCs w:val="13"/>
          <w:b w:val="1"/>
          <w:bCs w:val="1"/>
          <w:color w:val="auto"/>
        </w:rPr>
        <w:t>Disclaimer of Representations and Warranties</w:t>
      </w:r>
      <w:r>
        <w:rPr>
          <w:rFonts w:ascii="Arial" w:cs="Arial" w:eastAsia="Arial" w:hAnsi="Arial"/>
          <w:sz w:val="13"/>
          <w:szCs w:val="13"/>
          <w:color w:val="auto"/>
        </w:rPr>
        <w:t>.</w:t>
      </w:r>
    </w:p>
    <w:p>
      <w:pPr>
        <w:spacing w:after="0" w:line="11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6.3.1</w:t>
      </w:r>
      <w:r>
        <w:rPr>
          <w:sz w:val="20"/>
          <w:szCs w:val="20"/>
          <w:color w:val="auto"/>
        </w:rPr>
        <w:tab/>
      </w:r>
      <w:r>
        <w:rPr>
          <w:rFonts w:ascii="Arial" w:cs="Arial" w:eastAsia="Arial" w:hAnsi="Arial"/>
          <w:sz w:val="13"/>
          <w:szCs w:val="13"/>
          <w:color w:val="auto"/>
        </w:rPr>
        <w:t xml:space="preserve">Other than the representations and warranties provided in Sections 6.1 and 6.2 above, </w:t>
      </w:r>
      <w:r>
        <w:rPr>
          <w:rFonts w:ascii="Arial" w:cs="Arial" w:eastAsia="Arial" w:hAnsi="Arial"/>
          <w:sz w:val="13"/>
          <w:szCs w:val="13"/>
          <w:b w:val="1"/>
          <w:bCs w:val="1"/>
          <w:color w:val="auto"/>
        </w:rPr>
        <w:t>NEITHER PARTY MAKES ANY</w:t>
      </w:r>
    </w:p>
    <w:p>
      <w:pPr>
        <w:spacing w:after="0" w:line="20" w:lineRule="exact"/>
        <w:rPr>
          <w:sz w:val="20"/>
          <w:szCs w:val="20"/>
          <w:color w:val="auto"/>
        </w:rPr>
      </w:pPr>
    </w:p>
    <w:p>
      <w:pPr>
        <w:ind w:left="1040" w:right="240"/>
        <w:spacing w:after="0" w:line="269" w:lineRule="auto"/>
        <w:rPr>
          <w:sz w:val="20"/>
          <w:szCs w:val="20"/>
          <w:color w:val="auto"/>
        </w:rPr>
      </w:pPr>
      <w:r>
        <w:rPr>
          <w:rFonts w:ascii="Arial" w:cs="Arial" w:eastAsia="Arial" w:hAnsi="Arial"/>
          <w:sz w:val="15"/>
          <w:szCs w:val="15"/>
          <w:b w:val="1"/>
          <w:bCs w:val="1"/>
          <w:color w:val="auto"/>
        </w:rPr>
        <w:t>REPRESENTATIONS OR WARRANTIES, WHETHER EXPRESS OR IMPLIED, AND EXPLICITLY DISCLAIMS ANY REPRESENTATION AND WARRANTY, INCLUDING WITH RESPECT TO ANY ACCURACY, COMPLETENESS, MERCHANTABILITY, FITNESS FOR A PARTICULAR PURPOSE, COMMERCIAL UTILITY, NON-INFRINGEMENT OR TITLE FOR THE TECHNOLOGY, LICENSOR PATENT RIGHTS, LICENSE AND ANY PRODUCT</w:t>
      </w:r>
      <w:r>
        <w:rPr>
          <w:rFonts w:ascii="Arial" w:cs="Arial" w:eastAsia="Arial" w:hAnsi="Arial"/>
          <w:sz w:val="15"/>
          <w:szCs w:val="15"/>
          <w:color w:val="auto"/>
        </w:rPr>
        <w:t>.</w:t>
      </w:r>
    </w:p>
    <w:p>
      <w:pPr>
        <w:spacing w:after="0" w:line="76"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6.3.2</w:t>
      </w:r>
      <w:r>
        <w:rPr>
          <w:sz w:val="20"/>
          <w:szCs w:val="20"/>
          <w:color w:val="auto"/>
        </w:rPr>
        <w:tab/>
      </w:r>
      <w:r>
        <w:rPr>
          <w:rFonts w:ascii="Arial" w:cs="Arial" w:eastAsia="Arial" w:hAnsi="Arial"/>
          <w:sz w:val="13"/>
          <w:szCs w:val="13"/>
          <w:color w:val="auto"/>
        </w:rPr>
        <w:t>Furthermore, nothing in this Agreement will be construed as:</w:t>
      </w:r>
    </w:p>
    <w:p>
      <w:pPr>
        <w:spacing w:after="0" w:line="111" w:lineRule="exact"/>
        <w:rPr>
          <w:sz w:val="20"/>
          <w:szCs w:val="20"/>
          <w:color w:val="auto"/>
        </w:rPr>
      </w:pPr>
    </w:p>
    <w:p>
      <w:pPr>
        <w:ind w:left="1520" w:hanging="477"/>
        <w:spacing w:after="0"/>
        <w:tabs>
          <w:tab w:leader="none" w:pos="15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A representation or warranty by Licensor as to the validity or scope of any Licensor Patent Right;</w:t>
      </w:r>
    </w:p>
    <w:p>
      <w:pPr>
        <w:spacing w:after="0" w:line="110" w:lineRule="exact"/>
        <w:rPr>
          <w:rFonts w:ascii="Arial" w:cs="Arial" w:eastAsia="Arial" w:hAnsi="Arial"/>
          <w:sz w:val="16"/>
          <w:szCs w:val="16"/>
          <w:color w:val="auto"/>
        </w:rPr>
      </w:pPr>
    </w:p>
    <w:p>
      <w:pPr>
        <w:jc w:val="both"/>
        <w:ind w:left="1520" w:right="160" w:hanging="477"/>
        <w:spacing w:after="0" w:line="256" w:lineRule="auto"/>
        <w:tabs>
          <w:tab w:leader="none" w:pos="15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A representation or warranty that anything made, used, sold or otherwise disposed of under the License is or will be free from infringement of patents, copyrights, trademarks or any other forms of intellectual property rights or tangible property rights of Third Parties;</w:t>
      </w:r>
    </w:p>
    <w:p>
      <w:pPr>
        <w:spacing w:after="0" w:line="83" w:lineRule="exact"/>
        <w:rPr>
          <w:rFonts w:ascii="Arial" w:cs="Arial" w:eastAsia="Arial" w:hAnsi="Arial"/>
          <w:sz w:val="16"/>
          <w:szCs w:val="16"/>
          <w:color w:val="auto"/>
        </w:rPr>
      </w:pPr>
    </w:p>
    <w:p>
      <w:pPr>
        <w:ind w:left="1520" w:right="140" w:hanging="477"/>
        <w:spacing w:after="0" w:line="266" w:lineRule="auto"/>
        <w:tabs>
          <w:tab w:leader="none" w:pos="15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Conferring by implication, estoppel or otherwise any license or rights under any Patent Rights of Licensor other than Licensor Patent Rights as defined herein.</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3"/>
          <w:szCs w:val="13"/>
          <w:b w:val="1"/>
          <w:bCs w:val="1"/>
          <w:color w:val="auto"/>
        </w:rPr>
        <w:t>Covenants of Licensee</w:t>
      </w:r>
      <w:r>
        <w:rPr>
          <w:rFonts w:ascii="Arial" w:cs="Arial" w:eastAsia="Arial" w:hAnsi="Arial"/>
          <w:sz w:val="13"/>
          <w:szCs w:val="13"/>
          <w:color w:val="auto"/>
        </w:rPr>
        <w:t>.</w:t>
      </w:r>
    </w:p>
    <w:p>
      <w:pPr>
        <w:spacing w:after="0" w:line="115" w:lineRule="exact"/>
        <w:rPr>
          <w:sz w:val="20"/>
          <w:szCs w:val="20"/>
          <w:color w:val="auto"/>
        </w:rPr>
      </w:pPr>
    </w:p>
    <w:p>
      <w:pPr>
        <w:ind w:left="1040" w:right="60" w:hanging="565"/>
        <w:spacing w:after="0" w:line="268" w:lineRule="auto"/>
        <w:tabs>
          <w:tab w:leader="none" w:pos="1020" w:val="left"/>
        </w:tabs>
        <w:rPr>
          <w:sz w:val="20"/>
          <w:szCs w:val="20"/>
          <w:color w:val="auto"/>
        </w:rPr>
      </w:pPr>
      <w:r>
        <w:rPr>
          <w:rFonts w:ascii="Arial" w:cs="Arial" w:eastAsia="Arial" w:hAnsi="Arial"/>
          <w:sz w:val="16"/>
          <w:szCs w:val="16"/>
          <w:color w:val="auto"/>
        </w:rPr>
        <w:t>6.4.1</w:t>
      </w:r>
      <w:r>
        <w:rPr>
          <w:sz w:val="20"/>
          <w:szCs w:val="20"/>
          <w:color w:val="auto"/>
        </w:rPr>
        <w:tab/>
      </w:r>
      <w:r>
        <w:rPr>
          <w:rFonts w:ascii="Arial" w:cs="Arial" w:eastAsia="Arial" w:hAnsi="Arial"/>
          <w:sz w:val="15"/>
          <w:szCs w:val="15"/>
          <w:color w:val="auto"/>
        </w:rPr>
        <w:t>Licensee and its Affiliates shall not and shall require its Sublicensees to not, directly or indirectly (including where such is done by a Third Party on behalf of Licensee, its Affiliates or Sublicensees, at the urging of Licensee or its Affiliates or Sublicensees or with the assistance of the Licensee or its Affiliates or Sublicensees) challenge in a legal proceeding the validity, scope, or enforceability of or otherwise oppose any claim within the Licensor Patent Rights, provided that if any Licensor Patent Right is asserted or threatened to be asserted against Licensee or its Affiliate or Sublicensee then such Licensee or its Affiliates or Sublicensee is entitled to all and any defenses available to it including challenging the validity, scope or enforceability of or otherwise opposing such Patent Right. Notwithstanding the foregoing, Licensee shall not be in breach of this Section 6.4.1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600"/>
          </w:cols>
          <w:pgMar w:left="1140" w:top="255" w:right="1159" w:bottom="1440" w:gutter="0" w:footer="0" w:header="0"/>
        </w:sectPr>
      </w:pPr>
    </w:p>
    <w:bookmarkStart w:id="542" w:name="page543"/>
    <w:bookmarkEnd w:id="542"/>
    <w:p>
      <w:pPr>
        <w:ind w:left="1040" w:right="48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if a Sublicensee initiates such a legal proceeding and within [***] following Licensee’s receipt of notice from Licensor of commencement of such legal proceeding such legal proceeding is withdrawn or Licensee terminates its sublicense with the party initiating such legal proceeding.</w:t>
      </w:r>
    </w:p>
    <w:p>
      <w:pPr>
        <w:spacing w:after="0" w:line="83" w:lineRule="exact"/>
        <w:rPr>
          <w:sz w:val="20"/>
          <w:szCs w:val="20"/>
          <w:color w:val="auto"/>
        </w:rPr>
      </w:pPr>
    </w:p>
    <w:p>
      <w:pPr>
        <w:jc w:val="both"/>
        <w:ind w:left="1040" w:hanging="565"/>
        <w:spacing w:after="0" w:line="275" w:lineRule="auto"/>
        <w:tabs>
          <w:tab w:leader="none" w:pos="1020" w:val="left"/>
        </w:tabs>
        <w:rPr>
          <w:sz w:val="20"/>
          <w:szCs w:val="20"/>
          <w:color w:val="auto"/>
        </w:rPr>
      </w:pPr>
      <w:r>
        <w:rPr>
          <w:rFonts w:ascii="Arial" w:cs="Arial" w:eastAsia="Arial" w:hAnsi="Arial"/>
          <w:sz w:val="16"/>
          <w:szCs w:val="16"/>
          <w:color w:val="auto"/>
        </w:rPr>
        <w:t>6.4.2</w:t>
      </w:r>
      <w:r>
        <w:rPr>
          <w:sz w:val="20"/>
          <w:szCs w:val="20"/>
          <w:color w:val="auto"/>
        </w:rPr>
        <w:tab/>
      </w:r>
      <w:r>
        <w:rPr>
          <w:rFonts w:ascii="Arial" w:cs="Arial" w:eastAsia="Arial" w:hAnsi="Arial"/>
          <w:sz w:val="15"/>
          <w:szCs w:val="15"/>
          <w:color w:val="auto"/>
        </w:rPr>
        <w:t>Licensee shall comply with all Laws that apply to its activities or obligations under this Agreement. For example, Licensee shall comply with applicable United States export laws and regulations. The transfer of certain technical data and commodities may require a license from the applicable agency of the United States government and/or written assurances by Licensee that Licensee shall not export data or commodities to certain foreign countries without prior approval of the agency.</w:t>
      </w:r>
    </w:p>
    <w:p>
      <w:pPr>
        <w:spacing w:after="0" w:line="70" w:lineRule="exact"/>
        <w:rPr>
          <w:sz w:val="20"/>
          <w:szCs w:val="20"/>
          <w:color w:val="auto"/>
        </w:rPr>
      </w:pPr>
    </w:p>
    <w:p>
      <w:pPr>
        <w:ind w:left="1040" w:right="160" w:hanging="565"/>
        <w:spacing w:after="0" w:line="266" w:lineRule="auto"/>
        <w:tabs>
          <w:tab w:leader="none" w:pos="1020" w:val="left"/>
        </w:tabs>
        <w:rPr>
          <w:sz w:val="20"/>
          <w:szCs w:val="20"/>
          <w:color w:val="auto"/>
        </w:rPr>
      </w:pPr>
      <w:r>
        <w:rPr>
          <w:rFonts w:ascii="Arial" w:cs="Arial" w:eastAsia="Arial" w:hAnsi="Arial"/>
          <w:sz w:val="16"/>
          <w:szCs w:val="16"/>
          <w:color w:val="auto"/>
        </w:rPr>
        <w:t>6.4.3</w:t>
      </w:r>
      <w:r>
        <w:rPr>
          <w:sz w:val="20"/>
          <w:szCs w:val="20"/>
          <w:color w:val="auto"/>
        </w:rPr>
        <w:tab/>
      </w:r>
      <w:r>
        <w:rPr>
          <w:rFonts w:ascii="Arial" w:cs="Arial" w:eastAsia="Arial" w:hAnsi="Arial"/>
          <w:sz w:val="16"/>
          <w:szCs w:val="16"/>
          <w:color w:val="auto"/>
        </w:rPr>
        <w:t>Licensee shall not grant a security interest in the License or this Agreement unless such security interest is granted together with all or substantially all of the business or assets of Licensee.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INDEMNIFICATION; INSURANCE AND LIMITATION OF LIABILITY</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3"/>
          <w:szCs w:val="13"/>
          <w:b w:val="1"/>
          <w:bCs w:val="1"/>
          <w:color w:val="auto"/>
        </w:rPr>
        <w:t>Indemnification</w:t>
      </w:r>
      <w:r>
        <w:rPr>
          <w:rFonts w:ascii="Arial" w:cs="Arial" w:eastAsia="Arial" w:hAnsi="Arial"/>
          <w:sz w:val="13"/>
          <w:szCs w:val="13"/>
          <w:color w:val="auto"/>
        </w:rPr>
        <w:t>.</w:t>
      </w:r>
    </w:p>
    <w:p>
      <w:pPr>
        <w:spacing w:after="0" w:line="11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7.1.1</w:t>
      </w:r>
      <w:r>
        <w:rPr>
          <w:sz w:val="20"/>
          <w:szCs w:val="20"/>
          <w:color w:val="auto"/>
        </w:rPr>
        <w:tab/>
      </w:r>
      <w:r>
        <w:rPr>
          <w:rFonts w:ascii="Arial" w:cs="Arial" w:eastAsia="Arial" w:hAnsi="Arial"/>
          <w:sz w:val="13"/>
          <w:szCs w:val="13"/>
          <w:color w:val="auto"/>
        </w:rPr>
        <w:t>Licensee shall indemnify Licensor and its respective trustees, officers, faculty, students, employees, contractors and agents (the</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Licensor Indemnitees</w:t>
      </w:r>
      <w:r>
        <w:rPr>
          <w:rFonts w:ascii="Arial" w:cs="Arial" w:eastAsia="Arial" w:hAnsi="Arial"/>
          <w:sz w:val="13"/>
          <w:szCs w:val="13"/>
          <w:color w:val="auto"/>
        </w:rPr>
        <w:t>”) from and against any and all liability, damage, loss, cost or expense (including reasonable attorneys’ fees),</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including, without limitation, bodily injury, risk of bodily injury, death and property damage to the extent arising out of Third Party</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claims or suits to the extent arising out of (a) the development, testing, use, manufacture, promotion, sale or other disposition of any</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Product (including any product liability claim) by or under the authority of Licensee or a Sublicensee, (b) any claim by a Third Party</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that the practice of Licensor Patent Rights by or under the authority of Licensee or the design, composition, manufacture, use, sale or</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other disposition of any Product by or under the authority of Licensee infringes or violates any patent, copyright, trade secret, trademark</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or other intellectual property right of such Third Party, (c) any breach of this Agreement or Laws by Licensee, its Affiliates or</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Sublicensees, (d) the use or handling of the Licensor Materials by a Third Party that received the Licensor Material directly or indirectly</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from Licensee or a Sublicensee and (e) Licensee’s negligence or willful misconduct, provided that Licensee’s obligations pursuant to</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this Section 7.1.1 shall not apply to the extent such claims or suits result from the gross negligence or willful misconduct of any of</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Licensor Indemnitees or any breach of this Agreement by Licensor.</w:t>
      </w:r>
    </w:p>
    <w:p>
      <w:pPr>
        <w:spacing w:after="0" w:line="99" w:lineRule="exact"/>
        <w:rPr>
          <w:sz w:val="20"/>
          <w:szCs w:val="20"/>
          <w:color w:val="auto"/>
        </w:rPr>
      </w:pPr>
    </w:p>
    <w:p>
      <w:pPr>
        <w:ind w:left="1040" w:right="40" w:hanging="565"/>
        <w:spacing w:after="0" w:line="267" w:lineRule="auto"/>
        <w:tabs>
          <w:tab w:leader="none" w:pos="1020" w:val="left"/>
        </w:tabs>
        <w:rPr>
          <w:sz w:val="20"/>
          <w:szCs w:val="20"/>
          <w:color w:val="auto"/>
        </w:rPr>
      </w:pPr>
      <w:r>
        <w:rPr>
          <w:rFonts w:ascii="Arial" w:cs="Arial" w:eastAsia="Arial" w:hAnsi="Arial"/>
          <w:sz w:val="16"/>
          <w:szCs w:val="16"/>
          <w:color w:val="auto"/>
        </w:rPr>
        <w:t>7.1.2</w:t>
      </w:r>
      <w:r>
        <w:rPr>
          <w:sz w:val="20"/>
          <w:szCs w:val="20"/>
          <w:color w:val="auto"/>
        </w:rPr>
        <w:tab/>
      </w:r>
      <w:r>
        <w:rPr>
          <w:rFonts w:ascii="Arial" w:cs="Arial" w:eastAsia="Arial" w:hAnsi="Arial"/>
          <w:sz w:val="15"/>
          <w:szCs w:val="15"/>
          <w:color w:val="auto"/>
        </w:rPr>
        <w:t>To be eligible for indemnification pursuant to Section 7.1.1 above, Licensor shall provide to Licensee with prompt written notice of any claim or suit for which it seeks indemnification under this Agreement and Licensee shall have the right to defend against and settle any such claim or suit itself, including by selecting its own counsel, with any reasonable attorneys’ fees and litigation expenses being paid for by Licensee; provided however that Licensee shall not settle or consent to the entry of any judgment with respect to such claims that does not release the Licensor Indemnitee from all liability with respect to such claim without the consent of the Licensor Indemnitee. Licensor Indemnitees shall cooperate with the Licensee in such defense and shall permit the Licensee to conduct and control such defense and the disposition of such claim or suit (including all decisions relative to litigation, appeal, and settlement); provided, however, that any Licensor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620"/>
          </w:cols>
          <w:pgMar w:left="1140" w:top="256" w:right="1139" w:bottom="1440" w:gutter="0" w:footer="0" w:header="0"/>
        </w:sectPr>
      </w:pPr>
    </w:p>
    <w:bookmarkStart w:id="543" w:name="page544"/>
    <w:bookmarkEnd w:id="543"/>
    <w:p>
      <w:pPr>
        <w:jc w:val="both"/>
        <w:ind w:left="1040" w:right="16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Indemnitee shall have the right to retain its own counsel, at its own cost and expense. Licensee agrees to keep the applicable Licensor Indemnitees informed of the progress in the defense and disposition of such claim or suit and to consult with the applicable Licensor Indemnitees.</w:t>
      </w:r>
    </w:p>
    <w:p>
      <w:pPr>
        <w:spacing w:after="0" w:line="83" w:lineRule="exact"/>
        <w:rPr>
          <w:sz w:val="20"/>
          <w:szCs w:val="20"/>
          <w:color w:val="auto"/>
        </w:rPr>
      </w:pPr>
    </w:p>
    <w:p>
      <w:pPr>
        <w:ind w:left="1040" w:right="100" w:hanging="565"/>
        <w:spacing w:after="0" w:line="272" w:lineRule="auto"/>
        <w:tabs>
          <w:tab w:leader="none" w:pos="1020" w:val="left"/>
        </w:tabs>
        <w:rPr>
          <w:sz w:val="20"/>
          <w:szCs w:val="20"/>
          <w:color w:val="auto"/>
        </w:rPr>
      </w:pPr>
      <w:r>
        <w:rPr>
          <w:rFonts w:ascii="Arial" w:cs="Arial" w:eastAsia="Arial" w:hAnsi="Arial"/>
          <w:sz w:val="16"/>
          <w:szCs w:val="16"/>
          <w:color w:val="auto"/>
        </w:rPr>
        <w:t>7.1.3</w:t>
      </w:r>
      <w:r>
        <w:rPr>
          <w:sz w:val="20"/>
          <w:szCs w:val="20"/>
          <w:color w:val="auto"/>
        </w:rPr>
        <w:tab/>
      </w:r>
      <w:r>
        <w:rPr>
          <w:rFonts w:ascii="Arial" w:cs="Arial" w:eastAsia="Arial" w:hAnsi="Arial"/>
          <w:sz w:val="15"/>
          <w:szCs w:val="15"/>
          <w:color w:val="auto"/>
        </w:rPr>
        <w:t>The obligations to indemnify and hold harmless under Section 7.1.1 are subject: (a) to the extent authorized by the Texas Constitution and the laws of the State of Texas and subject to the statutory duties of the Texas Attorney General, the Licensor Indemnitee giving Licensee control of the defense and settlement of the claim and demand; and (b) to the extent authorized by the Texas Constitution and the laws of the State of Texas and subject to statutory duties of the Texas Attorney General, the Licensor Indemnitee providing the assistance reasonably requested by Licensee, at Licensee’s expense.</w:t>
      </w:r>
    </w:p>
    <w:p>
      <w:pPr>
        <w:spacing w:after="0" w:line="68"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3"/>
          <w:szCs w:val="13"/>
          <w:b w:val="1"/>
          <w:bCs w:val="1"/>
          <w:color w:val="auto"/>
        </w:rPr>
        <w:t>Insurance</w:t>
      </w:r>
      <w:r>
        <w:rPr>
          <w:rFonts w:ascii="Arial" w:cs="Arial" w:eastAsia="Arial" w:hAnsi="Arial"/>
          <w:sz w:val="13"/>
          <w:szCs w:val="13"/>
          <w:color w:val="auto"/>
        </w:rPr>
        <w:t>. Licensee shall maintain insurance during the Term, at its sole cost and expense, of the types and in amounts which are reasonable and</w:t>
      </w:r>
    </w:p>
    <w:p>
      <w:pPr>
        <w:spacing w:after="0" w:line="20" w:lineRule="exact"/>
        <w:rPr>
          <w:sz w:val="20"/>
          <w:szCs w:val="20"/>
          <w:color w:val="auto"/>
        </w:rPr>
      </w:pPr>
    </w:p>
    <w:p>
      <w:pPr>
        <w:ind w:left="460" w:right="80"/>
        <w:spacing w:after="0" w:line="315" w:lineRule="auto"/>
        <w:rPr>
          <w:sz w:val="20"/>
          <w:szCs w:val="20"/>
          <w:color w:val="auto"/>
        </w:rPr>
      </w:pPr>
      <w:r>
        <w:rPr>
          <w:rFonts w:ascii="Arial" w:cs="Arial" w:eastAsia="Arial" w:hAnsi="Arial"/>
          <w:sz w:val="13"/>
          <w:szCs w:val="13"/>
          <w:color w:val="auto"/>
        </w:rPr>
        <w:t>customary in the U.S. Biotechnology industry for companies of comparable size and activities obtained from a reputable insurer to protect against potential liabilities and risk arising out of the activities to be performed under this Agreement and upon such terms (including coverages and deductible limits) as are customary in the U.S. Biotechnology industry generally for that activities to be conducted by Licensee under this Agreement. Prior to a first commercial sale of a Product, Licensee shall establish and maintain, for each country in which a Product is tested in humans or sold, product liability or other appropriate insurance coverage appropriate to the risks involved in marketing such Products. Upon reasonable written request from Licensor, Licensee shall provide written evidence (e.g., certificates) of such insurance to Licensor.</w:t>
      </w:r>
    </w:p>
    <w:p>
      <w:pPr>
        <w:spacing w:after="0" w:line="45" w:lineRule="exact"/>
        <w:rPr>
          <w:sz w:val="20"/>
          <w:szCs w:val="20"/>
          <w:color w:val="auto"/>
        </w:rPr>
      </w:pPr>
    </w:p>
    <w:p>
      <w:pPr>
        <w:ind w:left="460" w:hanging="471"/>
        <w:spacing w:after="0" w:line="251" w:lineRule="auto"/>
        <w:tabs>
          <w:tab w:leader="none" w:pos="44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b w:val="1"/>
          <w:bCs w:val="1"/>
          <w:color w:val="auto"/>
        </w:rPr>
        <w:t>LIMITATION OF LIABILITY</w:t>
      </w:r>
      <w:r>
        <w:rPr>
          <w:rFonts w:ascii="Arial" w:cs="Arial" w:eastAsia="Arial" w:hAnsi="Arial"/>
          <w:sz w:val="16"/>
          <w:szCs w:val="16"/>
          <w:color w:val="auto"/>
        </w:rPr>
        <w:t>. EXCEPT FOR DAMAGES ARISING FROM A BREACH OF SECTION 5.5,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BY THE LAWS AND CONSTITUTION OF THE STATE OF TEXAS, IN NO EVENT SHALL EITHER PARTY OR ANY OF ITS AFFILIATES BE LIABLE TO THE OTHER PARTY OR ANY OF ITS AFFILIATES FOR SPECIAL, INDIRECT, INCIDENTAL, CONSEQUENTIAL OR PUNITIVE DAMAGES, WHETHER IN CONTRACT, WARRANTY, TORT, NEGLIGENCE, STRICT LIABILITY OR OTHERWISE ARISING OUT OF OR RELATING TO THIS AGREEMENT, THE TRANSACTIONS CONTEMPLATED HEREIN OR ANY BREACH 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TERM AND TERMINATION</w:t>
      </w:r>
    </w:p>
    <w:p>
      <w:pPr>
        <w:spacing w:after="0" w:line="201" w:lineRule="exact"/>
        <w:rPr>
          <w:sz w:val="20"/>
          <w:szCs w:val="20"/>
          <w:color w:val="auto"/>
        </w:rPr>
      </w:pPr>
    </w:p>
    <w:p>
      <w:pPr>
        <w:ind w:left="460" w:right="180" w:hanging="471"/>
        <w:spacing w:after="0" w:line="272" w:lineRule="auto"/>
        <w:tabs>
          <w:tab w:leader="none" w:pos="44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b w:val="1"/>
          <w:bCs w:val="1"/>
          <w:color w:val="auto"/>
        </w:rPr>
        <w:t>Term</w:t>
      </w:r>
      <w:r>
        <w:rPr>
          <w:rFonts w:ascii="Arial" w:cs="Arial" w:eastAsia="Arial" w:hAnsi="Arial"/>
          <w:sz w:val="16"/>
          <w:szCs w:val="16"/>
          <w:color w:val="auto"/>
        </w:rPr>
        <w: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commence on the Effective Date and, unless terminated sooner as provided below,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in full force and effect until the expiration or abandonment of the last Licensor Patent Right.</w:t>
      </w:r>
    </w:p>
    <w:p>
      <w:pPr>
        <w:spacing w:after="0" w:line="66" w:lineRule="exact"/>
        <w:rPr>
          <w:sz w:val="20"/>
          <w:szCs w:val="20"/>
          <w:color w:val="auto"/>
        </w:rPr>
      </w:pPr>
    </w:p>
    <w:p>
      <w:pPr>
        <w:ind w:left="460" w:right="120" w:hanging="471"/>
        <w:spacing w:after="0" w:line="272" w:lineRule="auto"/>
        <w:tabs>
          <w:tab w:leader="none" w:pos="44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b w:val="1"/>
          <w:bCs w:val="1"/>
          <w:color w:val="auto"/>
        </w:rPr>
        <w:t>Termination of the Agreement for Convenience</w:t>
      </w:r>
      <w:r>
        <w:rPr>
          <w:rFonts w:ascii="Arial" w:cs="Arial" w:eastAsia="Arial" w:hAnsi="Arial"/>
          <w:sz w:val="16"/>
          <w:szCs w:val="16"/>
          <w:color w:val="auto"/>
        </w:rPr>
        <w:t>. At any time during the Term, Licensee may, at its convenience, terminate this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its entirety upon providing at least [***] prior written notice to Licensor of such intention to terminate.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3"/>
          <w:szCs w:val="13"/>
          <w:b w:val="1"/>
          <w:bCs w:val="1"/>
          <w:color w:val="auto"/>
        </w:rPr>
        <w:t>Termination For Cause</w:t>
      </w:r>
      <w:r>
        <w:rPr>
          <w:rFonts w:ascii="Arial" w:cs="Arial" w:eastAsia="Arial" w:hAnsi="Arial"/>
          <w:sz w:val="13"/>
          <w:szCs w:val="13"/>
          <w:color w:val="auto"/>
        </w:rPr>
        <w:t>.</w:t>
      </w:r>
    </w:p>
    <w:p>
      <w:pPr>
        <w:spacing w:after="0" w:line="115" w:lineRule="exact"/>
        <w:rPr>
          <w:sz w:val="20"/>
          <w:szCs w:val="20"/>
          <w:color w:val="auto"/>
        </w:rPr>
      </w:pPr>
    </w:p>
    <w:p>
      <w:pPr>
        <w:ind w:left="1040" w:right="300" w:hanging="565"/>
        <w:spacing w:after="0" w:line="256" w:lineRule="auto"/>
        <w:tabs>
          <w:tab w:leader="none" w:pos="1020" w:val="left"/>
        </w:tabs>
        <w:rPr>
          <w:sz w:val="20"/>
          <w:szCs w:val="20"/>
          <w:color w:val="auto"/>
        </w:rPr>
      </w:pPr>
      <w:r>
        <w:rPr>
          <w:rFonts w:ascii="Arial" w:cs="Arial" w:eastAsia="Arial" w:hAnsi="Arial"/>
          <w:sz w:val="16"/>
          <w:szCs w:val="16"/>
          <w:color w:val="auto"/>
        </w:rPr>
        <w:t>8.3.1</w:t>
      </w:r>
      <w:r>
        <w:rPr>
          <w:sz w:val="20"/>
          <w:szCs w:val="20"/>
          <w:color w:val="auto"/>
        </w:rPr>
        <w:tab/>
      </w:r>
      <w:r>
        <w:rPr>
          <w:rFonts w:ascii="Arial" w:cs="Arial" w:eastAsia="Arial" w:hAnsi="Arial"/>
          <w:sz w:val="16"/>
          <w:szCs w:val="16"/>
          <w:color w:val="auto"/>
        </w:rPr>
        <w:t>If Licensee materially fails to fulfill its obligations in accordance with Section 3.1 or 3.2, Licensor may provide written notice to Licensee of such failure. If Licensee fails to address such failure to the reasonable satisfaction of Licensor within [***] of receiving such written notice, Licensor may terminate this Agreement upon written notice to Licensee.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600"/>
          </w:cols>
          <w:pgMar w:left="1140" w:top="256" w:right="1159" w:bottom="1440" w:gutter="0" w:footer="0" w:header="0"/>
        </w:sectPr>
      </w:pPr>
    </w:p>
    <w:bookmarkStart w:id="544" w:name="page545"/>
    <w:bookmarkEnd w:id="544"/>
    <w:p>
      <w:pPr>
        <w:ind w:left="1040" w:right="220" w:hanging="565"/>
        <w:spacing w:after="0" w:line="253" w:lineRule="auto"/>
        <w:tabs>
          <w:tab w:leader="none" w:pos="10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8.3.2</w:t>
      </w:r>
      <w:r>
        <w:rPr>
          <w:sz w:val="20"/>
          <w:szCs w:val="20"/>
          <w:color w:val="auto"/>
        </w:rPr>
        <w:tab/>
      </w:r>
      <w:r>
        <w:rPr>
          <w:rFonts w:ascii="Arial" w:cs="Arial" w:eastAsia="Arial" w:hAnsi="Arial"/>
          <w:sz w:val="16"/>
          <w:szCs w:val="16"/>
          <w:color w:val="auto"/>
        </w:rPr>
        <w:t>If either Party materially breaches this Agreement, the non-breaching Party may give written notice to the breaching Party specifying the nature of the default, requiring it to cure such breach, and stating its intention to terminate this Agreement. If such breach is not cured within [***] of such notice, such termination shall become effective upon a notice of termination by the non-breaching Party thereafter.</w:t>
      </w:r>
    </w:p>
    <w:p>
      <w:pPr>
        <w:spacing w:after="0" w:line="85" w:lineRule="exact"/>
        <w:rPr>
          <w:sz w:val="20"/>
          <w:szCs w:val="20"/>
          <w:color w:val="auto"/>
        </w:rPr>
      </w:pPr>
    </w:p>
    <w:p>
      <w:pPr>
        <w:ind w:left="1040" w:hanging="565"/>
        <w:spacing w:after="0" w:line="265" w:lineRule="auto"/>
        <w:tabs>
          <w:tab w:leader="none" w:pos="1020" w:val="left"/>
        </w:tabs>
        <w:rPr>
          <w:sz w:val="20"/>
          <w:szCs w:val="20"/>
          <w:color w:val="auto"/>
        </w:rPr>
      </w:pPr>
      <w:r>
        <w:rPr>
          <w:rFonts w:ascii="Arial" w:cs="Arial" w:eastAsia="Arial" w:hAnsi="Arial"/>
          <w:sz w:val="16"/>
          <w:szCs w:val="16"/>
          <w:color w:val="auto"/>
        </w:rPr>
        <w:t>8.3.3</w:t>
      </w:r>
      <w:r>
        <w:rPr>
          <w:sz w:val="20"/>
          <w:szCs w:val="20"/>
          <w:color w:val="auto"/>
        </w:rPr>
        <w:tab/>
      </w:r>
      <w:r>
        <w:rPr>
          <w:rFonts w:ascii="Arial" w:cs="Arial" w:eastAsia="Arial" w:hAnsi="Arial"/>
          <w:sz w:val="15"/>
          <w:szCs w:val="15"/>
          <w:color w:val="auto"/>
        </w:rPr>
        <w:t>Licensor shall have the right to terminate this Agreement upon written notice to Licensee effective upon receipt, if Licensee or any of its Affiliates or Sublicensees in violation of Section 6.4.1, directly or indirectly, unsuccessfully challenges the validity of any Licensor Patent Right. If, upon such a challenge, at least one claim of the Licensor Patent Right, which is subject to the challenge, survives the challenge by not being found invalid or unenforceable, regardless of whether the claim is amended as part of the challenge and regardless of whether Licensor terminates this Agreement, such challenge shall be deemed unsuccessful and Licensee shall pay [***] of Licensor’s [***] attorneys’ fees and costs incurred in connection with the challenge, including expenses associated with any subsequent appeals. Licensee shall continue to pay all royalties and other payments due to Licensor during the pendency of any challenge and any appeals therefrom until a final non-appealable judgment is rendered with respect to such challenge. In the event a challenge brought by Licensee is successful, Licensor will refund the Royalties paid by Licensee during the pendency of the challenge (i.e., beginning on the date Licensee files such suit or joins such challenge and ending on the date of a final non-appealable judgment with respect thereto). This Section 8.3.3 shall not apply with respect to any challenge brought by a Sublicensee to the extent Licensee terminates the applicable sublicense within the time specified in Section 6.4.1 or to any challenge withdrawn within [***] of Licensor’s request to so withdraw such challenge.</w:t>
      </w:r>
    </w:p>
    <w:p>
      <w:pPr>
        <w:spacing w:after="0" w:line="83" w:lineRule="exact"/>
        <w:rPr>
          <w:sz w:val="20"/>
          <w:szCs w:val="20"/>
          <w:color w:val="auto"/>
        </w:rPr>
      </w:pPr>
    </w:p>
    <w:p>
      <w:pPr>
        <w:ind w:left="1040" w:right="40" w:hanging="565"/>
        <w:spacing w:after="0" w:line="268" w:lineRule="auto"/>
        <w:tabs>
          <w:tab w:leader="none" w:pos="1020" w:val="left"/>
        </w:tabs>
        <w:rPr>
          <w:sz w:val="20"/>
          <w:szCs w:val="20"/>
          <w:color w:val="auto"/>
        </w:rPr>
      </w:pPr>
      <w:r>
        <w:rPr>
          <w:rFonts w:ascii="Arial" w:cs="Arial" w:eastAsia="Arial" w:hAnsi="Arial"/>
          <w:sz w:val="16"/>
          <w:szCs w:val="16"/>
          <w:color w:val="auto"/>
        </w:rPr>
        <w:t>8.3.4</w:t>
      </w:r>
      <w:r>
        <w:rPr>
          <w:sz w:val="20"/>
          <w:szCs w:val="20"/>
          <w:color w:val="auto"/>
        </w:rPr>
        <w:tab/>
      </w:r>
      <w:r>
        <w:rPr>
          <w:rFonts w:ascii="Arial" w:cs="Arial" w:eastAsia="Arial" w:hAnsi="Arial"/>
          <w:sz w:val="15"/>
          <w:szCs w:val="15"/>
          <w:color w:val="auto"/>
        </w:rPr>
        <w:t>Licensor may terminate this Agreement, upon written notice, with immediate effect if, at any time, Licensee files in any court or agency pursuant to any statute or regulation of any state, country or jurisdiction, a petition in bankruptcy or insolvency or for reorganization or for an arrangement or for the appointment of a receiver or trustee of Licensee or of its assets, or if Licensee proposes a written agreement of composition or extension of its debts, or if Licensee is served with an involuntary petition against it, filed in any insolvency proceeding, and such petition or filing is not dismissed or withdrawn within [***] after the filing thereof, or if Licensee proposes or is a party to any dissolution or liquidation, or if Licensee makes an assignment for the benefit of its creditors of all or substantially all its assets (in each case, “</w:t>
      </w:r>
      <w:r>
        <w:rPr>
          <w:rFonts w:ascii="Arial" w:cs="Arial" w:eastAsia="Arial" w:hAnsi="Arial"/>
          <w:sz w:val="15"/>
          <w:szCs w:val="15"/>
          <w:b w:val="1"/>
          <w:bCs w:val="1"/>
          <w:color w:val="auto"/>
        </w:rPr>
        <w:t>Bankruptcy Action</w:t>
      </w:r>
      <w:r>
        <w:rPr>
          <w:rFonts w:ascii="Arial" w:cs="Arial" w:eastAsia="Arial" w:hAnsi="Arial"/>
          <w:sz w:val="15"/>
          <w:szCs w:val="15"/>
          <w:color w:val="auto"/>
        </w:rPr>
        <w:t>”).</w:t>
      </w:r>
    </w:p>
    <w:p>
      <w:pPr>
        <w:spacing w:after="0" w:line="74" w:lineRule="exact"/>
        <w:rPr>
          <w:sz w:val="20"/>
          <w:szCs w:val="20"/>
          <w:color w:val="auto"/>
        </w:rPr>
      </w:pPr>
    </w:p>
    <w:p>
      <w:pPr>
        <w:ind w:left="460" w:right="60" w:hanging="471"/>
        <w:spacing w:after="0" w:line="309" w:lineRule="auto"/>
        <w:tabs>
          <w:tab w:leader="none" w:pos="44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3"/>
          <w:szCs w:val="13"/>
          <w:b w:val="1"/>
          <w:bCs w:val="1"/>
          <w:color w:val="auto"/>
        </w:rPr>
        <w:t>Cure Plan and Disputed Breach</w:t>
      </w:r>
      <w:r>
        <w:rPr>
          <w:rFonts w:ascii="Arial" w:cs="Arial" w:eastAsia="Arial" w:hAnsi="Arial"/>
          <w:sz w:val="13"/>
          <w:szCs w:val="13"/>
          <w:color w:val="auto"/>
        </w:rPr>
        <w:t>. Notwithstanding Sections 8.3.1 and 8.3.2: (a) if such breach alleged by Licensor pursuant to Sections 8.3.1 or</w:t>
      </w:r>
      <w:r>
        <w:rPr>
          <w:rFonts w:ascii="Arial" w:cs="Arial" w:eastAsia="Arial" w:hAnsi="Arial"/>
          <w:sz w:val="13"/>
          <w:szCs w:val="13"/>
          <w:b w:val="1"/>
          <w:bCs w:val="1"/>
          <w:color w:val="auto"/>
        </w:rPr>
        <w:t xml:space="preserve"> </w:t>
      </w:r>
      <w:r>
        <w:rPr>
          <w:rFonts w:ascii="Arial" w:cs="Arial" w:eastAsia="Arial" w:hAnsi="Arial"/>
          <w:sz w:val="13"/>
          <w:szCs w:val="13"/>
          <w:color w:val="auto"/>
        </w:rPr>
        <w:t>8.3.2 is not capable of cure within such [***] or [***] period, as applicable, Licensee may submit, within [***] of receipt of such notice, a reasonable cure plan to remedy such failure as soon as possible, and, upon such submission, the [***] or [***] cure period, as applicable, shall be automatically extended for so long as Licensee continues to use [***] efforts to cure such breach in accordance with the cure plan, [***] and</w:t>
      </w:r>
    </w:p>
    <w:p>
      <w:pPr>
        <w:ind w:left="460" w:right="300" w:firstLine="5"/>
        <w:spacing w:after="0" w:line="284" w:lineRule="auto"/>
        <w:tabs>
          <w:tab w:leader="none" w:pos="682" w:val="left"/>
        </w:tabs>
        <w:numPr>
          <w:ilvl w:val="0"/>
          <w:numId w:val="401"/>
        </w:numPr>
        <w:rPr>
          <w:rFonts w:ascii="Arial" w:cs="Arial" w:eastAsia="Arial" w:hAnsi="Arial"/>
          <w:sz w:val="15"/>
          <w:szCs w:val="15"/>
          <w:color w:val="auto"/>
        </w:rPr>
      </w:pPr>
      <w:r>
        <w:rPr>
          <w:rFonts w:ascii="Arial" w:cs="Arial" w:eastAsia="Arial" w:hAnsi="Arial"/>
          <w:sz w:val="15"/>
          <w:szCs w:val="15"/>
          <w:color w:val="auto"/>
        </w:rPr>
        <w:t>in the event Licensee disputes a breach alleged by Licensor pursuant to Sections 8.3.1 and 8.3.2 by written notice to Licensor within such [***] or [***] period (the “</w:t>
      </w:r>
      <w:r>
        <w:rPr>
          <w:rFonts w:ascii="Arial" w:cs="Arial" w:eastAsia="Arial" w:hAnsi="Arial"/>
          <w:sz w:val="15"/>
          <w:szCs w:val="15"/>
          <w:b w:val="1"/>
          <w:bCs w:val="1"/>
          <w:color w:val="auto"/>
        </w:rPr>
        <w:t>Dispute Notice</w:t>
      </w:r>
      <w:r>
        <w:rPr>
          <w:rFonts w:ascii="Arial" w:cs="Arial" w:eastAsia="Arial" w:hAnsi="Arial"/>
          <w:sz w:val="15"/>
          <w:szCs w:val="15"/>
          <w:color w:val="auto"/>
        </w:rPr>
        <w:t>”), as applicable, [***]; provided that, such [***] and the Parties shall [***].</w:t>
      </w:r>
    </w:p>
    <w:p>
      <w:pPr>
        <w:spacing w:after="0" w:line="6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3"/>
          <w:szCs w:val="13"/>
          <w:b w:val="1"/>
          <w:bCs w:val="1"/>
          <w:color w:val="auto"/>
        </w:rPr>
        <w:t>Effects of Termination</w:t>
      </w:r>
      <w:r>
        <w:rPr>
          <w:rFonts w:ascii="Arial" w:cs="Arial" w:eastAsia="Arial" w:hAnsi="Arial"/>
          <w:sz w:val="13"/>
          <w:szCs w:val="13"/>
          <w:color w:val="auto"/>
        </w:rPr>
        <w:t>.</w:t>
      </w:r>
    </w:p>
    <w:p>
      <w:pPr>
        <w:spacing w:after="0" w:line="11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8.5.1</w:t>
      </w:r>
      <w:r>
        <w:rPr>
          <w:sz w:val="20"/>
          <w:szCs w:val="20"/>
          <w:color w:val="auto"/>
        </w:rPr>
        <w:tab/>
      </w:r>
      <w:r>
        <w:rPr>
          <w:rFonts w:ascii="Arial" w:cs="Arial" w:eastAsia="Arial" w:hAnsi="Arial"/>
          <w:sz w:val="13"/>
          <w:szCs w:val="13"/>
          <w:color w:val="auto"/>
        </w:rPr>
        <w:t>Upon termination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620"/>
          </w:cols>
          <w:pgMar w:left="1140" w:top="256" w:right="1139" w:bottom="1440" w:gutter="0" w:footer="0" w:header="0"/>
        </w:sectPr>
      </w:pPr>
    </w:p>
    <w:bookmarkStart w:id="545" w:name="page546"/>
    <w:bookmarkEnd w:id="545"/>
    <w:p>
      <w:pPr>
        <w:ind w:left="1520" w:hanging="477"/>
        <w:spacing w:after="0"/>
        <w:tabs>
          <w:tab w:leader="none" w:pos="1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Subject to Section 8.5.2, all rights and licenses granted by Licensor hereunder shall immediately terminate;</w:t>
      </w:r>
    </w:p>
    <w:p>
      <w:pPr>
        <w:spacing w:after="0" w:line="110" w:lineRule="exact"/>
        <w:rPr>
          <w:rFonts w:ascii="Arial" w:cs="Arial" w:eastAsia="Arial" w:hAnsi="Arial"/>
          <w:sz w:val="16"/>
          <w:szCs w:val="16"/>
          <w:color w:val="auto"/>
        </w:rPr>
      </w:pPr>
    </w:p>
    <w:p>
      <w:pPr>
        <w:ind w:left="1520" w:right="360" w:hanging="477"/>
        <w:spacing w:after="0" w:line="266" w:lineRule="auto"/>
        <w:tabs>
          <w:tab w:leader="none" w:pos="1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Each Party shall return or destroy all Confidential Information of the other Party disclosed to it pursuant to this Agreement, including all copies and extracts of documents;</w:t>
      </w:r>
    </w:p>
    <w:p>
      <w:pPr>
        <w:spacing w:after="0" w:line="75" w:lineRule="exact"/>
        <w:rPr>
          <w:rFonts w:ascii="Arial" w:cs="Arial" w:eastAsia="Arial" w:hAnsi="Arial"/>
          <w:sz w:val="16"/>
          <w:szCs w:val="16"/>
          <w:color w:val="auto"/>
        </w:rPr>
      </w:pPr>
    </w:p>
    <w:p>
      <w:pPr>
        <w:ind w:left="1520" w:hanging="477"/>
        <w:spacing w:after="0" w:line="256" w:lineRule="auto"/>
        <w:tabs>
          <w:tab w:leader="none" w:pos="1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If such termination is by Licensor pursuant to Section 8.3.1, Licensee’s obligation to pay Royalties pursuant to Section 4.3 for Products for which the Royalty Period is ongoing in a country at the time of such termination shall survive for such country until the expiration of such Royalty Period for such country; and</w:t>
      </w:r>
    </w:p>
    <w:p>
      <w:pPr>
        <w:spacing w:after="0" w:line="83" w:lineRule="exact"/>
        <w:rPr>
          <w:rFonts w:ascii="Arial" w:cs="Arial" w:eastAsia="Arial" w:hAnsi="Arial"/>
          <w:sz w:val="16"/>
          <w:szCs w:val="16"/>
          <w:color w:val="auto"/>
        </w:rPr>
      </w:pPr>
    </w:p>
    <w:p>
      <w:pPr>
        <w:ind w:left="1520" w:right="160" w:hanging="477"/>
        <w:spacing w:after="0" w:line="251" w:lineRule="auto"/>
        <w:tabs>
          <w:tab w:leader="none" w:pos="1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Licensee and its Affiliates and Sublicensees shall be entitled to complete the manufacture of any in-process inventory and, following completion to sell any such inventory and any completed inventory of Products which remain on hand as of the date of the effective date of termination for a period of [***], so long as Licensee pays to Licensor the Commercial Milestone Payments and Royalties applicable to such subsequent sales in accordance with the terms and conditions as set forth in this Agreement.</w:t>
      </w:r>
    </w:p>
    <w:p>
      <w:pPr>
        <w:spacing w:after="0" w:line="87" w:lineRule="exact"/>
        <w:rPr>
          <w:rFonts w:ascii="Arial" w:cs="Arial" w:eastAsia="Arial" w:hAnsi="Arial"/>
          <w:sz w:val="16"/>
          <w:szCs w:val="16"/>
          <w:color w:val="auto"/>
        </w:rPr>
      </w:pPr>
    </w:p>
    <w:p>
      <w:pPr>
        <w:ind w:left="1520" w:right="360" w:hanging="477"/>
        <w:spacing w:after="0" w:line="266" w:lineRule="auto"/>
        <w:tabs>
          <w:tab w:leader="none" w:pos="1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Licensee shall prepare and submit a final Financial Report and any royalty payments and unreimbursed Patent Costs due to Licensor shall become immediately payable to Licensor.</w:t>
      </w:r>
    </w:p>
    <w:p>
      <w:pPr>
        <w:spacing w:after="0" w:line="76" w:lineRule="exact"/>
        <w:rPr>
          <w:sz w:val="20"/>
          <w:szCs w:val="20"/>
          <w:color w:val="auto"/>
        </w:rPr>
      </w:pPr>
    </w:p>
    <w:p>
      <w:pPr>
        <w:ind w:left="1040" w:right="20" w:hanging="565"/>
        <w:spacing w:after="0" w:line="250" w:lineRule="auto"/>
        <w:tabs>
          <w:tab w:leader="none" w:pos="1020" w:val="left"/>
        </w:tabs>
        <w:rPr>
          <w:sz w:val="20"/>
          <w:szCs w:val="20"/>
          <w:color w:val="auto"/>
        </w:rPr>
      </w:pPr>
      <w:r>
        <w:rPr>
          <w:rFonts w:ascii="Arial" w:cs="Arial" w:eastAsia="Arial" w:hAnsi="Arial"/>
          <w:sz w:val="16"/>
          <w:szCs w:val="16"/>
          <w:color w:val="auto"/>
        </w:rPr>
        <w:t>8.5.2</w:t>
      </w:r>
      <w:r>
        <w:rPr>
          <w:sz w:val="20"/>
          <w:szCs w:val="20"/>
          <w:color w:val="auto"/>
        </w:rPr>
        <w:tab/>
      </w:r>
      <w:r>
        <w:rPr>
          <w:rFonts w:ascii="Arial" w:cs="Arial" w:eastAsia="Arial" w:hAnsi="Arial"/>
          <w:sz w:val="16"/>
          <w:szCs w:val="16"/>
          <w:color w:val="auto"/>
        </w:rPr>
        <w:t>Upon any termination of this Agreement by Licensor for any reason, any Sublicense validly granted by Licensee and not in default in its obligations to Licensor shall survive, provided that upon request by Licensor, such Sublicensee promptly agrees in writing to be bound by the applicable terms of this Agreement with respect to the activities of the Sublicensee under such Sublicense, provided the duties and obligations of Licensor under such agreement will not be greater than the duties of Licensor under this Agreement, and the rights of Licensor under any such agreement will not be less than the rights of Licensor under this Agreement, including all financial consideration and other rights of Licensor.</w:t>
      </w:r>
    </w:p>
    <w:p>
      <w:pPr>
        <w:spacing w:after="0" w:line="88" w:lineRule="exact"/>
        <w:rPr>
          <w:sz w:val="20"/>
          <w:szCs w:val="20"/>
          <w:color w:val="auto"/>
        </w:rPr>
      </w:pPr>
    </w:p>
    <w:p>
      <w:pPr>
        <w:ind w:left="1040" w:right="80" w:hanging="565"/>
        <w:spacing w:after="0" w:line="256" w:lineRule="auto"/>
        <w:tabs>
          <w:tab w:leader="none" w:pos="1020" w:val="left"/>
        </w:tabs>
        <w:rPr>
          <w:sz w:val="20"/>
          <w:szCs w:val="20"/>
          <w:color w:val="auto"/>
        </w:rPr>
      </w:pPr>
      <w:r>
        <w:rPr>
          <w:rFonts w:ascii="Arial" w:cs="Arial" w:eastAsia="Arial" w:hAnsi="Arial"/>
          <w:sz w:val="16"/>
          <w:szCs w:val="16"/>
          <w:color w:val="auto"/>
        </w:rPr>
        <w:t>8.5.3</w:t>
      </w:r>
      <w:r>
        <w:rPr>
          <w:sz w:val="20"/>
          <w:szCs w:val="20"/>
          <w:color w:val="auto"/>
        </w:rPr>
        <w:tab/>
      </w:r>
      <w:r>
        <w:rPr>
          <w:rFonts w:ascii="Arial" w:cs="Arial" w:eastAsia="Arial" w:hAnsi="Arial"/>
          <w:sz w:val="16"/>
          <w:szCs w:val="16"/>
          <w:color w:val="auto"/>
        </w:rPr>
        <w:t>Notwithstanding the expiration or termination of this Agreement, the following provisions shall survive: Sections 4.10, 4.11, 5.5, 6.4.2, 7.1, 7.3 and 8.5 and Article 1 and Article 9. Except as set forth in this Article 8, upon the expiration or termination of this Agreement, all rights and obligations of the Parties under this Agreement shall terminate.</w:t>
      </w:r>
    </w:p>
    <w:p>
      <w:pPr>
        <w:spacing w:after="0" w:line="83" w:lineRule="exact"/>
        <w:rPr>
          <w:sz w:val="20"/>
          <w:szCs w:val="20"/>
          <w:color w:val="auto"/>
        </w:rPr>
      </w:pPr>
    </w:p>
    <w:p>
      <w:pPr>
        <w:jc w:val="both"/>
        <w:ind w:left="1040" w:right="220" w:hanging="565"/>
        <w:spacing w:after="0" w:line="275" w:lineRule="auto"/>
        <w:tabs>
          <w:tab w:leader="none" w:pos="1020" w:val="left"/>
        </w:tabs>
        <w:rPr>
          <w:sz w:val="20"/>
          <w:szCs w:val="20"/>
          <w:color w:val="auto"/>
        </w:rPr>
      </w:pPr>
      <w:r>
        <w:rPr>
          <w:rFonts w:ascii="Arial" w:cs="Arial" w:eastAsia="Arial" w:hAnsi="Arial"/>
          <w:sz w:val="16"/>
          <w:szCs w:val="16"/>
          <w:color w:val="auto"/>
        </w:rPr>
        <w:t>8.5.4</w:t>
      </w:r>
      <w:r>
        <w:rPr>
          <w:sz w:val="20"/>
          <w:szCs w:val="20"/>
          <w:color w:val="auto"/>
        </w:rPr>
        <w:tab/>
      </w:r>
      <w:r>
        <w:rPr>
          <w:rFonts w:ascii="Arial" w:cs="Arial" w:eastAsia="Arial" w:hAnsi="Arial"/>
          <w:sz w:val="15"/>
          <w:szCs w:val="15"/>
          <w:color w:val="auto"/>
        </w:rPr>
        <w:t>Termination of this Agreement shall not relieve the Parties of any obligation or liability that, at the time of termination, has already accrued hereunder, or which is attributable to a period prior to the effective date of such termination.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9</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ADDITIONAL PROVISIONS</w:t>
      </w:r>
    </w:p>
    <w:p>
      <w:pPr>
        <w:spacing w:after="0" w:line="95" w:lineRule="exact"/>
        <w:rPr>
          <w:sz w:val="20"/>
          <w:szCs w:val="20"/>
          <w:color w:val="auto"/>
        </w:rPr>
      </w:pPr>
    </w:p>
    <w:p>
      <w:pPr>
        <w:jc w:val="both"/>
        <w:ind w:left="460" w:right="60" w:hanging="471"/>
        <w:spacing w:after="0" w:line="284" w:lineRule="auto"/>
        <w:tabs>
          <w:tab w:leader="none" w:pos="44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5"/>
          <w:szCs w:val="15"/>
          <w:b w:val="1"/>
          <w:bCs w:val="1"/>
          <w:color w:val="auto"/>
        </w:rPr>
        <w:t>Relationship of the Parties</w:t>
      </w:r>
      <w:r>
        <w:rPr>
          <w:rFonts w:ascii="Arial" w:cs="Arial" w:eastAsia="Arial" w:hAnsi="Arial"/>
          <w:sz w:val="15"/>
          <w:szCs w:val="15"/>
          <w:color w:val="auto"/>
        </w:rPr>
        <w:t>. Nothing in this Agreement is intended or shall be deemed, for financial, tax, legal or other purposes, to constitute a</w:t>
      </w:r>
      <w:r>
        <w:rPr>
          <w:rFonts w:ascii="Arial" w:cs="Arial" w:eastAsia="Arial" w:hAnsi="Arial"/>
          <w:sz w:val="15"/>
          <w:szCs w:val="15"/>
          <w:b w:val="1"/>
          <w:bCs w:val="1"/>
          <w:color w:val="auto"/>
        </w:rPr>
        <w:t xml:space="preserve"> </w:t>
      </w:r>
      <w:r>
        <w:rPr>
          <w:rFonts w:ascii="Arial" w:cs="Arial" w:eastAsia="Arial" w:hAnsi="Arial"/>
          <w:sz w:val="15"/>
          <w:szCs w:val="15"/>
          <w:color w:val="auto"/>
        </w:rPr>
        <w:t>partnership, agency, joint venture or employer-employee relationship between the Parties. The Parties are independent contractors and at no time will either Party make commitments or incur any charges or expenses for or on behalf of the other Party.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620"/>
          </w:cols>
          <w:pgMar w:left="1140" w:top="256" w:right="1139" w:bottom="1440" w:gutter="0" w:footer="0" w:header="0"/>
        </w:sectPr>
      </w:pPr>
    </w:p>
    <w:bookmarkStart w:id="546" w:name="page547"/>
    <w:bookmarkEnd w:id="546"/>
    <w:p>
      <w:pPr>
        <w:ind w:left="460" w:right="100" w:hanging="471"/>
        <w:spacing w:after="0" w:line="272" w:lineRule="auto"/>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color w:val="auto"/>
        </w:rPr>
        <w:t>Expenses</w:t>
      </w:r>
      <w:r>
        <w:rPr>
          <w:rFonts w:ascii="Arial" w:cs="Arial" w:eastAsia="Arial" w:hAnsi="Arial"/>
          <w:sz w:val="16"/>
          <w:szCs w:val="16"/>
          <w:color w:val="auto"/>
        </w:rPr>
        <w:t>. Except as otherwise provided in this Agreement, each Party shall pay its own expenses and costs incidental to the preparation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to the consummation of the transactions contemplated hereby.</w:t>
      </w:r>
    </w:p>
    <w:p>
      <w:pPr>
        <w:spacing w:after="0" w:line="66" w:lineRule="exact"/>
        <w:rPr>
          <w:sz w:val="20"/>
          <w:szCs w:val="20"/>
          <w:color w:val="auto"/>
        </w:rPr>
      </w:pPr>
    </w:p>
    <w:p>
      <w:pPr>
        <w:ind w:left="460" w:right="40" w:hanging="471"/>
        <w:spacing w:after="0" w:line="312" w:lineRule="auto"/>
        <w:tabs>
          <w:tab w:leader="none" w:pos="44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3"/>
          <w:szCs w:val="13"/>
          <w:b w:val="1"/>
          <w:bCs w:val="1"/>
          <w:color w:val="auto"/>
        </w:rPr>
        <w:t>Use of Names</w:t>
      </w:r>
      <w:r>
        <w:rPr>
          <w:rFonts w:ascii="Arial" w:cs="Arial" w:eastAsia="Arial" w:hAnsi="Arial"/>
          <w:sz w:val="13"/>
          <w:szCs w:val="13"/>
          <w:color w:val="auto"/>
        </w:rPr>
        <w:t>. Licensee, its Affiliates and Sublicensees may not use the name, logo, seal, trademark, or service mark (including any adaptation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them) of Licensor or any Licensor school, organization, employee, student or representative, without the prior written consent of Licensor. Notwithstanding the foregoing, Licensee may use the name of Licensor in a non-misleading and factual manner solely in (a) executive summaries, business plans, offering memoranda and other similar documents used by Licensee for the purpose of raising financing for the operations of Licensee as related to Product, or entering into commercial contracts with Third Parties, but in such case only to the extent necessary to inform a reader that the Licensor Patent Rights have been licensed by Licensee from Licensor, and (b) any securities reports required to be filed with the Securities and Exchange Commission. Notwithstanding anything to the contrary, each Party acknowledges and agrees that Licensee shall be permitted to issue a press release with respect to this Agreement; provided that Licensee shall obtain Licensor’s approval of the text of such press release prior to issuance thereof, such approval not to be unreasonably withheld or delayed. Thereafter, each Party may each disclose to Third Parties the information contained in such press release without the need for further approval by the other Party.</w:t>
      </w:r>
    </w:p>
    <w:p>
      <w:pPr>
        <w:spacing w:after="0" w:line="49" w:lineRule="exact"/>
        <w:rPr>
          <w:sz w:val="20"/>
          <w:szCs w:val="20"/>
          <w:color w:val="auto"/>
        </w:rPr>
      </w:pPr>
    </w:p>
    <w:p>
      <w:pPr>
        <w:ind w:left="460" w:hanging="471"/>
        <w:spacing w:after="0" w:line="272" w:lineRule="auto"/>
        <w:tabs>
          <w:tab w:leader="none" w:pos="44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b w:val="1"/>
          <w:bCs w:val="1"/>
          <w:color w:val="auto"/>
        </w:rPr>
        <w:t>No Discrimination</w:t>
      </w:r>
      <w:r>
        <w:rPr>
          <w:rFonts w:ascii="Arial" w:cs="Arial" w:eastAsia="Arial" w:hAnsi="Arial"/>
          <w:sz w:val="16"/>
          <w:szCs w:val="16"/>
          <w:color w:val="auto"/>
        </w:rPr>
        <w:t>. Each Party will have a policy prohibiting discrimination against any employee or applicant for employment because of race,</w:t>
      </w:r>
      <w:r>
        <w:rPr>
          <w:rFonts w:ascii="Arial" w:cs="Arial" w:eastAsia="Arial" w:hAnsi="Arial"/>
          <w:sz w:val="16"/>
          <w:szCs w:val="16"/>
          <w:b w:val="1"/>
          <w:bCs w:val="1"/>
          <w:color w:val="auto"/>
        </w:rPr>
        <w:t xml:space="preserve"> </w:t>
      </w:r>
      <w:r>
        <w:rPr>
          <w:rFonts w:ascii="Arial" w:cs="Arial" w:eastAsia="Arial" w:hAnsi="Arial"/>
          <w:sz w:val="16"/>
          <w:szCs w:val="16"/>
          <w:color w:val="auto"/>
        </w:rPr>
        <w:t>color, sex, age, religion, national or ethnic origin, handicap, or veteran status.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3"/>
          <w:szCs w:val="13"/>
          <w:b w:val="1"/>
          <w:bCs w:val="1"/>
          <w:color w:val="auto"/>
        </w:rPr>
        <w:t>Successors and Assignment</w:t>
      </w:r>
      <w:r>
        <w:rPr>
          <w:rFonts w:ascii="Arial" w:cs="Arial" w:eastAsia="Arial" w:hAnsi="Arial"/>
          <w:sz w:val="13"/>
          <w:szCs w:val="13"/>
          <w:color w:val="auto"/>
        </w:rPr>
        <w:t>.</w:t>
      </w:r>
    </w:p>
    <w:p>
      <w:pPr>
        <w:spacing w:after="0" w:line="115" w:lineRule="exact"/>
        <w:rPr>
          <w:sz w:val="20"/>
          <w:szCs w:val="20"/>
          <w:color w:val="auto"/>
        </w:rPr>
      </w:pPr>
    </w:p>
    <w:p>
      <w:pPr>
        <w:ind w:left="1040" w:right="440" w:hanging="565"/>
        <w:spacing w:after="0" w:line="266" w:lineRule="auto"/>
        <w:tabs>
          <w:tab w:leader="none" w:pos="1020" w:val="left"/>
        </w:tabs>
        <w:rPr>
          <w:sz w:val="20"/>
          <w:szCs w:val="20"/>
          <w:color w:val="auto"/>
        </w:rPr>
      </w:pPr>
      <w:r>
        <w:rPr>
          <w:rFonts w:ascii="Arial" w:cs="Arial" w:eastAsia="Arial" w:hAnsi="Arial"/>
          <w:sz w:val="16"/>
          <w:szCs w:val="16"/>
          <w:color w:val="auto"/>
        </w:rPr>
        <w:t>9.5.1</w:t>
      </w:r>
      <w:r>
        <w:rPr>
          <w:sz w:val="20"/>
          <w:szCs w:val="20"/>
          <w:color w:val="auto"/>
        </w:rPr>
        <w:tab/>
      </w:r>
      <w:r>
        <w:rPr>
          <w:rFonts w:ascii="Arial" w:cs="Arial" w:eastAsia="Arial" w:hAnsi="Arial"/>
          <w:sz w:val="16"/>
          <w:szCs w:val="16"/>
          <w:color w:val="auto"/>
        </w:rPr>
        <w:t>The terms and provisions hereof shall inure to the benefit of, and be binding upon, the Parties and their respective successors and permitted assigns.</w:t>
      </w:r>
    </w:p>
    <w:p>
      <w:pPr>
        <w:spacing w:after="0" w:line="76" w:lineRule="exact"/>
        <w:rPr>
          <w:sz w:val="20"/>
          <w:szCs w:val="20"/>
          <w:color w:val="auto"/>
        </w:rPr>
      </w:pPr>
    </w:p>
    <w:p>
      <w:pPr>
        <w:ind w:left="1040" w:right="80" w:hanging="565"/>
        <w:spacing w:after="0" w:line="270" w:lineRule="auto"/>
        <w:tabs>
          <w:tab w:leader="none" w:pos="1020" w:val="left"/>
        </w:tabs>
        <w:rPr>
          <w:sz w:val="20"/>
          <w:szCs w:val="20"/>
          <w:color w:val="auto"/>
        </w:rPr>
      </w:pPr>
      <w:r>
        <w:rPr>
          <w:rFonts w:ascii="Arial" w:cs="Arial" w:eastAsia="Arial" w:hAnsi="Arial"/>
          <w:sz w:val="16"/>
          <w:szCs w:val="16"/>
          <w:color w:val="auto"/>
        </w:rPr>
        <w:t>9.5.2</w:t>
      </w:r>
      <w:r>
        <w:rPr>
          <w:sz w:val="20"/>
          <w:szCs w:val="20"/>
          <w:color w:val="auto"/>
        </w:rPr>
        <w:tab/>
      </w:r>
      <w:r>
        <w:rPr>
          <w:rFonts w:ascii="Arial" w:cs="Arial" w:eastAsia="Arial" w:hAnsi="Arial"/>
          <w:sz w:val="15"/>
          <w:szCs w:val="15"/>
          <w:color w:val="auto"/>
        </w:rPr>
        <w:t>Licensee may not assign or transfer this Agreement or any of Licensee’s rights or obligations created hereunder, by operation of law or otherwise, without the prior written consent of Licensor, provided that Licensor shall not unreasonably withhold, condition or delay its consent. Any assignment not in accordance with this Section 9.5 shall be null and void. Notwithstanding the foregoing, Licensee may assign this Agreement, in its entirety, without the consent of Licensor, to (a) its Affiliates, or (b) its successor in interest pursuant to a merger, consolidation, other business combination or in connection with a sale of all or substantially all of the assets of the business pertaining to the subject matter of this Agreement.</w:t>
      </w:r>
    </w:p>
    <w:p>
      <w:pPr>
        <w:spacing w:after="0" w:line="70" w:lineRule="exact"/>
        <w:rPr>
          <w:sz w:val="20"/>
          <w:szCs w:val="20"/>
          <w:color w:val="auto"/>
        </w:rPr>
      </w:pPr>
    </w:p>
    <w:p>
      <w:pPr>
        <w:ind w:left="460" w:right="480" w:hanging="471"/>
        <w:spacing w:after="0" w:line="272" w:lineRule="auto"/>
        <w:tabs>
          <w:tab w:leader="none" w:pos="44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6"/>
          <w:szCs w:val="16"/>
          <w:b w:val="1"/>
          <w:bCs w:val="1"/>
          <w:color w:val="auto"/>
        </w:rPr>
        <w:t>Further Actions</w:t>
      </w:r>
      <w:r>
        <w:rPr>
          <w:rFonts w:ascii="Arial" w:cs="Arial" w:eastAsia="Arial" w:hAnsi="Arial"/>
          <w:sz w:val="16"/>
          <w:szCs w:val="16"/>
          <w:color w:val="auto"/>
        </w:rPr>
        <w:t>. Each Party agrees to execute, acknowledge and deliver such further instruments and to do all such other acts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appropriate in order to carry out the purposes and intent of this Agreement.</w:t>
      </w:r>
    </w:p>
    <w:p>
      <w:pPr>
        <w:spacing w:after="0" w:line="66" w:lineRule="exact"/>
        <w:rPr>
          <w:sz w:val="20"/>
          <w:szCs w:val="20"/>
          <w:color w:val="auto"/>
        </w:rPr>
      </w:pPr>
    </w:p>
    <w:p>
      <w:pPr>
        <w:ind w:left="460" w:right="160" w:hanging="471"/>
        <w:spacing w:after="0" w:line="252" w:lineRule="auto"/>
        <w:tabs>
          <w:tab w:leader="none" w:pos="440"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6"/>
          <w:szCs w:val="16"/>
          <w:b w:val="1"/>
          <w:bCs w:val="1"/>
          <w:color w:val="auto"/>
        </w:rPr>
        <w:t xml:space="preserve">Entire Agreement of the Parties; Amendments. </w:t>
      </w:r>
      <w:r>
        <w:rPr>
          <w:rFonts w:ascii="Arial" w:cs="Arial" w:eastAsia="Arial" w:hAnsi="Arial"/>
          <w:sz w:val="16"/>
          <w:szCs w:val="16"/>
          <w:color w:val="auto"/>
        </w:rPr>
        <w:t>This Agreement, the Appendices and Schedules hereto, constitute and contain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580"/>
          </w:cols>
          <w:pgMar w:left="1140" w:top="252" w:right="1179" w:bottom="1440" w:gutter="0" w:footer="0" w:header="0"/>
        </w:sectPr>
      </w:pPr>
    </w:p>
    <w:bookmarkStart w:id="547" w:name="page548"/>
    <w:bookmarkEnd w:id="547"/>
    <w:p>
      <w:pPr>
        <w:ind w:left="460" w:right="140" w:hanging="471"/>
        <w:spacing w:after="0" w:line="306" w:lineRule="auto"/>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9.8</w:t>
      </w:r>
      <w:r>
        <w:rPr>
          <w:sz w:val="20"/>
          <w:szCs w:val="20"/>
          <w:color w:val="auto"/>
        </w:rPr>
        <w:tab/>
      </w:r>
      <w:r>
        <w:rPr>
          <w:rFonts w:ascii="Arial" w:cs="Arial" w:eastAsia="Arial" w:hAnsi="Arial"/>
          <w:sz w:val="15"/>
          <w:szCs w:val="15"/>
          <w:b w:val="1"/>
          <w:bCs w:val="1"/>
          <w:color w:val="auto"/>
        </w:rPr>
        <w:t>Governing Law</w:t>
      </w:r>
      <w:r>
        <w:rPr>
          <w:rFonts w:ascii="Arial" w:cs="Arial" w:eastAsia="Arial" w:hAnsi="Arial"/>
          <w:sz w:val="15"/>
          <w:szCs w:val="15"/>
          <w:color w:val="auto"/>
        </w:rPr>
        <w:t>. This Agreement shall be governed by and interpreted in accordance with the laws of the state of Texas, excluding application</w:t>
      </w:r>
      <w:r>
        <w:rPr>
          <w:rFonts w:ascii="Arial" w:cs="Arial" w:eastAsia="Arial" w:hAnsi="Arial"/>
          <w:sz w:val="15"/>
          <w:szCs w:val="15"/>
          <w:b w:val="1"/>
          <w:bCs w:val="1"/>
          <w:color w:val="auto"/>
        </w:rPr>
        <w:t xml:space="preserve"> </w:t>
      </w:r>
      <w:r>
        <w:rPr>
          <w:rFonts w:ascii="Arial" w:cs="Arial" w:eastAsia="Arial" w:hAnsi="Arial"/>
          <w:sz w:val="15"/>
          <w:szCs w:val="15"/>
          <w:color w:val="auto"/>
        </w:rPr>
        <w:t>of any conflict of laws principles that would require application of the law of a jurisdiction outside of the state of Texas.</w:t>
      </w:r>
    </w:p>
    <w:p>
      <w:pPr>
        <w:spacing w:after="0" w:line="44" w:lineRule="exact"/>
        <w:rPr>
          <w:sz w:val="20"/>
          <w:szCs w:val="20"/>
          <w:color w:val="auto"/>
        </w:rPr>
      </w:pPr>
    </w:p>
    <w:p>
      <w:pPr>
        <w:ind w:left="460" w:hanging="471"/>
        <w:spacing w:after="0" w:line="316" w:lineRule="auto"/>
        <w:tabs>
          <w:tab w:leader="none" w:pos="440" w:val="left"/>
        </w:tabs>
        <w:rPr>
          <w:sz w:val="20"/>
          <w:szCs w:val="20"/>
          <w:color w:val="auto"/>
        </w:rPr>
      </w:pPr>
      <w:r>
        <w:rPr>
          <w:rFonts w:ascii="Arial" w:cs="Arial" w:eastAsia="Arial" w:hAnsi="Arial"/>
          <w:sz w:val="16"/>
          <w:szCs w:val="16"/>
          <w:color w:val="auto"/>
        </w:rPr>
        <w:t>9.9</w:t>
      </w:r>
      <w:r>
        <w:rPr>
          <w:sz w:val="20"/>
          <w:szCs w:val="20"/>
          <w:color w:val="auto"/>
        </w:rPr>
        <w:tab/>
      </w:r>
      <w:r>
        <w:rPr>
          <w:rFonts w:ascii="Arial" w:cs="Arial" w:eastAsia="Arial" w:hAnsi="Arial"/>
          <w:sz w:val="13"/>
          <w:szCs w:val="13"/>
          <w:b w:val="1"/>
          <w:bCs w:val="1"/>
          <w:color w:val="auto"/>
        </w:rPr>
        <w:t>State Agency Limitations</w:t>
      </w:r>
      <w:r>
        <w:rPr>
          <w:rFonts w:ascii="Arial" w:cs="Arial" w:eastAsia="Arial" w:hAnsi="Arial"/>
          <w:sz w:val="13"/>
          <w:szCs w:val="13"/>
          <w:color w:val="auto"/>
        </w:rPr>
        <w:t>. Licensor is an agency of the State of Texas and under the Constitution and the laws of the State of Texas possesses</w:t>
      </w:r>
      <w:r>
        <w:rPr>
          <w:rFonts w:ascii="Arial" w:cs="Arial" w:eastAsia="Arial" w:hAnsi="Arial"/>
          <w:sz w:val="13"/>
          <w:szCs w:val="13"/>
          <w:b w:val="1"/>
          <w:bCs w:val="1"/>
          <w:color w:val="auto"/>
        </w:rPr>
        <w:t xml:space="preserve"> </w:t>
      </w:r>
      <w:r>
        <w:rPr>
          <w:rFonts w:ascii="Arial" w:cs="Arial" w:eastAsia="Arial" w:hAnsi="Arial"/>
          <w:sz w:val="13"/>
          <w:szCs w:val="13"/>
          <w:color w:val="auto"/>
        </w:rPr>
        <w:t>certain rights and privileges, is subject to certain limitations and restrictions, and only has such authority as is granted to it under the Constitution and laws of the State of Texas. Notwithstanding any provision hereof, nothing in this Agreement is intended to be, nor will it be construed to be, a waiver of the sovereign immunity of the State of Texas or a prospective waiver or restriction of any of the rights, remedies, claims, and privileges of the State of Texas. Moreover, notwithstanding the generality or specificity of any provision hereof, the provisions of this Agreement as they pertain to Licensor are enforceable only to the extent authorized by the Constitution and laws of the State of Texas; accordingly, to the extent any provision hereof conflicts with the Constitution or laws of the State of Texas or exceeds the right, power or authority of Licensor to agree to such provision, then that provision will not be enforceable against Licensor or the State of Texas.</w:t>
      </w:r>
    </w:p>
    <w:p>
      <w:pPr>
        <w:spacing w:after="0" w:line="237" w:lineRule="exact"/>
        <w:rPr>
          <w:sz w:val="20"/>
          <w:szCs w:val="20"/>
          <w:color w:val="auto"/>
        </w:rPr>
      </w:pPr>
    </w:p>
    <w:p>
      <w:pPr>
        <w:ind w:left="460" w:right="40" w:hanging="471"/>
        <w:spacing w:after="0" w:line="346" w:lineRule="auto"/>
        <w:tabs>
          <w:tab w:leader="none" w:pos="440" w:val="left"/>
        </w:tabs>
        <w:rPr>
          <w:sz w:val="20"/>
          <w:szCs w:val="20"/>
          <w:color w:val="auto"/>
        </w:rPr>
      </w:pPr>
      <w:r>
        <w:rPr>
          <w:rFonts w:ascii="Arial" w:cs="Arial" w:eastAsia="Arial" w:hAnsi="Arial"/>
          <w:sz w:val="16"/>
          <w:szCs w:val="16"/>
          <w:color w:val="auto"/>
        </w:rPr>
        <w:t>9.10</w:t>
      </w:r>
      <w:r>
        <w:rPr>
          <w:sz w:val="20"/>
          <w:szCs w:val="20"/>
          <w:color w:val="auto"/>
        </w:rPr>
        <w:tab/>
      </w:r>
      <w:r>
        <w:rPr>
          <w:rFonts w:ascii="Arial" w:cs="Arial" w:eastAsia="Arial" w:hAnsi="Arial"/>
          <w:sz w:val="13"/>
          <w:szCs w:val="13"/>
          <w:b w:val="1"/>
          <w:bCs w:val="1"/>
          <w:color w:val="auto"/>
        </w:rPr>
        <w:t>Dispute Resolution</w:t>
      </w:r>
      <w:r>
        <w:rPr>
          <w:rFonts w:ascii="Arial" w:cs="Arial" w:eastAsia="Arial" w:hAnsi="Arial"/>
          <w:sz w:val="13"/>
          <w:szCs w:val="13"/>
          <w:color w:val="auto"/>
        </w:rPr>
        <w:t>. If a dispute arises between the Parties concerning this Agreement other than with respect to disputes arising from [***],</w:t>
      </w:r>
      <w:r>
        <w:rPr>
          <w:rFonts w:ascii="Arial" w:cs="Arial" w:eastAsia="Arial" w:hAnsi="Arial"/>
          <w:sz w:val="13"/>
          <w:szCs w:val="13"/>
          <w:b w:val="1"/>
          <w:bCs w:val="1"/>
          <w:color w:val="auto"/>
        </w:rPr>
        <w:t xml:space="preserve"> </w:t>
      </w:r>
      <w:r>
        <w:rPr>
          <w:rFonts w:ascii="Arial" w:cs="Arial" w:eastAsia="Arial" w:hAnsi="Arial"/>
          <w:sz w:val="13"/>
          <w:szCs w:val="13"/>
          <w:color w:val="auto"/>
        </w:rPr>
        <w:t>then the Parties will confer, as soon as practicable, in an attempt to resolve the dispute. If the Parties are unable to resolve such dispute amicably, then the Parties will submit to the exclusive jurisdiction of, and venue in, the state and Federal courts located in the Northern District of Texas.</w:t>
      </w:r>
    </w:p>
    <w:p>
      <w:pPr>
        <w:spacing w:after="0" w:line="25"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6"/>
          <w:szCs w:val="16"/>
          <w:color w:val="auto"/>
        </w:rPr>
        <w:t>9.10.1</w:t>
      </w:r>
      <w:r>
        <w:rPr>
          <w:sz w:val="20"/>
          <w:szCs w:val="20"/>
          <w:color w:val="auto"/>
        </w:rPr>
        <w:tab/>
      </w:r>
      <w:r>
        <w:rPr>
          <w:rFonts w:ascii="Arial" w:cs="Arial" w:eastAsia="Arial" w:hAnsi="Arial"/>
          <w:sz w:val="13"/>
          <w:szCs w:val="13"/>
          <w:b w:val="1"/>
          <w:bCs w:val="1"/>
          <w:color w:val="auto"/>
        </w:rPr>
        <w:t>Resolution of Matters by Expert</w:t>
      </w:r>
      <w:r>
        <w:rPr>
          <w:rFonts w:ascii="Arial" w:cs="Arial" w:eastAsia="Arial" w:hAnsi="Arial"/>
          <w:sz w:val="13"/>
          <w:szCs w:val="13"/>
          <w:color w:val="auto"/>
        </w:rPr>
        <w:t>. Any matter expressly stated in this Agreement to be resolved by an expert in accordance with this</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Section 9.10.1 shall be resolved pursuant to the procedures described in this Section 9.10.1:</w:t>
      </w:r>
    </w:p>
    <w:p>
      <w:pPr>
        <w:spacing w:after="0" w:line="99" w:lineRule="exact"/>
        <w:rPr>
          <w:sz w:val="20"/>
          <w:szCs w:val="20"/>
          <w:color w:val="auto"/>
        </w:rPr>
      </w:pPr>
    </w:p>
    <w:p>
      <w:pPr>
        <w:ind w:left="1520" w:right="160" w:hanging="477"/>
        <w:spacing w:after="0" w:line="270" w:lineRule="auto"/>
        <w:tabs>
          <w:tab w:leader="none" w:pos="152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The Parties shall select an independent expert (with respect to disputes arising from Sections [***], such independent expert shall have [***] expertise), mutually agreeable to both Parties, with experience in resolving disputes (with respect to disputes arising from [***], such experience shall be in resolving [***] disputes) pursuant to agreements between biopharmaceutical entities. The costs of the expert shall be shared equally by the Parties, and each Party shall bear its own expense in connection with its performance of the procedures in this Section 9.10.1. The decision rendered by the expert shall be written, final, non-appealable and binding on both Parties.</w:t>
      </w:r>
    </w:p>
    <w:p>
      <w:pPr>
        <w:spacing w:after="0" w:line="73" w:lineRule="exact"/>
        <w:rPr>
          <w:rFonts w:ascii="Arial" w:cs="Arial" w:eastAsia="Arial" w:hAnsi="Arial"/>
          <w:sz w:val="15"/>
          <w:szCs w:val="15"/>
          <w:color w:val="auto"/>
        </w:rPr>
      </w:pPr>
    </w:p>
    <w:p>
      <w:pPr>
        <w:ind w:left="1520" w:hanging="477"/>
        <w:spacing w:after="0" w:line="267" w:lineRule="auto"/>
        <w:tabs>
          <w:tab w:leader="none" w:pos="152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Within [***] after the expert is appointed, each Party shall provide the expert and the other Party with a written report setting forth its position with respect to the substance of such matter to be decided by the expert. Each Party may submit a revised report and position to the expert within [***] of receiving the other Party’s report. If so requested by the expert, each Party shall make oral and/or other written submissions to the expert in accordance with procedures to be established by the expert; provided that the other Party shall have the right to be present during any oral submissions. The expert shall select one of the Party’s position as his or her decision, based on what is most reasonable and equitable to each of the Parties under the circumstances, and shall not have the authority to render any substantive decision other than to so select one Party’s position as initially submitted, or as revised in accordance with the foregoing, as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600"/>
          </w:cols>
          <w:pgMar w:left="1140" w:top="252" w:right="1159" w:bottom="1440" w:gutter="0" w:footer="0" w:header="0"/>
        </w:sectPr>
      </w:pPr>
    </w:p>
    <w:bookmarkStart w:id="548" w:name="page549"/>
    <w:bookmarkEnd w:id="548"/>
    <w:p>
      <w:pPr>
        <w:ind w:left="1520" w:right="20" w:hanging="477"/>
        <w:spacing w:after="0" w:line="256" w:lineRule="auto"/>
        <w:tabs>
          <w:tab w:leader="none" w:pos="1520" w:val="left"/>
        </w:tabs>
        <w:numPr>
          <w:ilvl w:val="0"/>
          <w:numId w:val="4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For clarity, it is understood that the Parties intend the expert shall only select one of the Party’s position on such matter (e.g., “Baseball” structure); and the expert may fashion such detailed procedures as the expert considers appropriate to implement this intent.</w:t>
      </w:r>
    </w:p>
    <w:p>
      <w:pPr>
        <w:spacing w:after="0" w:line="83" w:lineRule="exact"/>
        <w:rPr>
          <w:rFonts w:ascii="Arial" w:cs="Arial" w:eastAsia="Arial" w:hAnsi="Arial"/>
          <w:sz w:val="16"/>
          <w:szCs w:val="16"/>
          <w:color w:val="auto"/>
        </w:rPr>
      </w:pPr>
    </w:p>
    <w:p>
      <w:pPr>
        <w:ind w:left="1520" w:right="40" w:hanging="477"/>
        <w:spacing w:after="0" w:line="266" w:lineRule="auto"/>
        <w:tabs>
          <w:tab w:leader="none" w:pos="152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In any dispute resolution under this Section 9.10.1, the expert and the Parties shall use their best efforts to resolve such disputed matter within [***] after the selection of the expert, or as soon thereafter as is practicable.</w:t>
      </w:r>
    </w:p>
    <w:p>
      <w:pPr>
        <w:spacing w:after="0" w:line="72" w:lineRule="exact"/>
        <w:rPr>
          <w:sz w:val="20"/>
          <w:szCs w:val="20"/>
          <w:color w:val="auto"/>
        </w:rPr>
      </w:pPr>
    </w:p>
    <w:p>
      <w:pPr>
        <w:ind w:left="460" w:right="80" w:hanging="471"/>
        <w:spacing w:after="0" w:line="251" w:lineRule="auto"/>
        <w:tabs>
          <w:tab w:leader="none" w:pos="440" w:val="left"/>
        </w:tabs>
        <w:rPr>
          <w:sz w:val="20"/>
          <w:szCs w:val="20"/>
          <w:color w:val="auto"/>
        </w:rPr>
      </w:pPr>
      <w:r>
        <w:rPr>
          <w:rFonts w:ascii="Arial" w:cs="Arial" w:eastAsia="Arial" w:hAnsi="Arial"/>
          <w:sz w:val="16"/>
          <w:szCs w:val="16"/>
          <w:color w:val="auto"/>
        </w:rPr>
        <w:t>9.11</w:t>
      </w:r>
      <w:r>
        <w:rPr>
          <w:sz w:val="20"/>
          <w:szCs w:val="20"/>
          <w:color w:val="auto"/>
        </w:rPr>
        <w:tab/>
      </w:r>
      <w:r>
        <w:rPr>
          <w:rFonts w:ascii="Arial" w:cs="Arial" w:eastAsia="Arial" w:hAnsi="Arial"/>
          <w:sz w:val="16"/>
          <w:szCs w:val="16"/>
          <w:b w:val="1"/>
          <w:bCs w:val="1"/>
          <w:color w:val="auto"/>
        </w:rPr>
        <w:t>Notices and Deliveries</w:t>
      </w:r>
      <w:r>
        <w:rPr>
          <w:rFonts w:ascii="Arial" w:cs="Arial" w:eastAsia="Arial" w:hAnsi="Arial"/>
          <w:sz w:val="16"/>
          <w:szCs w:val="16"/>
          <w:color w:val="auto"/>
        </w:rPr>
        <w:t>. Any notice, request, approval or consent required or permitted to be given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directed to a Party at its address or facsimile number shown below or such other address or facsimile number as such Party shall have last given by notice to the other Party. A notice will be deemed received: if delivered personally, on the date of delivery; if mailed, five (5) days after deposit in the United States mail; if sent via courier, one (1) business day after deposit with the courier service; or if sent via facsimile, upon receipt of confirmation of transmission provided that a confirming copy of such notice is sent by certified mail, postage prepaid, return receipt requested.</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9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For Licensor</w:t>
            </w:r>
          </w:p>
        </w:tc>
        <w:tc>
          <w:tcPr>
            <w:tcW w:w="2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with a copy to:</w:t>
            </w:r>
          </w:p>
        </w:tc>
      </w:tr>
      <w:tr>
        <w:trPr>
          <w:trHeight w:val="20"/>
        </w:trPr>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3960" w:type="dxa"/>
            <w:vAlign w:val="bottom"/>
            <w:gridSpan w:val="3"/>
          </w:tcPr>
          <w:p>
            <w:pPr>
              <w:spacing w:after="0"/>
              <w:rPr>
                <w:sz w:val="20"/>
                <w:szCs w:val="20"/>
                <w:color w:val="auto"/>
              </w:rPr>
            </w:pPr>
            <w:r>
              <w:rPr>
                <w:rFonts w:ascii="Arial" w:cs="Arial" w:eastAsia="Arial" w:hAnsi="Arial"/>
                <w:sz w:val="16"/>
                <w:szCs w:val="16"/>
                <w:color w:val="auto"/>
              </w:rPr>
              <w:t>UT Southwestern Medical Center</w:t>
            </w:r>
          </w:p>
        </w:tc>
        <w:tc>
          <w:tcPr>
            <w:tcW w:w="9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6"/>
                <w:szCs w:val="16"/>
                <w:color w:val="auto"/>
              </w:rPr>
            </w:pPr>
          </w:p>
        </w:tc>
      </w:tr>
      <w:tr>
        <w:trPr>
          <w:trHeight w:val="200"/>
        </w:trPr>
        <w:tc>
          <w:tcPr>
            <w:tcW w:w="86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1"/>
        </w:trPr>
        <w:tc>
          <w:tcPr>
            <w:tcW w:w="92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86"/>
              </w:rPr>
              <w:t>For Licensee:</w:t>
            </w:r>
          </w:p>
        </w:tc>
        <w:tc>
          <w:tcPr>
            <w:tcW w:w="304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with a copy to:</w:t>
            </w:r>
          </w:p>
        </w:tc>
      </w:tr>
      <w:tr>
        <w:trPr>
          <w:trHeight w:val="20"/>
        </w:trPr>
        <w:tc>
          <w:tcPr>
            <w:tcW w:w="920" w:type="dxa"/>
            <w:vAlign w:val="bottom"/>
            <w:gridSpan w:val="2"/>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3960" w:type="dxa"/>
            <w:vAlign w:val="bottom"/>
            <w:gridSpan w:val="3"/>
          </w:tcPr>
          <w:p>
            <w:pPr>
              <w:spacing w:after="0"/>
              <w:rPr>
                <w:sz w:val="20"/>
                <w:szCs w:val="20"/>
                <w:color w:val="auto"/>
              </w:rPr>
            </w:pPr>
            <w:r>
              <w:rPr>
                <w:rFonts w:ascii="Arial" w:cs="Arial" w:eastAsia="Arial" w:hAnsi="Arial"/>
                <w:sz w:val="16"/>
                <w:szCs w:val="16"/>
                <w:color w:val="auto"/>
              </w:rPr>
              <w:t>Tenaya Therapeutics, Inc.</w:t>
            </w:r>
          </w:p>
        </w:tc>
        <w:tc>
          <w:tcPr>
            <w:tcW w:w="2200" w:type="dxa"/>
            <w:vAlign w:val="bottom"/>
            <w:gridSpan w:val="2"/>
          </w:tcPr>
          <w:p>
            <w:pPr>
              <w:spacing w:after="0"/>
              <w:rPr>
                <w:sz w:val="20"/>
                <w:szCs w:val="20"/>
                <w:color w:val="auto"/>
              </w:rPr>
            </w:pPr>
            <w:r>
              <w:rPr>
                <w:rFonts w:ascii="Arial" w:cs="Arial" w:eastAsia="Arial" w:hAnsi="Arial"/>
                <w:sz w:val="16"/>
                <w:szCs w:val="16"/>
                <w:color w:val="auto"/>
                <w:w w:val="91"/>
              </w:rPr>
              <w:t>Wilson Sonsini Goodrich &amp; Rosati</w:t>
            </w:r>
          </w:p>
        </w:tc>
      </w:tr>
      <w:tr>
        <w:trPr>
          <w:trHeight w:val="200"/>
        </w:trPr>
        <w:tc>
          <w:tcPr>
            <w:tcW w:w="86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r>
    </w:tbl>
    <w:p>
      <w:pPr>
        <w:spacing w:after="0" w:line="91" w:lineRule="exact"/>
        <w:rPr>
          <w:sz w:val="20"/>
          <w:szCs w:val="20"/>
          <w:color w:val="auto"/>
        </w:rPr>
      </w:pPr>
    </w:p>
    <w:p>
      <w:pPr>
        <w:ind w:left="460" w:right="120" w:hanging="471"/>
        <w:spacing w:after="0" w:line="254" w:lineRule="auto"/>
        <w:tabs>
          <w:tab w:leader="none" w:pos="440" w:val="left"/>
        </w:tabs>
        <w:rPr>
          <w:sz w:val="20"/>
          <w:szCs w:val="20"/>
          <w:color w:val="auto"/>
        </w:rPr>
      </w:pPr>
      <w:r>
        <w:rPr>
          <w:rFonts w:ascii="Arial" w:cs="Arial" w:eastAsia="Arial" w:hAnsi="Arial"/>
          <w:sz w:val="16"/>
          <w:szCs w:val="16"/>
          <w:color w:val="auto"/>
        </w:rPr>
        <w:t>9.12</w:t>
      </w:r>
      <w:r>
        <w:rPr>
          <w:sz w:val="20"/>
          <w:szCs w:val="20"/>
          <w:color w:val="auto"/>
        </w:rPr>
        <w:tab/>
      </w:r>
      <w:r>
        <w:rPr>
          <w:rFonts w:ascii="Arial" w:cs="Arial" w:eastAsia="Arial" w:hAnsi="Arial"/>
          <w:sz w:val="16"/>
          <w:szCs w:val="16"/>
          <w:b w:val="1"/>
          <w:bCs w:val="1"/>
          <w:color w:val="auto"/>
        </w:rPr>
        <w:t>Waiver</w:t>
      </w:r>
      <w:r>
        <w:rPr>
          <w:rFonts w:ascii="Arial" w:cs="Arial" w:eastAsia="Arial" w:hAnsi="Arial"/>
          <w:sz w:val="16"/>
          <w:szCs w:val="16"/>
          <w:color w:val="auto"/>
        </w:rPr>
        <w:t>. A waiver by either Party of any of the terms and conditions of this Agreement in any instance shall not be deemed or construed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82" w:lineRule="exact"/>
        <w:rPr>
          <w:sz w:val="20"/>
          <w:szCs w:val="20"/>
          <w:color w:val="auto"/>
        </w:rPr>
      </w:pPr>
    </w:p>
    <w:p>
      <w:pPr>
        <w:ind w:left="460" w:hanging="471"/>
        <w:spacing w:after="0" w:line="332" w:lineRule="auto"/>
        <w:tabs>
          <w:tab w:leader="none" w:pos="440" w:val="left"/>
        </w:tabs>
        <w:rPr>
          <w:sz w:val="20"/>
          <w:szCs w:val="20"/>
          <w:color w:val="auto"/>
        </w:rPr>
      </w:pPr>
      <w:r>
        <w:rPr>
          <w:rFonts w:ascii="Arial" w:cs="Arial" w:eastAsia="Arial" w:hAnsi="Arial"/>
          <w:sz w:val="16"/>
          <w:szCs w:val="16"/>
          <w:color w:val="auto"/>
        </w:rPr>
        <w:t>9.13</w:t>
      </w:r>
      <w:r>
        <w:rPr>
          <w:sz w:val="20"/>
          <w:szCs w:val="20"/>
          <w:color w:val="auto"/>
        </w:rPr>
        <w:tab/>
      </w:r>
      <w:r>
        <w:rPr>
          <w:rFonts w:ascii="Arial" w:cs="Arial" w:eastAsia="Arial" w:hAnsi="Arial"/>
          <w:sz w:val="13"/>
          <w:szCs w:val="13"/>
          <w:b w:val="1"/>
          <w:bCs w:val="1"/>
          <w:color w:val="auto"/>
        </w:rPr>
        <w:t>Severability</w:t>
      </w:r>
      <w:r>
        <w:rPr>
          <w:rFonts w:ascii="Arial" w:cs="Arial" w:eastAsia="Arial" w:hAnsi="Arial"/>
          <w:sz w:val="13"/>
          <w:szCs w:val="13"/>
          <w:color w:val="auto"/>
        </w:rPr>
        <w:t>. When possible, each provision of this Agreement will be interpreted in such manner as to be effective and valid under law, but if</w:t>
      </w:r>
      <w:r>
        <w:rPr>
          <w:rFonts w:ascii="Arial" w:cs="Arial" w:eastAsia="Arial" w:hAnsi="Arial"/>
          <w:sz w:val="13"/>
          <w:szCs w:val="13"/>
          <w:b w:val="1"/>
          <w:bCs w:val="1"/>
          <w:color w:val="auto"/>
        </w:rPr>
        <w:t xml:space="preserve"> </w:t>
      </w:r>
      <w:r>
        <w:rPr>
          <w:rFonts w:ascii="Arial" w:cs="Arial" w:eastAsia="Arial" w:hAnsi="Arial"/>
          <w:sz w:val="13"/>
          <w:szCs w:val="13"/>
          <w:color w:val="auto"/>
        </w:rPr>
        <w:t>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33" w:lineRule="exact"/>
        <w:rPr>
          <w:sz w:val="20"/>
          <w:szCs w:val="20"/>
          <w:color w:val="auto"/>
        </w:rPr>
      </w:pPr>
    </w:p>
    <w:p>
      <w:pPr>
        <w:ind w:left="460" w:right="140" w:hanging="471"/>
        <w:spacing w:after="0" w:line="252" w:lineRule="auto"/>
        <w:tabs>
          <w:tab w:leader="none" w:pos="440" w:val="left"/>
        </w:tabs>
        <w:rPr>
          <w:sz w:val="20"/>
          <w:szCs w:val="20"/>
          <w:color w:val="auto"/>
        </w:rPr>
      </w:pPr>
      <w:r>
        <w:rPr>
          <w:rFonts w:ascii="Arial" w:cs="Arial" w:eastAsia="Arial" w:hAnsi="Arial"/>
          <w:sz w:val="16"/>
          <w:szCs w:val="16"/>
          <w:color w:val="auto"/>
        </w:rPr>
        <w:t>9.14</w:t>
      </w:r>
      <w:r>
        <w:rPr>
          <w:sz w:val="20"/>
          <w:szCs w:val="20"/>
          <w:color w:val="auto"/>
        </w:rPr>
        <w:tab/>
      </w:r>
      <w:r>
        <w:rPr>
          <w:rFonts w:ascii="Arial" w:cs="Arial" w:eastAsia="Arial" w:hAnsi="Arial"/>
          <w:sz w:val="16"/>
          <w:szCs w:val="16"/>
          <w:b w:val="1"/>
          <w:bCs w:val="1"/>
          <w:color w:val="auto"/>
        </w:rPr>
        <w:t>Interpretation</w:t>
      </w:r>
      <w:r>
        <w:rPr>
          <w:rFonts w:ascii="Arial" w:cs="Arial" w:eastAsia="Arial" w:hAnsi="Arial"/>
          <w:sz w:val="16"/>
          <w:szCs w:val="16"/>
          <w:color w:val="auto"/>
        </w:rPr>
        <w:t>. The words “include,” “includes” and “including” shall be deemed to be followed by the phrase “without limitation.”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“or” will be interpreted in the inclusive sense commonly associated with the term “and/or.” All references herein to Articles, Sections, and Schedules shall be deemed references to Articles and Sections of, and Schedules to, this Agreement unless the context shall otherwise require. Except as otherwise expressly provided herein, all terms of an accounting or financial nature shall be construed in accordance with Accounting Standards,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600"/>
          </w:cols>
          <w:pgMar w:left="1140" w:top="256" w:right="1159" w:bottom="1440" w:gutter="0" w:footer="0" w:header="0"/>
        </w:sectPr>
      </w:pPr>
    </w:p>
    <w:bookmarkStart w:id="549" w:name="page550"/>
    <w:bookmarkEnd w:id="549"/>
    <w:p>
      <w:pPr>
        <w:ind w:left="42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as in effect from time to time. Unless the context otherwise requires, countries shall include territories. References to any specific Law or article, section or other division thereof, shall be deemed to include the then-current amendments or any replacement Law thereto.</w:t>
      </w:r>
    </w:p>
    <w:p>
      <w:pPr>
        <w:spacing w:after="0" w:line="48" w:lineRule="exact"/>
        <w:rPr>
          <w:sz w:val="20"/>
          <w:szCs w:val="20"/>
          <w:color w:val="auto"/>
        </w:rPr>
      </w:pPr>
    </w:p>
    <w:p>
      <w:pPr>
        <w:jc w:val="both"/>
        <w:ind w:left="420" w:right="200" w:hanging="471"/>
        <w:spacing w:after="0" w:line="259" w:lineRule="auto"/>
        <w:tabs>
          <w:tab w:leader="none" w:pos="400" w:val="left"/>
        </w:tabs>
        <w:rPr>
          <w:sz w:val="20"/>
          <w:szCs w:val="20"/>
          <w:color w:val="auto"/>
        </w:rPr>
      </w:pPr>
      <w:r>
        <w:rPr>
          <w:rFonts w:ascii="Arial" w:cs="Arial" w:eastAsia="Arial" w:hAnsi="Arial"/>
          <w:sz w:val="16"/>
          <w:szCs w:val="16"/>
          <w:color w:val="auto"/>
        </w:rPr>
        <w:t>9.15</w:t>
      </w:r>
      <w:r>
        <w:rPr>
          <w:sz w:val="20"/>
          <w:szCs w:val="20"/>
          <w:color w:val="auto"/>
        </w:rPr>
        <w:tab/>
      </w: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counterparts, each of which will be deemed an original, and all of which together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one and the same instrument. A facsimile or a portable document format (PDF) copy of this Agreement, including the signature pages, will be deemed an original.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FOLLOWS]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520"/>
          </w:cols>
          <w:pgMar w:left="1180" w:top="256" w:right="1199" w:bottom="1440" w:gutter="0" w:footer="0" w:header="0"/>
        </w:sectPr>
      </w:pPr>
    </w:p>
    <w:bookmarkStart w:id="550" w:name="page551"/>
    <w:bookmarkEnd w:id="55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IN WITNESS WHEREOF, </w:t>
      </w:r>
      <w:r>
        <w:rPr>
          <w:rFonts w:ascii="Arial" w:cs="Arial" w:eastAsia="Arial" w:hAnsi="Arial"/>
          <w:sz w:val="16"/>
          <w:szCs w:val="16"/>
          <w:color w:val="auto"/>
        </w:rPr>
        <w:t>duly authorized representatives of the Parties have executed this Agreement as of the Effective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gridSpan w:val="3"/>
          </w:tcPr>
          <w:p>
            <w:pPr>
              <w:spacing w:after="0"/>
              <w:rPr>
                <w:sz w:val="20"/>
                <w:szCs w:val="20"/>
                <w:color w:val="auto"/>
              </w:rPr>
            </w:pPr>
            <w:r>
              <w:rPr>
                <w:rFonts w:ascii="Arial" w:cs="Arial" w:eastAsia="Arial" w:hAnsi="Arial"/>
                <w:sz w:val="16"/>
                <w:szCs w:val="16"/>
                <w:b w:val="1"/>
                <w:bCs w:val="1"/>
                <w:color w:val="auto"/>
              </w:rPr>
              <w:t>BOARD OF REGENTS OF THE</w:t>
            </w:r>
          </w:p>
        </w:tc>
        <w:tc>
          <w:tcPr>
            <w:tcW w:w="500" w:type="dxa"/>
            <w:vAlign w:val="bottom"/>
          </w:tcPr>
          <w:p>
            <w:pPr>
              <w:spacing w:after="0"/>
              <w:rPr>
                <w:sz w:val="16"/>
                <w:szCs w:val="16"/>
                <w:color w:val="auto"/>
              </w:rPr>
            </w:pPr>
          </w:p>
        </w:tc>
        <w:tc>
          <w:tcPr>
            <w:tcW w:w="5780" w:type="dxa"/>
            <w:vAlign w:val="bottom"/>
            <w:gridSpan w:val="2"/>
          </w:tcPr>
          <w:p>
            <w:pPr>
              <w:ind w:left="2660"/>
              <w:spacing w:after="0"/>
              <w:rPr>
                <w:sz w:val="20"/>
                <w:szCs w:val="20"/>
                <w:color w:val="auto"/>
              </w:rPr>
            </w:pPr>
            <w:r>
              <w:rPr>
                <w:rFonts w:ascii="Arial" w:cs="Arial" w:eastAsia="Arial" w:hAnsi="Arial"/>
                <w:sz w:val="16"/>
                <w:szCs w:val="16"/>
                <w:b w:val="1"/>
                <w:bCs w:val="1"/>
                <w:color w:val="auto"/>
              </w:rPr>
              <w:t>TENAYA THERAPEUTICS, INC.</w:t>
            </w:r>
          </w:p>
        </w:tc>
      </w:tr>
      <w:tr>
        <w:trPr>
          <w:trHeight w:val="204"/>
        </w:trPr>
        <w:tc>
          <w:tcPr>
            <w:tcW w:w="3340" w:type="dxa"/>
            <w:vAlign w:val="bottom"/>
            <w:gridSpan w:val="3"/>
          </w:tcPr>
          <w:p>
            <w:pPr>
              <w:spacing w:after="0"/>
              <w:rPr>
                <w:sz w:val="20"/>
                <w:szCs w:val="20"/>
                <w:color w:val="auto"/>
              </w:rPr>
            </w:pPr>
            <w:r>
              <w:rPr>
                <w:rFonts w:ascii="Arial" w:cs="Arial" w:eastAsia="Arial" w:hAnsi="Arial"/>
                <w:sz w:val="16"/>
                <w:szCs w:val="16"/>
                <w:b w:val="1"/>
                <w:bCs w:val="1"/>
                <w:color w:val="auto"/>
              </w:rPr>
              <w:t>UNIVERSITY OF TEXAS SYSTEM</w:t>
            </w:r>
          </w:p>
        </w:tc>
        <w:tc>
          <w:tcPr>
            <w:tcW w:w="5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378"/>
        </w:trPr>
        <w:tc>
          <w:tcPr>
            <w:tcW w:w="380" w:type="dxa"/>
            <w:vAlign w:val="bottom"/>
          </w:tcPr>
          <w:p>
            <w:pPr>
              <w:spacing w:after="0"/>
              <w:rPr>
                <w:sz w:val="20"/>
                <w:szCs w:val="20"/>
                <w:color w:val="auto"/>
              </w:rPr>
            </w:pPr>
            <w:r>
              <w:rPr>
                <w:rFonts w:ascii="Arial" w:cs="Arial" w:eastAsia="Arial" w:hAnsi="Arial"/>
                <w:sz w:val="16"/>
                <w:szCs w:val="16"/>
                <w:color w:val="auto"/>
              </w:rPr>
              <w:t>By</w:t>
            </w:r>
          </w:p>
        </w:tc>
        <w:tc>
          <w:tcPr>
            <w:tcW w:w="8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6"/>
                <w:szCs w:val="16"/>
                <w:color w:val="auto"/>
              </w:rPr>
              <w:t>/s/ Arnim Dontes</w:t>
            </w:r>
          </w:p>
        </w:tc>
        <w:tc>
          <w:tcPr>
            <w:tcW w:w="500" w:type="dxa"/>
            <w:vAlign w:val="bottom"/>
          </w:tcPr>
          <w:p>
            <w:pPr>
              <w:spacing w:after="0"/>
              <w:rPr>
                <w:sz w:val="24"/>
                <w:szCs w:val="24"/>
                <w:color w:val="auto"/>
              </w:rPr>
            </w:pPr>
          </w:p>
        </w:tc>
        <w:tc>
          <w:tcPr>
            <w:tcW w:w="5780" w:type="dxa"/>
            <w:vAlign w:val="bottom"/>
            <w:gridSpan w:val="2"/>
          </w:tcPr>
          <w:p>
            <w:pPr>
              <w:ind w:left="2660"/>
              <w:spacing w:after="0"/>
              <w:rPr>
                <w:sz w:val="20"/>
                <w:szCs w:val="20"/>
                <w:color w:val="auto"/>
              </w:rPr>
            </w:pPr>
            <w:r>
              <w:rPr>
                <w:rFonts w:ascii="Arial" w:cs="Arial" w:eastAsia="Arial" w:hAnsi="Arial"/>
                <w:sz w:val="16"/>
                <w:szCs w:val="16"/>
                <w:color w:val="auto"/>
              </w:rPr>
              <w:t>By  /s/ Faraz Ali</w:t>
            </w:r>
          </w:p>
        </w:tc>
      </w:tr>
      <w:tr>
        <w:trPr>
          <w:trHeight w:val="180"/>
        </w:trPr>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Arnim Dontes</w:t>
            </w:r>
          </w:p>
        </w:tc>
        <w:tc>
          <w:tcPr>
            <w:tcW w:w="5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Name: Faraz Ali</w:t>
            </w: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Arial" w:cs="Arial" w:eastAsia="Arial" w:hAnsi="Arial"/>
                <w:sz w:val="16"/>
                <w:szCs w:val="16"/>
                <w:color w:val="auto"/>
                <w:w w:val="89"/>
              </w:rPr>
              <w:t>Executive Vice President for Business Affairs</w:t>
            </w:r>
          </w:p>
        </w:tc>
        <w:tc>
          <w:tcPr>
            <w:tcW w:w="500" w:type="dxa"/>
            <w:vAlign w:val="bottom"/>
          </w:tcPr>
          <w:p>
            <w:pPr>
              <w:spacing w:after="0"/>
              <w:rPr>
                <w:sz w:val="16"/>
                <w:szCs w:val="16"/>
                <w:color w:val="auto"/>
              </w:rPr>
            </w:pPr>
          </w:p>
        </w:tc>
        <w:tc>
          <w:tcPr>
            <w:tcW w:w="5780" w:type="dxa"/>
            <w:vAlign w:val="bottom"/>
            <w:gridSpan w:val="2"/>
          </w:tcPr>
          <w:p>
            <w:pPr>
              <w:ind w:left="3000"/>
              <w:spacing w:after="0"/>
              <w:rPr>
                <w:sz w:val="20"/>
                <w:szCs w:val="20"/>
                <w:color w:val="auto"/>
              </w:rPr>
            </w:pPr>
            <w:r>
              <w:rPr>
                <w:rFonts w:ascii="Arial" w:cs="Arial" w:eastAsia="Arial" w:hAnsi="Arial"/>
                <w:sz w:val="16"/>
                <w:szCs w:val="16"/>
                <w:color w:val="auto"/>
              </w:rPr>
              <w:t>Title: CEO</w:t>
            </w:r>
          </w:p>
        </w:tc>
      </w:tr>
      <w:tr>
        <w:trPr>
          <w:trHeight w:val="200"/>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6"/>
                <w:szCs w:val="16"/>
                <w:color w:val="auto"/>
              </w:rPr>
              <w:t>UT Southwestern Medical Center</w:t>
            </w:r>
          </w:p>
        </w:tc>
        <w:tc>
          <w:tcPr>
            <w:tcW w:w="5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377"/>
        </w:trPr>
        <w:tc>
          <w:tcPr>
            <w:tcW w:w="3340" w:type="dxa"/>
            <w:vAlign w:val="bottom"/>
            <w:gridSpan w:val="3"/>
          </w:tcPr>
          <w:p>
            <w:pPr>
              <w:spacing w:after="0"/>
              <w:rPr>
                <w:sz w:val="20"/>
                <w:szCs w:val="20"/>
                <w:color w:val="auto"/>
              </w:rPr>
            </w:pPr>
            <w:r>
              <w:rPr>
                <w:rFonts w:ascii="Arial" w:cs="Arial" w:eastAsia="Arial" w:hAnsi="Arial"/>
                <w:sz w:val="16"/>
                <w:szCs w:val="16"/>
                <w:color w:val="auto"/>
              </w:rPr>
              <w:t>Date 1/12/2020</w:t>
            </w:r>
          </w:p>
        </w:tc>
        <w:tc>
          <w:tcPr>
            <w:tcW w:w="500" w:type="dxa"/>
            <w:vAlign w:val="bottom"/>
          </w:tcPr>
          <w:p>
            <w:pPr>
              <w:spacing w:after="0"/>
              <w:rPr>
                <w:sz w:val="24"/>
                <w:szCs w:val="24"/>
                <w:color w:val="auto"/>
              </w:rPr>
            </w:pPr>
          </w:p>
        </w:tc>
        <w:tc>
          <w:tcPr>
            <w:tcW w:w="5780" w:type="dxa"/>
            <w:vAlign w:val="bottom"/>
            <w:gridSpan w:val="2"/>
          </w:tcPr>
          <w:p>
            <w:pPr>
              <w:ind w:left="2660"/>
              <w:spacing w:after="0"/>
              <w:rPr>
                <w:sz w:val="20"/>
                <w:szCs w:val="20"/>
                <w:color w:val="auto"/>
              </w:rPr>
            </w:pPr>
            <w:r>
              <w:rPr>
                <w:rFonts w:ascii="Arial" w:cs="Arial" w:eastAsia="Arial" w:hAnsi="Arial"/>
                <w:sz w:val="16"/>
                <w:szCs w:val="16"/>
                <w:color w:val="auto"/>
              </w:rPr>
              <w:t>Date 1/10/2020</w:t>
            </w:r>
          </w:p>
        </w:tc>
      </w:tr>
      <w:tr>
        <w:trPr>
          <w:trHeight w:val="377"/>
        </w:trPr>
        <w:tc>
          <w:tcPr>
            <w:tcW w:w="3340" w:type="dxa"/>
            <w:vAlign w:val="bottom"/>
            <w:gridSpan w:val="3"/>
          </w:tcPr>
          <w:p>
            <w:pPr>
              <w:spacing w:after="0"/>
              <w:rPr>
                <w:sz w:val="20"/>
                <w:szCs w:val="20"/>
                <w:color w:val="auto"/>
              </w:rPr>
            </w:pPr>
            <w:r>
              <w:rPr>
                <w:rFonts w:ascii="Arial" w:cs="Arial" w:eastAsia="Arial" w:hAnsi="Arial"/>
                <w:sz w:val="16"/>
                <w:szCs w:val="16"/>
                <w:color w:val="auto"/>
              </w:rPr>
              <w:t>Approved as to Content:</w:t>
            </w:r>
          </w:p>
        </w:tc>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01"/>
        </w:trPr>
        <w:tc>
          <w:tcPr>
            <w:tcW w:w="380" w:type="dxa"/>
            <w:vAlign w:val="bottom"/>
          </w:tcPr>
          <w:p>
            <w:pPr>
              <w:spacing w:after="0"/>
              <w:rPr>
                <w:sz w:val="20"/>
                <w:szCs w:val="20"/>
                <w:color w:val="auto"/>
              </w:rPr>
            </w:pPr>
            <w:r>
              <w:rPr>
                <w:rFonts w:ascii="Arial" w:cs="Arial" w:eastAsia="Arial" w:hAnsi="Arial"/>
                <w:sz w:val="16"/>
                <w:szCs w:val="16"/>
                <w:color w:val="auto"/>
              </w:rPr>
              <w:t>By</w:t>
            </w: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Claire Aldridge, Ph.D.</w:t>
            </w:r>
          </w:p>
        </w:tc>
        <w:tc>
          <w:tcPr>
            <w:tcW w:w="500" w:type="dxa"/>
            <w:vAlign w:val="bottom"/>
            <w:tcBorders>
              <w:bottom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2960" w:type="dxa"/>
            <w:vAlign w:val="bottom"/>
            <w:gridSpan w:val="2"/>
          </w:tcPr>
          <w:p>
            <w:pPr>
              <w:spacing w:after="0" w:line="181" w:lineRule="exact"/>
              <w:rPr>
                <w:sz w:val="20"/>
                <w:szCs w:val="20"/>
                <w:color w:val="auto"/>
              </w:rPr>
            </w:pPr>
            <w:r>
              <w:rPr>
                <w:rFonts w:ascii="Arial" w:cs="Arial" w:eastAsia="Arial" w:hAnsi="Arial"/>
                <w:sz w:val="16"/>
                <w:szCs w:val="16"/>
                <w:color w:val="auto"/>
              </w:rPr>
              <w:t>Claire Aldridge, Ph.D.</w:t>
            </w:r>
          </w:p>
        </w:tc>
        <w:tc>
          <w:tcPr>
            <w:tcW w:w="5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9"/>
        </w:trPr>
        <w:tc>
          <w:tcPr>
            <w:tcW w:w="38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Associate Vice President,</w:t>
            </w:r>
          </w:p>
        </w:tc>
        <w:tc>
          <w:tcPr>
            <w:tcW w:w="5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189"/>
        </w:trPr>
        <w:tc>
          <w:tcPr>
            <w:tcW w:w="38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w w:val="88"/>
              </w:rPr>
              <w:t>Commercialization and Business Development</w:t>
            </w:r>
          </w:p>
        </w:tc>
        <w:tc>
          <w:tcPr>
            <w:tcW w:w="5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00"/>
        </w:trPr>
        <w:tc>
          <w:tcPr>
            <w:tcW w:w="38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UT Southwestern Medical Center</w:t>
            </w:r>
          </w:p>
        </w:tc>
        <w:tc>
          <w:tcPr>
            <w:tcW w:w="5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389"/>
        </w:trPr>
        <w:tc>
          <w:tcPr>
            <w:tcW w:w="38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gridSpan w:val="2"/>
          </w:tcPr>
          <w:p>
            <w:pPr>
              <w:spacing w:after="0"/>
              <w:rPr>
                <w:sz w:val="20"/>
                <w:szCs w:val="20"/>
                <w:color w:val="auto"/>
              </w:rPr>
            </w:pPr>
            <w:r>
              <w:rPr>
                <w:rFonts w:ascii="Arial" w:cs="Arial" w:eastAsia="Arial" w:hAnsi="Arial"/>
                <w:sz w:val="16"/>
                <w:szCs w:val="16"/>
                <w:color w:val="auto"/>
              </w:rPr>
              <w:t>1/12/2020</w:t>
            </w:r>
          </w:p>
        </w:tc>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77"/>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280" w:type="dxa"/>
            <w:vAlign w:val="bottom"/>
            <w:gridSpan w:val="3"/>
          </w:tcPr>
          <w:p>
            <w:pPr>
              <w:ind w:left="160"/>
              <w:spacing w:after="0"/>
              <w:rPr>
                <w:sz w:val="20"/>
                <w:szCs w:val="20"/>
                <w:color w:val="auto"/>
              </w:rPr>
            </w:pPr>
            <w:r>
              <w:rPr>
                <w:rFonts w:ascii="Arial" w:cs="Arial" w:eastAsia="Arial" w:hAnsi="Arial"/>
                <w:sz w:val="16"/>
                <w:szCs w:val="16"/>
                <w:b w:val="1"/>
                <w:bCs w:val="1"/>
                <w:color w:val="auto"/>
              </w:rPr>
              <w:t>[Signature Page to License Agreement]</w:t>
            </w:r>
          </w:p>
        </w:tc>
      </w:tr>
    </w:tbl>
    <w:p>
      <w:pPr>
        <w:sectPr>
          <w:pgSz w:w="11900" w:h="16838" w:orient="portrait"/>
          <w:cols w:equalWidth="0" w:num="1">
            <w:col w:w="9620"/>
          </w:cols>
          <w:pgMar w:left="1140" w:top="252" w:right="1139" w:bottom="1440" w:gutter="0" w:footer="0" w:header="0"/>
        </w:sectPr>
      </w:pPr>
    </w:p>
    <w:bookmarkStart w:id="551" w:name="page552"/>
    <w:bookmarkEnd w:id="55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Form of Financial Report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019"/>
          </w:cols>
          <w:pgMar w:left="1440" w:top="252" w:right="1440" w:bottom="1440" w:gutter="0" w:footer="0" w:header="0"/>
        </w:sectPr>
      </w:pPr>
    </w:p>
    <w:bookmarkStart w:id="552" w:name="page553"/>
    <w:bookmarkEnd w:id="552"/>
    <w:p>
      <w:pPr>
        <w:jc w:val="center"/>
        <w:ind w:right="-2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1.24</w:t>
      </w:r>
    </w:p>
    <w:p>
      <w:pPr>
        <w:spacing w:after="0" w:line="2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LICENSOR MATERIALS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quantities of [***] provided by Licensor to Licensee under this Agreement.</w:t>
      </w:r>
    </w:p>
    <w:p>
      <w:pPr>
        <w:sectPr>
          <w:pgSz w:w="11900" w:h="16838" w:orient="portrait"/>
          <w:cols w:equalWidth="0" w:num="1">
            <w:col w:w="9319"/>
          </w:cols>
          <w:pgMar w:left="1140" w:top="252" w:right="1440" w:bottom="1440" w:gutter="0" w:footer="0" w:header="0"/>
        </w:sectPr>
      </w:pPr>
    </w:p>
    <w:bookmarkStart w:id="553" w:name="page554"/>
    <w:bookmarkEnd w:id="553"/>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1.25</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Licensor Patent Rights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7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8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8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r>
      <w:tr>
        <w:trPr>
          <w:trHeight w:val="172"/>
        </w:trPr>
        <w:tc>
          <w:tcPr>
            <w:tcW w:w="198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w:t>
            </w:r>
          </w:p>
        </w:tc>
        <w:tc>
          <w:tcPr>
            <w:tcW w:w="16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15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15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15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r>
    </w:tbl>
    <w:p>
      <w:pPr>
        <w:sectPr>
          <w:pgSz w:w="11900" w:h="16838" w:orient="portrait"/>
          <w:cols w:equalWidth="0" w:num="1">
            <w:col w:w="9620"/>
          </w:cols>
          <w:pgMar w:left="1140" w:top="252" w:right="1139" w:bottom="1440" w:gutter="0" w:footer="0" w:header="0"/>
        </w:sectPr>
      </w:pPr>
    </w:p>
    <w:bookmarkStart w:id="554" w:name="page555"/>
    <w:bookmarkEnd w:id="554"/>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90105" cy="34290"/>
                    </a:xfrm>
                    <a:prstGeom prst="rect">
                      <a:avLst/>
                    </a:prstGeom>
                    <a:noFill/>
                  </pic:spPr>
                </pic:pic>
              </a:graphicData>
            </a:graphic>
          </wp:anchor>
        </w:drawing>
        <w:t>SCHEDULE 5.1.1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List of Countries and Territories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p>
    <w:p>
      <w:pPr>
        <w:sectPr>
          <w:pgSz w:w="11900" w:h="16838" w:orient="portrait"/>
          <w:cols w:equalWidth="0" w:num="1">
            <w:col w:w="9019"/>
          </w:cols>
          <w:pgMar w:left="1440" w:top="251" w:right="1440" w:bottom="1440" w:gutter="0" w:footer="0" w:header="0"/>
        </w:sectPr>
      </w:pPr>
    </w:p>
    <w:bookmarkStart w:id="555" w:name="page556"/>
    <w:bookmarkEnd w:id="555"/>
    <w:p>
      <w:pPr>
        <w:jc w:val="right"/>
        <w:spacing w:after="0"/>
        <w:rPr>
          <w:sz w:val="20"/>
          <w:szCs w:val="20"/>
          <w:color w:val="auto"/>
        </w:rPr>
      </w:pPr>
      <w:r>
        <w:rPr>
          <w:rFonts w:ascii="Arial" w:cs="Arial" w:eastAsia="Arial" w:hAnsi="Arial"/>
          <w:sz w:val="16"/>
          <w:szCs w:val="16"/>
          <w:b w:val="1"/>
          <w:bCs w:val="1"/>
          <w:color w:val="auto"/>
        </w:rPr>
        <w:t>Exhibit 10.10</w:t>
      </w:r>
    </w:p>
    <w:p>
      <w:pPr>
        <w:spacing w:after="0" w:line="28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u w:val="single" w:color="auto"/>
          <w:color w:val="auto"/>
        </w:rPr>
        <w:t>THE COVE AT OYSTER POINT</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u w:val="single" w:color="auto"/>
          <w:color w:val="auto"/>
        </w:rPr>
        <w:t>LEASE</w:t>
      </w:r>
    </w:p>
    <w:p>
      <w:pPr>
        <w:spacing w:after="0" w:line="193" w:lineRule="exact"/>
        <w:rPr>
          <w:sz w:val="20"/>
          <w:szCs w:val="20"/>
          <w:color w:val="auto"/>
        </w:rPr>
      </w:pPr>
    </w:p>
    <w:p>
      <w:pPr>
        <w:ind w:left="6" w:right="20" w:firstLine="385"/>
        <w:spacing w:after="0" w:line="259" w:lineRule="auto"/>
        <w:rPr>
          <w:sz w:val="20"/>
          <w:szCs w:val="20"/>
          <w:color w:val="auto"/>
        </w:rPr>
      </w:pPr>
      <w:r>
        <w:rPr>
          <w:rFonts w:ascii="Arial" w:cs="Arial" w:eastAsia="Arial" w:hAnsi="Arial"/>
          <w:sz w:val="16"/>
          <w:szCs w:val="16"/>
          <w:color w:val="auto"/>
        </w:rPr>
        <w:t>This Lease (the “</w:t>
      </w:r>
      <w:r>
        <w:rPr>
          <w:rFonts w:ascii="Arial" w:cs="Arial" w:eastAsia="Arial" w:hAnsi="Arial"/>
          <w:sz w:val="16"/>
          <w:szCs w:val="16"/>
          <w:b w:val="1"/>
          <w:bCs w:val="1"/>
          <w:color w:val="auto"/>
        </w:rPr>
        <w:t>Lease</w:t>
      </w:r>
      <w:r>
        <w:rPr>
          <w:rFonts w:ascii="Arial" w:cs="Arial" w:eastAsia="Arial" w:hAnsi="Arial"/>
          <w:sz w:val="16"/>
          <w:szCs w:val="16"/>
          <w:color w:val="auto"/>
        </w:rPr>
        <w:t xml:space="preserve">”), dated as of the date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 Summary of Basic Lease Information (the “</w:t>
      </w:r>
      <w:r>
        <w:rPr>
          <w:rFonts w:ascii="Arial" w:cs="Arial" w:eastAsia="Arial" w:hAnsi="Arial"/>
          <w:sz w:val="16"/>
          <w:szCs w:val="16"/>
          <w:b w:val="1"/>
          <w:bCs w:val="1"/>
          <w:color w:val="auto"/>
        </w:rPr>
        <w:t>Summary</w:t>
      </w:r>
      <w:r>
        <w:rPr>
          <w:rFonts w:ascii="Arial" w:cs="Arial" w:eastAsia="Arial" w:hAnsi="Arial"/>
          <w:sz w:val="16"/>
          <w:szCs w:val="16"/>
          <w:color w:val="auto"/>
        </w:rPr>
        <w:t>”), below, is made by and between HCP OYSTER POINT III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THE COLUMN GROUP, LLC, a Delaware limited liability company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33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300" w:type="dxa"/>
            <w:vAlign w:val="bottom"/>
            <w:gridSpan w:val="4"/>
          </w:tcPr>
          <w:p>
            <w:pPr>
              <w:spacing w:after="0"/>
              <w:rPr>
                <w:sz w:val="20"/>
                <w:szCs w:val="20"/>
                <w:color w:val="auto"/>
              </w:rPr>
            </w:pPr>
            <w:r>
              <w:rPr>
                <w:rFonts w:ascii="Arial" w:cs="Arial" w:eastAsia="Arial" w:hAnsi="Arial"/>
                <w:sz w:val="16"/>
                <w:szCs w:val="16"/>
                <w:b w:val="1"/>
                <w:bCs w:val="1"/>
                <w:color w:val="auto"/>
              </w:rPr>
              <w:t>SUMMARY OF BASIC LEASE INFORMATION</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40" w:type="dxa"/>
            <w:vAlign w:val="bottom"/>
            <w:gridSpan w:val="5"/>
          </w:tcPr>
          <w:p>
            <w:pPr>
              <w:spacing w:after="0"/>
              <w:rPr>
                <w:sz w:val="20"/>
                <w:szCs w:val="20"/>
                <w:color w:val="auto"/>
              </w:rPr>
            </w:pPr>
            <w:r>
              <w:rPr>
                <w:rFonts w:ascii="Arial" w:cs="Arial" w:eastAsia="Arial" w:hAnsi="Arial"/>
                <w:sz w:val="16"/>
                <w:szCs w:val="16"/>
                <w:color w:val="auto"/>
              </w:rPr>
              <w:t>TERMS OF LEASE</w:t>
            </w: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0"/>
                <w:szCs w:val="20"/>
                <w:color w:val="auto"/>
              </w:rPr>
            </w:pPr>
            <w:r>
              <w:rPr>
                <w:rFonts w:ascii="Arial" w:cs="Arial" w:eastAsia="Arial" w:hAnsi="Arial"/>
                <w:sz w:val="16"/>
                <w:szCs w:val="16"/>
                <w:color w:val="auto"/>
              </w:rPr>
              <w:t>1.</w:t>
            </w:r>
          </w:p>
        </w:tc>
        <w:tc>
          <w:tcPr>
            <w:tcW w:w="1840" w:type="dxa"/>
            <w:vAlign w:val="bottom"/>
            <w:gridSpan w:val="4"/>
          </w:tcPr>
          <w:p>
            <w:pPr>
              <w:ind w:left="100"/>
              <w:spacing w:after="0"/>
              <w:rPr>
                <w:sz w:val="20"/>
                <w:szCs w:val="20"/>
                <w:color w:val="auto"/>
              </w:rPr>
            </w:pPr>
            <w:r>
              <w:rPr>
                <w:rFonts w:ascii="Arial" w:cs="Arial" w:eastAsia="Arial" w:hAnsi="Arial"/>
                <w:sz w:val="16"/>
                <w:szCs w:val="16"/>
                <w:color w:val="auto"/>
              </w:rPr>
              <w:t>Date:</w:t>
            </w: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September 6, 2016</w:t>
            </w:r>
          </w:p>
        </w:tc>
        <w:tc>
          <w:tcPr>
            <w:tcW w:w="0" w:type="dxa"/>
            <w:vAlign w:val="bottom"/>
          </w:tcPr>
          <w:p>
            <w:pPr>
              <w:spacing w:after="0"/>
              <w:rPr>
                <w:sz w:val="1"/>
                <w:szCs w:val="1"/>
                <w:color w:val="auto"/>
              </w:rPr>
            </w:pPr>
          </w:p>
        </w:tc>
      </w:tr>
      <w:tr>
        <w:trPr>
          <w:trHeight w:val="272"/>
        </w:trPr>
        <w:tc>
          <w:tcPr>
            <w:tcW w:w="200" w:type="dxa"/>
            <w:vAlign w:val="bottom"/>
          </w:tcPr>
          <w:p>
            <w:pPr>
              <w:spacing w:after="0"/>
              <w:rPr>
                <w:sz w:val="20"/>
                <w:szCs w:val="20"/>
                <w:color w:val="auto"/>
              </w:rPr>
            </w:pPr>
            <w:r>
              <w:rPr>
                <w:rFonts w:ascii="Arial" w:cs="Arial" w:eastAsia="Arial" w:hAnsi="Arial"/>
                <w:sz w:val="16"/>
                <w:szCs w:val="16"/>
                <w:color w:val="auto"/>
              </w:rPr>
              <w:t>2.</w:t>
            </w:r>
          </w:p>
        </w:tc>
        <w:tc>
          <w:tcPr>
            <w:tcW w:w="1840" w:type="dxa"/>
            <w:vAlign w:val="bottom"/>
            <w:gridSpan w:val="4"/>
          </w:tcPr>
          <w:p>
            <w:pPr>
              <w:ind w:left="100"/>
              <w:spacing w:after="0"/>
              <w:rPr>
                <w:sz w:val="20"/>
                <w:szCs w:val="20"/>
                <w:color w:val="auto"/>
              </w:rPr>
            </w:pPr>
            <w:r>
              <w:rPr>
                <w:rFonts w:ascii="Arial" w:cs="Arial" w:eastAsia="Arial" w:hAnsi="Arial"/>
                <w:sz w:val="16"/>
                <w:szCs w:val="16"/>
                <w:color w:val="auto"/>
              </w:rPr>
              <w:t>Premises</w:t>
            </w:r>
          </w:p>
        </w:tc>
        <w:tc>
          <w:tcPr>
            <w:tcW w:w="10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840" w:type="dxa"/>
            <w:vAlign w:val="bottom"/>
            <w:gridSpan w:val="4"/>
          </w:tcPr>
          <w:p>
            <w:pPr>
              <w:ind w:left="100"/>
              <w:spacing w:after="0" w:line="166" w:lineRule="exact"/>
              <w:rPr>
                <w:sz w:val="20"/>
                <w:szCs w:val="20"/>
                <w:color w:val="auto"/>
              </w:rPr>
            </w:pPr>
            <w:r>
              <w:rPr>
                <w:rFonts w:ascii="Arial" w:cs="Arial" w:eastAsia="Arial" w:hAnsi="Arial"/>
                <w:sz w:val="16"/>
                <w:szCs w:val="16"/>
                <w:color w:val="auto"/>
              </w:rPr>
              <w:t>(Article 1).</w:t>
            </w: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380" w:type="dxa"/>
            <w:vAlign w:val="bottom"/>
            <w:gridSpan w:val="5"/>
            <w:vMerge w:val="restart"/>
          </w:tcPr>
          <w:p>
            <w:pPr>
              <w:ind w:left="760"/>
              <w:spacing w:after="0"/>
              <w:rPr>
                <w:sz w:val="20"/>
                <w:szCs w:val="20"/>
                <w:color w:val="auto"/>
              </w:rPr>
            </w:pPr>
            <w:r>
              <w:rPr>
                <w:rFonts w:ascii="Arial" w:cs="Arial" w:eastAsia="Arial" w:hAnsi="Arial"/>
                <w:sz w:val="16"/>
                <w:szCs w:val="16"/>
                <w:color w:val="auto"/>
                <w:w w:val="90"/>
              </w:rPr>
              <w:t>That certain five-story building containing approximately 132,797 rentable square feet of space (“</w:t>
            </w:r>
            <w:r>
              <w:rPr>
                <w:rFonts w:ascii="Arial" w:cs="Arial" w:eastAsia="Arial" w:hAnsi="Arial"/>
                <w:sz w:val="16"/>
                <w:szCs w:val="16"/>
                <w:b w:val="1"/>
                <w:bCs w:val="1"/>
                <w:color w:val="auto"/>
                <w:w w:val="90"/>
              </w:rPr>
              <w:t>RSF</w:t>
            </w:r>
            <w:r>
              <w:rPr>
                <w:rFonts w:ascii="Arial" w:cs="Arial" w:eastAsia="Arial" w:hAnsi="Arial"/>
                <w:sz w:val="16"/>
                <w:szCs w:val="16"/>
                <w:color w:val="auto"/>
                <w:w w:val="90"/>
              </w:rPr>
              <w:t>”)</w:t>
            </w:r>
          </w:p>
        </w:tc>
        <w:tc>
          <w:tcPr>
            <w:tcW w:w="0" w:type="dxa"/>
            <w:vAlign w:val="bottom"/>
          </w:tcPr>
          <w:p>
            <w:pPr>
              <w:spacing w:after="0" w:line="20" w:lineRule="exact"/>
              <w:rPr>
                <w:sz w:val="1"/>
                <w:szCs w:val="1"/>
                <w:color w:val="auto"/>
              </w:rPr>
            </w:pPr>
          </w:p>
        </w:tc>
      </w:tr>
      <w:tr>
        <w:trPr>
          <w:trHeight w:val="286"/>
        </w:trPr>
        <w:tc>
          <w:tcPr>
            <w:tcW w:w="20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2.1</w:t>
            </w: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Building:</w:t>
            </w:r>
          </w:p>
        </w:tc>
        <w:tc>
          <w:tcPr>
            <w:tcW w:w="73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located at:</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171 Oyster Point Boulevard</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South San Francisco, California 94080</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Premises:</w:t>
            </w: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w w:val="91"/>
              </w:rPr>
              <w:t>Approximately 32,370 RSF on the fifth (5</w:t>
            </w:r>
            <w:r>
              <w:rPr>
                <w:rFonts w:ascii="Arial" w:cs="Arial" w:eastAsia="Arial" w:hAnsi="Arial"/>
                <w:sz w:val="13"/>
                <w:szCs w:val="13"/>
                <w:color w:val="auto"/>
                <w:w w:val="91"/>
              </w:rPr>
              <w:t>th</w:t>
            </w:r>
            <w:r>
              <w:rPr>
                <w:rFonts w:ascii="Arial" w:cs="Arial" w:eastAsia="Arial" w:hAnsi="Arial"/>
                <w:sz w:val="16"/>
                <w:szCs w:val="16"/>
                <w:color w:val="auto"/>
                <w:w w:val="91"/>
              </w:rPr>
              <w:t xml:space="preserve">) floor of the Building, as further set forth in </w:t>
            </w:r>
            <w:r>
              <w:rPr>
                <w:rFonts w:ascii="Arial" w:cs="Arial" w:eastAsia="Arial" w:hAnsi="Arial"/>
                <w:sz w:val="16"/>
                <w:szCs w:val="16"/>
                <w:b w:val="1"/>
                <w:bCs w:val="1"/>
                <w:color w:val="auto"/>
                <w:w w:val="91"/>
              </w:rPr>
              <w:t>Exhibit A</w:t>
            </w:r>
            <w:r>
              <w:rPr>
                <w:rFonts w:ascii="Arial" w:cs="Arial" w:eastAsia="Arial" w:hAnsi="Arial"/>
                <w:sz w:val="16"/>
                <w:szCs w:val="16"/>
                <w:color w:val="auto"/>
                <w:w w:val="91"/>
              </w:rPr>
              <w:t xml:space="preserve"> to the</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340" w:type="dxa"/>
            <w:vAlign w:val="bottom"/>
            <w:gridSpan w:val="3"/>
          </w:tcPr>
          <w:p>
            <w:pPr>
              <w:ind w:left="760"/>
              <w:spacing w:after="0"/>
              <w:rPr>
                <w:sz w:val="20"/>
                <w:szCs w:val="20"/>
                <w:color w:val="auto"/>
              </w:rPr>
            </w:pPr>
            <w:r>
              <w:rPr>
                <w:rFonts w:ascii="Arial" w:cs="Arial" w:eastAsia="Arial" w:hAnsi="Arial"/>
                <w:sz w:val="16"/>
                <w:szCs w:val="16"/>
                <w:color w:val="auto"/>
              </w:rPr>
              <w:t>Lease.</w:t>
            </w:r>
          </w:p>
        </w:tc>
        <w:tc>
          <w:tcPr>
            <w:tcW w:w="6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306" w:right="8580" w:hanging="306"/>
        <w:spacing w:after="0" w:line="378" w:lineRule="auto"/>
        <w:tabs>
          <w:tab w:leader="none" w:pos="298" w:val="left"/>
        </w:tabs>
        <w:numPr>
          <w:ilvl w:val="0"/>
          <w:numId w:val="405"/>
        </w:numPr>
        <w:rPr>
          <w:rFonts w:ascii="Arial" w:cs="Arial" w:eastAsia="Arial" w:hAnsi="Arial"/>
          <w:sz w:val="13"/>
          <w:szCs w:val="13"/>
          <w:color w:val="auto"/>
        </w:rPr>
      </w:pPr>
      <w:r>
        <w:rPr>
          <w:rFonts w:ascii="Arial" w:cs="Arial" w:eastAsia="Arial" w:hAnsi="Arial"/>
          <w:sz w:val="13"/>
          <w:szCs w:val="13"/>
          <w:color w:val="auto"/>
        </w:rPr>
        <w:t>Lease Term (</w:t>
      </w:r>
      <w:r>
        <w:rPr>
          <w:rFonts w:ascii="Arial" w:cs="Arial" w:eastAsia="Arial" w:hAnsi="Arial"/>
          <w:sz w:val="13"/>
          <w:szCs w:val="13"/>
          <w:u w:val="single" w:color="auto"/>
          <w:color w:val="auto"/>
        </w:rPr>
        <w:t>Article 2</w:t>
      </w:r>
      <w:r>
        <w:rPr>
          <w:rFonts w:ascii="Arial" w:cs="Arial" w:eastAsia="Arial" w:hAnsi="Arial"/>
          <w:sz w:val="13"/>
          <w:szCs w:val="13"/>
          <w:color w:val="auto"/>
        </w:rPr>
        <w:t>).</w:t>
      </w:r>
    </w:p>
    <w:p>
      <w:pPr>
        <w:spacing w:after="0" w:line="1" w:lineRule="exact"/>
        <w:rPr>
          <w:sz w:val="20"/>
          <w:szCs w:val="20"/>
          <w:color w:val="auto"/>
        </w:rPr>
      </w:pPr>
    </w:p>
    <w:tbl>
      <w:tblPr>
        <w:tblLayout w:type="fixed"/>
        <w:tblInd w:w="306" w:type="dxa"/>
        <w:tblCellMar>
          <w:top w:w="0" w:type="dxa"/>
          <w:left w:w="0" w:type="dxa"/>
          <w:bottom w:w="0" w:type="dxa"/>
          <w:right w:w="0" w:type="dxa"/>
        </w:tblCellMar>
      </w:tblPr>
      <w:tr>
        <w:trPr>
          <w:trHeight w:val="200"/>
        </w:trPr>
        <w:tc>
          <w:tcPr>
            <w:tcW w:w="260" w:type="dxa"/>
            <w:vAlign w:val="bottom"/>
          </w:tcPr>
          <w:p>
            <w:pPr>
              <w:jc w:val="right"/>
              <w:spacing w:after="0"/>
              <w:rPr>
                <w:sz w:val="20"/>
                <w:szCs w:val="20"/>
                <w:color w:val="auto"/>
              </w:rPr>
            </w:pPr>
            <w:r>
              <w:rPr>
                <w:rFonts w:ascii="Arial" w:cs="Arial" w:eastAsia="Arial" w:hAnsi="Arial"/>
                <w:sz w:val="16"/>
                <w:szCs w:val="16"/>
                <w:color w:val="auto"/>
                <w:w w:val="80"/>
              </w:rPr>
              <w:t>3.1</w:t>
            </w:r>
          </w:p>
        </w:tc>
        <w:tc>
          <w:tcPr>
            <w:tcW w:w="2060" w:type="dxa"/>
            <w:vAlign w:val="bottom"/>
          </w:tcPr>
          <w:p>
            <w:pPr>
              <w:ind w:left="60"/>
              <w:spacing w:after="0"/>
              <w:rPr>
                <w:sz w:val="20"/>
                <w:szCs w:val="20"/>
                <w:color w:val="auto"/>
              </w:rPr>
            </w:pPr>
            <w:r>
              <w:rPr>
                <w:rFonts w:ascii="Arial" w:cs="Arial" w:eastAsia="Arial" w:hAnsi="Arial"/>
                <w:sz w:val="16"/>
                <w:szCs w:val="16"/>
                <w:color w:val="auto"/>
              </w:rPr>
              <w:t>Length of Term:</w:t>
            </w:r>
          </w:p>
        </w:tc>
        <w:tc>
          <w:tcPr>
            <w:tcW w:w="6780" w:type="dxa"/>
            <w:vAlign w:val="bottom"/>
            <w:gridSpan w:val="3"/>
          </w:tcPr>
          <w:p>
            <w:pPr>
              <w:ind w:left="180"/>
              <w:spacing w:after="0"/>
              <w:rPr>
                <w:sz w:val="20"/>
                <w:szCs w:val="20"/>
                <w:color w:val="auto"/>
              </w:rPr>
            </w:pPr>
            <w:r>
              <w:rPr>
                <w:rFonts w:ascii="Arial" w:cs="Arial" w:eastAsia="Arial" w:hAnsi="Arial"/>
                <w:sz w:val="16"/>
                <w:szCs w:val="16"/>
                <w:color w:val="auto"/>
              </w:rPr>
              <w:t>Eight (8) years.</w:t>
            </w:r>
          </w:p>
        </w:tc>
      </w:tr>
      <w:tr>
        <w:trPr>
          <w:trHeight w:val="268"/>
        </w:trPr>
        <w:tc>
          <w:tcPr>
            <w:tcW w:w="260" w:type="dxa"/>
            <w:vAlign w:val="bottom"/>
          </w:tcPr>
          <w:p>
            <w:pPr>
              <w:jc w:val="right"/>
              <w:spacing w:after="0"/>
              <w:rPr>
                <w:sz w:val="20"/>
                <w:szCs w:val="20"/>
                <w:color w:val="auto"/>
              </w:rPr>
            </w:pPr>
            <w:r>
              <w:rPr>
                <w:rFonts w:ascii="Arial" w:cs="Arial" w:eastAsia="Arial" w:hAnsi="Arial"/>
                <w:sz w:val="16"/>
                <w:szCs w:val="16"/>
                <w:color w:val="auto"/>
                <w:w w:val="80"/>
              </w:rPr>
              <w:t>3.2</w:t>
            </w:r>
          </w:p>
        </w:tc>
        <w:tc>
          <w:tcPr>
            <w:tcW w:w="2060" w:type="dxa"/>
            <w:vAlign w:val="bottom"/>
          </w:tcPr>
          <w:p>
            <w:pPr>
              <w:ind w:left="60"/>
              <w:spacing w:after="0"/>
              <w:rPr>
                <w:sz w:val="20"/>
                <w:szCs w:val="20"/>
                <w:color w:val="auto"/>
              </w:rPr>
            </w:pPr>
            <w:r>
              <w:rPr>
                <w:rFonts w:ascii="Arial" w:cs="Arial" w:eastAsia="Arial" w:hAnsi="Arial"/>
                <w:sz w:val="16"/>
                <w:szCs w:val="16"/>
                <w:color w:val="auto"/>
                <w:w w:val="95"/>
              </w:rPr>
              <w:t>Lease Commencement Date:</w:t>
            </w:r>
          </w:p>
        </w:tc>
        <w:tc>
          <w:tcPr>
            <w:tcW w:w="6780" w:type="dxa"/>
            <w:vAlign w:val="bottom"/>
            <w:gridSpan w:val="3"/>
          </w:tcPr>
          <w:p>
            <w:pPr>
              <w:ind w:left="180"/>
              <w:spacing w:after="0"/>
              <w:rPr>
                <w:sz w:val="20"/>
                <w:szCs w:val="20"/>
                <w:color w:val="auto"/>
              </w:rPr>
            </w:pPr>
            <w:r>
              <w:rPr>
                <w:rFonts w:ascii="Arial" w:cs="Arial" w:eastAsia="Arial" w:hAnsi="Arial"/>
                <w:sz w:val="16"/>
                <w:szCs w:val="16"/>
                <w:color w:val="auto"/>
                <w:w w:val="88"/>
              </w:rPr>
              <w:t>The date that is the later of (i) the date the Premises are “Ready for Occupancy”, as defined in the Tenant</w:t>
            </w:r>
          </w:p>
        </w:tc>
      </w:tr>
      <w:tr>
        <w:trPr>
          <w:trHeight w:val="170"/>
        </w:trPr>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780" w:type="dxa"/>
            <w:vAlign w:val="bottom"/>
            <w:gridSpan w:val="3"/>
          </w:tcPr>
          <w:p>
            <w:pPr>
              <w:ind w:left="180"/>
              <w:spacing w:after="0" w:line="170" w:lineRule="exact"/>
              <w:rPr>
                <w:sz w:val="20"/>
                <w:szCs w:val="20"/>
                <w:color w:val="auto"/>
              </w:rPr>
            </w:pPr>
            <w:r>
              <w:rPr>
                <w:rFonts w:ascii="Arial" w:cs="Arial" w:eastAsia="Arial" w:hAnsi="Arial"/>
                <w:sz w:val="16"/>
                <w:szCs w:val="16"/>
                <w:color w:val="auto"/>
              </w:rPr>
              <w:t xml:space="preserve">Work Letter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and (ii) June 1, 2017.</w:t>
            </w:r>
          </w:p>
        </w:tc>
      </w:tr>
      <w:tr>
        <w:trPr>
          <w:trHeight w:val="20"/>
        </w:trPr>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97"/>
        </w:trPr>
        <w:tc>
          <w:tcPr>
            <w:tcW w:w="260" w:type="dxa"/>
            <w:vAlign w:val="bottom"/>
          </w:tcPr>
          <w:p>
            <w:pPr>
              <w:jc w:val="right"/>
              <w:spacing w:after="0"/>
              <w:rPr>
                <w:sz w:val="20"/>
                <w:szCs w:val="20"/>
                <w:color w:val="auto"/>
              </w:rPr>
            </w:pPr>
            <w:r>
              <w:rPr>
                <w:rFonts w:ascii="Arial" w:cs="Arial" w:eastAsia="Arial" w:hAnsi="Arial"/>
                <w:sz w:val="16"/>
                <w:szCs w:val="16"/>
                <w:color w:val="auto"/>
                <w:w w:val="80"/>
              </w:rPr>
              <w:t>3.3</w:t>
            </w:r>
          </w:p>
        </w:tc>
        <w:tc>
          <w:tcPr>
            <w:tcW w:w="2060" w:type="dxa"/>
            <w:vAlign w:val="bottom"/>
          </w:tcPr>
          <w:p>
            <w:pPr>
              <w:ind w:left="60"/>
              <w:spacing w:after="0"/>
              <w:rPr>
                <w:sz w:val="20"/>
                <w:szCs w:val="20"/>
                <w:color w:val="auto"/>
              </w:rPr>
            </w:pPr>
            <w:r>
              <w:rPr>
                <w:rFonts w:ascii="Arial" w:cs="Arial" w:eastAsia="Arial" w:hAnsi="Arial"/>
                <w:sz w:val="16"/>
                <w:szCs w:val="16"/>
                <w:color w:val="auto"/>
              </w:rPr>
              <w:t>Lease Expiration Date:</w:t>
            </w:r>
          </w:p>
        </w:tc>
        <w:tc>
          <w:tcPr>
            <w:tcW w:w="6780" w:type="dxa"/>
            <w:vAlign w:val="bottom"/>
            <w:gridSpan w:val="3"/>
          </w:tcPr>
          <w:p>
            <w:pPr>
              <w:ind w:left="180"/>
              <w:spacing w:after="0"/>
              <w:rPr>
                <w:sz w:val="20"/>
                <w:szCs w:val="20"/>
                <w:color w:val="auto"/>
              </w:rPr>
            </w:pPr>
            <w:r>
              <w:rPr>
                <w:rFonts w:ascii="Arial" w:cs="Arial" w:eastAsia="Arial" w:hAnsi="Arial"/>
                <w:sz w:val="16"/>
                <w:szCs w:val="16"/>
                <w:color w:val="auto"/>
              </w:rPr>
              <w:t>The day prior to the eighth (8</w:t>
            </w:r>
            <w:r>
              <w:rPr>
                <w:rFonts w:ascii="Arial" w:cs="Arial" w:eastAsia="Arial" w:hAnsi="Arial"/>
                <w:sz w:val="13"/>
                <w:szCs w:val="13"/>
                <w:color w:val="auto"/>
              </w:rPr>
              <w:t>th</w:t>
            </w:r>
            <w:r>
              <w:rPr>
                <w:rFonts w:ascii="Arial" w:cs="Arial" w:eastAsia="Arial" w:hAnsi="Arial"/>
                <w:sz w:val="16"/>
                <w:szCs w:val="16"/>
                <w:color w:val="auto"/>
              </w:rPr>
              <w:t>) anniversary of the Lease Commencement Date.</w:t>
            </w:r>
          </w:p>
        </w:tc>
      </w:tr>
    </w:tbl>
    <w:p>
      <w:pPr>
        <w:spacing w:after="0" w:line="83" w:lineRule="exact"/>
        <w:rPr>
          <w:sz w:val="20"/>
          <w:szCs w:val="20"/>
          <w:color w:val="auto"/>
        </w:rPr>
      </w:pPr>
    </w:p>
    <w:p>
      <w:pPr>
        <w:ind w:left="306" w:hanging="306"/>
        <w:spacing w:after="0"/>
        <w:tabs>
          <w:tab w:leader="none" w:pos="306" w:val="left"/>
        </w:tabs>
        <w:numPr>
          <w:ilvl w:val="0"/>
          <w:numId w:val="406"/>
        </w:numPr>
        <w:rPr>
          <w:rFonts w:ascii="Arial" w:cs="Arial" w:eastAsia="Arial" w:hAnsi="Arial"/>
          <w:sz w:val="16"/>
          <w:szCs w:val="16"/>
          <w:color w:val="auto"/>
        </w:rPr>
      </w:pPr>
      <w:r>
        <w:rPr>
          <w:rFonts w:ascii="Arial" w:cs="Arial" w:eastAsia="Arial" w:hAnsi="Arial"/>
          <w:sz w:val="16"/>
          <w:szCs w:val="16"/>
          <w:color w:val="auto"/>
        </w:rPr>
        <w:t>Base Rent (</w:t>
      </w:r>
      <w:r>
        <w:rPr>
          <w:rFonts w:ascii="Arial" w:cs="Arial" w:eastAsia="Arial" w:hAnsi="Arial"/>
          <w:sz w:val="16"/>
          <w:szCs w:val="16"/>
          <w:u w:val="single" w:color="auto"/>
          <w:color w:val="auto"/>
        </w:rPr>
        <w:t>Article 3</w:t>
      </w:r>
      <w:r>
        <w:rPr>
          <w:rFonts w:ascii="Arial" w:cs="Arial" w:eastAsia="Arial" w:hAnsi="Arial"/>
          <w:sz w:val="16"/>
          <w:szCs w:val="16"/>
          <w:color w:val="auto"/>
        </w:rPr>
        <w:t>):</w:t>
      </w:r>
    </w:p>
    <w:p>
      <w:pPr>
        <w:spacing w:after="0" w:line="190" w:lineRule="exact"/>
        <w:rPr>
          <w:sz w:val="20"/>
          <w:szCs w:val="20"/>
          <w:color w:val="auto"/>
        </w:rPr>
      </w:pPr>
    </w:p>
    <w:tbl>
      <w:tblPr>
        <w:tblLayout w:type="fixed"/>
        <w:tblInd w:w="766"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Monthly</w:t>
            </w: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Approximate</w:t>
            </w:r>
          </w:p>
        </w:tc>
        <w:tc>
          <w:tcPr>
            <w:tcW w:w="0" w:type="dxa"/>
            <w:vAlign w:val="bottom"/>
          </w:tcPr>
          <w:p>
            <w:pPr>
              <w:spacing w:after="0"/>
              <w:rPr>
                <w:sz w:val="1"/>
                <w:szCs w:val="1"/>
                <w:color w:val="auto"/>
              </w:rPr>
            </w:pPr>
          </w:p>
        </w:tc>
      </w:tr>
      <w:tr>
        <w:trPr>
          <w:trHeight w:val="130"/>
        </w:trPr>
        <w:tc>
          <w:tcPr>
            <w:tcW w:w="600" w:type="dxa"/>
            <w:vAlign w:val="bottom"/>
            <w:vMerge w:val="restart"/>
          </w:tcPr>
          <w:p>
            <w:pPr>
              <w:spacing w:after="0"/>
              <w:rPr>
                <w:sz w:val="20"/>
                <w:szCs w:val="20"/>
                <w:color w:val="auto"/>
              </w:rPr>
            </w:pPr>
            <w:r>
              <w:rPr>
                <w:rFonts w:ascii="Arial" w:cs="Arial" w:eastAsia="Arial" w:hAnsi="Arial"/>
                <w:sz w:val="13"/>
                <w:szCs w:val="13"/>
                <w:b w:val="1"/>
                <w:bCs w:val="1"/>
                <w:color w:val="auto"/>
                <w:w w:val="84"/>
              </w:rPr>
              <w:t>Lease Year</w:t>
            </w:r>
          </w:p>
        </w:tc>
        <w:tc>
          <w:tcPr>
            <w:tcW w:w="234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480"/>
              <w:spacing w:after="0" w:line="130" w:lineRule="exact"/>
              <w:rPr>
                <w:sz w:val="20"/>
                <w:szCs w:val="20"/>
                <w:color w:val="auto"/>
              </w:rPr>
            </w:pPr>
            <w:r>
              <w:rPr>
                <w:rFonts w:ascii="Arial" w:cs="Arial" w:eastAsia="Arial" w:hAnsi="Arial"/>
                <w:sz w:val="13"/>
                <w:szCs w:val="13"/>
                <w:b w:val="1"/>
                <w:bCs w:val="1"/>
                <w:color w:val="auto"/>
                <w:w w:val="86"/>
              </w:rPr>
              <w:t>Annualized</w:t>
            </w:r>
          </w:p>
        </w:tc>
        <w:tc>
          <w:tcPr>
            <w:tcW w:w="80" w:type="dxa"/>
            <w:vAlign w:val="bottom"/>
          </w:tcPr>
          <w:p>
            <w:pPr>
              <w:spacing w:after="0"/>
              <w:rPr>
                <w:sz w:val="11"/>
                <w:szCs w:val="11"/>
                <w:color w:val="auto"/>
              </w:rPr>
            </w:pPr>
          </w:p>
        </w:tc>
        <w:tc>
          <w:tcPr>
            <w:tcW w:w="1140" w:type="dxa"/>
            <w:vAlign w:val="bottom"/>
            <w:gridSpan w:val="2"/>
          </w:tcPr>
          <w:p>
            <w:pPr>
              <w:jc w:val="center"/>
              <w:ind w:right="500"/>
              <w:spacing w:after="0" w:line="130" w:lineRule="exact"/>
              <w:rPr>
                <w:sz w:val="20"/>
                <w:szCs w:val="20"/>
                <w:color w:val="auto"/>
              </w:rPr>
            </w:pPr>
            <w:r>
              <w:rPr>
                <w:rFonts w:ascii="Arial" w:cs="Arial" w:eastAsia="Arial" w:hAnsi="Arial"/>
                <w:sz w:val="13"/>
                <w:szCs w:val="13"/>
                <w:b w:val="1"/>
                <w:bCs w:val="1"/>
                <w:color w:val="auto"/>
                <w:w w:val="87"/>
              </w:rPr>
              <w:t>Installment</w:t>
            </w:r>
          </w:p>
        </w:tc>
        <w:tc>
          <w:tcPr>
            <w:tcW w:w="80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w w:val="92"/>
              </w:rPr>
              <w:t>Monthly Base</w:t>
            </w:r>
          </w:p>
        </w:tc>
        <w:tc>
          <w:tcPr>
            <w:tcW w:w="0" w:type="dxa"/>
            <w:vAlign w:val="bottom"/>
          </w:tcPr>
          <w:p>
            <w:pPr>
              <w:spacing w:after="0"/>
              <w:rPr>
                <w:sz w:val="1"/>
                <w:szCs w:val="1"/>
                <w:color w:val="auto"/>
              </w:rPr>
            </w:pPr>
          </w:p>
        </w:tc>
      </w:tr>
      <w:tr>
        <w:trPr>
          <w:trHeight w:val="158"/>
        </w:trPr>
        <w:tc>
          <w:tcPr>
            <w:tcW w:w="600" w:type="dxa"/>
            <w:vAlign w:val="bottom"/>
            <w:tcBorders>
              <w:bottom w:val="single" w:sz="8" w:color="auto"/>
            </w:tcBorders>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500"/>
              <w:spacing w:after="0" w:line="138" w:lineRule="exact"/>
              <w:rPr>
                <w:sz w:val="20"/>
                <w:szCs w:val="20"/>
                <w:color w:val="auto"/>
              </w:rPr>
            </w:pPr>
            <w:r>
              <w:rPr>
                <w:rFonts w:ascii="Arial" w:cs="Arial" w:eastAsia="Arial" w:hAnsi="Arial"/>
                <w:sz w:val="13"/>
                <w:szCs w:val="13"/>
                <w:b w:val="1"/>
                <w:bCs w:val="1"/>
                <w:color w:val="auto"/>
                <w:w w:val="84"/>
              </w:rPr>
              <w:t>Base Rent</w:t>
            </w:r>
          </w:p>
        </w:tc>
        <w:tc>
          <w:tcPr>
            <w:tcW w:w="1220" w:type="dxa"/>
            <w:vAlign w:val="bottom"/>
            <w:gridSpan w:val="3"/>
          </w:tcPr>
          <w:p>
            <w:pPr>
              <w:jc w:val="center"/>
              <w:ind w:right="420"/>
              <w:spacing w:after="0" w:line="138" w:lineRule="exact"/>
              <w:rPr>
                <w:sz w:val="20"/>
                <w:szCs w:val="20"/>
                <w:color w:val="auto"/>
              </w:rPr>
            </w:pPr>
            <w:r>
              <w:rPr>
                <w:rFonts w:ascii="Arial" w:cs="Arial" w:eastAsia="Arial" w:hAnsi="Arial"/>
                <w:sz w:val="13"/>
                <w:szCs w:val="13"/>
                <w:b w:val="1"/>
                <w:bCs w:val="1"/>
                <w:color w:val="auto"/>
                <w:w w:val="85"/>
              </w:rPr>
              <w:t>of Base Rent</w:t>
            </w:r>
          </w:p>
        </w:tc>
        <w:tc>
          <w:tcPr>
            <w:tcW w:w="8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w w:val="94"/>
              </w:rPr>
              <w:t>Rent per RSF</w:t>
            </w:r>
          </w:p>
        </w:tc>
        <w:tc>
          <w:tcPr>
            <w:tcW w:w="0" w:type="dxa"/>
            <w:vAlign w:val="bottom"/>
          </w:tcPr>
          <w:p>
            <w:pPr>
              <w:spacing w:after="0"/>
              <w:rPr>
                <w:sz w:val="1"/>
                <w:szCs w:val="1"/>
                <w:color w:val="auto"/>
              </w:rPr>
            </w:pPr>
          </w:p>
        </w:tc>
      </w:tr>
      <w:tr>
        <w:trPr>
          <w:trHeight w:val="172"/>
        </w:trPr>
        <w:tc>
          <w:tcPr>
            <w:tcW w:w="294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1* (months 1 – 5)</w:t>
            </w:r>
          </w:p>
        </w:tc>
        <w:tc>
          <w:tcPr>
            <w:tcW w:w="1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941,967.00</w:t>
            </w: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8"/>
              </w:rPr>
              <w:t>78,497.25</w:t>
            </w:r>
          </w:p>
        </w:tc>
        <w:tc>
          <w:tcPr>
            <w:tcW w:w="4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4.85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rPr>
                <w:sz w:val="20"/>
                <w:szCs w:val="20"/>
                <w:color w:val="auto"/>
              </w:rPr>
            </w:pPr>
            <w:r>
              <w:rPr>
                <w:rFonts w:ascii="Arial" w:cs="Arial" w:eastAsia="Arial" w:hAnsi="Arial"/>
                <w:sz w:val="16"/>
                <w:szCs w:val="16"/>
                <w:color w:val="auto"/>
              </w:rPr>
              <w:t>1 (months 6 – 12)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w w:val="87"/>
              </w:rPr>
              <w:t>1,883,934.00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w w:val="87"/>
              </w:rPr>
              <w:t>156,994.50</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89"/>
        </w:trPr>
        <w:tc>
          <w:tcPr>
            <w:tcW w:w="600" w:type="dxa"/>
            <w:vAlign w:val="bottom"/>
            <w:shd w:val="clear" w:color="auto" w:fill="CCEEFF"/>
          </w:tcPr>
          <w:p>
            <w:pPr>
              <w:spacing w:after="0"/>
              <w:rPr>
                <w:sz w:val="20"/>
                <w:szCs w:val="20"/>
                <w:color w:val="auto"/>
              </w:rPr>
            </w:pPr>
            <w:r>
              <w:rPr>
                <w:rFonts w:ascii="Arial" w:cs="Arial" w:eastAsia="Arial" w:hAnsi="Arial"/>
                <w:sz w:val="16"/>
                <w:szCs w:val="16"/>
                <w:color w:val="auto"/>
              </w:rPr>
              <w:t>2</w:t>
            </w:r>
          </w:p>
        </w:tc>
        <w:tc>
          <w:tcPr>
            <w:tcW w:w="234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7"/>
              </w:rPr>
              <w:t>1,949,871.69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7"/>
              </w:rPr>
              <w:t>162,489.31</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0"/>
        </w:trPr>
        <w:tc>
          <w:tcPr>
            <w:tcW w:w="600" w:type="dxa"/>
            <w:vAlign w:val="bottom"/>
          </w:tcPr>
          <w:p>
            <w:pPr>
              <w:spacing w:after="0"/>
              <w:rPr>
                <w:sz w:val="20"/>
                <w:szCs w:val="20"/>
                <w:color w:val="auto"/>
              </w:rPr>
            </w:pPr>
            <w:r>
              <w:rPr>
                <w:rFonts w:ascii="Arial" w:cs="Arial" w:eastAsia="Arial" w:hAnsi="Arial"/>
                <w:sz w:val="16"/>
                <w:szCs w:val="16"/>
                <w:color w:val="auto"/>
              </w:rPr>
              <w:t>3</w:t>
            </w:r>
          </w:p>
        </w:tc>
        <w:tc>
          <w:tcPr>
            <w:tcW w:w="23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w w:val="87"/>
              </w:rPr>
              <w:t>2,018,117.20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w w:val="87"/>
              </w:rPr>
              <w:t>168,176.43</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bl>
    <w:p>
      <w:pPr>
        <w:sectPr>
          <w:pgSz w:w="11900" w:h="16838" w:orient="portrait"/>
          <w:cols w:equalWidth="0" w:num="1">
            <w:col w:w="9626"/>
          </w:cols>
          <w:pgMar w:left="1134" w:top="122" w:right="1139" w:bottom="1440" w:gutter="0" w:footer="0" w:header="0"/>
        </w:sectPr>
      </w:pPr>
    </w:p>
    <w:bookmarkStart w:id="556" w:name="page557"/>
    <w:bookmarkEnd w:id="5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90105" cy="34290"/>
                    </a:xfrm>
                    <a:prstGeom prst="rect">
                      <a:avLst/>
                    </a:prstGeom>
                    <a:noFill/>
                  </pic:spPr>
                </pic:pic>
              </a:graphicData>
            </a:graphic>
          </wp:anchor>
        </w:drawing>
      </w:r>
    </w:p>
    <w:tbl>
      <w:tblPr>
        <w:tblLayout w:type="fixed"/>
        <w:tblInd w:w="766" w:type="dxa"/>
        <w:tblCellMar>
          <w:top w:w="0" w:type="dxa"/>
          <w:left w:w="0" w:type="dxa"/>
          <w:bottom w:w="0" w:type="dxa"/>
          <w:right w:w="0" w:type="dxa"/>
        </w:tblCellMar>
      </w:tblPr>
      <w:tr>
        <w:trPr>
          <w:trHeight w:val="189"/>
        </w:trPr>
        <w:tc>
          <w:tcPr>
            <w:tcW w:w="2740" w:type="dxa"/>
            <w:vAlign w:val="bottom"/>
            <w:shd w:val="clear" w:color="auto" w:fill="CCEEFF"/>
          </w:tcPr>
          <w:p>
            <w:pPr>
              <w:jc w:val="right"/>
              <w:ind w:right="2587"/>
              <w:spacing w:after="0"/>
              <w:rPr>
                <w:sz w:val="20"/>
                <w:szCs w:val="20"/>
                <w:color w:val="auto"/>
              </w:rPr>
            </w:pPr>
            <w:r>
              <w:rPr>
                <w:rFonts w:ascii="Arial" w:cs="Arial" w:eastAsia="Arial" w:hAnsi="Arial"/>
                <w:sz w:val="15"/>
                <w:szCs w:val="15"/>
                <w:color w:val="auto"/>
                <w:w w:val="71"/>
              </w:rPr>
              <w:t>4</w:t>
            </w:r>
          </w:p>
        </w:tc>
        <w:tc>
          <w:tcPr>
            <w:tcW w:w="3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$2,088,751.30</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$174,062.61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189"/>
        </w:trPr>
        <w:tc>
          <w:tcPr>
            <w:tcW w:w="2740" w:type="dxa"/>
            <w:vAlign w:val="bottom"/>
          </w:tcPr>
          <w:p>
            <w:pPr>
              <w:jc w:val="right"/>
              <w:ind w:right="2587"/>
              <w:spacing w:after="0"/>
              <w:rPr>
                <w:sz w:val="20"/>
                <w:szCs w:val="20"/>
                <w:color w:val="auto"/>
              </w:rPr>
            </w:pPr>
            <w:r>
              <w:rPr>
                <w:rFonts w:ascii="Arial" w:cs="Arial" w:eastAsia="Arial" w:hAnsi="Arial"/>
                <w:sz w:val="15"/>
                <w:szCs w:val="15"/>
                <w:color w:val="auto"/>
                <w:w w:val="71"/>
              </w:rPr>
              <w:t>5</w:t>
            </w:r>
          </w:p>
        </w:tc>
        <w:tc>
          <w:tcPr>
            <w:tcW w:w="3720" w:type="dxa"/>
            <w:vAlign w:val="bottom"/>
          </w:tcPr>
          <w:p>
            <w:pPr>
              <w:jc w:val="right"/>
              <w:ind w:right="61"/>
              <w:spacing w:after="0"/>
              <w:rPr>
                <w:sz w:val="20"/>
                <w:szCs w:val="20"/>
                <w:color w:val="auto"/>
              </w:rPr>
            </w:pPr>
            <w:r>
              <w:rPr>
                <w:rFonts w:ascii="Arial" w:cs="Arial" w:eastAsia="Arial" w:hAnsi="Arial"/>
                <w:sz w:val="16"/>
                <w:szCs w:val="16"/>
                <w:color w:val="auto"/>
              </w:rPr>
              <w:t>$2,161,857.60</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$180,154.80</w:t>
            </w:r>
          </w:p>
        </w:tc>
        <w:tc>
          <w:tcPr>
            <w:tcW w:w="56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189"/>
        </w:trPr>
        <w:tc>
          <w:tcPr>
            <w:tcW w:w="2740" w:type="dxa"/>
            <w:vAlign w:val="bottom"/>
            <w:shd w:val="clear" w:color="auto" w:fill="CCEEFF"/>
          </w:tcPr>
          <w:p>
            <w:pPr>
              <w:jc w:val="right"/>
              <w:ind w:right="2587"/>
              <w:spacing w:after="0"/>
              <w:rPr>
                <w:sz w:val="20"/>
                <w:szCs w:val="20"/>
                <w:color w:val="auto"/>
              </w:rPr>
            </w:pPr>
            <w:r>
              <w:rPr>
                <w:rFonts w:ascii="Arial" w:cs="Arial" w:eastAsia="Arial" w:hAnsi="Arial"/>
                <w:sz w:val="15"/>
                <w:szCs w:val="15"/>
                <w:color w:val="auto"/>
                <w:w w:val="71"/>
              </w:rPr>
              <w:t>6</w:t>
            </w:r>
          </w:p>
        </w:tc>
        <w:tc>
          <w:tcPr>
            <w:tcW w:w="3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$2,237,522.61</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$186,460.22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189"/>
        </w:trPr>
        <w:tc>
          <w:tcPr>
            <w:tcW w:w="2740" w:type="dxa"/>
            <w:vAlign w:val="bottom"/>
          </w:tcPr>
          <w:p>
            <w:pPr>
              <w:jc w:val="right"/>
              <w:ind w:right="2587"/>
              <w:spacing w:after="0"/>
              <w:rPr>
                <w:sz w:val="20"/>
                <w:szCs w:val="20"/>
                <w:color w:val="auto"/>
              </w:rPr>
            </w:pPr>
            <w:r>
              <w:rPr>
                <w:rFonts w:ascii="Arial" w:cs="Arial" w:eastAsia="Arial" w:hAnsi="Arial"/>
                <w:sz w:val="15"/>
                <w:szCs w:val="15"/>
                <w:color w:val="auto"/>
                <w:w w:val="71"/>
              </w:rPr>
              <w:t>7</w:t>
            </w:r>
          </w:p>
        </w:tc>
        <w:tc>
          <w:tcPr>
            <w:tcW w:w="3720" w:type="dxa"/>
            <w:vAlign w:val="bottom"/>
          </w:tcPr>
          <w:p>
            <w:pPr>
              <w:jc w:val="right"/>
              <w:ind w:right="61"/>
              <w:spacing w:after="0"/>
              <w:rPr>
                <w:sz w:val="20"/>
                <w:szCs w:val="20"/>
                <w:color w:val="auto"/>
              </w:rPr>
            </w:pPr>
            <w:r>
              <w:rPr>
                <w:rFonts w:ascii="Arial" w:cs="Arial" w:eastAsia="Arial" w:hAnsi="Arial"/>
                <w:sz w:val="16"/>
                <w:szCs w:val="16"/>
                <w:color w:val="auto"/>
              </w:rPr>
              <w:t>$2,315,835.90</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$192,986.33</w:t>
            </w:r>
          </w:p>
        </w:tc>
        <w:tc>
          <w:tcPr>
            <w:tcW w:w="56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189"/>
        </w:trPr>
        <w:tc>
          <w:tcPr>
            <w:tcW w:w="2740" w:type="dxa"/>
            <w:vAlign w:val="bottom"/>
            <w:shd w:val="clear" w:color="auto" w:fill="CCEEFF"/>
          </w:tcPr>
          <w:p>
            <w:pPr>
              <w:jc w:val="right"/>
              <w:ind w:right="2587"/>
              <w:spacing w:after="0"/>
              <w:rPr>
                <w:sz w:val="20"/>
                <w:szCs w:val="20"/>
                <w:color w:val="auto"/>
              </w:rPr>
            </w:pPr>
            <w:r>
              <w:rPr>
                <w:rFonts w:ascii="Arial" w:cs="Arial" w:eastAsia="Arial" w:hAnsi="Arial"/>
                <w:sz w:val="15"/>
                <w:szCs w:val="15"/>
                <w:color w:val="auto"/>
                <w:w w:val="71"/>
              </w:rPr>
              <w:t>8</w:t>
            </w:r>
          </w:p>
        </w:tc>
        <w:tc>
          <w:tcPr>
            <w:tcW w:w="3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$2,396,890.16</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$199,740.85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bl>
    <w:p>
      <w:pPr>
        <w:spacing w:after="0" w:line="199" w:lineRule="exact"/>
        <w:rPr>
          <w:sz w:val="20"/>
          <w:szCs w:val="20"/>
          <w:color w:val="auto"/>
        </w:rPr>
      </w:pPr>
    </w:p>
    <w:p>
      <w:pPr>
        <w:ind w:left="166" w:hanging="166"/>
        <w:spacing w:after="0" w:line="330" w:lineRule="auto"/>
        <w:tabs>
          <w:tab w:leader="none" w:pos="151" w:val="left"/>
        </w:tabs>
        <w:numPr>
          <w:ilvl w:val="0"/>
          <w:numId w:val="407"/>
        </w:numPr>
        <w:rPr>
          <w:rFonts w:ascii="Arial" w:cs="Arial" w:eastAsia="Arial" w:hAnsi="Arial"/>
          <w:sz w:val="13"/>
          <w:szCs w:val="13"/>
          <w:color w:val="auto"/>
        </w:rPr>
      </w:pPr>
      <w:r>
        <w:rPr>
          <w:rFonts w:ascii="Arial" w:cs="Arial" w:eastAsia="Arial" w:hAnsi="Arial"/>
          <w:sz w:val="13"/>
          <w:szCs w:val="13"/>
          <w:color w:val="auto"/>
        </w:rPr>
        <w:t>Note that for the first five (5) months of the first (1</w:t>
      </w:r>
      <w:r>
        <w:rPr>
          <w:rFonts w:ascii="Arial" w:cs="Arial" w:eastAsia="Arial" w:hAnsi="Arial"/>
          <w:sz w:val="11"/>
          <w:szCs w:val="11"/>
          <w:color w:val="auto"/>
        </w:rPr>
        <w:t>st</w:t>
      </w:r>
      <w:r>
        <w:rPr>
          <w:rFonts w:ascii="Arial" w:cs="Arial" w:eastAsia="Arial" w:hAnsi="Arial"/>
          <w:sz w:val="13"/>
          <w:szCs w:val="13"/>
          <w:color w:val="auto"/>
        </w:rPr>
        <w:t>) Lease Year of the Lease Term, Tenant’s Base Rent obligation has been calculated as if the Premises contained only 16,185 rentable square feet. Such calculation shall not affect Tenant’s right to use the entire Premises, or Tenant’s obligations under this Lease with respect to the entire Premises, including without limitation, Tenant’s obligation to pay Tenant’s Share of Direct Expenses with respect to the Premises which shall be as provided in Section 6 of this Summary, all in accordance with the terms and conditions of this Lease.</w:t>
      </w:r>
    </w:p>
    <w:p>
      <w:pPr>
        <w:spacing w:after="0" w:line="141" w:lineRule="exact"/>
        <w:rPr>
          <w:sz w:val="20"/>
          <w:szCs w:val="20"/>
          <w:color w:val="auto"/>
        </w:rPr>
      </w:pPr>
    </w:p>
    <w:p>
      <w:pPr>
        <w:ind w:left="306"/>
        <w:spacing w:after="0"/>
        <w:rPr>
          <w:sz w:val="20"/>
          <w:szCs w:val="20"/>
          <w:color w:val="auto"/>
        </w:rPr>
      </w:pPr>
      <w:r>
        <w:rPr>
          <w:rFonts w:ascii="Arial" w:cs="Arial" w:eastAsia="Arial" w:hAnsi="Arial"/>
          <w:sz w:val="16"/>
          <w:szCs w:val="16"/>
          <w:b w:val="1"/>
          <w:bCs w:val="1"/>
          <w:color w:val="auto"/>
        </w:rPr>
        <w:t>Address for Payment of Rent:</w:t>
      </w:r>
    </w:p>
    <w:p>
      <w:pPr>
        <w:spacing w:after="0" w:line="115"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check, remittances should be mailed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HCP Life Sciences REIT</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File 51142</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Los Angeles, CA 90074-1142</w:t>
      </w:r>
    </w:p>
    <w:p>
      <w:pPr>
        <w:spacing w:after="0" w:line="99"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ACH, remit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HCP Life Sciences REIT Bank of America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ABA: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Acct:</w:t>
      </w:r>
    </w:p>
    <w:p>
      <w:pPr>
        <w:spacing w:after="0" w:line="99"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Wire, remit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HCP Life Sciences REIT Bank of America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ABA: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Acct:</w:t>
      </w:r>
    </w:p>
    <w:p>
      <w:pPr>
        <w:spacing w:after="0" w:line="99"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overnight mail, remit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Bank of America Lockbox Services</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Lockbox 51142</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2706 Media Center Drive</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Los Angeles, CA 90065-1733</w:t>
      </w:r>
    </w:p>
    <w:p>
      <w:pPr>
        <w:spacing w:after="0" w:line="312"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200" w:type="dxa"/>
            <w:vAlign w:val="bottom"/>
          </w:tcPr>
          <w:p>
            <w:pPr>
              <w:jc w:val="right"/>
              <w:ind w:right="1"/>
              <w:spacing w:after="0"/>
              <w:rPr>
                <w:sz w:val="20"/>
                <w:szCs w:val="20"/>
                <w:color w:val="auto"/>
              </w:rPr>
            </w:pPr>
            <w:r>
              <w:rPr>
                <w:rFonts w:ascii="Arial" w:cs="Arial" w:eastAsia="Arial" w:hAnsi="Arial"/>
                <w:sz w:val="16"/>
                <w:szCs w:val="16"/>
                <w:color w:val="auto"/>
                <w:w w:val="74"/>
              </w:rPr>
              <w:t>5.</w:t>
            </w:r>
          </w:p>
        </w:tc>
        <w:tc>
          <w:tcPr>
            <w:tcW w:w="2360" w:type="dxa"/>
            <w:vAlign w:val="bottom"/>
            <w:gridSpan w:val="3"/>
          </w:tcPr>
          <w:p>
            <w:pPr>
              <w:ind w:left="100"/>
              <w:spacing w:after="0"/>
              <w:rPr>
                <w:sz w:val="20"/>
                <w:szCs w:val="20"/>
                <w:color w:val="auto"/>
              </w:rPr>
            </w:pPr>
            <w:r>
              <w:rPr>
                <w:rFonts w:ascii="Arial" w:cs="Arial" w:eastAsia="Arial" w:hAnsi="Arial"/>
                <w:sz w:val="16"/>
                <w:szCs w:val="16"/>
                <w:color w:val="auto"/>
                <w:w w:val="99"/>
              </w:rPr>
              <w:t>Tenant Improvement Allowance</w:t>
            </w:r>
          </w:p>
        </w:tc>
        <w:tc>
          <w:tcPr>
            <w:tcW w:w="3660" w:type="dxa"/>
            <w:vAlign w:val="bottom"/>
          </w:tcPr>
          <w:p>
            <w:pPr>
              <w:ind w:left="220"/>
              <w:spacing w:after="0"/>
              <w:rPr>
                <w:sz w:val="20"/>
                <w:szCs w:val="20"/>
                <w:color w:val="auto"/>
              </w:rPr>
            </w:pPr>
            <w:r>
              <w:rPr>
                <w:rFonts w:ascii="Arial" w:cs="Arial" w:eastAsia="Arial" w:hAnsi="Arial"/>
                <w:sz w:val="16"/>
                <w:szCs w:val="16"/>
                <w:color w:val="auto"/>
                <w:w w:val="87"/>
              </w:rPr>
              <w:t>$140.00 per RSF of the Premises (i.e., $4,531,800.00).</w:t>
            </w:r>
          </w:p>
        </w:tc>
      </w:tr>
      <w:tr>
        <w:trPr>
          <w:trHeight w:val="204"/>
        </w:trPr>
        <w:tc>
          <w:tcPr>
            <w:tcW w:w="200" w:type="dxa"/>
            <w:vAlign w:val="bottom"/>
          </w:tcPr>
          <w:p>
            <w:pPr>
              <w:spacing w:after="0"/>
              <w:rPr>
                <w:sz w:val="17"/>
                <w:szCs w:val="17"/>
                <w:color w:val="auto"/>
              </w:rPr>
            </w:pPr>
          </w:p>
        </w:tc>
        <w:tc>
          <w:tcPr>
            <w:tcW w:w="2360" w:type="dxa"/>
            <w:vAlign w:val="bottom"/>
            <w:gridSpan w:val="3"/>
          </w:tcPr>
          <w:p>
            <w:pPr>
              <w:ind w:lef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Exhibit B</w:t>
            </w:r>
            <w:r>
              <w:rPr>
                <w:rFonts w:ascii="Arial" w:cs="Arial" w:eastAsia="Arial" w:hAnsi="Arial"/>
                <w:sz w:val="16"/>
                <w:szCs w:val="16"/>
                <w:color w:val="auto"/>
              </w:rPr>
              <w:t>):</w:t>
            </w:r>
          </w:p>
        </w:tc>
        <w:tc>
          <w:tcPr>
            <w:tcW w:w="3660" w:type="dxa"/>
            <w:vAlign w:val="bottom"/>
          </w:tcPr>
          <w:p>
            <w:pPr>
              <w:spacing w:after="0"/>
              <w:rPr>
                <w:sz w:val="17"/>
                <w:szCs w:val="17"/>
                <w:color w:val="auto"/>
              </w:rPr>
            </w:pPr>
          </w:p>
        </w:tc>
      </w:tr>
      <w:tr>
        <w:trPr>
          <w:trHeight w:val="272"/>
        </w:trPr>
        <w:tc>
          <w:tcPr>
            <w:tcW w:w="200" w:type="dxa"/>
            <w:vAlign w:val="bottom"/>
          </w:tcPr>
          <w:p>
            <w:pPr>
              <w:jc w:val="right"/>
              <w:ind w:right="1"/>
              <w:spacing w:after="0"/>
              <w:rPr>
                <w:sz w:val="20"/>
                <w:szCs w:val="20"/>
                <w:color w:val="auto"/>
              </w:rPr>
            </w:pPr>
            <w:r>
              <w:rPr>
                <w:rFonts w:ascii="Arial" w:cs="Arial" w:eastAsia="Arial" w:hAnsi="Arial"/>
                <w:sz w:val="16"/>
                <w:szCs w:val="16"/>
                <w:color w:val="auto"/>
                <w:w w:val="74"/>
              </w:rPr>
              <w:t>6.</w:t>
            </w:r>
          </w:p>
        </w:tc>
        <w:tc>
          <w:tcPr>
            <w:tcW w:w="2360" w:type="dxa"/>
            <w:vAlign w:val="bottom"/>
            <w:gridSpan w:val="3"/>
          </w:tcPr>
          <w:p>
            <w:pPr>
              <w:ind w:left="100"/>
              <w:spacing w:after="0"/>
              <w:rPr>
                <w:sz w:val="20"/>
                <w:szCs w:val="20"/>
                <w:color w:val="auto"/>
              </w:rPr>
            </w:pPr>
            <w:r>
              <w:rPr>
                <w:rFonts w:ascii="Arial" w:cs="Arial" w:eastAsia="Arial" w:hAnsi="Arial"/>
                <w:sz w:val="16"/>
                <w:szCs w:val="16"/>
                <w:color w:val="auto"/>
              </w:rPr>
              <w:t>Tenant’s Share</w:t>
            </w:r>
          </w:p>
        </w:tc>
        <w:tc>
          <w:tcPr>
            <w:tcW w:w="3660" w:type="dxa"/>
            <w:vAlign w:val="bottom"/>
          </w:tcPr>
          <w:p>
            <w:pPr>
              <w:ind w:left="220"/>
              <w:spacing w:after="0"/>
              <w:rPr>
                <w:sz w:val="20"/>
                <w:szCs w:val="20"/>
                <w:color w:val="auto"/>
              </w:rPr>
            </w:pPr>
            <w:r>
              <w:rPr>
                <w:rFonts w:ascii="Arial" w:cs="Arial" w:eastAsia="Arial" w:hAnsi="Arial"/>
                <w:sz w:val="16"/>
                <w:szCs w:val="16"/>
                <w:color w:val="auto"/>
              </w:rPr>
              <w:t>24.38%.</w:t>
            </w:r>
          </w:p>
        </w:tc>
      </w:tr>
      <w:tr>
        <w:trPr>
          <w:trHeight w:val="166"/>
        </w:trPr>
        <w:tc>
          <w:tcPr>
            <w:tcW w:w="200" w:type="dxa"/>
            <w:vAlign w:val="bottom"/>
          </w:tcPr>
          <w:p>
            <w:pPr>
              <w:spacing w:after="0"/>
              <w:rPr>
                <w:sz w:val="14"/>
                <w:szCs w:val="14"/>
                <w:color w:val="auto"/>
              </w:rPr>
            </w:pPr>
          </w:p>
        </w:tc>
        <w:tc>
          <w:tcPr>
            <w:tcW w:w="2360" w:type="dxa"/>
            <w:vAlign w:val="bottom"/>
            <w:gridSpan w:val="3"/>
          </w:tcPr>
          <w:p>
            <w:pPr>
              <w:ind w:left="100"/>
              <w:spacing w:after="0" w:line="166" w:lineRule="exact"/>
              <w:rPr>
                <w:sz w:val="20"/>
                <w:szCs w:val="20"/>
                <w:color w:val="auto"/>
              </w:rPr>
            </w:pPr>
            <w:r>
              <w:rPr>
                <w:rFonts w:ascii="Arial" w:cs="Arial" w:eastAsia="Arial" w:hAnsi="Arial"/>
                <w:sz w:val="16"/>
                <w:szCs w:val="16"/>
                <w:color w:val="auto"/>
              </w:rPr>
              <w:t>(Article 4):</w:t>
            </w:r>
          </w:p>
        </w:tc>
        <w:tc>
          <w:tcPr>
            <w:tcW w:w="3660" w:type="dxa"/>
            <w:vAlign w:val="bottom"/>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ectPr>
          <w:pgSz w:w="11900" w:h="16838" w:orient="portrait"/>
          <w:cols w:equalWidth="0" w:num="1">
            <w:col w:w="9586"/>
          </w:cols>
          <w:pgMar w:left="1134" w:top="268" w:right="1179" w:bottom="1440" w:gutter="0" w:footer="0" w:header="0"/>
        </w:sectPr>
      </w:pPr>
    </w:p>
    <w:bookmarkStart w:id="557" w:name="page558"/>
    <w:bookmarkEnd w:id="5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20"/>
                <w:szCs w:val="20"/>
                <w:color w:val="auto"/>
              </w:rPr>
            </w:pPr>
            <w:r>
              <w:rPr>
                <w:rFonts w:ascii="Arial" w:cs="Arial" w:eastAsia="Arial" w:hAnsi="Arial"/>
                <w:sz w:val="16"/>
                <w:szCs w:val="16"/>
                <w:color w:val="auto"/>
              </w:rPr>
              <w:t>7.</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Permitted Use</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w w:val="93"/>
              </w:rPr>
              <w:t>The Premises shall be used only for general office, research and development, engineering, lab scale</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(Article 5):</w:t>
            </w:r>
          </w:p>
        </w:tc>
        <w:tc>
          <w:tcPr>
            <w:tcW w:w="7320" w:type="dxa"/>
            <w:vAlign w:val="bottom"/>
            <w:gridSpan w:val="5"/>
          </w:tcPr>
          <w:p>
            <w:pPr>
              <w:ind w:left="600"/>
              <w:spacing w:after="0" w:line="166" w:lineRule="exact"/>
              <w:rPr>
                <w:sz w:val="20"/>
                <w:szCs w:val="20"/>
                <w:color w:val="auto"/>
              </w:rPr>
            </w:pPr>
            <w:r>
              <w:rPr>
                <w:rFonts w:ascii="Arial" w:cs="Arial" w:eastAsia="Arial" w:hAnsi="Arial"/>
                <w:sz w:val="16"/>
                <w:szCs w:val="16"/>
                <w:color w:val="auto"/>
                <w:w w:val="91"/>
              </w:rPr>
              <w:t>manufacturing and laboratory and vivarium uses, including, but not limited to, administrative offices and</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w w:val="89"/>
              </w:rPr>
              <w:t>other lawful uses reasonably related to or incidental to such specified uses, all (i) consistent with first class</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w w:val="89"/>
              </w:rPr>
              <w:t>life sciences projects in South San Francisco, California (“</w:t>
            </w:r>
            <w:r>
              <w:rPr>
                <w:rFonts w:ascii="Arial" w:cs="Arial" w:eastAsia="Arial" w:hAnsi="Arial"/>
                <w:sz w:val="16"/>
                <w:szCs w:val="16"/>
                <w:b w:val="1"/>
                <w:bCs w:val="1"/>
                <w:color w:val="auto"/>
                <w:w w:val="89"/>
              </w:rPr>
              <w:t>First Class Life Sciences Projects</w:t>
            </w:r>
            <w:r>
              <w:rPr>
                <w:rFonts w:ascii="Arial" w:cs="Arial" w:eastAsia="Arial" w:hAnsi="Arial"/>
                <w:sz w:val="16"/>
                <w:szCs w:val="16"/>
                <w:color w:val="auto"/>
                <w:w w:val="89"/>
              </w:rPr>
              <w:t>”), and (ii) in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compliance with, and subject to, applicable laws and the terms of this Lease.</w:t>
            </w:r>
          </w:p>
        </w:tc>
        <w:tc>
          <w:tcPr>
            <w:tcW w:w="0" w:type="dxa"/>
            <w:vAlign w:val="bottom"/>
          </w:tcPr>
          <w:p>
            <w:pPr>
              <w:spacing w:after="0"/>
              <w:rPr>
                <w:sz w:val="1"/>
                <w:szCs w:val="1"/>
                <w:color w:val="auto"/>
              </w:rPr>
            </w:pPr>
          </w:p>
        </w:tc>
      </w:tr>
      <w:tr>
        <w:trPr>
          <w:trHeight w:val="272"/>
        </w:trPr>
        <w:tc>
          <w:tcPr>
            <w:tcW w:w="240" w:type="dxa"/>
            <w:vAlign w:val="bottom"/>
          </w:tcPr>
          <w:p>
            <w:pPr>
              <w:spacing w:after="0"/>
              <w:rPr>
                <w:sz w:val="20"/>
                <w:szCs w:val="20"/>
                <w:color w:val="auto"/>
              </w:rPr>
            </w:pPr>
            <w:r>
              <w:rPr>
                <w:rFonts w:ascii="Arial" w:cs="Arial" w:eastAsia="Arial" w:hAnsi="Arial"/>
                <w:sz w:val="16"/>
                <w:szCs w:val="16"/>
                <w:color w:val="auto"/>
              </w:rPr>
              <w:t>8.</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Letter of Credit</w:t>
            </w:r>
          </w:p>
        </w:tc>
        <w:tc>
          <w:tcPr>
            <w:tcW w:w="1740" w:type="dxa"/>
            <w:vAlign w:val="bottom"/>
            <w:gridSpan w:val="2"/>
          </w:tcPr>
          <w:p>
            <w:pPr>
              <w:ind w:left="600"/>
              <w:spacing w:after="0"/>
              <w:rPr>
                <w:sz w:val="20"/>
                <w:szCs w:val="20"/>
                <w:color w:val="auto"/>
              </w:rPr>
            </w:pPr>
            <w:r>
              <w:rPr>
                <w:rFonts w:ascii="Arial" w:cs="Arial" w:eastAsia="Arial" w:hAnsi="Arial"/>
                <w:sz w:val="16"/>
                <w:szCs w:val="16"/>
                <w:color w:val="auto"/>
              </w:rPr>
              <w:t>$399,481.70.</w:t>
            </w:r>
          </w:p>
        </w:tc>
        <w:tc>
          <w:tcPr>
            <w:tcW w:w="2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(Article 21):</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40" w:type="dxa"/>
            <w:vAlign w:val="bottom"/>
          </w:tcPr>
          <w:p>
            <w:pPr>
              <w:spacing w:after="0"/>
              <w:rPr>
                <w:sz w:val="20"/>
                <w:szCs w:val="20"/>
                <w:color w:val="auto"/>
              </w:rPr>
            </w:pPr>
            <w:r>
              <w:rPr>
                <w:rFonts w:ascii="Arial" w:cs="Arial" w:eastAsia="Arial" w:hAnsi="Arial"/>
                <w:sz w:val="16"/>
                <w:szCs w:val="16"/>
                <w:color w:val="auto"/>
              </w:rPr>
              <w:t>9.</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Parking</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83 unreserved parking spaces, subject to the terms of Article 28 of the Lease.</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940" w:type="dxa"/>
            <w:vAlign w:val="bottom"/>
            <w:gridSpan w:val="6"/>
          </w:tcPr>
          <w:p>
            <w:pPr>
              <w:ind w:left="60"/>
              <w:spacing w:after="0" w:line="168" w:lineRule="exact"/>
              <w:rPr>
                <w:sz w:val="20"/>
                <w:szCs w:val="20"/>
                <w:color w:val="auto"/>
              </w:rPr>
            </w:pPr>
            <w:r>
              <w:rPr>
                <w:rFonts w:ascii="Arial" w:cs="Arial" w:eastAsia="Arial" w:hAnsi="Arial"/>
                <w:sz w:val="16"/>
                <w:szCs w:val="16"/>
                <w:color w:val="auto"/>
              </w:rPr>
              <w:t>(Article 28):</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40" w:type="dxa"/>
            <w:vAlign w:val="bottom"/>
          </w:tcPr>
          <w:p>
            <w:pPr>
              <w:spacing w:after="0"/>
              <w:rPr>
                <w:sz w:val="20"/>
                <w:szCs w:val="20"/>
                <w:color w:val="auto"/>
              </w:rPr>
            </w:pPr>
            <w:r>
              <w:rPr>
                <w:rFonts w:ascii="Arial" w:cs="Arial" w:eastAsia="Arial" w:hAnsi="Arial"/>
                <w:sz w:val="16"/>
                <w:szCs w:val="16"/>
                <w:color w:val="auto"/>
                <w:w w:val="98"/>
              </w:rPr>
              <w:t>10.</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Address of Tenant</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The Column Group, LLC</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(Section 29.18):</w:t>
            </w:r>
          </w:p>
        </w:tc>
        <w:tc>
          <w:tcPr>
            <w:tcW w:w="7320" w:type="dxa"/>
            <w:vAlign w:val="bottom"/>
            <w:gridSpan w:val="5"/>
          </w:tcPr>
          <w:p>
            <w:pPr>
              <w:ind w:left="600"/>
              <w:spacing w:after="0" w:line="166" w:lineRule="exact"/>
              <w:rPr>
                <w:sz w:val="20"/>
                <w:szCs w:val="20"/>
                <w:color w:val="auto"/>
              </w:rPr>
            </w:pPr>
            <w:r>
              <w:rPr>
                <w:rFonts w:ascii="Arial" w:cs="Arial" w:eastAsia="Arial" w:hAnsi="Arial"/>
                <w:sz w:val="16"/>
                <w:szCs w:val="16"/>
                <w:color w:val="auto"/>
              </w:rPr>
              <w:t>1700 Owens Street, Suite 500</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San Francisco, CA 94158</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Attention: Head of Administration</w:t>
            </w: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Arial" w:cs="Arial" w:eastAsia="Arial" w:hAnsi="Arial"/>
                <w:sz w:val="16"/>
                <w:szCs w:val="16"/>
                <w:color w:val="auto"/>
                <w:w w:val="98"/>
              </w:rPr>
              <w:t>11.</w:t>
            </w:r>
          </w:p>
        </w:tc>
        <w:tc>
          <w:tcPr>
            <w:tcW w:w="1940" w:type="dxa"/>
            <w:vAlign w:val="bottom"/>
            <w:gridSpan w:val="6"/>
          </w:tcPr>
          <w:p>
            <w:pPr>
              <w:ind w:left="40"/>
              <w:spacing w:after="0"/>
              <w:rPr>
                <w:sz w:val="20"/>
                <w:szCs w:val="20"/>
                <w:color w:val="auto"/>
              </w:rPr>
            </w:pPr>
            <w:r>
              <w:rPr>
                <w:rFonts w:ascii="Arial" w:cs="Arial" w:eastAsia="Arial" w:hAnsi="Arial"/>
                <w:sz w:val="16"/>
                <w:szCs w:val="16"/>
                <w:color w:val="auto"/>
              </w:rPr>
              <w:t>Address of Landlord</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See Section 29.18 of the Lease.</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940" w:type="dxa"/>
            <w:vAlign w:val="bottom"/>
            <w:gridSpan w:val="6"/>
          </w:tcPr>
          <w:p>
            <w:pPr>
              <w:ind w:left="60"/>
              <w:spacing w:after="0" w:line="168" w:lineRule="exact"/>
              <w:rPr>
                <w:sz w:val="20"/>
                <w:szCs w:val="20"/>
                <w:color w:val="auto"/>
              </w:rPr>
            </w:pPr>
            <w:r>
              <w:rPr>
                <w:rFonts w:ascii="Arial" w:cs="Arial" w:eastAsia="Arial" w:hAnsi="Arial"/>
                <w:sz w:val="16"/>
                <w:szCs w:val="16"/>
                <w:color w:val="auto"/>
              </w:rPr>
              <w:t>(Section 29.18):</w:t>
            </w:r>
          </w:p>
        </w:tc>
        <w:tc>
          <w:tcPr>
            <w:tcW w:w="8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40" w:type="dxa"/>
            <w:vAlign w:val="bottom"/>
          </w:tcPr>
          <w:p>
            <w:pPr>
              <w:spacing w:after="0"/>
              <w:rPr>
                <w:sz w:val="20"/>
                <w:szCs w:val="20"/>
                <w:color w:val="auto"/>
              </w:rPr>
            </w:pPr>
            <w:r>
              <w:rPr>
                <w:rFonts w:ascii="Arial" w:cs="Arial" w:eastAsia="Arial" w:hAnsi="Arial"/>
                <w:sz w:val="16"/>
                <w:szCs w:val="16"/>
                <w:color w:val="auto"/>
                <w:w w:val="98"/>
              </w:rPr>
              <w:t>12.</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Broker(s)</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Newmark Cornish &amp; Carey</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(Section 29.24):</w:t>
            </w:r>
          </w:p>
        </w:tc>
        <w:tc>
          <w:tcPr>
            <w:tcW w:w="7320" w:type="dxa"/>
            <w:vAlign w:val="bottom"/>
            <w:gridSpan w:val="5"/>
            <w:vMerge w:val="restart"/>
          </w:tcPr>
          <w:p>
            <w:pPr>
              <w:ind w:left="60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73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CBRE, Inc.</w:t>
      </w:r>
    </w:p>
    <w:p>
      <w:pPr>
        <w:sectPr>
          <w:pgSz w:w="11900" w:h="16838" w:orient="portrait"/>
          <w:cols w:equalWidth="0" w:num="1">
            <w:col w:w="9500"/>
          </w:cols>
          <w:pgMar w:left="1140" w:top="351" w:right="1259" w:bottom="1440" w:gutter="0" w:footer="0" w:header="0"/>
        </w:sectPr>
      </w:pPr>
    </w:p>
    <w:bookmarkStart w:id="558" w:name="page559"/>
    <w:bookmarkEnd w:id="558"/>
    <w:p>
      <w:pPr>
        <w:ind w:left="386" w:right="5140" w:hanging="386"/>
        <w:spacing w:after="0" w:line="524" w:lineRule="auto"/>
        <w:tabs>
          <w:tab w:leader="none" w:pos="159" w:val="left"/>
        </w:tabs>
        <w:numPr>
          <w:ilvl w:val="0"/>
          <w:numId w:val="408"/>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PREMISES, BUILDING, PROJECT, AND COMMON AREAS. </w:t>
      </w:r>
      <w:r>
        <w:rPr>
          <w:rFonts w:ascii="Arial" w:cs="Arial" w:eastAsia="Arial" w:hAnsi="Arial"/>
          <w:sz w:val="15"/>
          <w:szCs w:val="15"/>
          <w:color w:val="auto"/>
        </w:rPr>
        <w:t xml:space="preserve">1.1 </w:t>
      </w:r>
      <w:r>
        <w:rPr>
          <w:rFonts w:ascii="Arial" w:cs="Arial" w:eastAsia="Arial" w:hAnsi="Arial"/>
          <w:sz w:val="15"/>
          <w:szCs w:val="15"/>
          <w:b w:val="1"/>
          <w:bCs w:val="1"/>
          <w:u w:val="single" w:color="auto"/>
          <w:color w:val="auto"/>
        </w:rPr>
        <w:t>Premises, Building, Project and Common Areas</w:t>
      </w:r>
      <w:r>
        <w:rPr>
          <w:rFonts w:ascii="Arial" w:cs="Arial" w:eastAsia="Arial" w:hAnsi="Arial"/>
          <w:sz w:val="15"/>
          <w:szCs w:val="15"/>
          <w:color w:val="auto"/>
        </w:rPr>
        <w:t>.</w:t>
      </w:r>
    </w:p>
    <w:p>
      <w:pPr>
        <w:spacing w:after="0" w:line="1" w:lineRule="exact"/>
        <w:rPr>
          <w:sz w:val="20"/>
          <w:szCs w:val="20"/>
          <w:color w:val="auto"/>
        </w:rPr>
      </w:pPr>
    </w:p>
    <w:p>
      <w:pPr>
        <w:ind w:left="6" w:firstLine="866"/>
        <w:spacing w:after="0" w:line="307"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b w:val="1"/>
          <w:bCs w:val="1"/>
          <w:u w:val="single" w:color="auto"/>
          <w:color w:val="auto"/>
        </w:rPr>
        <w:t>The Premises</w:t>
      </w:r>
      <w:r>
        <w:rPr>
          <w:rFonts w:ascii="Arial" w:cs="Arial" w:eastAsia="Arial" w:hAnsi="Arial"/>
          <w:sz w:val="13"/>
          <w:szCs w:val="13"/>
          <w:color w:val="auto"/>
        </w:rPr>
        <w:t xml:space="preserve">. Landlord hereby leases to Tenant and Tenant hereby leases from Landlord the premises set forth in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Premises</w:t>
      </w:r>
      <w:r>
        <w:rPr>
          <w:rFonts w:ascii="Arial" w:cs="Arial" w:eastAsia="Arial" w:hAnsi="Arial"/>
          <w:sz w:val="13"/>
          <w:szCs w:val="13"/>
          <w:color w:val="auto"/>
        </w:rPr>
        <w:t xml:space="preserve">”). The outline of the Premises is set forth in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attached hereto. The outline of the “Building” and the “Project,” as those terms are defined in </w:t>
      </w:r>
      <w:r>
        <w:rPr>
          <w:rFonts w:ascii="Arial" w:cs="Arial" w:eastAsia="Arial" w:hAnsi="Arial"/>
          <w:sz w:val="13"/>
          <w:szCs w:val="13"/>
          <w:u w:val="single" w:color="auto"/>
          <w:color w:val="auto"/>
        </w:rPr>
        <w:t>Section 1.1.2</w:t>
      </w:r>
      <w:r>
        <w:rPr>
          <w:rFonts w:ascii="Arial" w:cs="Arial" w:eastAsia="Arial" w:hAnsi="Arial"/>
          <w:sz w:val="13"/>
          <w:szCs w:val="13"/>
          <w:color w:val="auto"/>
        </w:rPr>
        <w:t xml:space="preserve"> below, are further depicted on the Site Plan attached hereto as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The parties hereto hereby acknowledge that the purpose of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3"/>
          <w:szCs w:val="13"/>
          <w:u w:val="single" w:color="auto"/>
          <w:color w:val="auto"/>
        </w:rPr>
        <w:t>Section 1.1.3</w:t>
      </w:r>
      <w:r>
        <w:rPr>
          <w:rFonts w:ascii="Arial" w:cs="Arial" w:eastAsia="Arial" w:hAnsi="Arial"/>
          <w:sz w:val="13"/>
          <w:szCs w:val="13"/>
          <w:color w:val="auto"/>
        </w:rPr>
        <w:t xml:space="preserve">, below, or the elements thereof or of the accessways to the Premises or the “Project,” as that term is defined in </w:t>
      </w:r>
      <w:r>
        <w:rPr>
          <w:rFonts w:ascii="Arial" w:cs="Arial" w:eastAsia="Arial" w:hAnsi="Arial"/>
          <w:sz w:val="13"/>
          <w:szCs w:val="13"/>
          <w:u w:val="single" w:color="auto"/>
          <w:color w:val="auto"/>
        </w:rPr>
        <w:t>Section 1.1.2</w:t>
      </w:r>
      <w:r>
        <w:rPr>
          <w:rFonts w:ascii="Arial" w:cs="Arial" w:eastAsia="Arial" w:hAnsi="Arial"/>
          <w:sz w:val="13"/>
          <w:szCs w:val="13"/>
          <w:color w:val="auto"/>
        </w:rPr>
        <w:t xml:space="preserve">, below, and that the square footage of the Premises shall be as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of the Summary of Basic Lease Information. Except as specifically set forth in this Lease and in the Tenant Work Letter attached hereto as </w:t>
      </w:r>
      <w:r>
        <w:rPr>
          <w:rFonts w:ascii="Arial" w:cs="Arial" w:eastAsia="Arial" w:hAnsi="Arial"/>
          <w:sz w:val="13"/>
          <w:szCs w:val="13"/>
          <w:b w:val="1"/>
          <w:bCs w:val="1"/>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Tenant Work Letter</w:t>
      </w:r>
      <w:r>
        <w:rPr>
          <w:rFonts w:ascii="Arial" w:cs="Arial" w:eastAsia="Arial" w:hAnsi="Arial"/>
          <w:sz w:val="13"/>
          <w:szCs w:val="13"/>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For purposes of Section 1938 of the California Civil Code, Landlord hereby discloses to Tenant, and Tenant hereby acknowledges, that the Building and Premises have not undergone inspection by a Certified Access Specialist (CASp). Landlord shall deliver the Premises to Tenant in good, vacant, broom clean condition, in compliance with all Applicable Laws, with the roof water-tight and shall cause the plumbing, electrical systems, fire sprinkler system, lighting, and all other building systems serving the Premises, including the Generator, in good operating condition and repair on or before the Lease Commencement Date, or such earlier date as Landlord and Tenant mutually agree. Landlord will be responsible for causing the exterior of the Building, the existing Building entrances, and all exterior Common Areas (including required striping and handicapped spaces in the parking areas) to be in compliance with ADA and parking requirements, to the extent required to allow the legal occupancy of the Premises or completion of the Tenant Improvements.</w:t>
      </w:r>
    </w:p>
    <w:p>
      <w:pPr>
        <w:spacing w:after="0" w:line="200" w:lineRule="exact"/>
        <w:rPr>
          <w:sz w:val="20"/>
          <w:szCs w:val="20"/>
          <w:color w:val="auto"/>
        </w:rPr>
      </w:pPr>
    </w:p>
    <w:p>
      <w:pPr>
        <w:spacing w:after="0" w:line="317" w:lineRule="exact"/>
        <w:rPr>
          <w:sz w:val="20"/>
          <w:szCs w:val="20"/>
          <w:color w:val="auto"/>
        </w:rPr>
      </w:pPr>
    </w:p>
    <w:p>
      <w:pPr>
        <w:ind w:left="6" w:right="200" w:firstLine="866"/>
        <w:spacing w:after="0" w:line="315"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u w:val="single" w:color="auto"/>
          <w:color w:val="auto"/>
        </w:rPr>
        <w:t>The Building and The Project</w:t>
      </w:r>
      <w:r>
        <w:rPr>
          <w:rFonts w:ascii="Arial" w:cs="Arial" w:eastAsia="Arial" w:hAnsi="Arial"/>
          <w:sz w:val="13"/>
          <w:szCs w:val="13"/>
          <w:color w:val="auto"/>
        </w:rPr>
        <w:t xml:space="preserve">. The Premises constitutes the space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Building</w:t>
      </w:r>
      <w:r>
        <w:rPr>
          <w:rFonts w:ascii="Arial" w:cs="Arial" w:eastAsia="Arial" w:hAnsi="Arial"/>
          <w:sz w:val="13"/>
          <w:szCs w:val="13"/>
          <w:color w:val="auto"/>
        </w:rPr>
        <w:t>”). The Building is part of an office/laboratory project currently known as “The Cove at Oyster Point.” The term “</w:t>
      </w:r>
      <w:r>
        <w:rPr>
          <w:rFonts w:ascii="Arial" w:cs="Arial" w:eastAsia="Arial" w:hAnsi="Arial"/>
          <w:sz w:val="13"/>
          <w:szCs w:val="13"/>
          <w:b w:val="1"/>
          <w:bCs w:val="1"/>
          <w:color w:val="auto"/>
        </w:rPr>
        <w:t>Project</w:t>
      </w:r>
      <w:r>
        <w:rPr>
          <w:rFonts w:ascii="Arial" w:cs="Arial" w:eastAsia="Arial" w:hAnsi="Arial"/>
          <w:sz w:val="13"/>
          <w:szCs w:val="13"/>
          <w:color w:val="auto"/>
        </w:rPr>
        <w:t>,” as used in this Lease, shall mean</w:t>
      </w:r>
    </w:p>
    <w:p>
      <w:pPr>
        <w:ind w:left="6" w:right="160" w:hanging="6"/>
        <w:spacing w:after="0" w:line="323" w:lineRule="auto"/>
        <w:tabs>
          <w:tab w:leader="none" w:pos="194" w:val="left"/>
        </w:tabs>
        <w:numPr>
          <w:ilvl w:val="0"/>
          <w:numId w:val="409"/>
        </w:numPr>
        <w:rPr>
          <w:rFonts w:ascii="Arial" w:cs="Arial" w:eastAsia="Arial" w:hAnsi="Arial"/>
          <w:sz w:val="13"/>
          <w:szCs w:val="13"/>
          <w:color w:val="auto"/>
        </w:rPr>
      </w:pPr>
      <w:r>
        <w:rPr>
          <w:rFonts w:ascii="Arial" w:cs="Arial" w:eastAsia="Arial" w:hAnsi="Arial"/>
          <w:sz w:val="13"/>
          <w:szCs w:val="13"/>
          <w:color w:val="auto"/>
        </w:rPr>
        <w:t>the Building and the Common Areas, (ii) the land (which is improved with landscaping, parking facilities and other improvements) upon which the Building and the Common Areas are located, (iii) the other office/laboratory buildings located at The Cove at Oyster Point, and the land upon which such adjacent office/laboratory buildings are located, and (iv) at Landlord’s discretion, any additional real property, areas, land, buildings or other improvements added thereto outside of the Project (provided that any such additions do not increase Tenant’s obligations under this Lease).</w:t>
      </w:r>
    </w:p>
    <w:p>
      <w:pPr>
        <w:spacing w:after="0" w:line="123" w:lineRule="exact"/>
        <w:rPr>
          <w:sz w:val="20"/>
          <w:szCs w:val="20"/>
          <w:color w:val="auto"/>
        </w:rPr>
      </w:pPr>
    </w:p>
    <w:p>
      <w:pPr>
        <w:ind w:left="6" w:firstLine="866"/>
        <w:spacing w:after="0" w:line="312"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b w:val="1"/>
          <w:bCs w:val="1"/>
          <w:u w:val="single" w:color="auto"/>
          <w:color w:val="auto"/>
        </w:rPr>
        <w:t>Common Areas</w:t>
      </w:r>
      <w:r>
        <w:rPr>
          <w:rFonts w:ascii="Arial" w:cs="Arial" w:eastAsia="Arial" w:hAnsi="Arial"/>
          <w:sz w:val="13"/>
          <w:szCs w:val="13"/>
          <w:color w:val="auto"/>
        </w:rPr>
        <w:t xml:space="preserve">. Tenant shall have the non-exclusive right to use in common with other tenants in the Project, and subject to the rules and regulations referred to in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of this Lease, those portions of the Project which are provided, from time to time, for use in common by Landlord, Tenant and any other tenants of the Project, which shall include the shipping and receiving area in the Building (such areas, together with such other portions of the Project designated by Landlord, in its discretion, are collectively referred to herein as the “</w:t>
      </w:r>
      <w:r>
        <w:rPr>
          <w:rFonts w:ascii="Arial" w:cs="Arial" w:eastAsia="Arial" w:hAnsi="Arial"/>
          <w:sz w:val="13"/>
          <w:szCs w:val="13"/>
          <w:b w:val="1"/>
          <w:bCs w:val="1"/>
          <w:color w:val="auto"/>
        </w:rPr>
        <w:t>Common Areas</w:t>
      </w:r>
      <w:r>
        <w:rPr>
          <w:rFonts w:ascii="Arial" w:cs="Arial" w:eastAsia="Arial" w:hAnsi="Arial"/>
          <w:sz w:val="13"/>
          <w:szCs w:val="13"/>
          <w:color w:val="auto"/>
        </w:rPr>
        <w:t>”). Landlord shall maintain and operate the Common Areas, including all sprinkler and other systems serving the Common Areas, in a first class manner, and the use thereof shall be subject to such rules, regulations and restrictions as Landlord may reasonably make from time to time. Landlord reserves the right to close temporarily, make alterations or additions to, or change the location of elements of the Project and the Common Areas, provided that in connection therewith Landlord will use commercially reasonable efforts to minimize any interference with Tenant’s use of and access to the Premises and parking areas. Landlord hereby acknowledges that as of the date of this Lease Landlord is planning to construct and operate an amenities center in the Project for use by the tenants of the Project during the Lease Term, and in connection therewith Landlord agrees to utilize commercially reasonable efforts to operate and maintain such amenities center (which amenities center shall include a café) throughout the</w:t>
      </w:r>
    </w:p>
    <w:p>
      <w:pPr>
        <w:sectPr>
          <w:pgSz w:w="11900" w:h="16838" w:orient="portrait"/>
          <w:cols w:equalWidth="0" w:num="1">
            <w:col w:w="9606"/>
          </w:cols>
          <w:pgMar w:left="1134" w:top="252" w:right="1159" w:bottom="1440" w:gutter="0" w:footer="0" w:header="0"/>
        </w:sectPr>
      </w:pPr>
    </w:p>
    <w:bookmarkStart w:id="559" w:name="page560"/>
    <w:bookmarkEnd w:id="559"/>
    <w:p>
      <w:pPr>
        <w:ind w:left="6" w:right="8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Lease Term (provided that Tenant acknowledges that the amenities center is currently anticipated to begin operations after the Lease Commencement Date); provided, however, Tenant nevertheless acknowledges herby that if despite such commercially reasonable efforts Landlord is unable for any reason to maintain continuous operation of the amenities center during the Lease Term, in no event shall such failure be deemed a default of the Lease, nor shall such failure impact the validity of this Lease and Landlord shall not be subject to any liability for such failure, provided that in such event Landlord shall utilize commercially reasonable efforts to provide replacement food services to Tenant (e.g., an on-site café in a different location or the routine scheduling of food trucks to the Project).</w:t>
      </w:r>
    </w:p>
    <w:p>
      <w:pPr>
        <w:spacing w:after="0" w:line="167" w:lineRule="exact"/>
        <w:rPr>
          <w:sz w:val="20"/>
          <w:szCs w:val="20"/>
          <w:color w:val="auto"/>
        </w:rPr>
      </w:pPr>
    </w:p>
    <w:p>
      <w:pPr>
        <w:ind w:left="6" w:firstLine="385"/>
        <w:spacing w:after="0" w:line="312"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u w:val="single" w:color="auto"/>
          <w:color w:val="auto"/>
        </w:rPr>
        <w:t>Rentable Square Feet of Premises</w:t>
      </w:r>
      <w:r>
        <w:rPr>
          <w:rFonts w:ascii="Arial" w:cs="Arial" w:eastAsia="Arial" w:hAnsi="Arial"/>
          <w:sz w:val="13"/>
          <w:szCs w:val="13"/>
          <w:color w:val="auto"/>
        </w:rPr>
        <w:t xml:space="preserve">. Tenant hereby acknowledges and agrees that Landlord shall have the one-time right during the Lease Term to remeasure the rentable square footage of the Premises and/or Building in accordance with the terms of this </w:t>
      </w:r>
      <w:r>
        <w:rPr>
          <w:rFonts w:ascii="Arial" w:cs="Arial" w:eastAsia="Arial" w:hAnsi="Arial"/>
          <w:sz w:val="13"/>
          <w:szCs w:val="13"/>
          <w:u w:val="single" w:color="auto"/>
          <w:color w:val="auto"/>
        </w:rPr>
        <w:t>Section 1.2</w:t>
      </w:r>
      <w:r>
        <w:rPr>
          <w:rFonts w:ascii="Arial" w:cs="Arial" w:eastAsia="Arial" w:hAnsi="Arial"/>
          <w:sz w:val="13"/>
          <w:szCs w:val="13"/>
          <w:color w:val="auto"/>
        </w:rPr>
        <w:t>. Any such remeasurement shall be determined in accordance with the standards set forth in ANSI Z65.1-2010, as promulgated by the Building Owners and Managers Association (the “</w:t>
      </w:r>
      <w:r>
        <w:rPr>
          <w:rFonts w:ascii="Arial" w:cs="Arial" w:eastAsia="Arial" w:hAnsi="Arial"/>
          <w:sz w:val="13"/>
          <w:szCs w:val="13"/>
          <w:b w:val="1"/>
          <w:bCs w:val="1"/>
          <w:color w:val="auto"/>
        </w:rPr>
        <w:t>BOMA Standard</w:t>
      </w:r>
      <w:r>
        <w:rPr>
          <w:rFonts w:ascii="Arial" w:cs="Arial" w:eastAsia="Arial" w:hAnsi="Arial"/>
          <w:sz w:val="13"/>
          <w:szCs w:val="13"/>
          <w:color w:val="auto"/>
        </w:rPr>
        <w:t>”), and subject to related guidelines applicable thereto. Landlord’s space planner/architect shall certify any such remeasurement and shall provide reasonable documentation to Tenant for Tenant’s review following such remeasurement. In the event that Landlord’s space planner/architect determines that the rentable square footage of the Premises and/or Building are different from those set forth in this Lease, all amounts, percentages and figures appearing or referred to in this Lease based upon such amounts (including, without limitation, the amount of the Base Rent, Tenant Improvement Allowance, First Additional TI Allowance, Second Additional TI Allowance, and Tenant’s Share) shall be modified in accordance with such determination, provided that Landlord and Tenant hereby acknowledge and agree that the rentable square footage of the Premises shall not increase by more than one percent (1%) from the rentable square footage set forth in Section 2.2 of the Summary. If such determination is made, it will be confirmed in writing by Landlord to Tenant.</w:t>
      </w:r>
    </w:p>
    <w:p>
      <w:pPr>
        <w:spacing w:after="0" w:line="32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2. LEASE TERM; OPTION TERM.</w:t>
      </w:r>
    </w:p>
    <w:p>
      <w:pPr>
        <w:spacing w:after="0" w:line="193" w:lineRule="exact"/>
        <w:rPr>
          <w:sz w:val="20"/>
          <w:szCs w:val="20"/>
          <w:color w:val="auto"/>
        </w:rPr>
      </w:pPr>
    </w:p>
    <w:p>
      <w:pPr>
        <w:ind w:left="6" w:right="20" w:firstLine="385"/>
        <w:spacing w:after="0" w:line="309"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b w:val="1"/>
          <w:bCs w:val="1"/>
          <w:u w:val="single" w:color="auto"/>
          <w:color w:val="auto"/>
        </w:rPr>
        <w:t>Lease Term</w:t>
      </w:r>
      <w:r>
        <w:rPr>
          <w:rFonts w:ascii="Arial" w:cs="Arial" w:eastAsia="Arial" w:hAnsi="Arial"/>
          <w:sz w:val="13"/>
          <w:szCs w:val="13"/>
          <w:color w:val="auto"/>
        </w:rPr>
        <w:t>. The terms and provisions of this Lease shall be effective as of the date of this Lease. The term of this Lease (the “</w:t>
      </w:r>
      <w:r>
        <w:rPr>
          <w:rFonts w:ascii="Arial" w:cs="Arial" w:eastAsia="Arial" w:hAnsi="Arial"/>
          <w:sz w:val="13"/>
          <w:szCs w:val="13"/>
          <w:b w:val="1"/>
          <w:bCs w:val="1"/>
          <w:color w:val="auto"/>
        </w:rPr>
        <w:t>Lease Term</w:t>
      </w:r>
      <w:r>
        <w:rPr>
          <w:rFonts w:ascii="Arial" w:cs="Arial" w:eastAsia="Arial" w:hAnsi="Arial"/>
          <w:sz w:val="13"/>
          <w:szCs w:val="13"/>
          <w:color w:val="auto"/>
        </w:rPr>
        <w:t xml:space="preserve">”) shall be as set forth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of the Summary, shall commence on the date set forth in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Lease Commencement</w:t>
      </w:r>
      <w:r>
        <w:rPr>
          <w:rFonts w:ascii="Arial" w:cs="Arial" w:eastAsia="Arial" w:hAnsi="Arial"/>
          <w:sz w:val="13"/>
          <w:szCs w:val="13"/>
          <w:color w:val="auto"/>
        </w:rPr>
        <w:t xml:space="preserve"> </w:t>
      </w:r>
      <w:r>
        <w:rPr>
          <w:rFonts w:ascii="Arial" w:cs="Arial" w:eastAsia="Arial" w:hAnsi="Arial"/>
          <w:sz w:val="13"/>
          <w:szCs w:val="13"/>
          <w:b w:val="1"/>
          <w:bCs w:val="1"/>
          <w:color w:val="auto"/>
        </w:rPr>
        <w:t>Date</w:t>
      </w:r>
      <w:r>
        <w:rPr>
          <w:rFonts w:ascii="Arial" w:cs="Arial" w:eastAsia="Arial" w:hAnsi="Arial"/>
          <w:sz w:val="13"/>
          <w:szCs w:val="13"/>
          <w:color w:val="auto"/>
        </w:rPr>
        <w:t>”), and shall terminate on the date set forth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3.3</w:t>
      </w:r>
      <w:r>
        <w:rPr>
          <w:rFonts w:ascii="Arial" w:cs="Arial" w:eastAsia="Arial" w:hAnsi="Arial"/>
          <w:sz w:val="13"/>
          <w:szCs w:val="13"/>
          <w:b w:val="1"/>
          <w:bCs w:val="1"/>
          <w:color w:val="auto"/>
        </w:rPr>
        <w:t xml:space="preserve"> </w:t>
      </w:r>
      <w:r>
        <w:rPr>
          <w:rFonts w:ascii="Arial" w:cs="Arial" w:eastAsia="Arial" w:hAnsi="Arial"/>
          <w:sz w:val="13"/>
          <w:szCs w:val="13"/>
          <w:color w:val="auto"/>
        </w:rPr>
        <w:t>of the Summary (the “</w:t>
      </w:r>
      <w:r>
        <w:rPr>
          <w:rFonts w:ascii="Arial" w:cs="Arial" w:eastAsia="Arial" w:hAnsi="Arial"/>
          <w:sz w:val="13"/>
          <w:szCs w:val="13"/>
          <w:b w:val="1"/>
          <w:bCs w:val="1"/>
          <w:color w:val="auto"/>
        </w:rPr>
        <w:t>Lease Expiration Date</w:t>
      </w:r>
      <w:r>
        <w:rPr>
          <w:rFonts w:ascii="Arial" w:cs="Arial" w:eastAsia="Arial" w:hAnsi="Arial"/>
          <w:sz w:val="13"/>
          <w:szCs w:val="13"/>
          <w:color w:val="auto"/>
        </w:rPr>
        <w:t>”) unless this Lease is sooner terminated as</w:t>
      </w:r>
      <w:r>
        <w:rPr>
          <w:rFonts w:ascii="Arial" w:cs="Arial" w:eastAsia="Arial" w:hAnsi="Arial"/>
          <w:sz w:val="13"/>
          <w:szCs w:val="13"/>
          <w:b w:val="1"/>
          <w:bCs w:val="1"/>
          <w:color w:val="auto"/>
        </w:rPr>
        <w:t xml:space="preserve"> </w:t>
      </w:r>
      <w:r>
        <w:rPr>
          <w:rFonts w:ascii="Arial" w:cs="Arial" w:eastAsia="Arial" w:hAnsi="Arial"/>
          <w:sz w:val="13"/>
          <w:szCs w:val="13"/>
          <w:color w:val="auto"/>
        </w:rPr>
        <w:t>hereinafter provided. For purposes of this Lease, the term “</w:t>
      </w:r>
      <w:r>
        <w:rPr>
          <w:rFonts w:ascii="Arial" w:cs="Arial" w:eastAsia="Arial" w:hAnsi="Arial"/>
          <w:sz w:val="13"/>
          <w:szCs w:val="13"/>
          <w:b w:val="1"/>
          <w:bCs w:val="1"/>
          <w:color w:val="auto"/>
        </w:rPr>
        <w:t>Lease Year</w:t>
      </w:r>
      <w:r>
        <w:rPr>
          <w:rFonts w:ascii="Arial" w:cs="Arial" w:eastAsia="Arial" w:hAnsi="Arial"/>
          <w:sz w:val="13"/>
          <w:szCs w:val="13"/>
          <w:color w:val="auto"/>
        </w:rPr>
        <w:t xml:space="preserve">” shall mean each consecutive twelve (12) month period during the Lease Term. At any time during the Lease Term, Landlord may deliver to Tenant a notice in the form as set forth in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attached hereto, as a confirmation only of the information set forth therein, which Tenant shall execute and return to Landlord within five (5) days of receipt thereof. Notwithstanding the foregoing, if Landlord has not delivered possession of the Premises in the condition required by </w:t>
      </w:r>
      <w:r>
        <w:rPr>
          <w:rFonts w:ascii="Arial" w:cs="Arial" w:eastAsia="Arial" w:hAnsi="Arial"/>
          <w:sz w:val="13"/>
          <w:szCs w:val="13"/>
          <w:u w:val="single" w:color="auto"/>
          <w:color w:val="auto"/>
        </w:rPr>
        <w:t>Section 1.1.1</w:t>
      </w:r>
      <w:r>
        <w:rPr>
          <w:rFonts w:ascii="Arial" w:cs="Arial" w:eastAsia="Arial" w:hAnsi="Arial"/>
          <w:sz w:val="13"/>
          <w:szCs w:val="13"/>
          <w:color w:val="auto"/>
        </w:rPr>
        <w:t xml:space="preserve">, above, (1) on or before September 1, 2017, then, as Tenant’s sole remedy for such delay, the date Tenant is otherwise obligated to commence payment of rent shall be delayed by one day for each day that the delivery date is delayed beyond such date, or (2) January 1, 2018, then, Tenant shall also have the right to terminate this Lease by written notice thereof to Landlord, whereupon any monies previously paid by Tenant to Landlord shall be reimbursed to Tenant. The foregoing dates shall be extended to the extent of any delays in delivery of possession caused by (i) Tenant Delay, as provided in </w:t>
      </w:r>
      <w:r>
        <w:rPr>
          <w:rFonts w:ascii="Arial" w:cs="Arial" w:eastAsia="Arial" w:hAnsi="Arial"/>
          <w:sz w:val="13"/>
          <w:szCs w:val="13"/>
          <w:u w:val="single" w:color="auto"/>
          <w:color w:val="auto"/>
        </w:rPr>
        <w:t>Section 1(j)</w:t>
      </w:r>
      <w:r>
        <w:rPr>
          <w:rFonts w:ascii="Arial" w:cs="Arial" w:eastAsia="Arial" w:hAnsi="Arial"/>
          <w:sz w:val="13"/>
          <w:szCs w:val="13"/>
          <w:color w:val="auto"/>
        </w:rPr>
        <w:t xml:space="preserve"> of the Tenant Work Letter, or (ii) war, terrorism, acts of God, natural disaster, civil unrest, governmental strike or area-wide or industry-wide labor disputes, inability to obtain services, labor, or materials or reasonable substitutes therefor, or delays due to utility companies that are not the result of any action or inaction of Landlord (provided that any such delay in this item (ii) shall not extend any such date by more than ninety (90) days).</w:t>
      </w:r>
    </w:p>
    <w:p>
      <w:pPr>
        <w:spacing w:after="0" w:line="32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Option Term</w:t>
      </w:r>
      <w:r>
        <w:rPr>
          <w:rFonts w:ascii="Arial" w:cs="Arial" w:eastAsia="Arial" w:hAnsi="Arial"/>
          <w:sz w:val="16"/>
          <w:szCs w:val="16"/>
          <w:color w:val="auto"/>
        </w:rPr>
        <w:t>.</w:t>
      </w:r>
    </w:p>
    <w:p>
      <w:pPr>
        <w:spacing w:after="0" w:line="193" w:lineRule="exact"/>
        <w:rPr>
          <w:sz w:val="20"/>
          <w:szCs w:val="20"/>
          <w:color w:val="auto"/>
        </w:rPr>
      </w:pPr>
    </w:p>
    <w:p>
      <w:pPr>
        <w:ind w:left="6" w:right="100" w:firstLine="866"/>
        <w:spacing w:after="0" w:line="309"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b w:val="1"/>
          <w:bCs w:val="1"/>
          <w:u w:val="single" w:color="auto"/>
          <w:color w:val="auto"/>
        </w:rPr>
        <w:t>Option Right</w:t>
      </w:r>
      <w:r>
        <w:rPr>
          <w:rFonts w:ascii="Arial" w:cs="Arial" w:eastAsia="Arial" w:hAnsi="Arial"/>
          <w:sz w:val="13"/>
          <w:szCs w:val="13"/>
          <w:color w:val="auto"/>
        </w:rPr>
        <w:t>. Landlord hereby grants to the Tenant originally named in this Lease (the “</w:t>
      </w:r>
      <w:r>
        <w:rPr>
          <w:rFonts w:ascii="Arial" w:cs="Arial" w:eastAsia="Arial" w:hAnsi="Arial"/>
          <w:sz w:val="13"/>
          <w:szCs w:val="13"/>
          <w:b w:val="1"/>
          <w:bCs w:val="1"/>
          <w:color w:val="auto"/>
        </w:rPr>
        <w:t>Original Tenant</w:t>
      </w:r>
      <w:r>
        <w:rPr>
          <w:rFonts w:ascii="Arial" w:cs="Arial" w:eastAsia="Arial" w:hAnsi="Arial"/>
          <w:sz w:val="13"/>
          <w:szCs w:val="13"/>
          <w:color w:val="auto"/>
        </w:rPr>
        <w:t xml:space="preserve">”), and its “Permitted Assignees”, as that term is defined in </w:t>
      </w:r>
      <w:r>
        <w:rPr>
          <w:rFonts w:ascii="Arial" w:cs="Arial" w:eastAsia="Arial" w:hAnsi="Arial"/>
          <w:sz w:val="13"/>
          <w:szCs w:val="13"/>
          <w:u w:val="single" w:color="auto"/>
          <w:color w:val="auto"/>
        </w:rPr>
        <w:t>Section 14.8</w:t>
      </w:r>
      <w:r>
        <w:rPr>
          <w:rFonts w:ascii="Arial" w:cs="Arial" w:eastAsia="Arial" w:hAnsi="Arial"/>
          <w:sz w:val="13"/>
          <w:szCs w:val="13"/>
          <w:color w:val="auto"/>
        </w:rPr>
        <w:t>, below, two (2) options to extend the Lease Term for a period of five (5) years (each, an “</w:t>
      </w:r>
      <w:r>
        <w:rPr>
          <w:rFonts w:ascii="Arial" w:cs="Arial" w:eastAsia="Arial" w:hAnsi="Arial"/>
          <w:sz w:val="13"/>
          <w:szCs w:val="13"/>
          <w:b w:val="1"/>
          <w:bCs w:val="1"/>
          <w:color w:val="auto"/>
        </w:rPr>
        <w:t>Option</w:t>
      </w:r>
      <w:r>
        <w:rPr>
          <w:rFonts w:ascii="Arial" w:cs="Arial" w:eastAsia="Arial" w:hAnsi="Arial"/>
          <w:sz w:val="13"/>
          <w:szCs w:val="13"/>
          <w:color w:val="auto"/>
        </w:rPr>
        <w:t xml:space="preserve"> </w:t>
      </w:r>
      <w:r>
        <w:rPr>
          <w:rFonts w:ascii="Arial" w:cs="Arial" w:eastAsia="Arial" w:hAnsi="Arial"/>
          <w:sz w:val="13"/>
          <w:szCs w:val="13"/>
          <w:b w:val="1"/>
          <w:bCs w:val="1"/>
          <w:color w:val="auto"/>
        </w:rPr>
        <w:t>Term</w:t>
      </w:r>
      <w:r>
        <w:rPr>
          <w:rFonts w:ascii="Arial" w:cs="Arial" w:eastAsia="Arial" w:hAnsi="Arial"/>
          <w:sz w:val="13"/>
          <w:szCs w:val="13"/>
          <w:color w:val="auto"/>
        </w:rPr>
        <w:t>”), which option shall be irrevocably exercised only by written notice delivered by Tenant to Landlord not more than twelve (12) months nor less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than nine (9) months prior to the expiration of the then Lease Term, provided that the following conditions </w:t>
      </w:r>
      <w:r>
        <w:rPr>
          <w:rFonts w:ascii="Arial" w:cs="Arial" w:eastAsia="Arial" w:hAnsi="Arial"/>
          <w:sz w:val="13"/>
          <w:szCs w:val="13"/>
          <w:b w:val="1"/>
          <w:bCs w:val="1"/>
          <w:color w:val="auto"/>
        </w:rPr>
        <w:t>(</w:t>
      </w:r>
      <w:r>
        <w:rPr>
          <w:rFonts w:ascii="Arial" w:cs="Arial" w:eastAsia="Arial" w:hAnsi="Arial"/>
          <w:sz w:val="13"/>
          <w:szCs w:val="13"/>
          <w:color w:val="auto"/>
        </w:rPr>
        <w:t>the “</w:t>
      </w:r>
      <w:r>
        <w:rPr>
          <w:rFonts w:ascii="Arial" w:cs="Arial" w:eastAsia="Arial" w:hAnsi="Arial"/>
          <w:sz w:val="13"/>
          <w:szCs w:val="13"/>
          <w:b w:val="1"/>
          <w:bCs w:val="1"/>
          <w:color w:val="auto"/>
        </w:rPr>
        <w:t>Option Conditions</w:t>
      </w:r>
      <w:r>
        <w:rPr>
          <w:rFonts w:ascii="Arial" w:cs="Arial" w:eastAsia="Arial" w:hAnsi="Arial"/>
          <w:sz w:val="13"/>
          <w:szCs w:val="13"/>
          <w:color w:val="auto"/>
        </w:rPr>
        <w:t>”) are satisfied:</w:t>
      </w:r>
    </w:p>
    <w:p>
      <w:pPr>
        <w:ind w:left="186" w:hanging="186"/>
        <w:spacing w:after="0"/>
        <w:tabs>
          <w:tab w:leader="none" w:pos="186" w:val="left"/>
        </w:tabs>
        <w:numPr>
          <w:ilvl w:val="0"/>
          <w:numId w:val="410"/>
        </w:numPr>
        <w:rPr>
          <w:rFonts w:ascii="Arial" w:cs="Arial" w:eastAsia="Arial" w:hAnsi="Arial"/>
          <w:sz w:val="13"/>
          <w:szCs w:val="13"/>
          <w:color w:val="auto"/>
        </w:rPr>
      </w:pPr>
      <w:r>
        <w:rPr>
          <w:rFonts w:ascii="Arial" w:cs="Arial" w:eastAsia="Arial" w:hAnsi="Arial"/>
          <w:sz w:val="13"/>
          <w:szCs w:val="13"/>
          <w:color w:val="auto"/>
        </w:rPr>
        <w:t>as of the date of delivery of such notice, Tenant is not in default under this Lease, after the expiration of any applicable notice and cure period;</w:t>
      </w:r>
    </w:p>
    <w:p>
      <w:pPr>
        <w:spacing w:after="0" w:line="39" w:lineRule="exact"/>
        <w:rPr>
          <w:rFonts w:ascii="Arial" w:cs="Arial" w:eastAsia="Arial" w:hAnsi="Arial"/>
          <w:sz w:val="13"/>
          <w:szCs w:val="13"/>
          <w:color w:val="auto"/>
        </w:rPr>
      </w:pPr>
    </w:p>
    <w:p>
      <w:pPr>
        <w:jc w:val="both"/>
        <w:ind w:left="6" w:right="340" w:hanging="6"/>
        <w:spacing w:after="0" w:line="334" w:lineRule="auto"/>
        <w:tabs>
          <w:tab w:leader="none" w:pos="235" w:val="left"/>
        </w:tabs>
        <w:numPr>
          <w:ilvl w:val="0"/>
          <w:numId w:val="410"/>
        </w:numPr>
        <w:rPr>
          <w:rFonts w:ascii="Arial" w:cs="Arial" w:eastAsia="Arial" w:hAnsi="Arial"/>
          <w:sz w:val="13"/>
          <w:szCs w:val="13"/>
          <w:color w:val="auto"/>
        </w:rPr>
      </w:pPr>
      <w:r>
        <w:rPr>
          <w:rFonts w:ascii="Arial" w:cs="Arial" w:eastAsia="Arial" w:hAnsi="Arial"/>
          <w:sz w:val="13"/>
          <w:szCs w:val="13"/>
          <w:color w:val="auto"/>
        </w:rPr>
        <w:t>Tenant has not previously been in default under this Lease, after the expiration of any applicable notice and cure period, more than twice in the twelve (12) month period prior to the date of Tenant’s attempted exercise; and (iii) the Lease then remains in full force and effect. Landlord may, at Landlord’s option, exercised in Landlord’s sole and absolute discretion, waive any of the Option Conditions in which</w:t>
      </w:r>
    </w:p>
    <w:p>
      <w:pPr>
        <w:sectPr>
          <w:pgSz w:w="11900" w:h="16838" w:orient="portrait"/>
          <w:cols w:equalWidth="0" w:num="1">
            <w:col w:w="9586"/>
          </w:cols>
          <w:pgMar w:left="1134" w:top="256" w:right="1179" w:bottom="1440" w:gutter="0" w:footer="0" w:header="0"/>
        </w:sectPr>
      </w:pPr>
    </w:p>
    <w:bookmarkStart w:id="560" w:name="page561"/>
    <w:bookmarkEnd w:id="560"/>
    <w:p>
      <w:pPr>
        <w:ind w:right="40"/>
        <w:spacing w:after="0" w:line="31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case the option, if otherwise properly exercised by Tenant, shall remain in full force and effect. Upon the proper exercise of such option to extend, and provided that Tenant satisfies all of the Option Conditions (except those, if any, which are waived by Landlord), the Lease Term, as it applies to the Premises, shall be extended for a period of five (5) years. The rights contained in this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shall be personal to Original Tenant and any Permitted Assignees, and may be exercised by Original Tenant or such Permitted Assignees (and not by any assignee, sublessee or other “Transferee,” as that term is defined in </w:t>
      </w:r>
      <w:r>
        <w:rPr>
          <w:rFonts w:ascii="Arial" w:cs="Arial" w:eastAsia="Arial" w:hAnsi="Arial"/>
          <w:sz w:val="13"/>
          <w:szCs w:val="13"/>
          <w:u w:val="single" w:color="auto"/>
          <w:color w:val="auto"/>
        </w:rPr>
        <w:t>Section 14.1</w:t>
      </w:r>
      <w:r>
        <w:rPr>
          <w:rFonts w:ascii="Arial" w:cs="Arial" w:eastAsia="Arial" w:hAnsi="Arial"/>
          <w:sz w:val="13"/>
          <w:szCs w:val="13"/>
          <w:color w:val="auto"/>
        </w:rPr>
        <w:t xml:space="preserve"> of this Lease, of Tenant’s interest in this Lease). Notwithstanding any contrary provision of this Section 2.2, in no event may Tenant exercise its right to extend the Lease Term for the second (2nd) Option Term under this Section 2.2 if Tenant fails to timely exercise its right to extend the initial Lease Term for the first (1st) Option Term under this Section 2.2.</w:t>
      </w:r>
    </w:p>
    <w:p>
      <w:pPr>
        <w:spacing w:after="0" w:line="317" w:lineRule="exact"/>
        <w:rPr>
          <w:sz w:val="20"/>
          <w:szCs w:val="20"/>
          <w:color w:val="auto"/>
        </w:rPr>
      </w:pPr>
    </w:p>
    <w:p>
      <w:pPr>
        <w:ind w:firstLine="866"/>
        <w:spacing w:after="0" w:line="307" w:lineRule="auto"/>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b w:val="1"/>
          <w:bCs w:val="1"/>
          <w:u w:val="single" w:color="auto"/>
          <w:color w:val="auto"/>
        </w:rPr>
        <w:t>Option Rent</w:t>
      </w:r>
      <w:r>
        <w:rPr>
          <w:rFonts w:ascii="Arial" w:cs="Arial" w:eastAsia="Arial" w:hAnsi="Arial"/>
          <w:sz w:val="13"/>
          <w:szCs w:val="13"/>
          <w:color w:val="auto"/>
        </w:rPr>
        <w:t>. The annual Rent payable by Tenant during the Option Term (the “</w:t>
      </w:r>
      <w:r>
        <w:rPr>
          <w:rFonts w:ascii="Arial" w:cs="Arial" w:eastAsia="Arial" w:hAnsi="Arial"/>
          <w:sz w:val="13"/>
          <w:szCs w:val="13"/>
          <w:b w:val="1"/>
          <w:bCs w:val="1"/>
          <w:color w:val="auto"/>
        </w:rPr>
        <w:t>Option Rent</w:t>
      </w:r>
      <w:r>
        <w:rPr>
          <w:rFonts w:ascii="Arial" w:cs="Arial" w:eastAsia="Arial" w:hAnsi="Arial"/>
          <w:sz w:val="13"/>
          <w:szCs w:val="13"/>
          <w:color w:val="auto"/>
        </w:rPr>
        <w:t>”) shall be equal to the “Fair Rental Value,” as that term is defined below, for the Premises as of the commencement date of the Option Term. The “</w:t>
      </w:r>
      <w:r>
        <w:rPr>
          <w:rFonts w:ascii="Arial" w:cs="Arial" w:eastAsia="Arial" w:hAnsi="Arial"/>
          <w:sz w:val="13"/>
          <w:szCs w:val="13"/>
          <w:b w:val="1"/>
          <w:bCs w:val="1"/>
          <w:color w:val="auto"/>
        </w:rPr>
        <w:t>Fair Rental Value</w:t>
      </w:r>
      <w:r>
        <w:rPr>
          <w:rFonts w:ascii="Arial" w:cs="Arial" w:eastAsia="Arial" w:hAnsi="Arial"/>
          <w:sz w:val="13"/>
          <w:szCs w:val="13"/>
          <w:color w:val="auto"/>
        </w:rPr>
        <w:t xml:space="preserve">,”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with a comparable level of improvements (excluding any property that Tenant would be allowed to remove from the Premises at the termination of the Lease), for a comparable lease term, in an arm’s length transaction, which comparable space is located in the “Comparable Buildings,” as that term is defined in this </w:t>
      </w:r>
      <w:r>
        <w:rPr>
          <w:rFonts w:ascii="Arial" w:cs="Arial" w:eastAsia="Arial" w:hAnsi="Arial"/>
          <w:sz w:val="13"/>
          <w:szCs w:val="13"/>
          <w:u w:val="single" w:color="auto"/>
          <w:color w:val="auto"/>
        </w:rPr>
        <w:t>Section 2.2.2</w:t>
      </w:r>
      <w:r>
        <w:rPr>
          <w:rFonts w:ascii="Arial" w:cs="Arial" w:eastAsia="Arial" w:hAnsi="Arial"/>
          <w:sz w:val="13"/>
          <w:szCs w:val="13"/>
          <w:color w:val="auto"/>
        </w:rPr>
        <w:t>, below (transactions satisfying the foregoing criteria shall be known as the “</w:t>
      </w:r>
      <w:r>
        <w:rPr>
          <w:rFonts w:ascii="Arial" w:cs="Arial" w:eastAsia="Arial" w:hAnsi="Arial"/>
          <w:sz w:val="13"/>
          <w:szCs w:val="13"/>
          <w:b w:val="1"/>
          <w:bCs w:val="1"/>
          <w:color w:val="auto"/>
        </w:rPr>
        <w:t>Comparable Transactions</w:t>
      </w:r>
      <w:r>
        <w:rPr>
          <w:rFonts w:ascii="Arial" w:cs="Arial" w:eastAsia="Arial" w:hAnsi="Arial"/>
          <w:sz w:val="13"/>
          <w:szCs w:val="13"/>
          <w:color w:val="auto"/>
        </w:rPr>
        <w:t>”), taking into consideration the following concessions (the “</w:t>
      </w:r>
      <w:r>
        <w:rPr>
          <w:rFonts w:ascii="Arial" w:cs="Arial" w:eastAsia="Arial" w:hAnsi="Arial"/>
          <w:sz w:val="13"/>
          <w:szCs w:val="13"/>
          <w:b w:val="1"/>
          <w:bCs w:val="1"/>
          <w:color w:val="auto"/>
        </w:rPr>
        <w:t>Concessions</w:t>
      </w:r>
      <w:r>
        <w:rPr>
          <w:rFonts w:ascii="Arial" w:cs="Arial" w:eastAsia="Arial" w:hAnsi="Arial"/>
          <w:sz w:val="13"/>
          <w:szCs w:val="13"/>
          <w:color w:val="auto"/>
        </w:rPr>
        <w: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the extent to which the same can be utilized by a general office/lab user other than Tenant; and (c) other reasonable monetary concessions being granted such tenants in connection with such comparable space; provided, however, that in calculating the Fair Rental Value, no consideration shall be given to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The Concessions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The term “</w:t>
      </w:r>
      <w:r>
        <w:rPr>
          <w:rFonts w:ascii="Arial" w:cs="Arial" w:eastAsia="Arial" w:hAnsi="Arial"/>
          <w:sz w:val="13"/>
          <w:szCs w:val="13"/>
          <w:b w:val="1"/>
          <w:bCs w:val="1"/>
          <w:color w:val="auto"/>
        </w:rPr>
        <w:t>Comparable Buildings</w:t>
      </w:r>
      <w:r>
        <w:rPr>
          <w:rFonts w:ascii="Arial" w:cs="Arial" w:eastAsia="Arial" w:hAnsi="Arial"/>
          <w:sz w:val="13"/>
          <w:szCs w:val="13"/>
          <w:color w:val="auto"/>
        </w:rPr>
        <w:t>” shall mean the Building and those other life sciences buildings which are comparable to the Building in terms of age (based upon the date of completion of construction or major renovation of to the building), quality of construction, level of services and amenities, size and appearance, and are located in South San Francisco, California and the surrounding commercial area.</w:t>
      </w:r>
    </w:p>
    <w:p>
      <w:pPr>
        <w:spacing w:after="0" w:line="200" w:lineRule="exact"/>
        <w:rPr>
          <w:sz w:val="20"/>
          <w:szCs w:val="20"/>
          <w:color w:val="auto"/>
        </w:rPr>
      </w:pPr>
    </w:p>
    <w:p>
      <w:pPr>
        <w:spacing w:after="0" w:line="317" w:lineRule="exact"/>
        <w:rPr>
          <w:sz w:val="20"/>
          <w:szCs w:val="20"/>
          <w:color w:val="auto"/>
        </w:rPr>
      </w:pPr>
    </w:p>
    <w:p>
      <w:pPr>
        <w:ind w:right="80" w:firstLine="866"/>
        <w:spacing w:after="0" w:line="266" w:lineRule="auto"/>
        <w:rPr>
          <w:sz w:val="20"/>
          <w:szCs w:val="20"/>
          <w:color w:val="auto"/>
        </w:rPr>
      </w:pPr>
      <w:r>
        <w:rPr>
          <w:rFonts w:ascii="Arial" w:cs="Arial" w:eastAsia="Arial" w:hAnsi="Arial"/>
          <w:sz w:val="15"/>
          <w:szCs w:val="15"/>
          <w:color w:val="auto"/>
        </w:rPr>
        <w:t xml:space="preserve">2.2.3 </w:t>
      </w:r>
      <w:r>
        <w:rPr>
          <w:rFonts w:ascii="Arial" w:cs="Arial" w:eastAsia="Arial" w:hAnsi="Arial"/>
          <w:sz w:val="15"/>
          <w:szCs w:val="15"/>
          <w:b w:val="1"/>
          <w:bCs w:val="1"/>
          <w:u w:val="single" w:color="auto"/>
          <w:color w:val="auto"/>
        </w:rPr>
        <w:t>Determination of Option Rent</w:t>
      </w:r>
      <w:r>
        <w:rPr>
          <w:rFonts w:ascii="Arial" w:cs="Arial" w:eastAsia="Arial" w:hAnsi="Arial"/>
          <w:sz w:val="15"/>
          <w:szCs w:val="15"/>
          <w:color w:val="auto"/>
        </w:rPr>
        <w:t>. In the event Tenant timely and appropriately exercises an option to extend the Lease Term, Landlord shall notify Tenant of Landlord’s determination of the Option Rent within thirty (30) days thereafter. If Tenant, on or before the date which is ten (10)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within ten (10) days following Tenant’s objection to the Option Rent (the “</w:t>
      </w:r>
      <w:r>
        <w:rPr>
          <w:rFonts w:ascii="Arial" w:cs="Arial" w:eastAsia="Arial" w:hAnsi="Arial"/>
          <w:sz w:val="15"/>
          <w:szCs w:val="15"/>
          <w:b w:val="1"/>
          <w:bCs w:val="1"/>
          <w:color w:val="auto"/>
        </w:rPr>
        <w:t>Outside Agreement Date</w:t>
      </w:r>
      <w:r>
        <w:rPr>
          <w:rFonts w:ascii="Arial" w:cs="Arial" w:eastAsia="Arial" w:hAnsi="Arial"/>
          <w:sz w:val="15"/>
          <w:szCs w:val="15"/>
          <w:color w:val="auto"/>
        </w:rPr>
        <w:t xml:space="preserve">”), then Tenant shall have the right to withdraw its exercise of the option by delivering written notice thereof to Landlord within five (5) days thereafter, in which event Tenant’s right to extend the Lease pursuant to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shall be of no further force or effect. If Tenant does not withdraw its exercise of the extension option, each party shall make a separate determination of the Option Rent, as the case may be, within ten (10) days after the Outside Agreement Date, and such determinations shall be submitted to arbitration in accordance with </w:t>
      </w:r>
      <w:r>
        <w:rPr>
          <w:rFonts w:ascii="Arial" w:cs="Arial" w:eastAsia="Arial" w:hAnsi="Arial"/>
          <w:sz w:val="15"/>
          <w:szCs w:val="15"/>
          <w:u w:val="single" w:color="auto"/>
          <w:color w:val="auto"/>
        </w:rPr>
        <w:t>Sections 2.2.3.1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2.2.3.7</w:t>
      </w:r>
      <w:r>
        <w:rPr>
          <w:rFonts w:ascii="Arial" w:cs="Arial" w:eastAsia="Arial" w:hAnsi="Arial"/>
          <w:sz w:val="15"/>
          <w:szCs w:val="15"/>
          <w:color w:val="auto"/>
        </w:rPr>
        <w:t>, below. If Tenant fails to object to Landlord’s determination of the Option Rent within the time period set forth herein, then Tenant shall be deemed to have objected to Landlord’s determination of Option Rent.</w:t>
      </w:r>
    </w:p>
    <w:p>
      <w:pPr>
        <w:spacing w:after="0" w:line="165" w:lineRule="exact"/>
        <w:rPr>
          <w:sz w:val="20"/>
          <w:szCs w:val="20"/>
          <w:color w:val="auto"/>
        </w:rPr>
      </w:pPr>
    </w:p>
    <w:p>
      <w:pPr>
        <w:ind w:firstLine="1251"/>
        <w:spacing w:after="0" w:line="256" w:lineRule="auto"/>
        <w:rPr>
          <w:sz w:val="20"/>
          <w:szCs w:val="20"/>
          <w:color w:val="auto"/>
        </w:rPr>
      </w:pPr>
      <w:r>
        <w:rPr>
          <w:rFonts w:ascii="Arial" w:cs="Arial" w:eastAsia="Arial" w:hAnsi="Arial"/>
          <w:sz w:val="16"/>
          <w:szCs w:val="16"/>
          <w:color w:val="auto"/>
        </w:rPr>
        <w:t>2.2.3.1 Landlord and Tenant shall each appoint one arbitrator who shall be a real estate appraiser who shall have been active over the five (5) year period ending on the date of such appointment in the appraisal of other class A life sciences buildings located in the South San Francisco market area. The determination</w:t>
      </w:r>
    </w:p>
    <w:p>
      <w:pPr>
        <w:sectPr>
          <w:pgSz w:w="11900" w:h="16838" w:orient="portrait"/>
          <w:cols w:equalWidth="0" w:num="1">
            <w:col w:w="9600"/>
          </w:cols>
          <w:pgMar w:left="1140" w:top="256" w:right="1159" w:bottom="1440" w:gutter="0" w:footer="0" w:header="0"/>
        </w:sectPr>
      </w:pPr>
    </w:p>
    <w:bookmarkStart w:id="561" w:name="page562"/>
    <w:bookmarkEnd w:id="561"/>
    <w:p>
      <w:pPr>
        <w:ind w:left="6"/>
        <w:spacing w:after="0" w:line="3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of the arbitrators shall be limited solely to the issue of whether Landlord’s or Tenant’s submitted Option Rent is the closest to the actual Option Rent, taking into account the requirements of </w:t>
      </w:r>
      <w:r>
        <w:rPr>
          <w:rFonts w:ascii="Arial" w:cs="Arial" w:eastAsia="Arial" w:hAnsi="Arial"/>
          <w:sz w:val="13"/>
          <w:szCs w:val="13"/>
          <w:u w:val="single" w:color="auto"/>
          <w:color w:val="auto"/>
        </w:rPr>
        <w:t>Section 2.2.2</w:t>
      </w:r>
      <w:r>
        <w:rPr>
          <w:rFonts w:ascii="Arial" w:cs="Arial" w:eastAsia="Arial" w:hAnsi="Arial"/>
          <w:sz w:val="13"/>
          <w:szCs w:val="13"/>
          <w:color w:val="auto"/>
        </w:rPr>
        <w:t xml:space="preserve"> 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Arial" w:cs="Arial" w:eastAsia="Arial" w:hAnsi="Arial"/>
          <w:sz w:val="13"/>
          <w:szCs w:val="13"/>
          <w:b w:val="1"/>
          <w:bCs w:val="1"/>
          <w:color w:val="auto"/>
        </w:rPr>
        <w:t>Advocate Arbitrators</w:t>
      </w:r>
      <w:r>
        <w:rPr>
          <w:rFonts w:ascii="Arial" w:cs="Arial" w:eastAsia="Arial" w:hAnsi="Arial"/>
          <w:sz w:val="13"/>
          <w:szCs w:val="13"/>
          <w:color w:val="auto"/>
        </w:rPr>
        <w:t>.”</w:t>
      </w:r>
    </w:p>
    <w:p>
      <w:pPr>
        <w:spacing w:after="0" w:line="123" w:lineRule="exact"/>
        <w:rPr>
          <w:sz w:val="20"/>
          <w:szCs w:val="20"/>
          <w:color w:val="auto"/>
        </w:rPr>
      </w:pPr>
    </w:p>
    <w:p>
      <w:pPr>
        <w:ind w:left="1246"/>
        <w:spacing w:after="0"/>
        <w:rPr>
          <w:sz w:val="20"/>
          <w:szCs w:val="20"/>
          <w:color w:val="auto"/>
        </w:rPr>
      </w:pPr>
      <w:r>
        <w:rPr>
          <w:rFonts w:ascii="Arial" w:cs="Arial" w:eastAsia="Arial" w:hAnsi="Arial"/>
          <w:sz w:val="13"/>
          <w:szCs w:val="13"/>
          <w:color w:val="auto"/>
        </w:rPr>
        <w:t>2.2.3.2 The two (2) Advocate Arbitrators so appointed shall be specifically required pursuant to an engagement letter within ten</w:t>
      </w:r>
    </w:p>
    <w:p>
      <w:pPr>
        <w:spacing w:after="0" w:line="51" w:lineRule="exact"/>
        <w:rPr>
          <w:sz w:val="20"/>
          <w:szCs w:val="20"/>
          <w:color w:val="auto"/>
        </w:rPr>
      </w:pPr>
    </w:p>
    <w:p>
      <w:pPr>
        <w:ind w:left="6" w:right="40" w:hanging="6"/>
        <w:spacing w:after="0" w:line="323" w:lineRule="auto"/>
        <w:tabs>
          <w:tab w:leader="none" w:pos="307" w:val="left"/>
        </w:tabs>
        <w:numPr>
          <w:ilvl w:val="0"/>
          <w:numId w:val="411"/>
        </w:numPr>
        <w:rPr>
          <w:rFonts w:ascii="Arial" w:cs="Arial" w:eastAsia="Arial" w:hAnsi="Arial"/>
          <w:sz w:val="13"/>
          <w:szCs w:val="13"/>
          <w:color w:val="auto"/>
        </w:rPr>
      </w:pPr>
      <w:r>
        <w:rPr>
          <w:rFonts w:ascii="Arial" w:cs="Arial" w:eastAsia="Arial" w:hAnsi="Arial"/>
          <w:sz w:val="13"/>
          <w:szCs w:val="13"/>
          <w:color w:val="auto"/>
        </w:rPr>
        <w:t>days of the date of the appointment of the last appointed Advocate Arbitrator to agree upon and appoint a third arbitrator (“</w:t>
      </w:r>
      <w:r>
        <w:rPr>
          <w:rFonts w:ascii="Arial" w:cs="Arial" w:eastAsia="Arial" w:hAnsi="Arial"/>
          <w:sz w:val="13"/>
          <w:szCs w:val="13"/>
          <w:b w:val="1"/>
          <w:bCs w:val="1"/>
          <w:color w:val="auto"/>
        </w:rPr>
        <w:t>Neutral Arbitrator</w:t>
      </w:r>
      <w:r>
        <w:rPr>
          <w:rFonts w:ascii="Arial" w:cs="Arial" w:eastAsia="Arial" w:hAnsi="Arial"/>
          <w:sz w:val="13"/>
          <w:szCs w:val="13"/>
          <w:color w:val="auto"/>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spacing w:after="0" w:line="127" w:lineRule="exact"/>
        <w:rPr>
          <w:sz w:val="20"/>
          <w:szCs w:val="20"/>
          <w:color w:val="auto"/>
        </w:rPr>
      </w:pPr>
    </w:p>
    <w:p>
      <w:pPr>
        <w:ind w:left="6" w:right="20" w:firstLine="1251"/>
        <w:spacing w:after="0" w:line="266" w:lineRule="auto"/>
        <w:rPr>
          <w:sz w:val="20"/>
          <w:szCs w:val="20"/>
          <w:color w:val="auto"/>
        </w:rPr>
      </w:pPr>
      <w:r>
        <w:rPr>
          <w:rFonts w:ascii="Arial" w:cs="Arial" w:eastAsia="Arial" w:hAnsi="Arial"/>
          <w:sz w:val="16"/>
          <w:szCs w:val="16"/>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158" w:lineRule="exact"/>
        <w:rPr>
          <w:sz w:val="20"/>
          <w:szCs w:val="20"/>
          <w:color w:val="auto"/>
        </w:rPr>
      </w:pPr>
    </w:p>
    <w:p>
      <w:pPr>
        <w:ind w:left="1246"/>
        <w:spacing w:after="0"/>
        <w:rPr>
          <w:sz w:val="20"/>
          <w:szCs w:val="20"/>
          <w:color w:val="auto"/>
        </w:rPr>
      </w:pPr>
      <w:r>
        <w:rPr>
          <w:rFonts w:ascii="Arial" w:cs="Arial" w:eastAsia="Arial" w:hAnsi="Arial"/>
          <w:sz w:val="16"/>
          <w:szCs w:val="16"/>
          <w:color w:val="auto"/>
        </w:rPr>
        <w:t>2.2.3.4 The decision of the majority of the three arbitrators shall be binding upon Landlord and Tenant.</w:t>
      </w:r>
    </w:p>
    <w:p>
      <w:pPr>
        <w:spacing w:after="0" w:line="193" w:lineRule="exact"/>
        <w:rPr>
          <w:sz w:val="20"/>
          <w:szCs w:val="20"/>
          <w:color w:val="auto"/>
        </w:rPr>
      </w:pPr>
    </w:p>
    <w:p>
      <w:pPr>
        <w:ind w:left="6" w:right="200" w:firstLine="1251"/>
        <w:spacing w:after="0" w:line="253" w:lineRule="auto"/>
        <w:rPr>
          <w:sz w:val="20"/>
          <w:szCs w:val="20"/>
          <w:color w:val="auto"/>
        </w:rPr>
      </w:pPr>
      <w:r>
        <w:rPr>
          <w:rFonts w:ascii="Arial" w:cs="Arial" w:eastAsia="Arial" w:hAnsi="Arial"/>
          <w:sz w:val="16"/>
          <w:szCs w:val="16"/>
          <w:color w:val="auto"/>
        </w:rPr>
        <w:t xml:space="preserve">2.2.3.5 If either Landlord or Tenant fails to appoint an Advocate Arbitrator within fifteen (15) days after the Outside Agreement Date, then either party may petition the presiding judge of the Superior Court of San Mateo County to appoint such Advocate Arbitrator subject to the criteria in </w:t>
      </w:r>
      <w:r>
        <w:rPr>
          <w:rFonts w:ascii="Arial" w:cs="Arial" w:eastAsia="Arial" w:hAnsi="Arial"/>
          <w:sz w:val="16"/>
          <w:szCs w:val="16"/>
          <w:u w:val="single" w:color="auto"/>
          <w:color w:val="auto"/>
        </w:rPr>
        <w:t>Section 2.2.3.1</w:t>
      </w:r>
      <w:r>
        <w:rPr>
          <w:rFonts w:ascii="Arial" w:cs="Arial" w:eastAsia="Arial" w:hAnsi="Arial"/>
          <w:sz w:val="16"/>
          <w:szCs w:val="16"/>
          <w:color w:val="auto"/>
        </w:rPr>
        <w:t xml:space="preserve"> of this Lease, or if he or she refuses to act, either party may petition any judge having jurisdiction over the parties to appoint such Advocate Arbitrator.</w:t>
      </w:r>
    </w:p>
    <w:p>
      <w:pPr>
        <w:spacing w:after="0" w:line="167" w:lineRule="exact"/>
        <w:rPr>
          <w:sz w:val="20"/>
          <w:szCs w:val="20"/>
          <w:color w:val="auto"/>
        </w:rPr>
      </w:pPr>
    </w:p>
    <w:p>
      <w:pPr>
        <w:ind w:left="6" w:right="120" w:firstLine="1251"/>
        <w:spacing w:after="0" w:line="281" w:lineRule="auto"/>
        <w:rPr>
          <w:sz w:val="20"/>
          <w:szCs w:val="20"/>
          <w:color w:val="auto"/>
        </w:rPr>
      </w:pPr>
      <w:r>
        <w:rPr>
          <w:rFonts w:ascii="Arial" w:cs="Arial" w:eastAsia="Arial" w:hAnsi="Arial"/>
          <w:sz w:val="15"/>
          <w:szCs w:val="15"/>
          <w:color w:val="auto"/>
        </w:rPr>
        <w:t xml:space="preserve">2.2.3.6 If the two (2) Advocate Arbitrators fail to agree upon and appoint the Neutral Arbitrator, then either party may petition the presiding judge of the Superior Court of San Mateo County to appoint the Neutral Arbitrator, subject to criteria in </w:t>
      </w:r>
      <w:r>
        <w:rPr>
          <w:rFonts w:ascii="Arial" w:cs="Arial" w:eastAsia="Arial" w:hAnsi="Arial"/>
          <w:sz w:val="15"/>
          <w:szCs w:val="15"/>
          <w:u w:val="single" w:color="auto"/>
          <w:color w:val="auto"/>
        </w:rPr>
        <w:t>Section 2.2.3.1</w:t>
      </w:r>
      <w:r>
        <w:rPr>
          <w:rFonts w:ascii="Arial" w:cs="Arial" w:eastAsia="Arial" w:hAnsi="Arial"/>
          <w:sz w:val="15"/>
          <w:szCs w:val="15"/>
          <w:color w:val="auto"/>
        </w:rPr>
        <w:t xml:space="preserve"> of this Lease, or if he or she refuses to act, either party may petition any judge having jurisdiction over the parties to appoint such arbitrator.</w:t>
      </w:r>
    </w:p>
    <w:p>
      <w:pPr>
        <w:spacing w:after="0" w:line="149" w:lineRule="exact"/>
        <w:rPr>
          <w:sz w:val="20"/>
          <w:szCs w:val="20"/>
          <w:color w:val="auto"/>
        </w:rPr>
      </w:pPr>
    </w:p>
    <w:p>
      <w:pPr>
        <w:ind w:left="1246"/>
        <w:spacing w:after="0"/>
        <w:rPr>
          <w:sz w:val="20"/>
          <w:szCs w:val="20"/>
          <w:color w:val="auto"/>
        </w:rPr>
      </w:pPr>
      <w:r>
        <w:rPr>
          <w:rFonts w:ascii="Arial" w:cs="Arial" w:eastAsia="Arial" w:hAnsi="Arial"/>
          <w:sz w:val="16"/>
          <w:szCs w:val="16"/>
          <w:color w:val="auto"/>
        </w:rPr>
        <w:t>2.2.3.7 The cost of the arbitration shall be paid by Landlord and Tenant equally.</w:t>
      </w:r>
    </w:p>
    <w:p>
      <w:pPr>
        <w:spacing w:after="0" w:line="193" w:lineRule="exact"/>
        <w:rPr>
          <w:sz w:val="20"/>
          <w:szCs w:val="20"/>
          <w:color w:val="auto"/>
        </w:rPr>
      </w:pPr>
    </w:p>
    <w:p>
      <w:pPr>
        <w:ind w:left="6" w:right="100" w:firstLine="1251"/>
        <w:spacing w:after="0" w:line="253" w:lineRule="auto"/>
        <w:rPr>
          <w:sz w:val="20"/>
          <w:szCs w:val="20"/>
          <w:color w:val="auto"/>
        </w:rPr>
      </w:pPr>
      <w:r>
        <w:rPr>
          <w:rFonts w:ascii="Arial" w:cs="Arial" w:eastAsia="Arial" w:hAnsi="Arial"/>
          <w:sz w:val="16"/>
          <w:szCs w:val="16"/>
          <w:color w:val="auto"/>
        </w:rPr>
        <w:t>2.2.3.8 In the event that the Option Rent shall not have been determined pursuant to the terms hereof prior to the commencement of the Option Term, Tenant shall be required to pay the Option Rent initially provided by Landlord to Tenant, and upon the final determination of the Option Rent, the payments made by Tenant shall be reconciled with the actual amounts of Option Rent due, and the appropriate party shall make any corresponding payment to the other party.</w:t>
      </w:r>
    </w:p>
    <w:p>
      <w:pPr>
        <w:spacing w:after="0" w:line="163" w:lineRule="exact"/>
        <w:rPr>
          <w:sz w:val="20"/>
          <w:szCs w:val="20"/>
          <w:color w:val="auto"/>
        </w:rPr>
      </w:pPr>
    </w:p>
    <w:p>
      <w:pPr>
        <w:ind w:left="6" w:hanging="6"/>
        <w:spacing w:after="0" w:line="267" w:lineRule="auto"/>
        <w:tabs>
          <w:tab w:leader="none" w:pos="163" w:val="left"/>
        </w:tabs>
        <w:numPr>
          <w:ilvl w:val="0"/>
          <w:numId w:val="4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BASE RENT. </w:t>
      </w:r>
      <w:r>
        <w:rPr>
          <w:rFonts w:ascii="Arial" w:cs="Arial" w:eastAsia="Arial" w:hAnsi="Arial"/>
          <w:sz w:val="15"/>
          <w:szCs w:val="15"/>
          <w:color w:val="auto"/>
        </w:rPr>
        <w:t>Tenant shall pay, without prior notice or demand, to Landlord at the address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Summary, or, at Landlord’s</w:t>
      </w:r>
      <w:r>
        <w:rPr>
          <w:rFonts w:ascii="Arial" w:cs="Arial" w:eastAsia="Arial" w:hAnsi="Arial"/>
          <w:sz w:val="15"/>
          <w:szCs w:val="15"/>
          <w:b w:val="1"/>
          <w:bCs w:val="1"/>
          <w:color w:val="auto"/>
        </w:rPr>
        <w:t xml:space="preserve"> </w:t>
      </w:r>
      <w:r>
        <w:rPr>
          <w:rFonts w:ascii="Arial" w:cs="Arial" w:eastAsia="Arial" w:hAnsi="Arial"/>
          <w:sz w:val="15"/>
          <w:szCs w:val="15"/>
          <w:color w:val="auto"/>
        </w:rPr>
        <w:t>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5"/>
          <w:szCs w:val="15"/>
          <w:b w:val="1"/>
          <w:bCs w:val="1"/>
          <w:color w:val="auto"/>
        </w:rPr>
        <w:t>Base Rent</w:t>
      </w:r>
      <w:r>
        <w:rPr>
          <w:rFonts w:ascii="Arial" w:cs="Arial" w:eastAsia="Arial" w:hAnsi="Arial"/>
          <w:sz w:val="15"/>
          <w:szCs w:val="15"/>
          <w:color w:val="auto"/>
        </w:rPr>
        <w:t xml:space="preserve">”)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the Summary, payable in equal monthly installments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the Summary in advance on or before the first day of each and every calendar month during the Lease Term, without any setoff or deduction whatsoever. The Base Rent for the first full month of the Lease Term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ectPr>
          <w:pgSz w:w="11900" w:h="16838" w:orient="portrait"/>
          <w:cols w:equalWidth="0" w:num="1">
            <w:col w:w="9626"/>
          </w:cols>
          <w:pgMar w:left="1134" w:top="256" w:right="1139" w:bottom="1440" w:gutter="0" w:footer="0" w:header="0"/>
        </w:sectPr>
      </w:pPr>
    </w:p>
    <w:bookmarkStart w:id="562" w:name="page563"/>
    <w:bookmarkEnd w:id="562"/>
    <w:p>
      <w:pPr>
        <w:jc w:val="right"/>
        <w:ind w:left="386" w:right="7940" w:hanging="386"/>
        <w:spacing w:after="0" w:line="605" w:lineRule="auto"/>
        <w:tabs>
          <w:tab w:leader="none" w:pos="159" w:val="left"/>
        </w:tabs>
        <w:numPr>
          <w:ilvl w:val="0"/>
          <w:numId w:val="413"/>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ADDITIONAL RENT. </w:t>
      </w:r>
      <w:r>
        <w:rPr>
          <w:rFonts w:ascii="Arial" w:cs="Arial" w:eastAsia="Arial" w:hAnsi="Arial"/>
          <w:sz w:val="13"/>
          <w:szCs w:val="13"/>
          <w:color w:val="auto"/>
        </w:rPr>
        <w:t xml:space="preserve">4.1 </w:t>
      </w:r>
      <w:r>
        <w:rPr>
          <w:rFonts w:ascii="Arial" w:cs="Arial" w:eastAsia="Arial" w:hAnsi="Arial"/>
          <w:sz w:val="13"/>
          <w:szCs w:val="13"/>
          <w:b w:val="1"/>
          <w:bCs w:val="1"/>
          <w:u w:val="single" w:color="auto"/>
          <w:color w:val="auto"/>
        </w:rPr>
        <w:t>General Terms</w:t>
      </w:r>
      <w:r>
        <w:rPr>
          <w:rFonts w:ascii="Arial" w:cs="Arial" w:eastAsia="Arial" w:hAnsi="Arial"/>
          <w:sz w:val="13"/>
          <w:szCs w:val="13"/>
          <w:color w:val="auto"/>
        </w:rPr>
        <w:t>.</w:t>
      </w:r>
    </w:p>
    <w:p>
      <w:pPr>
        <w:spacing w:after="0" w:line="1" w:lineRule="exact"/>
        <w:rPr>
          <w:sz w:val="20"/>
          <w:szCs w:val="20"/>
          <w:color w:val="auto"/>
        </w:rPr>
      </w:pPr>
    </w:p>
    <w:p>
      <w:pPr>
        <w:ind w:left="866"/>
        <w:spacing w:after="0"/>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b w:val="1"/>
          <w:bCs w:val="1"/>
          <w:u w:val="single" w:color="auto"/>
          <w:color w:val="auto"/>
        </w:rPr>
        <w:t>Direct Expenses; Additional Rent</w:t>
      </w:r>
      <w:r>
        <w:rPr>
          <w:rFonts w:ascii="Arial" w:cs="Arial" w:eastAsia="Arial" w:hAnsi="Arial"/>
          <w:sz w:val="15"/>
          <w:szCs w:val="15"/>
          <w:color w:val="auto"/>
        </w:rPr>
        <w:t xml:space="preserve">. In addition to paying the Base Rent specified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Lease, Tenant shall pay</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Tenant’s Share</w:t>
      </w:r>
      <w:r>
        <w:rPr>
          <w:rFonts w:ascii="Arial" w:cs="Arial" w:eastAsia="Arial" w:hAnsi="Arial"/>
          <w:sz w:val="13"/>
          <w:szCs w:val="13"/>
          <w:color w:val="auto"/>
        </w:rPr>
        <w:t>” of the annual “</w:t>
      </w:r>
      <w:r>
        <w:rPr>
          <w:rFonts w:ascii="Arial" w:cs="Arial" w:eastAsia="Arial" w:hAnsi="Arial"/>
          <w:sz w:val="13"/>
          <w:szCs w:val="13"/>
          <w:b w:val="1"/>
          <w:bCs w:val="1"/>
          <w:color w:val="auto"/>
        </w:rPr>
        <w:t>Direct Expenses</w:t>
      </w:r>
      <w:r>
        <w:rPr>
          <w:rFonts w:ascii="Arial" w:cs="Arial" w:eastAsia="Arial" w:hAnsi="Arial"/>
          <w:sz w:val="13"/>
          <w:szCs w:val="13"/>
          <w:color w:val="auto"/>
        </w:rPr>
        <w:t xml:space="preserve">,” as those terms are defined in </w:t>
      </w:r>
      <w:r>
        <w:rPr>
          <w:rFonts w:ascii="Arial" w:cs="Arial" w:eastAsia="Arial" w:hAnsi="Arial"/>
          <w:sz w:val="13"/>
          <w:szCs w:val="13"/>
          <w:u w:val="single" w:color="auto"/>
          <w:color w:val="auto"/>
        </w:rPr>
        <w:t>Sections 4.2.6 and 4.2.2</w:t>
      </w:r>
      <w:r>
        <w:rPr>
          <w:rFonts w:ascii="Arial" w:cs="Arial" w:eastAsia="Arial" w:hAnsi="Arial"/>
          <w:sz w:val="13"/>
          <w:szCs w:val="13"/>
          <w:color w:val="auto"/>
        </w:rPr>
        <w:t xml:space="preserve"> of this Lease, respectively, allocable to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 xml:space="preserve">Building as described in </w:t>
      </w:r>
      <w:r>
        <w:rPr>
          <w:rFonts w:ascii="Arial" w:cs="Arial" w:eastAsia="Arial" w:hAnsi="Arial"/>
          <w:sz w:val="13"/>
          <w:szCs w:val="13"/>
          <w:u w:val="single" w:color="auto"/>
          <w:color w:val="auto"/>
        </w:rPr>
        <w:t>Section 4.3</w:t>
      </w:r>
      <w:r>
        <w:rPr>
          <w:rFonts w:ascii="Arial" w:cs="Arial" w:eastAsia="Arial" w:hAnsi="Arial"/>
          <w:sz w:val="13"/>
          <w:szCs w:val="13"/>
          <w:color w:val="auto"/>
        </w:rPr>
        <w:t>. Such payments by Tenant, together with any and all other amounts payable by Tenant to Landlord pursuant to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terms of this Lease, are hereinafter collectively referred to as the “</w:t>
      </w:r>
      <w:r>
        <w:rPr>
          <w:rFonts w:ascii="Arial" w:cs="Arial" w:eastAsia="Arial" w:hAnsi="Arial"/>
          <w:sz w:val="13"/>
          <w:szCs w:val="13"/>
          <w:b w:val="1"/>
          <w:bCs w:val="1"/>
          <w:color w:val="auto"/>
        </w:rPr>
        <w:t>Additional Rent</w:t>
      </w:r>
      <w:r>
        <w:rPr>
          <w:rFonts w:ascii="Arial" w:cs="Arial" w:eastAsia="Arial" w:hAnsi="Arial"/>
          <w:sz w:val="13"/>
          <w:szCs w:val="13"/>
          <w:color w:val="auto"/>
        </w:rPr>
        <w:t>”, and the Base Rent and the Additional Rent are herein collectively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referred to as “</w:t>
      </w:r>
      <w:r>
        <w:rPr>
          <w:rFonts w:ascii="Arial" w:cs="Arial" w:eastAsia="Arial" w:hAnsi="Arial"/>
          <w:sz w:val="13"/>
          <w:szCs w:val="13"/>
          <w:b w:val="1"/>
          <w:bCs w:val="1"/>
          <w:color w:val="auto"/>
        </w:rPr>
        <w:t>Rent</w:t>
      </w:r>
      <w:r>
        <w:rPr>
          <w:rFonts w:ascii="Arial" w:cs="Arial" w:eastAsia="Arial" w:hAnsi="Arial"/>
          <w:sz w:val="13"/>
          <w:szCs w:val="13"/>
          <w:color w:val="auto"/>
        </w:rPr>
        <w:t xml:space="preserve">.” All amounts due under this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as Additional Rent shall be payable for the same periods and in the same manner as the Base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Rent. Without limitation on other obligations of Tenant which survive the expiration of the Lease Term, the obligations of Tenant to pay the Additional</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Rent provided for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survive the expiration of the Lease Term.</w:t>
      </w:r>
    </w:p>
    <w:p>
      <w:pPr>
        <w:spacing w:after="0" w:line="178" w:lineRule="exact"/>
        <w:rPr>
          <w:sz w:val="20"/>
          <w:szCs w:val="20"/>
          <w:color w:val="auto"/>
        </w:rPr>
      </w:pPr>
    </w:p>
    <w:p>
      <w:pPr>
        <w:ind w:left="6" w:firstLine="866"/>
        <w:spacing w:after="0" w:line="273"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b w:val="1"/>
          <w:bCs w:val="1"/>
          <w:u w:val="single" w:color="auto"/>
          <w:color w:val="auto"/>
        </w:rPr>
        <w:t>Triple Net Lease</w:t>
      </w:r>
      <w:r>
        <w:rPr>
          <w:rFonts w:ascii="Arial" w:cs="Arial" w:eastAsia="Arial" w:hAnsi="Arial"/>
          <w:sz w:val="15"/>
          <w:szCs w:val="15"/>
          <w:color w:val="auto"/>
        </w:rPr>
        <w:t>. Landlord and Tenant acknowledge that, to the extent provided in this Lease, it is their intent and agreement that this Lease be a “</w:t>
      </w:r>
      <w:r>
        <w:rPr>
          <w:rFonts w:ascii="Arial" w:cs="Arial" w:eastAsia="Arial" w:hAnsi="Arial"/>
          <w:sz w:val="15"/>
          <w:szCs w:val="15"/>
          <w:b w:val="1"/>
          <w:bCs w:val="1"/>
          <w:color w:val="auto"/>
        </w:rPr>
        <w:t>TRIPLE NET</w:t>
      </w:r>
      <w:r>
        <w:rPr>
          <w:rFonts w:ascii="Arial" w:cs="Arial" w:eastAsia="Arial" w:hAnsi="Arial"/>
          <w:sz w:val="15"/>
          <w:szCs w:val="15"/>
          <w:color w:val="auto"/>
        </w:rPr>
        <w:t>” lease and that as such, the provisions contained in this Lease are intended to pass on to Tenant or reimburse Landlord for the costs and expenses reasonably associated with this Lease, the Building and the Project, and Tenant’s operation therefrom to the extent provided in this Lease. To the extent such costs and expenses payable by Tenant cannot be charged directly to, and paid by, Tenant, such costs and expenses shall be paid by Landlord but reimbursed by Tenant as Additional Rent.</w:t>
      </w:r>
    </w:p>
    <w:p>
      <w:pPr>
        <w:spacing w:after="0" w:line="151" w:lineRule="exact"/>
        <w:rPr>
          <w:sz w:val="20"/>
          <w:szCs w:val="20"/>
          <w:color w:val="auto"/>
        </w:rPr>
      </w:pPr>
    </w:p>
    <w:p>
      <w:pPr>
        <w:ind w:left="386"/>
        <w:spacing w:after="0"/>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b w:val="1"/>
          <w:bCs w:val="1"/>
          <w:u w:val="single" w:color="auto"/>
          <w:color w:val="auto"/>
        </w:rPr>
        <w:t>Definitions of Key Terms Relating to Additional Rent</w:t>
      </w:r>
      <w:r>
        <w:rPr>
          <w:rFonts w:ascii="Arial" w:cs="Arial" w:eastAsia="Arial" w:hAnsi="Arial"/>
          <w:sz w:val="13"/>
          <w:szCs w:val="13"/>
          <w:color w:val="auto"/>
        </w:rPr>
        <w:t xml:space="preserve">. As used in this </w:t>
      </w:r>
      <w:r>
        <w:rPr>
          <w:rFonts w:ascii="Arial" w:cs="Arial" w:eastAsia="Arial" w:hAnsi="Arial"/>
          <w:sz w:val="13"/>
          <w:szCs w:val="13"/>
          <w:u w:val="single" w:color="auto"/>
          <w:color w:val="auto"/>
        </w:rPr>
        <w:t>Article 4</w:t>
      </w:r>
      <w:r>
        <w:rPr>
          <w:rFonts w:ascii="Arial" w:cs="Arial" w:eastAsia="Arial" w:hAnsi="Arial"/>
          <w:sz w:val="13"/>
          <w:szCs w:val="13"/>
          <w:color w:val="auto"/>
        </w:rPr>
        <w:t>, the following terms shall have the meanings hereinafter set</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forth:</w:t>
      </w:r>
    </w:p>
    <w:p>
      <w:pPr>
        <w:spacing w:after="0" w:line="182" w:lineRule="exact"/>
        <w:rPr>
          <w:sz w:val="20"/>
          <w:szCs w:val="20"/>
          <w:color w:val="auto"/>
        </w:rPr>
      </w:pPr>
    </w:p>
    <w:p>
      <w:pPr>
        <w:ind w:left="866"/>
        <w:spacing w:after="0"/>
        <w:rPr>
          <w:sz w:val="20"/>
          <w:szCs w:val="20"/>
          <w:color w:val="auto"/>
        </w:rPr>
      </w:pPr>
      <w:r>
        <w:rPr>
          <w:rFonts w:ascii="Arial" w:cs="Arial" w:eastAsia="Arial" w:hAnsi="Arial"/>
          <w:sz w:val="16"/>
          <w:szCs w:val="16"/>
          <w:color w:val="auto"/>
        </w:rPr>
        <w:t>4.2.1 Intentionally Deleted.</w:t>
      </w:r>
    </w:p>
    <w:p>
      <w:pPr>
        <w:spacing w:after="0" w:line="189" w:lineRule="exact"/>
        <w:rPr>
          <w:sz w:val="20"/>
          <w:szCs w:val="20"/>
          <w:color w:val="auto"/>
        </w:rPr>
      </w:pPr>
    </w:p>
    <w:p>
      <w:pPr>
        <w:ind w:left="866"/>
        <w:spacing w:after="0"/>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b w:val="1"/>
          <w:bCs w:val="1"/>
          <w:color w:val="auto"/>
        </w:rPr>
        <w:t>“Direct Expenses</w:t>
      </w:r>
      <w:r>
        <w:rPr>
          <w:rFonts w:ascii="Arial" w:cs="Arial" w:eastAsia="Arial" w:hAnsi="Arial"/>
          <w:sz w:val="16"/>
          <w:szCs w:val="16"/>
          <w:color w:val="auto"/>
        </w:rPr>
        <w:t>” shall mean “</w:t>
      </w:r>
      <w:r>
        <w:rPr>
          <w:rFonts w:ascii="Arial" w:cs="Arial" w:eastAsia="Arial" w:hAnsi="Arial"/>
          <w:sz w:val="16"/>
          <w:szCs w:val="16"/>
          <w:b w:val="1"/>
          <w:bCs w:val="1"/>
          <w:color w:val="auto"/>
        </w:rPr>
        <w:t>Operating Expenses</w:t>
      </w:r>
      <w:r>
        <w:rPr>
          <w:rFonts w:ascii="Arial" w:cs="Arial" w:eastAsia="Arial" w:hAnsi="Arial"/>
          <w:sz w:val="16"/>
          <w:szCs w:val="16"/>
          <w:color w:val="auto"/>
        </w:rPr>
        <w:t>” and “</w:t>
      </w:r>
      <w:r>
        <w:rPr>
          <w:rFonts w:ascii="Arial" w:cs="Arial" w:eastAsia="Arial" w:hAnsi="Arial"/>
          <w:sz w:val="16"/>
          <w:szCs w:val="16"/>
          <w:b w:val="1"/>
          <w:bCs w:val="1"/>
          <w:color w:val="auto"/>
        </w:rPr>
        <w:t>Tax Expenses</w:t>
      </w:r>
      <w:r>
        <w:rPr>
          <w:rFonts w:ascii="Arial" w:cs="Arial" w:eastAsia="Arial" w:hAnsi="Arial"/>
          <w:sz w:val="16"/>
          <w:szCs w:val="16"/>
          <w:color w:val="auto"/>
        </w:rPr>
        <w:t>.”</w:t>
      </w:r>
    </w:p>
    <w:p>
      <w:pPr>
        <w:spacing w:after="0" w:line="193" w:lineRule="exact"/>
        <w:rPr>
          <w:sz w:val="20"/>
          <w:szCs w:val="20"/>
          <w:color w:val="auto"/>
        </w:rPr>
      </w:pPr>
    </w:p>
    <w:p>
      <w:pPr>
        <w:ind w:left="6" w:right="20" w:firstLine="866"/>
        <w:spacing w:after="0" w:line="315" w:lineRule="auto"/>
        <w:rPr>
          <w:sz w:val="20"/>
          <w:szCs w:val="20"/>
          <w:color w:val="auto"/>
        </w:rPr>
      </w:pPr>
      <w:r>
        <w:rPr>
          <w:rFonts w:ascii="Arial" w:cs="Arial" w:eastAsia="Arial" w:hAnsi="Arial"/>
          <w:sz w:val="13"/>
          <w:szCs w:val="13"/>
          <w:color w:val="auto"/>
        </w:rPr>
        <w:t xml:space="preserve">4.2.3 </w:t>
      </w:r>
      <w:r>
        <w:rPr>
          <w:rFonts w:ascii="Arial" w:cs="Arial" w:eastAsia="Arial" w:hAnsi="Arial"/>
          <w:sz w:val="13"/>
          <w:szCs w:val="13"/>
          <w:b w:val="1"/>
          <w:bCs w:val="1"/>
          <w:color w:val="auto"/>
        </w:rPr>
        <w:t>“Expense Year</w:t>
      </w:r>
      <w:r>
        <w:rPr>
          <w:rFonts w:ascii="Arial" w:cs="Arial" w:eastAsia="Arial" w:hAnsi="Arial"/>
          <w:sz w:val="13"/>
          <w:szCs w:val="13"/>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ind w:left="6" w:right="320" w:hanging="6"/>
        <w:spacing w:after="0" w:line="252" w:lineRule="auto"/>
        <w:tabs>
          <w:tab w:leader="none" w:pos="307" w:val="left"/>
        </w:tabs>
        <w:numPr>
          <w:ilvl w:val="0"/>
          <w:numId w:val="414"/>
        </w:numPr>
        <w:rPr>
          <w:rFonts w:ascii="Arial" w:cs="Arial" w:eastAsia="Arial" w:hAnsi="Arial"/>
          <w:sz w:val="16"/>
          <w:szCs w:val="16"/>
          <w:color w:val="auto"/>
        </w:rPr>
      </w:pPr>
      <w:r>
        <w:rPr>
          <w:rFonts w:ascii="Arial" w:cs="Arial" w:eastAsia="Arial" w:hAnsi="Arial"/>
          <w:sz w:val="16"/>
          <w:szCs w:val="16"/>
          <w:color w:val="auto"/>
        </w:rPr>
        <w:t>consecutive month period, and, in the event of any such change, Tenant’s Share of Direct Expenses shall be equitably adjusted for any Expense Year involved in any such change.</w:t>
      </w:r>
    </w:p>
    <w:p>
      <w:pPr>
        <w:spacing w:after="0" w:line="164" w:lineRule="exact"/>
        <w:rPr>
          <w:sz w:val="20"/>
          <w:szCs w:val="20"/>
          <w:color w:val="auto"/>
        </w:rPr>
      </w:pPr>
    </w:p>
    <w:p>
      <w:pPr>
        <w:ind w:left="6" w:right="80" w:firstLine="866"/>
        <w:spacing w:after="0" w:line="305" w:lineRule="auto"/>
        <w:rPr>
          <w:sz w:val="20"/>
          <w:szCs w:val="20"/>
          <w:color w:val="auto"/>
        </w:rPr>
      </w:pPr>
      <w:r>
        <w:rPr>
          <w:rFonts w:ascii="Arial" w:cs="Arial" w:eastAsia="Arial" w:hAnsi="Arial"/>
          <w:sz w:val="13"/>
          <w:szCs w:val="13"/>
          <w:color w:val="auto"/>
        </w:rPr>
        <w:t xml:space="preserve">4.2.4 </w:t>
      </w:r>
      <w:r>
        <w:rPr>
          <w:rFonts w:ascii="Arial" w:cs="Arial" w:eastAsia="Arial" w:hAnsi="Arial"/>
          <w:sz w:val="13"/>
          <w:szCs w:val="13"/>
          <w:b w:val="1"/>
          <w:bCs w:val="1"/>
          <w:color w:val="auto"/>
        </w:rPr>
        <w:t>“Operating Expenses</w:t>
      </w:r>
      <w:r>
        <w:rPr>
          <w:rFonts w:ascii="Arial" w:cs="Arial" w:eastAsia="Arial" w:hAnsi="Arial"/>
          <w:sz w:val="13"/>
          <w:szCs w:val="13"/>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and maintaining the utility, telephone, mechanical, sanitary, storm drainage, and elevator systems, and the cost of maintenance and service contracts in connection therewith; (ii) the cost of licenses, certificates, permits and inspections and the cost of contesting any governmental enactments which are reasonably likely to increase Operating Expenses during the Lease Term,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management and/or incentive fees, consulting fees, legal fees and accounting fees, of all contractors and consultants in connection with the management, operation, maintenance and repair of the Project;</w:t>
      </w:r>
    </w:p>
    <w:p>
      <w:pPr>
        <w:spacing w:after="0" w:line="1" w:lineRule="exact"/>
        <w:rPr>
          <w:sz w:val="20"/>
          <w:szCs w:val="20"/>
          <w:color w:val="auto"/>
        </w:rPr>
      </w:pPr>
    </w:p>
    <w:p>
      <w:pPr>
        <w:ind w:left="6" w:right="100" w:hanging="6"/>
        <w:spacing w:after="0" w:line="302" w:lineRule="auto"/>
        <w:tabs>
          <w:tab w:leader="none" w:pos="316" w:val="left"/>
        </w:tabs>
        <w:numPr>
          <w:ilvl w:val="0"/>
          <w:numId w:val="415"/>
        </w:numPr>
        <w:rPr>
          <w:rFonts w:ascii="Arial" w:cs="Arial" w:eastAsia="Arial" w:hAnsi="Arial"/>
          <w:sz w:val="13"/>
          <w:szCs w:val="13"/>
          <w:color w:val="auto"/>
        </w:rPr>
      </w:pPr>
      <w:r>
        <w:rPr>
          <w:rFonts w:ascii="Arial" w:cs="Arial" w:eastAsia="Arial" w:hAnsi="Arial"/>
          <w:sz w:val="13"/>
          <w:szCs w:val="13"/>
          <w:color w:val="auto"/>
        </w:rPr>
        <w:t>payments under any equipment rental agreements; (viii) subject to item (f), below, wages, salaries and other compensation and benefits, including taxes levied thereon, of all persons engaged in the operation, maintenance and security of the Project; (ix) costs under any easement pertaining to the sharing of costs by the Project; (x) operation, repair, maintenance and replacement of all systems and equipment and components thereof of the Project;</w:t>
      </w:r>
    </w:p>
    <w:p>
      <w:pPr>
        <w:spacing w:after="0" w:line="1" w:lineRule="exact"/>
        <w:rPr>
          <w:rFonts w:ascii="Arial" w:cs="Arial" w:eastAsia="Arial" w:hAnsi="Arial"/>
          <w:sz w:val="13"/>
          <w:szCs w:val="13"/>
          <w:color w:val="auto"/>
        </w:rPr>
      </w:pPr>
    </w:p>
    <w:p>
      <w:pPr>
        <w:ind w:left="6" w:right="80" w:hanging="6"/>
        <w:spacing w:after="0" w:line="248" w:lineRule="auto"/>
        <w:tabs>
          <w:tab w:leader="none" w:pos="272"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cost of janitorial, alarm, security and other services, replacement of wall and floor coverings, ceiling tiles and fixtures in Common Areas, maintenance and replacement of curbs and walkways, repair to roofs and re-roofing; (xii) amortization (including interest on the unamortized cost) over such period of time as Landlord shall reasonably determine, of the cost of acquiring or the rental expense of personal property used in the maintenance, operation and</w:t>
      </w:r>
    </w:p>
    <w:p>
      <w:pPr>
        <w:sectPr>
          <w:pgSz w:w="11900" w:h="16838" w:orient="portrait"/>
          <w:cols w:equalWidth="0" w:num="1">
            <w:col w:w="9626"/>
          </w:cols>
          <w:pgMar w:left="1134" w:top="252" w:right="1139" w:bottom="1440" w:gutter="0" w:footer="0" w:header="0"/>
        </w:sectPr>
      </w:pPr>
    </w:p>
    <w:bookmarkStart w:id="563" w:name="page564"/>
    <w:bookmarkEnd w:id="563"/>
    <w:p>
      <w:pPr>
        <w:jc w:val="both"/>
        <w:ind w:left="6" w:right="60"/>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or to enhance the safety or security of the Project or its occupants, (B) which are required to comply with present or anticipated conservation programs,</w:t>
      </w:r>
    </w:p>
    <w:p>
      <w:pPr>
        <w:spacing w:after="0" w:line="2" w:lineRule="exact"/>
        <w:rPr>
          <w:sz w:val="20"/>
          <w:szCs w:val="20"/>
          <w:color w:val="auto"/>
        </w:rPr>
      </w:pPr>
    </w:p>
    <w:p>
      <w:pPr>
        <w:ind w:left="6" w:right="40" w:hanging="6"/>
        <w:spacing w:after="0" w:line="311" w:lineRule="auto"/>
        <w:tabs>
          <w:tab w:leader="none" w:pos="255" w:val="left"/>
        </w:tabs>
        <w:numPr>
          <w:ilvl w:val="0"/>
          <w:numId w:val="417"/>
        </w:numPr>
        <w:rPr>
          <w:rFonts w:ascii="Arial" w:cs="Arial" w:eastAsia="Arial" w:hAnsi="Arial"/>
          <w:sz w:val="13"/>
          <w:szCs w:val="13"/>
          <w:color w:val="auto"/>
        </w:rPr>
      </w:pPr>
      <w:r>
        <w:rPr>
          <w:rFonts w:ascii="Arial" w:cs="Arial" w:eastAsia="Arial" w:hAnsi="Arial"/>
          <w:sz w:val="13"/>
          <w:szCs w:val="13"/>
          <w:color w:val="auto"/>
        </w:rPr>
        <w:t xml:space="preserve">which are replacements or modifications of nonstructural items located in the Common Areas required to keep the Common Areas in good order or condition, or (D) which are required under any governmental law or regulation; provided, however, that any capital expenditure shall be amortized (including reasonable interest on the amortized cost) over the reasonable useful life of such capital item;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3"/>
          <w:szCs w:val="13"/>
          <w:u w:val="single" w:color="auto"/>
          <w:color w:val="auto"/>
        </w:rPr>
        <w:t>Section 4.2.5</w:t>
      </w:r>
      <w:r>
        <w:rPr>
          <w:rFonts w:ascii="Arial" w:cs="Arial" w:eastAsia="Arial" w:hAnsi="Arial"/>
          <w:sz w:val="13"/>
          <w:szCs w:val="13"/>
          <w:color w:val="auto"/>
        </w:rPr>
        <w:t>, below, and (xv)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Arial" w:cs="Arial" w:eastAsia="Arial" w:hAnsi="Arial"/>
          <w:sz w:val="13"/>
          <w:szCs w:val="13"/>
          <w:b w:val="1"/>
          <w:bCs w:val="1"/>
          <w:color w:val="auto"/>
        </w:rPr>
        <w:t>Underlying Documents</w:t>
      </w:r>
      <w:r>
        <w:rPr>
          <w:rFonts w:ascii="Arial" w:cs="Arial" w:eastAsia="Arial" w:hAnsi="Arial"/>
          <w:sz w:val="13"/>
          <w:szCs w:val="13"/>
          <w:color w:val="auto"/>
        </w:rPr>
        <w:t>”). Notwithstanding the foregoing, for purposes of this Lease, Operating Expenses shall not, however, include:</w:t>
      </w:r>
    </w:p>
    <w:p>
      <w:pPr>
        <w:spacing w:after="0" w:line="230" w:lineRule="exact"/>
        <w:rPr>
          <w:rFonts w:ascii="Arial" w:cs="Arial" w:eastAsia="Arial" w:hAnsi="Arial"/>
          <w:sz w:val="13"/>
          <w:szCs w:val="13"/>
          <w:color w:val="auto"/>
        </w:rPr>
      </w:pPr>
    </w:p>
    <w:p>
      <w:pPr>
        <w:ind w:left="386" w:right="100" w:firstLine="830"/>
        <w:spacing w:after="0" w:line="250" w:lineRule="auto"/>
        <w:tabs>
          <w:tab w:leader="none" w:pos="1431" w:val="left"/>
        </w:tabs>
        <w:numPr>
          <w:ilvl w:val="1"/>
          <w:numId w:val="417"/>
        </w:numPr>
        <w:rPr>
          <w:rFonts w:ascii="Arial" w:cs="Arial" w:eastAsia="Arial" w:hAnsi="Arial"/>
          <w:sz w:val="16"/>
          <w:szCs w:val="16"/>
          <w:color w:val="auto"/>
        </w:rPr>
      </w:pPr>
      <w:r>
        <w:rPr>
          <w:rFonts w:ascii="Arial" w:cs="Arial" w:eastAsia="Arial" w:hAnsi="Arial"/>
          <w:sz w:val="16"/>
          <w:szCs w:val="16"/>
          <w:color w:val="auto"/>
        </w:rPr>
        <w:t>costs, including legal fees, space planners’ fees, advertising and promotional expenses (except as otherwise set forth above),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76" w:lineRule="exact"/>
        <w:rPr>
          <w:rFonts w:ascii="Arial" w:cs="Arial" w:eastAsia="Arial" w:hAnsi="Arial"/>
          <w:sz w:val="16"/>
          <w:szCs w:val="16"/>
          <w:color w:val="auto"/>
        </w:rPr>
      </w:pPr>
    </w:p>
    <w:p>
      <w:pPr>
        <w:ind w:left="386" w:firstLine="830"/>
        <w:spacing w:after="0" w:line="266" w:lineRule="auto"/>
        <w:tabs>
          <w:tab w:leader="none" w:pos="144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except as set forth in items (xii), (xiii), and (xiv) above, depreciation, interest and principal payments on mortgages and other debt costs, if any, penalties and interest;</w:t>
      </w:r>
    </w:p>
    <w:p>
      <w:pPr>
        <w:spacing w:after="0" w:line="63" w:lineRule="exact"/>
        <w:rPr>
          <w:rFonts w:ascii="Arial" w:cs="Arial" w:eastAsia="Arial" w:hAnsi="Arial"/>
          <w:sz w:val="16"/>
          <w:szCs w:val="16"/>
          <w:color w:val="auto"/>
        </w:rPr>
      </w:pPr>
    </w:p>
    <w:p>
      <w:pPr>
        <w:jc w:val="both"/>
        <w:ind w:left="386" w:right="120" w:firstLine="830"/>
        <w:spacing w:after="0" w:line="256" w:lineRule="auto"/>
        <w:tabs>
          <w:tab w:leader="none" w:pos="1431" w:val="left"/>
        </w:tabs>
        <w:numPr>
          <w:ilvl w:val="1"/>
          <w:numId w:val="417"/>
        </w:numPr>
        <w:rPr>
          <w:rFonts w:ascii="Arial" w:cs="Arial" w:eastAsia="Arial" w:hAnsi="Arial"/>
          <w:sz w:val="16"/>
          <w:szCs w:val="16"/>
          <w:color w:val="auto"/>
        </w:rPr>
      </w:pPr>
      <w:r>
        <w:rPr>
          <w:rFonts w:ascii="Arial" w:cs="Arial" w:eastAsia="Arial" w:hAnsi="Arial"/>
          <w:sz w:val="16"/>
          <w:szCs w:val="16"/>
          <w:color w:val="auto"/>
        </w:rPr>
        <w:t>costs for which the Landlord is reimbursed by any tenant or occupant of the Project or by insurance by its carrier or any tenant’s carrier or by anyone else, electric power costs for which any tenant directly contracts with the local public service company and costs of utilities and services provided to other tenants that are not provided to Tenant;</w:t>
      </w:r>
    </w:p>
    <w:p>
      <w:pPr>
        <w:spacing w:after="0" w:line="71" w:lineRule="exact"/>
        <w:rPr>
          <w:rFonts w:ascii="Arial" w:cs="Arial" w:eastAsia="Arial" w:hAnsi="Arial"/>
          <w:sz w:val="16"/>
          <w:szCs w:val="16"/>
          <w:color w:val="auto"/>
        </w:rPr>
      </w:pPr>
    </w:p>
    <w:p>
      <w:pPr>
        <w:ind w:left="1446" w:hanging="230"/>
        <w:spacing w:after="0"/>
        <w:tabs>
          <w:tab w:leader="none" w:pos="1446" w:val="left"/>
        </w:tabs>
        <w:numPr>
          <w:ilvl w:val="1"/>
          <w:numId w:val="417"/>
        </w:numPr>
        <w:rPr>
          <w:rFonts w:ascii="Arial" w:cs="Arial" w:eastAsia="Arial" w:hAnsi="Arial"/>
          <w:sz w:val="13"/>
          <w:szCs w:val="13"/>
          <w:color w:val="auto"/>
        </w:rPr>
      </w:pPr>
      <w:r>
        <w:rPr>
          <w:rFonts w:ascii="Arial" w:cs="Arial" w:eastAsia="Arial" w:hAnsi="Arial"/>
          <w:sz w:val="13"/>
          <w:szCs w:val="13"/>
          <w:color w:val="auto"/>
        </w:rPr>
        <w:t>any bad debt loss, rent loss, or reserves for bad debts or rent loss or other reserves to the extent not used in the same year;</w:t>
      </w:r>
    </w:p>
    <w:p>
      <w:pPr>
        <w:spacing w:after="0" w:line="133" w:lineRule="exact"/>
        <w:rPr>
          <w:rFonts w:ascii="Arial" w:cs="Arial" w:eastAsia="Arial" w:hAnsi="Arial"/>
          <w:sz w:val="13"/>
          <w:szCs w:val="13"/>
          <w:color w:val="auto"/>
        </w:rPr>
      </w:pPr>
    </w:p>
    <w:p>
      <w:pPr>
        <w:ind w:left="386" w:firstLine="830"/>
        <w:spacing w:after="0" w:line="268" w:lineRule="auto"/>
        <w:tabs>
          <w:tab w:leader="none" w:pos="1431" w:val="left"/>
        </w:tabs>
        <w:numPr>
          <w:ilvl w:val="1"/>
          <w:numId w:val="417"/>
        </w:numPr>
        <w:rPr>
          <w:rFonts w:ascii="Arial" w:cs="Arial" w:eastAsia="Arial" w:hAnsi="Arial"/>
          <w:sz w:val="15"/>
          <w:szCs w:val="15"/>
          <w:color w:val="auto"/>
        </w:rPr>
      </w:pPr>
      <w:r>
        <w:rPr>
          <w:rFonts w:ascii="Arial" w:cs="Arial" w:eastAsia="Arial" w:hAnsi="Arial"/>
          <w:sz w:val="15"/>
          <w:szCs w:val="15"/>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66" w:lineRule="exact"/>
        <w:rPr>
          <w:rFonts w:ascii="Arial" w:cs="Arial" w:eastAsia="Arial" w:hAnsi="Arial"/>
          <w:sz w:val="15"/>
          <w:szCs w:val="15"/>
          <w:color w:val="auto"/>
        </w:rPr>
      </w:pPr>
    </w:p>
    <w:p>
      <w:pPr>
        <w:ind w:left="386" w:right="80" w:firstLine="830"/>
        <w:spacing w:after="0" w:line="253" w:lineRule="auto"/>
        <w:tabs>
          <w:tab w:leader="none" w:pos="1414"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73" w:lineRule="exact"/>
        <w:rPr>
          <w:rFonts w:ascii="Arial" w:cs="Arial" w:eastAsia="Arial" w:hAnsi="Arial"/>
          <w:sz w:val="16"/>
          <w:szCs w:val="16"/>
          <w:color w:val="auto"/>
        </w:rPr>
      </w:pPr>
    </w:p>
    <w:p>
      <w:pPr>
        <w:ind w:left="1446" w:hanging="230"/>
        <w:spacing w:after="0"/>
        <w:tabs>
          <w:tab w:leader="none" w:pos="1446" w:val="left"/>
        </w:tabs>
        <w:numPr>
          <w:ilvl w:val="1"/>
          <w:numId w:val="417"/>
        </w:numPr>
        <w:rPr>
          <w:rFonts w:ascii="Arial" w:cs="Arial" w:eastAsia="Arial" w:hAnsi="Arial"/>
          <w:sz w:val="16"/>
          <w:szCs w:val="16"/>
          <w:color w:val="auto"/>
        </w:rPr>
      </w:pPr>
      <w:r>
        <w:rPr>
          <w:rFonts w:ascii="Arial" w:cs="Arial" w:eastAsia="Arial" w:hAnsi="Arial"/>
          <w:sz w:val="16"/>
          <w:szCs w:val="16"/>
          <w:color w:val="auto"/>
        </w:rPr>
        <w:t>amount paid as ground rental for the Project by the Landlord;</w:t>
      </w:r>
    </w:p>
    <w:p>
      <w:pPr>
        <w:spacing w:after="0" w:line="98" w:lineRule="exact"/>
        <w:rPr>
          <w:rFonts w:ascii="Arial" w:cs="Arial" w:eastAsia="Arial" w:hAnsi="Arial"/>
          <w:sz w:val="16"/>
          <w:szCs w:val="16"/>
          <w:color w:val="auto"/>
        </w:rPr>
      </w:pPr>
    </w:p>
    <w:p>
      <w:pPr>
        <w:ind w:left="386" w:right="20" w:firstLine="830"/>
        <w:spacing w:after="0" w:line="281" w:lineRule="auto"/>
        <w:tabs>
          <w:tab w:leader="none" w:pos="1440" w:val="left"/>
        </w:tabs>
        <w:numPr>
          <w:ilvl w:val="1"/>
          <w:numId w:val="417"/>
        </w:numPr>
        <w:rPr>
          <w:rFonts w:ascii="Arial" w:cs="Arial" w:eastAsia="Arial" w:hAnsi="Arial"/>
          <w:sz w:val="15"/>
          <w:szCs w:val="15"/>
          <w:color w:val="auto"/>
        </w:rPr>
      </w:pPr>
      <w:r>
        <w:rPr>
          <w:rFonts w:ascii="Arial" w:cs="Arial" w:eastAsia="Arial" w:hAnsi="Arial"/>
          <w:sz w:val="15"/>
          <w:szCs w:val="15"/>
          <w:color w:val="auto"/>
        </w:rPr>
        <w:t>except for a property management fee not to exceed three percent (3%) of gross revenues, overhead and profit increment paid to the Landlord, and any amounts paid to the Landlord or to subsidiaries or affiliates of the Landlord for services in the Project to the extent the same exceeds the costs of such services rendered by qualified, first-class unaffiliated third parties on a competitive basis;</w:t>
      </w:r>
    </w:p>
    <w:p>
      <w:pPr>
        <w:sectPr>
          <w:pgSz w:w="11900" w:h="16838" w:orient="portrait"/>
          <w:cols w:equalWidth="0" w:num="1">
            <w:col w:w="9606"/>
          </w:cols>
          <w:pgMar w:left="1134" w:top="256" w:right="1159" w:bottom="1440" w:gutter="0" w:footer="0" w:header="0"/>
        </w:sectPr>
      </w:pPr>
    </w:p>
    <w:bookmarkStart w:id="564" w:name="page565"/>
    <w:bookmarkEnd w:id="564"/>
    <w:p>
      <w:pPr>
        <w:ind w:left="380" w:right="120" w:firstLine="830"/>
        <w:spacing w:after="0" w:line="300" w:lineRule="auto"/>
        <w:tabs>
          <w:tab w:leader="none" w:pos="1399" w:val="left"/>
        </w:tabs>
        <w:numPr>
          <w:ilvl w:val="0"/>
          <w:numId w:val="4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any compensation paid to clerks, attendants or other persons in commercial concessions operated by the Landlord (other than as direct reimbursement for costs which, if incurred directly by Landlord, would properly be included in Operating Expenses);</w:t>
      </w:r>
    </w:p>
    <w:p>
      <w:pPr>
        <w:spacing w:after="0" w:line="40" w:lineRule="exact"/>
        <w:rPr>
          <w:rFonts w:ascii="Arial" w:cs="Arial" w:eastAsia="Arial" w:hAnsi="Arial"/>
          <w:sz w:val="15"/>
          <w:szCs w:val="15"/>
          <w:color w:val="auto"/>
        </w:rPr>
      </w:pPr>
    </w:p>
    <w:p>
      <w:pPr>
        <w:ind w:left="380" w:right="140" w:firstLine="830"/>
        <w:spacing w:after="0" w:line="253" w:lineRule="auto"/>
        <w:tabs>
          <w:tab w:leader="none" w:pos="1399" w:val="left"/>
        </w:tabs>
        <w:numPr>
          <w:ilvl w:val="0"/>
          <w:numId w:val="418"/>
        </w:numPr>
        <w:rPr>
          <w:rFonts w:ascii="Arial" w:cs="Arial" w:eastAsia="Arial" w:hAnsi="Arial"/>
          <w:sz w:val="16"/>
          <w:szCs w:val="16"/>
          <w:color w:val="auto"/>
        </w:rPr>
      </w:pPr>
      <w:r>
        <w:rPr>
          <w:rFonts w:ascii="Arial" w:cs="Arial" w:eastAsia="Arial" w:hAnsi="Arial"/>
          <w:sz w:val="16"/>
          <w:szCs w:val="16"/>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w:t>
      </w:r>
    </w:p>
    <w:p>
      <w:pPr>
        <w:spacing w:after="0" w:line="73" w:lineRule="exact"/>
        <w:rPr>
          <w:rFonts w:ascii="Arial" w:cs="Arial" w:eastAsia="Arial" w:hAnsi="Arial"/>
          <w:sz w:val="16"/>
          <w:szCs w:val="16"/>
          <w:color w:val="auto"/>
        </w:rPr>
      </w:pPr>
    </w:p>
    <w:p>
      <w:pPr>
        <w:ind w:left="380" w:right="440" w:firstLine="830"/>
        <w:spacing w:after="0" w:line="266" w:lineRule="auto"/>
        <w:tabs>
          <w:tab w:leader="none" w:pos="1434"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all items and services for which Tenant or any other tenant in the Project reimburses Landlord or which Landlord provides selectively to one or more tenants (other than Tenant) without reimbursement;</w:t>
      </w:r>
    </w:p>
    <w:p>
      <w:pPr>
        <w:spacing w:after="0" w:line="63" w:lineRule="exact"/>
        <w:rPr>
          <w:rFonts w:ascii="Arial" w:cs="Arial" w:eastAsia="Arial" w:hAnsi="Arial"/>
          <w:sz w:val="16"/>
          <w:szCs w:val="16"/>
          <w:color w:val="auto"/>
        </w:rPr>
      </w:pPr>
    </w:p>
    <w:p>
      <w:pPr>
        <w:ind w:left="1400" w:hanging="190"/>
        <w:spacing w:after="0"/>
        <w:tabs>
          <w:tab w:leader="none" w:pos="140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costs expressly excluded from Operating Expenses elsewhere in this Lease;</w:t>
      </w:r>
    </w:p>
    <w:p>
      <w:pPr>
        <w:spacing w:after="0" w:line="98" w:lineRule="exact"/>
        <w:rPr>
          <w:rFonts w:ascii="Arial" w:cs="Arial" w:eastAsia="Arial" w:hAnsi="Arial"/>
          <w:sz w:val="16"/>
          <w:szCs w:val="16"/>
          <w:color w:val="auto"/>
        </w:rPr>
      </w:pPr>
    </w:p>
    <w:p>
      <w:pPr>
        <w:ind w:left="1480" w:hanging="270"/>
        <w:spacing w:after="0"/>
        <w:tabs>
          <w:tab w:leader="none" w:pos="148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rent for the amenities center or for any office space occupied by Project management personnel;</w:t>
      </w:r>
    </w:p>
    <w:p>
      <w:pPr>
        <w:spacing w:after="0" w:line="98" w:lineRule="exact"/>
        <w:rPr>
          <w:rFonts w:ascii="Arial" w:cs="Arial" w:eastAsia="Arial" w:hAnsi="Arial"/>
          <w:sz w:val="16"/>
          <w:szCs w:val="16"/>
          <w:color w:val="auto"/>
        </w:rPr>
      </w:pPr>
    </w:p>
    <w:p>
      <w:pPr>
        <w:ind w:left="1440" w:hanging="230"/>
        <w:spacing w:after="0"/>
        <w:tabs>
          <w:tab w:leader="none" w:pos="1440" w:val="left"/>
        </w:tabs>
        <w:numPr>
          <w:ilvl w:val="0"/>
          <w:numId w:val="418"/>
        </w:numPr>
        <w:rPr>
          <w:rFonts w:ascii="Arial" w:cs="Arial" w:eastAsia="Arial" w:hAnsi="Arial"/>
          <w:sz w:val="13"/>
          <w:szCs w:val="13"/>
          <w:color w:val="auto"/>
        </w:rPr>
      </w:pPr>
      <w:r>
        <w:rPr>
          <w:rFonts w:ascii="Arial" w:cs="Arial" w:eastAsia="Arial" w:hAnsi="Arial"/>
          <w:sz w:val="13"/>
          <w:szCs w:val="13"/>
          <w:color w:val="auto"/>
        </w:rPr>
        <w:t>costs arising from the gross negligence or willful misconduct of Landlord or its agents, employees or contractors in connection</w:t>
      </w:r>
    </w:p>
    <w:p>
      <w:pPr>
        <w:spacing w:after="0" w:line="50"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6"/>
          <w:szCs w:val="16"/>
          <w:color w:val="auto"/>
        </w:rPr>
        <w:t>with this Lease;</w:t>
      </w:r>
    </w:p>
    <w:p>
      <w:pPr>
        <w:spacing w:after="0" w:line="87" w:lineRule="exact"/>
        <w:rPr>
          <w:rFonts w:ascii="Arial" w:cs="Arial" w:eastAsia="Arial" w:hAnsi="Arial"/>
          <w:sz w:val="13"/>
          <w:szCs w:val="13"/>
          <w:color w:val="auto"/>
        </w:rPr>
      </w:pPr>
    </w:p>
    <w:p>
      <w:pPr>
        <w:ind w:left="380" w:right="100" w:firstLine="830"/>
        <w:spacing w:after="0" w:line="256" w:lineRule="auto"/>
        <w:tabs>
          <w:tab w:leader="none" w:pos="1434" w:val="left"/>
        </w:tabs>
        <w:numPr>
          <w:ilvl w:val="0"/>
          <w:numId w:val="418"/>
        </w:numPr>
        <w:rPr>
          <w:rFonts w:ascii="Arial" w:cs="Arial" w:eastAsia="Arial" w:hAnsi="Arial"/>
          <w:sz w:val="16"/>
          <w:szCs w:val="16"/>
          <w:color w:val="auto"/>
        </w:rPr>
      </w:pPr>
      <w:r>
        <w:rPr>
          <w:rFonts w:ascii="Arial" w:cs="Arial" w:eastAsia="Arial" w:hAnsi="Arial"/>
          <w:sz w:val="16"/>
          <w:szCs w:val="16"/>
          <w:color w:val="auto"/>
        </w:rPr>
        <w:t>costs incurred to comply with laws relating to the removal or remediation of hazardous material (as defined under applicable law), and any costs of fines or penalties relating to the presence of hazardous material, in each case to the extent not brought into the Building or Premises by Tenant or any Tenant Parties;</w:t>
      </w:r>
    </w:p>
    <w:p>
      <w:pPr>
        <w:spacing w:after="0" w:line="71" w:lineRule="exact"/>
        <w:rPr>
          <w:rFonts w:ascii="Arial" w:cs="Arial" w:eastAsia="Arial" w:hAnsi="Arial"/>
          <w:sz w:val="16"/>
          <w:szCs w:val="16"/>
          <w:color w:val="auto"/>
        </w:rPr>
      </w:pPr>
    </w:p>
    <w:p>
      <w:pPr>
        <w:ind w:left="380" w:right="780" w:firstLine="830"/>
        <w:spacing w:after="0" w:line="266" w:lineRule="auto"/>
        <w:tabs>
          <w:tab w:leader="none" w:pos="1434" w:val="left"/>
        </w:tabs>
        <w:numPr>
          <w:ilvl w:val="0"/>
          <w:numId w:val="418"/>
        </w:numPr>
        <w:rPr>
          <w:rFonts w:ascii="Arial" w:cs="Arial" w:eastAsia="Arial" w:hAnsi="Arial"/>
          <w:sz w:val="16"/>
          <w:szCs w:val="16"/>
          <w:color w:val="auto"/>
        </w:rPr>
      </w:pPr>
      <w:r>
        <w:rPr>
          <w:rFonts w:ascii="Arial" w:cs="Arial" w:eastAsia="Arial" w:hAnsi="Arial"/>
          <w:sz w:val="16"/>
          <w:szCs w:val="16"/>
          <w:color w:val="auto"/>
        </w:rPr>
        <w:t>costs to correct any construction defect in the Project or to remedy any violation of a covenant, condition, restriction, underwriter’s requirement or law that exists as of the Lease Commencement Date;</w:t>
      </w:r>
    </w:p>
    <w:p>
      <w:pPr>
        <w:spacing w:after="0" w:line="63" w:lineRule="exact"/>
        <w:rPr>
          <w:rFonts w:ascii="Arial" w:cs="Arial" w:eastAsia="Arial" w:hAnsi="Arial"/>
          <w:sz w:val="16"/>
          <w:szCs w:val="16"/>
          <w:color w:val="auto"/>
        </w:rPr>
      </w:pPr>
    </w:p>
    <w:p>
      <w:pPr>
        <w:ind w:left="1440" w:hanging="230"/>
        <w:spacing w:after="0"/>
        <w:tabs>
          <w:tab w:leader="none" w:pos="144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capital costs occasioned by casualties or condemnation.</w:t>
      </w:r>
    </w:p>
    <w:p>
      <w:pPr>
        <w:spacing w:after="0" w:line="98" w:lineRule="exact"/>
        <w:rPr>
          <w:rFonts w:ascii="Arial" w:cs="Arial" w:eastAsia="Arial" w:hAnsi="Arial"/>
          <w:sz w:val="16"/>
          <w:szCs w:val="16"/>
          <w:color w:val="auto"/>
        </w:rPr>
      </w:pPr>
    </w:p>
    <w:p>
      <w:pPr>
        <w:ind w:left="380" w:firstLine="830"/>
        <w:spacing w:after="0" w:line="256" w:lineRule="auto"/>
        <w:tabs>
          <w:tab w:leader="none" w:pos="1407" w:val="left"/>
        </w:tabs>
        <w:numPr>
          <w:ilvl w:val="0"/>
          <w:numId w:val="418"/>
        </w:numPr>
        <w:rPr>
          <w:rFonts w:ascii="Arial" w:cs="Arial" w:eastAsia="Arial" w:hAnsi="Arial"/>
          <w:sz w:val="16"/>
          <w:szCs w:val="16"/>
          <w:color w:val="auto"/>
        </w:rPr>
      </w:pPr>
      <w:r>
        <w:rPr>
          <w:rFonts w:ascii="Arial" w:cs="Arial" w:eastAsia="Arial" w:hAnsi="Arial"/>
          <w:sz w:val="16"/>
          <w:szCs w:val="16"/>
          <w:color w:val="auto"/>
        </w:rPr>
        <w:t>legal fees, accountants’ fees (other than normal bookkeeping expenses) and other expenses incurred in connection with disputes of tenants or other occupants of the Project or associated with the enforcement of the terms of any leases with tenants or the defense of Landlord’s title to or interest in the Project or any part thereof;</w:t>
      </w:r>
    </w:p>
    <w:p>
      <w:pPr>
        <w:spacing w:after="0" w:line="71" w:lineRule="exact"/>
        <w:rPr>
          <w:rFonts w:ascii="Arial" w:cs="Arial" w:eastAsia="Arial" w:hAnsi="Arial"/>
          <w:sz w:val="16"/>
          <w:szCs w:val="16"/>
          <w:color w:val="auto"/>
        </w:rPr>
      </w:pPr>
    </w:p>
    <w:p>
      <w:pPr>
        <w:ind w:left="1420" w:hanging="210"/>
        <w:spacing w:after="0"/>
        <w:tabs>
          <w:tab w:leader="none" w:pos="142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costs incurred due to a violation by Landlord or any other tenant of the Project of the terms and conditions of a lease; and</w:t>
      </w:r>
    </w:p>
    <w:p>
      <w:pPr>
        <w:spacing w:after="0" w:line="110" w:lineRule="exact"/>
        <w:rPr>
          <w:rFonts w:ascii="Arial" w:cs="Arial" w:eastAsia="Arial" w:hAnsi="Arial"/>
          <w:sz w:val="15"/>
          <w:szCs w:val="15"/>
          <w:color w:val="auto"/>
        </w:rPr>
      </w:pPr>
    </w:p>
    <w:p>
      <w:pPr>
        <w:ind w:left="1400" w:hanging="190"/>
        <w:spacing w:after="0"/>
        <w:tabs>
          <w:tab w:leader="none" w:pos="140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self-insurance retentions.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193" w:lineRule="exact"/>
        <w:rPr>
          <w:sz w:val="20"/>
          <w:szCs w:val="20"/>
          <w:color w:val="auto"/>
        </w:rPr>
      </w:pPr>
    </w:p>
    <w:p>
      <w:pPr>
        <w:ind w:right="40" w:firstLine="1251"/>
        <w:spacing w:after="0" w:line="319" w:lineRule="auto"/>
        <w:rPr>
          <w:sz w:val="20"/>
          <w:szCs w:val="20"/>
          <w:color w:val="auto"/>
        </w:rPr>
      </w:pPr>
      <w:r>
        <w:rPr>
          <w:rFonts w:ascii="Arial" w:cs="Arial" w:eastAsia="Arial" w:hAnsi="Arial"/>
          <w:sz w:val="13"/>
          <w:szCs w:val="13"/>
          <w:color w:val="auto"/>
        </w:rPr>
        <w:t xml:space="preserve">4.2.5.1 </w:t>
      </w:r>
      <w:r>
        <w:rPr>
          <w:rFonts w:ascii="Arial" w:cs="Arial" w:eastAsia="Arial" w:hAnsi="Arial"/>
          <w:sz w:val="13"/>
          <w:szCs w:val="13"/>
          <w:b w:val="1"/>
          <w:bCs w:val="1"/>
          <w:color w:val="auto"/>
        </w:rPr>
        <w:t>“Tax Expenses</w:t>
      </w:r>
      <w:r>
        <w:rPr>
          <w:rFonts w:ascii="Arial" w:cs="Arial" w:eastAsia="Arial" w:hAnsi="Arial"/>
          <w:sz w:val="13"/>
          <w:szCs w:val="13"/>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ectPr>
          <w:pgSz w:w="11900" w:h="16838" w:orient="portrait"/>
          <w:cols w:equalWidth="0" w:num="1">
            <w:col w:w="9560"/>
          </w:cols>
          <w:pgMar w:left="1140" w:top="256" w:right="1199" w:bottom="1440" w:gutter="0" w:footer="0" w:header="0"/>
        </w:sectPr>
      </w:pPr>
    </w:p>
    <w:bookmarkStart w:id="565" w:name="page566"/>
    <w:bookmarkEnd w:id="565"/>
    <w:p>
      <w:pPr>
        <w:ind w:right="20" w:firstLine="1251"/>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163" w:lineRule="exact"/>
        <w:rPr>
          <w:sz w:val="20"/>
          <w:szCs w:val="20"/>
          <w:color w:val="auto"/>
        </w:rPr>
      </w:pPr>
    </w:p>
    <w:p>
      <w:pPr>
        <w:ind w:right="80" w:firstLine="1251"/>
        <w:spacing w:after="0" w:line="305" w:lineRule="auto"/>
        <w:rPr>
          <w:sz w:val="20"/>
          <w:szCs w:val="20"/>
          <w:color w:val="auto"/>
        </w:rPr>
      </w:pPr>
      <w:r>
        <w:rPr>
          <w:rFonts w:ascii="Arial" w:cs="Arial" w:eastAsia="Arial" w:hAnsi="Arial"/>
          <w:sz w:val="13"/>
          <w:szCs w:val="13"/>
          <w:color w:val="auto"/>
        </w:rPr>
        <w:t>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w:t>
      </w:r>
    </w:p>
    <w:p>
      <w:pPr>
        <w:spacing w:after="0" w:line="2"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u w:val="single" w:color="auto"/>
          <w:color w:val="auto"/>
        </w:rPr>
        <w:t>Section 4.2.5</w:t>
      </w:r>
      <w:r>
        <w:rPr>
          <w:rFonts w:ascii="Arial" w:cs="Arial" w:eastAsia="Arial" w:hAnsi="Arial"/>
          <w:sz w:val="15"/>
          <w:szCs w:val="15"/>
          <w:color w:val="auto"/>
        </w:rPr>
        <w:t xml:space="preserve">, there shall be excluded from Tax Expenses (i) all excess profits taxes, franchise taxes, gift taxes, capital stock taxes, inheritance and succession taxes, transfer taxes, estate taxes, federal and state income taxes, and other taxes to the extent applicable to Landlord’s net income (as opposed to rents, receipts or income attributable to operations at the Project), (ii) any items included as Operating Expenses, (iii) any items paid by Tenant under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of this Lease, (iv) assessments in excess of the amount which would be payable if such assessment expense were paid in installments over the longest permitted term; (v) taxes imposed on land and improvements other than the Project; and (vi) tax increases resulting from the improvement of any of the Project for the sole use of other occupants.</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b w:val="1"/>
          <w:bCs w:val="1"/>
          <w:color w:val="auto"/>
        </w:rPr>
        <w:t>“Tenant’s Share</w:t>
      </w:r>
      <w:r>
        <w:rPr>
          <w:rFonts w:ascii="Arial" w:cs="Arial" w:eastAsia="Arial" w:hAnsi="Arial"/>
          <w:sz w:val="16"/>
          <w:szCs w:val="16"/>
          <w:color w:val="auto"/>
        </w:rPr>
        <w:t xml:space="preserve">” shall mean the percentage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Summary.</w:t>
      </w:r>
    </w:p>
    <w:p>
      <w:pPr>
        <w:spacing w:after="0" w:line="193" w:lineRule="exact"/>
        <w:rPr>
          <w:sz w:val="20"/>
          <w:szCs w:val="20"/>
          <w:color w:val="auto"/>
        </w:rPr>
      </w:pPr>
    </w:p>
    <w:p>
      <w:pPr>
        <w:ind w:right="20" w:firstLine="385"/>
        <w:spacing w:after="0" w:line="26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b w:val="1"/>
          <w:bCs w:val="1"/>
          <w:u w:val="single" w:color="auto"/>
          <w:color w:val="auto"/>
        </w:rPr>
        <w:t>Allocation of Direct Expenses</w:t>
      </w:r>
      <w:r>
        <w:rPr>
          <w:rFonts w:ascii="Arial" w:cs="Arial" w:eastAsia="Arial" w:hAnsi="Arial"/>
          <w:sz w:val="15"/>
          <w:szCs w:val="15"/>
          <w:color w:val="auto"/>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 pro rata portion of the Direct Expenses attributable to the Project as a whole, and shall not include Direct Expenses attributable solely to other buildings in the Project.</w:t>
      </w:r>
    </w:p>
    <w:p>
      <w:pPr>
        <w:spacing w:after="0" w:line="156" w:lineRule="exact"/>
        <w:rPr>
          <w:sz w:val="20"/>
          <w:szCs w:val="20"/>
          <w:color w:val="auto"/>
        </w:rPr>
      </w:pPr>
    </w:p>
    <w:p>
      <w:pPr>
        <w:ind w:firstLine="385"/>
        <w:spacing w:after="0" w:line="390"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b w:val="1"/>
          <w:bCs w:val="1"/>
          <w:u w:val="single" w:color="auto"/>
          <w:color w:val="auto"/>
        </w:rPr>
        <w:t>Calculation and Payment of Additional Rent</w:t>
      </w:r>
      <w:r>
        <w:rPr>
          <w:rFonts w:ascii="Arial" w:cs="Arial" w:eastAsia="Arial" w:hAnsi="Arial"/>
          <w:sz w:val="13"/>
          <w:szCs w:val="13"/>
          <w:color w:val="auto"/>
        </w:rPr>
        <w:t xml:space="preserve">. Commencing on the Lease Commencement Date, Tenant shall pay to Landlord, in the manner set forth in </w:t>
      </w:r>
      <w:r>
        <w:rPr>
          <w:rFonts w:ascii="Arial" w:cs="Arial" w:eastAsia="Arial" w:hAnsi="Arial"/>
          <w:sz w:val="13"/>
          <w:szCs w:val="13"/>
          <w:u w:val="single" w:color="auto"/>
          <w:color w:val="auto"/>
        </w:rPr>
        <w:t>Section 4.4.1</w:t>
      </w:r>
      <w:r>
        <w:rPr>
          <w:rFonts w:ascii="Arial" w:cs="Arial" w:eastAsia="Arial" w:hAnsi="Arial"/>
          <w:sz w:val="13"/>
          <w:szCs w:val="13"/>
          <w:color w:val="auto"/>
        </w:rPr>
        <w:t>, below, and as Additional Rent, Tenant’s Share of Direct Expenses for each Expense Year during the Lease Term.</w:t>
      </w:r>
    </w:p>
    <w:p>
      <w:pPr>
        <w:spacing w:after="0" w:line="80" w:lineRule="exact"/>
        <w:rPr>
          <w:sz w:val="20"/>
          <w:szCs w:val="20"/>
          <w:color w:val="auto"/>
        </w:rPr>
      </w:pPr>
    </w:p>
    <w:p>
      <w:pPr>
        <w:ind w:right="40" w:firstLine="866"/>
        <w:spacing w:after="0" w:line="317" w:lineRule="auto"/>
        <w:rPr>
          <w:sz w:val="20"/>
          <w:szCs w:val="20"/>
          <w:color w:val="auto"/>
        </w:rPr>
      </w:pPr>
      <w:r>
        <w:rPr>
          <w:rFonts w:ascii="Arial" w:cs="Arial" w:eastAsia="Arial" w:hAnsi="Arial"/>
          <w:sz w:val="13"/>
          <w:szCs w:val="13"/>
          <w:color w:val="auto"/>
        </w:rPr>
        <w:t xml:space="preserve">4.4.1 </w:t>
      </w:r>
      <w:r>
        <w:rPr>
          <w:rFonts w:ascii="Arial" w:cs="Arial" w:eastAsia="Arial" w:hAnsi="Arial"/>
          <w:sz w:val="13"/>
          <w:szCs w:val="13"/>
          <w:b w:val="1"/>
          <w:bCs w:val="1"/>
          <w:u w:val="single" w:color="auto"/>
          <w:color w:val="auto"/>
        </w:rPr>
        <w:t>Statement of Actual Direct Expenses and Payment by Tenant</w:t>
      </w:r>
      <w:r>
        <w:rPr>
          <w:rFonts w:ascii="Arial" w:cs="Arial" w:eastAsia="Arial" w:hAnsi="Arial"/>
          <w:sz w:val="13"/>
          <w:szCs w:val="13"/>
          <w:color w:val="auto"/>
        </w:rPr>
        <w:t>. Landlord shall give to Tenant within five (5) months following the end of each Expense Year, a statement (the “</w:t>
      </w:r>
      <w:r>
        <w:rPr>
          <w:rFonts w:ascii="Arial" w:cs="Arial" w:eastAsia="Arial" w:hAnsi="Arial"/>
          <w:sz w:val="13"/>
          <w:szCs w:val="13"/>
          <w:b w:val="1"/>
          <w:bCs w:val="1"/>
          <w:color w:val="auto"/>
        </w:rPr>
        <w:t>Statement</w:t>
      </w:r>
      <w:r>
        <w:rPr>
          <w:rFonts w:ascii="Arial" w:cs="Arial" w:eastAsia="Arial" w:hAnsi="Arial"/>
          <w:sz w:val="13"/>
          <w:szCs w:val="13"/>
          <w:color w:val="auto"/>
        </w:rPr>
        <w:t>”) 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that is at least thirty (30) days thereafter, the full amount of Tenant’s Share of Direct Expenses for such Expense Year, less the amounts, if any, paid during such Expense Year as “</w:t>
      </w:r>
      <w:r>
        <w:rPr>
          <w:rFonts w:ascii="Arial" w:cs="Arial" w:eastAsia="Arial" w:hAnsi="Arial"/>
          <w:sz w:val="13"/>
          <w:szCs w:val="13"/>
          <w:b w:val="1"/>
          <w:bCs w:val="1"/>
          <w:color w:val="auto"/>
        </w:rPr>
        <w:t>Estimated Direct Expenses</w:t>
      </w:r>
      <w:r>
        <w:rPr>
          <w:rFonts w:ascii="Arial" w:cs="Arial" w:eastAsia="Arial" w:hAnsi="Arial"/>
          <w:sz w:val="13"/>
          <w:szCs w:val="13"/>
          <w:color w:val="auto"/>
        </w:rPr>
        <w:t xml:space="preserve">,” as that term is defined in </w:t>
      </w:r>
      <w:r>
        <w:rPr>
          <w:rFonts w:ascii="Arial" w:cs="Arial" w:eastAsia="Arial" w:hAnsi="Arial"/>
          <w:sz w:val="13"/>
          <w:szCs w:val="13"/>
          <w:u w:val="single" w:color="auto"/>
          <w:color w:val="auto"/>
        </w:rPr>
        <w:t>Section 4.4.2</w:t>
      </w:r>
      <w:r>
        <w:rPr>
          <w:rFonts w:ascii="Arial" w:cs="Arial" w:eastAsia="Arial" w:hAnsi="Arial"/>
          <w:sz w:val="13"/>
          <w:szCs w:val="13"/>
          <w:color w:val="auto"/>
        </w:rPr>
        <w:t>, below, and if Tenant paid more as Estimated Direct Expenses than the actual Tenant’s Share of Direct Expenses, Tenant shall receive a credit in the amount of Tenant’s overpayment against Rent next due under this Lease. The failure of Landlord to</w:t>
      </w:r>
    </w:p>
    <w:p>
      <w:pPr>
        <w:sectPr>
          <w:pgSz w:w="11900" w:h="16838" w:orient="portrait"/>
          <w:cols w:equalWidth="0" w:num="1">
            <w:col w:w="9600"/>
          </w:cols>
          <w:pgMar w:left="1140" w:top="256" w:right="1159" w:bottom="1440" w:gutter="0" w:footer="0" w:header="0"/>
        </w:sectPr>
      </w:pPr>
    </w:p>
    <w:bookmarkStart w:id="566" w:name="page567"/>
    <w:bookmarkEnd w:id="566"/>
    <w:p>
      <w:pPr>
        <w:ind w:right="40"/>
        <w:spacing w:after="0" w:line="31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timely furnish the Statement for any Expense Year shall not prejudice Landlord or Tenant from enforcing its rights under this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The provisions of this </w:t>
      </w:r>
      <w:r>
        <w:rPr>
          <w:rFonts w:ascii="Arial" w:cs="Arial" w:eastAsia="Arial" w:hAnsi="Arial"/>
          <w:sz w:val="13"/>
          <w:szCs w:val="13"/>
          <w:u w:val="single" w:color="auto"/>
          <w:color w:val="auto"/>
        </w:rPr>
        <w:t>Section 4.4.1</w:t>
      </w:r>
      <w:r>
        <w:rPr>
          <w:rFonts w:ascii="Arial" w:cs="Arial" w:eastAsia="Arial" w:hAnsi="Arial"/>
          <w:sz w:val="13"/>
          <w:szCs w:val="13"/>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two (2) calendar years after the earlier of the expiration of the applicable Expense Year or the Lease Expiration Date, provided that in any event Tenant shall be responsible for Tenant’s Share of Direct Expenses levied by any governmental authority or by any public utility companies at any time following the Lease Expiration Date which are attributable to any Expense Year (provided that Landlord delivers Tenant a bill for such amounts within two (2) years following Landlord’s receipt of the bill therefor).</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xml:space="preserve">4.4.2 </w:t>
      </w:r>
      <w:r>
        <w:rPr>
          <w:rFonts w:ascii="Arial" w:cs="Arial" w:eastAsia="Arial" w:hAnsi="Arial"/>
          <w:sz w:val="15"/>
          <w:szCs w:val="15"/>
          <w:b w:val="1"/>
          <w:bCs w:val="1"/>
          <w:u w:val="single" w:color="auto"/>
          <w:color w:val="auto"/>
        </w:rPr>
        <w:t>Statement of Estimated Direct Expenses</w:t>
      </w:r>
      <w:r>
        <w:rPr>
          <w:rFonts w:ascii="Arial" w:cs="Arial" w:eastAsia="Arial" w:hAnsi="Arial"/>
          <w:sz w:val="15"/>
          <w:szCs w:val="15"/>
          <w:color w:val="auto"/>
        </w:rPr>
        <w:t>. In addition, Landlord shall give Tenant a yearly expense estimate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 Statement</w:t>
      </w:r>
      <w:r>
        <w:rPr>
          <w:rFonts w:ascii="Arial" w:cs="Arial" w:eastAsia="Arial" w:hAnsi="Arial"/>
          <w:sz w:val="13"/>
          <w:szCs w:val="13"/>
          <w:color w:val="auto"/>
        </w:rPr>
        <w:t>”) which shall set forth Landlord’s reasonable estimate (the “</w:t>
      </w:r>
      <w:r>
        <w:rPr>
          <w:rFonts w:ascii="Arial" w:cs="Arial" w:eastAsia="Arial" w:hAnsi="Arial"/>
          <w:sz w:val="13"/>
          <w:szCs w:val="13"/>
          <w:b w:val="1"/>
          <w:bCs w:val="1"/>
          <w:color w:val="auto"/>
        </w:rPr>
        <w:t>Estimate</w:t>
      </w:r>
      <w:r>
        <w:rPr>
          <w:rFonts w:ascii="Arial" w:cs="Arial" w:eastAsia="Arial" w:hAnsi="Arial"/>
          <w:sz w:val="13"/>
          <w:szCs w:val="13"/>
          <w:color w:val="auto"/>
        </w:rPr>
        <w:t>”) of what the total amount of Direct Expenses for the then-</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current Expense Year shall be and the estimated Tenant’s Share of Direct Expenses (the “</w:t>
      </w:r>
      <w:r>
        <w:rPr>
          <w:rFonts w:ascii="Arial" w:cs="Arial" w:eastAsia="Arial" w:hAnsi="Arial"/>
          <w:sz w:val="13"/>
          <w:szCs w:val="13"/>
          <w:b w:val="1"/>
          <w:bCs w:val="1"/>
          <w:color w:val="auto"/>
        </w:rPr>
        <w:t>Estimated Direct Expenses</w:t>
      </w:r>
      <w:r>
        <w:rPr>
          <w:rFonts w:ascii="Arial" w:cs="Arial" w:eastAsia="Arial" w:hAnsi="Arial"/>
          <w:sz w:val="13"/>
          <w:szCs w:val="13"/>
          <w:color w:val="auto"/>
        </w:rPr>
        <w:t>”). The failure of Landlord to</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timely furnish the Estimate Statement for any Expense Year shall not preclude Landlord from enforcing its rights to collect any Estimated Direct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Expenses under this </w:t>
      </w:r>
      <w:r>
        <w:rPr>
          <w:rFonts w:ascii="Arial" w:cs="Arial" w:eastAsia="Arial" w:hAnsi="Arial"/>
          <w:sz w:val="15"/>
          <w:szCs w:val="15"/>
          <w:u w:val="single" w:color="auto"/>
          <w:color w:val="auto"/>
        </w:rPr>
        <w:t>Article 4</w:t>
      </w:r>
      <w:r>
        <w:rPr>
          <w:rFonts w:ascii="Arial" w:cs="Arial" w:eastAsia="Arial" w:hAnsi="Arial"/>
          <w:sz w:val="15"/>
          <w:szCs w:val="15"/>
          <w:color w:val="auto"/>
        </w:rPr>
        <w:t>, nor shall Landlord be prohibited from revising any Estimate Statement or Estimated Direct Expenses theretofore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delivered to the extent necessary. Thereafter, Tenant shall pay, with its next installment of Base Rent due that is at least thirty (30) days thereafter, 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fraction of the Estimated Direct Expenses for the then-current Expense Year (reduced by any amounts paid pursuant to the last sentence of this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4.4.2</w:t>
      </w:r>
      <w:r>
        <w:rPr>
          <w:rFonts w:ascii="Arial" w:cs="Arial" w:eastAsia="Arial" w:hAnsi="Arial"/>
          <w:sz w:val="13"/>
          <w:szCs w:val="13"/>
          <w:color w:val="auto"/>
        </w:rPr>
        <w:t>). Such fraction shall have as its numerator the number of months which have elapsed in such current Expense Year, including the month of</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such payment, and twelve (12) as its denominator. Until a new Estimate Statement is furnished (which Landlord shall have the right to deliver to Tenant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at any time), Tenant shall pay monthly, with the monthly Base Rent installments, an amount equal to one-twelfth (1/12) of the total Estimated Direct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Expenses set forth in the previous Estimate Statement delivered by Landlord to Tenant.</w:t>
      </w:r>
    </w:p>
    <w:p>
      <w:pPr>
        <w:spacing w:after="0" w:line="178" w:lineRule="exact"/>
        <w:rPr>
          <w:sz w:val="20"/>
          <w:szCs w:val="20"/>
          <w:color w:val="auto"/>
        </w:rPr>
      </w:pPr>
    </w:p>
    <w:p>
      <w:pPr>
        <w:ind w:right="220" w:firstLine="385"/>
        <w:spacing w:after="0" w:line="317"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b w:val="1"/>
          <w:bCs w:val="1"/>
          <w:u w:val="single" w:color="auto"/>
          <w:color w:val="auto"/>
        </w:rPr>
        <w:t>Taxes and Other Charges for Which Tenant Is Directly Responsible</w:t>
      </w:r>
      <w:r>
        <w:rPr>
          <w:rFonts w:ascii="Arial" w:cs="Arial" w:eastAsia="Arial" w:hAnsi="Arial"/>
          <w:sz w:val="13"/>
          <w:szCs w:val="13"/>
          <w:color w:val="auto"/>
        </w:rPr>
        <w:t>.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27" w:lineRule="exact"/>
        <w:rPr>
          <w:sz w:val="20"/>
          <w:szCs w:val="20"/>
          <w:color w:val="auto"/>
        </w:rPr>
      </w:pPr>
    </w:p>
    <w:p>
      <w:pPr>
        <w:ind w:firstLine="385"/>
        <w:spacing w:after="0" w:line="265"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b w:val="1"/>
          <w:bCs w:val="1"/>
          <w:u w:val="single" w:color="auto"/>
          <w:color w:val="auto"/>
        </w:rPr>
        <w:t>Landlord’s Books and Records</w:t>
      </w:r>
      <w:r>
        <w:rPr>
          <w:rFonts w:ascii="Arial" w:cs="Arial" w:eastAsia="Arial" w:hAnsi="Arial"/>
          <w:sz w:val="15"/>
          <w:szCs w:val="15"/>
          <w:color w:val="auto"/>
        </w:rPr>
        <w:t>. Within one hundred twenty (120) days after receipt by Tenant of a Statement, if Tenant disputes the amount of Additional Rent set forth in the Statement, a member of Tenant’s finance department, or an independent certified public accountant (which accountant is a member of a nationally recognized accounting firm and is not working on a contingency fee basis) (“</w:t>
      </w:r>
      <w:r>
        <w:rPr>
          <w:rFonts w:ascii="Arial" w:cs="Arial" w:eastAsia="Arial" w:hAnsi="Arial"/>
          <w:sz w:val="15"/>
          <w:szCs w:val="15"/>
          <w:b w:val="1"/>
          <w:bCs w:val="1"/>
          <w:color w:val="auto"/>
        </w:rPr>
        <w:t>Tenant’s Accountant</w:t>
      </w:r>
      <w:r>
        <w:rPr>
          <w:rFonts w:ascii="Arial" w:cs="Arial" w:eastAsia="Arial" w:hAnsi="Arial"/>
          <w:sz w:val="15"/>
          <w:szCs w:val="15"/>
          <w:color w:val="auto"/>
        </w:rPr>
        <w:t>”), designated and paid for by Tenant, may, after reasonable notice to Landlord and at reasonable times, inspect Landlord’s records with respect to the Statement at Landlord’s offices, provided that there is no existing Event of Default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one hundred twenty (120) days of Tenant’s receipt of such Statement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certified public accountant (the “</w:t>
      </w:r>
      <w:r>
        <w:rPr>
          <w:rFonts w:ascii="Arial" w:cs="Arial" w:eastAsia="Arial" w:hAnsi="Arial"/>
          <w:sz w:val="15"/>
          <w:szCs w:val="15"/>
          <w:b w:val="1"/>
          <w:bCs w:val="1"/>
          <w:color w:val="auto"/>
        </w:rPr>
        <w:t>Accountant</w:t>
      </w:r>
      <w:r>
        <w:rPr>
          <w:rFonts w:ascii="Arial" w:cs="Arial" w:eastAsia="Arial" w:hAnsi="Arial"/>
          <w:sz w:val="15"/>
          <w:szCs w:val="15"/>
          <w:color w:val="auto"/>
        </w:rPr>
        <w:t>”) selected by Landlord and subject to Tenant’s reasonable approval; provided that if such Accountant determines that Direct Expenses were overstated by more than five percent (5%), then the cost of the Accountant and the cost of such determination shall be paid for by Landlord, and Landlord shall reimburse Tenant’s the cost of the Tenant’s Accountant</w:t>
      </w:r>
    </w:p>
    <w:p>
      <w:pPr>
        <w:sectPr>
          <w:pgSz w:w="11900" w:h="16838" w:orient="portrait"/>
          <w:cols w:equalWidth="0" w:num="1">
            <w:col w:w="9600"/>
          </w:cols>
          <w:pgMar w:left="1140" w:top="256" w:right="1159" w:bottom="1440" w:gutter="0" w:footer="0" w:header="0"/>
        </w:sectPr>
      </w:pPr>
    </w:p>
    <w:bookmarkStart w:id="567" w:name="page568"/>
    <w:bookmarkEnd w:id="567"/>
    <w:p>
      <w:pPr>
        <w:ind w:right="20"/>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(provided that such cost shall be a reasonable market cost for such services). Tenant hereby acknowledges that Tenant’s sole right to inspect Landlord’s books and records and to contest the amount of Direct Expenses payable by Tenant shall be as set forth in this </w:t>
      </w:r>
      <w:r>
        <w:rPr>
          <w:rFonts w:ascii="Arial" w:cs="Arial" w:eastAsia="Arial" w:hAnsi="Arial"/>
          <w:sz w:val="13"/>
          <w:szCs w:val="13"/>
          <w:u w:val="single" w:color="auto"/>
          <w:color w:val="auto"/>
        </w:rPr>
        <w:t>Section 4.6</w:t>
      </w:r>
      <w:r>
        <w:rPr>
          <w:rFonts w:ascii="Arial" w:cs="Arial" w:eastAsia="Arial" w:hAnsi="Arial"/>
          <w:sz w:val="13"/>
          <w:szCs w:val="13"/>
          <w:color w:val="auto"/>
        </w:rPr>
        <w:t>, and Tenant hereby waives any and all other rights pursuant to applicable law to inspect such books and records and/or to contest the amount of Direct Expenses payable by Tenant.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USE OF PREMISES.</w:t>
      </w:r>
    </w:p>
    <w:p>
      <w:pPr>
        <w:spacing w:after="0" w:line="193" w:lineRule="exact"/>
        <w:rPr>
          <w:sz w:val="20"/>
          <w:szCs w:val="20"/>
          <w:color w:val="auto"/>
        </w:rPr>
      </w:pPr>
    </w:p>
    <w:p>
      <w:pPr>
        <w:ind w:right="40" w:firstLine="385"/>
        <w:spacing w:after="0" w:line="25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Permitted Use</w:t>
      </w:r>
      <w:r>
        <w:rPr>
          <w:rFonts w:ascii="Arial" w:cs="Arial" w:eastAsia="Arial" w:hAnsi="Arial"/>
          <w:sz w:val="16"/>
          <w:szCs w:val="16"/>
          <w:color w:val="auto"/>
        </w:rPr>
        <w:t xml:space="preserve">. Tenant shall use the Premises solely for the Permitted Use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159" w:lineRule="exact"/>
        <w:rPr>
          <w:sz w:val="20"/>
          <w:szCs w:val="20"/>
          <w:color w:val="auto"/>
        </w:rPr>
      </w:pPr>
    </w:p>
    <w:p>
      <w:pPr>
        <w:ind w:firstLine="385"/>
        <w:spacing w:after="0" w:line="266"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u w:val="single" w:color="auto"/>
          <w:color w:val="auto"/>
        </w:rPr>
        <w:t>Prohibited Uses</w:t>
      </w:r>
      <w:r>
        <w:rPr>
          <w:rFonts w:ascii="Arial" w:cs="Arial" w:eastAsia="Arial" w:hAnsi="Arial"/>
          <w:sz w:val="15"/>
          <w:szCs w:val="15"/>
          <w:color w:val="auto"/>
        </w:rPr>
        <w:t>. Tenant further covenants and agrees that Tenant shall not use or permit 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Landlord shall have the right to impose reasonable, nondiscriminatory and customary rules and regulations regarding the use of the Project that do not unreasonably interfere with Tenant’s use of the Premises, as reasonably deemed necessary by Landlord with respect to the orderly operation of the Project, and Tenant shall comply with such reasonable rules and regulations. Tenant shall not do or permit anything to be done in or about the Premises which will in any way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 so long as the same do not unreasonably interfere with Tenant’s use of the Premises or parking rights or materially increase Tenant’s obligations or decrease Tenant’s rights under this Lease.</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b w:val="1"/>
          <w:bCs w:val="1"/>
          <w:u w:val="single" w:color="auto"/>
          <w:color w:val="auto"/>
        </w:rPr>
        <w:t>Tenant’s Obligations</w:t>
      </w:r>
      <w:r>
        <w:rPr>
          <w:rFonts w:ascii="Arial" w:cs="Arial" w:eastAsia="Arial" w:hAnsi="Arial"/>
          <w:sz w:val="16"/>
          <w:szCs w:val="16"/>
          <w:color w:val="auto"/>
        </w:rPr>
        <w:t>.</w:t>
      </w:r>
    </w:p>
    <w:p>
      <w:pPr>
        <w:spacing w:after="0" w:line="193" w:lineRule="exact"/>
        <w:rPr>
          <w:sz w:val="20"/>
          <w:szCs w:val="20"/>
          <w:color w:val="auto"/>
        </w:rPr>
      </w:pPr>
    </w:p>
    <w:p>
      <w:pPr>
        <w:ind w:firstLine="1251"/>
        <w:spacing w:after="0" w:line="308" w:lineRule="auto"/>
        <w:rPr>
          <w:sz w:val="20"/>
          <w:szCs w:val="20"/>
          <w:color w:val="auto"/>
        </w:rPr>
      </w:pPr>
      <w:r>
        <w:rPr>
          <w:rFonts w:ascii="Arial" w:cs="Arial" w:eastAsia="Arial" w:hAnsi="Arial"/>
          <w:sz w:val="13"/>
          <w:szCs w:val="13"/>
          <w:color w:val="auto"/>
        </w:rPr>
        <w:t xml:space="preserve">5.3.1.1 </w:t>
      </w:r>
      <w:r>
        <w:rPr>
          <w:rFonts w:ascii="Arial" w:cs="Arial" w:eastAsia="Arial" w:hAnsi="Arial"/>
          <w:sz w:val="13"/>
          <w:szCs w:val="13"/>
          <w:b w:val="1"/>
          <w:bCs w:val="1"/>
          <w:u w:val="single" w:color="auto"/>
          <w:color w:val="auto"/>
        </w:rPr>
        <w:t>Prohibitions</w:t>
      </w:r>
      <w:r>
        <w:rPr>
          <w:rFonts w:ascii="Arial" w:cs="Arial" w:eastAsia="Arial" w:hAnsi="Arial"/>
          <w:sz w:val="13"/>
          <w:szCs w:val="13"/>
          <w:color w:val="auto"/>
        </w:rPr>
        <w:t>. As a material inducement to Landlord to enter into this Lease with Tenant, Tenant has fully and accurately completed Landlord’s Pre-Leasing Environmental Exposure Questionnaire (the “</w:t>
      </w:r>
      <w:r>
        <w:rPr>
          <w:rFonts w:ascii="Arial" w:cs="Arial" w:eastAsia="Arial" w:hAnsi="Arial"/>
          <w:sz w:val="13"/>
          <w:szCs w:val="13"/>
          <w:b w:val="1"/>
          <w:bCs w:val="1"/>
          <w:color w:val="auto"/>
        </w:rPr>
        <w:t>Environmental Questionnaire</w:t>
      </w:r>
      <w:r>
        <w:rPr>
          <w:rFonts w:ascii="Arial" w:cs="Arial" w:eastAsia="Arial" w:hAnsi="Arial"/>
          <w:sz w:val="13"/>
          <w:szCs w:val="13"/>
          <w:color w:val="auto"/>
        </w:rPr>
        <w:t xml:space="preserve">”), which is attached as </w:t>
      </w:r>
      <w:r>
        <w:rPr>
          <w:rFonts w:ascii="Arial" w:cs="Arial" w:eastAsia="Arial" w:hAnsi="Arial"/>
          <w:sz w:val="13"/>
          <w:szCs w:val="13"/>
          <w:b w:val="1"/>
          <w:bCs w:val="1"/>
          <w:u w:val="single" w:color="auto"/>
          <w:color w:val="auto"/>
        </w:rPr>
        <w:t>Exhibit E</w:t>
      </w:r>
      <w:r>
        <w:rPr>
          <w:rFonts w:ascii="Arial" w:cs="Arial" w:eastAsia="Arial" w:hAnsi="Arial"/>
          <w:sz w:val="13"/>
          <w:szCs w:val="13"/>
          <w:color w:val="auto"/>
        </w:rPr>
        <w:t>. Tenant agrees that except for those chemicals or materials, and their respective quantities, specifically listed on the Environmental Questionnaire (as the same may be updated from time to time as provided below), neither Tenant nor Tenant’s employees, contractors and subcontractors of any tier, entities with a contractual relationship with Tenant (other than Landlord), or any entity acting as an agent or sub-agent of Tenant (collectively, “</w:t>
      </w:r>
      <w:r>
        <w:rPr>
          <w:rFonts w:ascii="Arial" w:cs="Arial" w:eastAsia="Arial" w:hAnsi="Arial"/>
          <w:sz w:val="13"/>
          <w:szCs w:val="13"/>
          <w:b w:val="1"/>
          <w:bCs w:val="1"/>
          <w:color w:val="auto"/>
        </w:rPr>
        <w:t>Tenant’s</w:t>
      </w:r>
      <w:r>
        <w:rPr>
          <w:rFonts w:ascii="Arial" w:cs="Arial" w:eastAsia="Arial" w:hAnsi="Arial"/>
          <w:sz w:val="13"/>
          <w:szCs w:val="13"/>
          <w:color w:val="auto"/>
        </w:rPr>
        <w:t xml:space="preserve"> </w:t>
      </w:r>
      <w:r>
        <w:rPr>
          <w:rFonts w:ascii="Arial" w:cs="Arial" w:eastAsia="Arial" w:hAnsi="Arial"/>
          <w:sz w:val="13"/>
          <w:szCs w:val="13"/>
          <w:b w:val="1"/>
          <w:bCs w:val="1"/>
          <w:color w:val="auto"/>
        </w:rPr>
        <w:t>Agents</w:t>
      </w:r>
      <w:r>
        <w:rPr>
          <w:rFonts w:ascii="Arial" w:cs="Arial" w:eastAsia="Arial" w:hAnsi="Arial"/>
          <w:sz w:val="13"/>
          <w:szCs w:val="13"/>
          <w:color w:val="auto"/>
        </w:rPr>
        <w:t>”) will produce, use, store or generate any “Hazardous Materials,” as that term is defined below, on, under or about the Premises, nor cause any</w:t>
      </w:r>
      <w:r>
        <w:rPr>
          <w:rFonts w:ascii="Arial" w:cs="Arial" w:eastAsia="Arial" w:hAnsi="Arial"/>
          <w:sz w:val="13"/>
          <w:szCs w:val="13"/>
          <w:b w:val="1"/>
          <w:bCs w:val="1"/>
          <w:color w:val="auto"/>
        </w:rPr>
        <w:t xml:space="preserve"> </w:t>
      </w:r>
      <w:r>
        <w:rPr>
          <w:rFonts w:ascii="Arial" w:cs="Arial" w:eastAsia="Arial" w:hAnsi="Arial"/>
          <w:sz w:val="13"/>
          <w:szCs w:val="13"/>
          <w:color w:val="auto"/>
        </w:rPr>
        <w:t>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intentionally false, incomplete, or misleading in any material respect, the same shall be deemed a default by Tenant under this Lease. Upon Landlord’s request, or in the event of any material change in Tenant’s use of Hazardous Materials in the Premises, Tenant shall deliver to Landlord an updated Environmental Questionnaire at least once a year. Tenant shall notify Landlord prior to using any Hazardous Materials in the Premises not described on the initial Environmental Questionnaire, and, to the extent such use would, in Landlord’s reasonable judgment, cause a material increase in the risk of liability compared to the uses previously allowed in the Premises, such additional use shall be subject to Landlord’s prior consent, which may be withheld in Landlord’s reasonable discretion. Tenant shall not install or permit Tenant’s Agents to install any underground storage tank on the Premises. For purposes of this Lease, “</w:t>
      </w:r>
      <w:r>
        <w:rPr>
          <w:rFonts w:ascii="Arial" w:cs="Arial" w:eastAsia="Arial" w:hAnsi="Arial"/>
          <w:sz w:val="13"/>
          <w:szCs w:val="13"/>
          <w:b w:val="1"/>
          <w:bCs w:val="1"/>
          <w:color w:val="auto"/>
        </w:rPr>
        <w:t>Hazardous Materials</w:t>
      </w:r>
      <w:r>
        <w:rPr>
          <w:rFonts w:ascii="Arial" w:cs="Arial" w:eastAsia="Arial" w:hAnsi="Arial"/>
          <w:sz w:val="13"/>
          <w:szCs w:val="13"/>
          <w:color w:val="auto"/>
        </w:rPr>
        <w:t>” means all flammable explosives, petroleum and petroleum products, waste oil, radon, radioactive materials, toxic pollutants, asbestos, polychlorinated biphenyls (“</w:t>
      </w:r>
      <w:r>
        <w:rPr>
          <w:rFonts w:ascii="Arial" w:cs="Arial" w:eastAsia="Arial" w:hAnsi="Arial"/>
          <w:sz w:val="13"/>
          <w:szCs w:val="13"/>
          <w:b w:val="1"/>
          <w:bCs w:val="1"/>
          <w:color w:val="auto"/>
        </w:rPr>
        <w:t>PCBs</w:t>
      </w:r>
      <w:r>
        <w:rPr>
          <w:rFonts w:ascii="Arial" w:cs="Arial" w:eastAsia="Arial" w:hAnsi="Arial"/>
          <w:sz w:val="13"/>
          <w:szCs w:val="13"/>
          <w:color w:val="auto"/>
        </w:rPr>
        <w:t>”), medical waste, chemicals known to cause cancer or reproductive toxicity, pollutants, contaminants, hazardous wastes, toxic substances or related materials, including without limitation any chemical, element, compound, mixture, solution, substance, object, waste</w:t>
      </w:r>
    </w:p>
    <w:p>
      <w:pPr>
        <w:sectPr>
          <w:pgSz w:w="11900" w:h="16838" w:orient="portrait"/>
          <w:cols w:equalWidth="0" w:num="1">
            <w:col w:w="9600"/>
          </w:cols>
          <w:pgMar w:left="1140" w:top="256" w:right="1159" w:bottom="1440" w:gutter="0" w:footer="0" w:header="0"/>
        </w:sectPr>
      </w:pPr>
    </w:p>
    <w:bookmarkStart w:id="568" w:name="page569"/>
    <w:bookmarkEnd w:id="568"/>
    <w:p>
      <w:pPr>
        <w:ind w:left="6" w:right="60"/>
        <w:spacing w:after="0" w:line="31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90105" cy="34290"/>
                    </a:xfrm>
                    <a:prstGeom prst="rect">
                      <a:avLst/>
                    </a:prstGeom>
                    <a:noFill/>
                  </pic:spPr>
                </pic:pic>
              </a:graphicData>
            </a:graphic>
          </wp:anchor>
        </w:drawing>
        <w:t>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For purposes of this Lease, “</w:t>
      </w:r>
      <w:r>
        <w:rPr>
          <w:rFonts w:ascii="Arial" w:cs="Arial" w:eastAsia="Arial" w:hAnsi="Arial"/>
          <w:sz w:val="13"/>
          <w:szCs w:val="13"/>
          <w:b w:val="1"/>
          <w:bCs w:val="1"/>
          <w:color w:val="auto"/>
        </w:rPr>
        <w:t>Release</w:t>
      </w:r>
      <w:r>
        <w:rPr>
          <w:rFonts w:ascii="Arial" w:cs="Arial" w:eastAsia="Arial" w:hAnsi="Arial"/>
          <w:sz w:val="13"/>
          <w:szCs w:val="13"/>
          <w:color w:val="auto"/>
        </w:rPr>
        <w:t>” or “</w:t>
      </w:r>
      <w:r>
        <w:rPr>
          <w:rFonts w:ascii="Arial" w:cs="Arial" w:eastAsia="Arial" w:hAnsi="Arial"/>
          <w:sz w:val="13"/>
          <w:szCs w:val="13"/>
          <w:b w:val="1"/>
          <w:bCs w:val="1"/>
          <w:color w:val="auto"/>
        </w:rPr>
        <w:t>Released</w:t>
      </w:r>
      <w:r>
        <w:rPr>
          <w:rFonts w:ascii="Arial" w:cs="Arial" w:eastAsia="Arial" w:hAnsi="Arial"/>
          <w:sz w:val="13"/>
          <w:szCs w:val="13"/>
          <w:color w:val="auto"/>
        </w:rPr>
        <w:t>” or “</w:t>
      </w:r>
      <w:r>
        <w:rPr>
          <w:rFonts w:ascii="Arial" w:cs="Arial" w:eastAsia="Arial" w:hAnsi="Arial"/>
          <w:sz w:val="13"/>
          <w:szCs w:val="13"/>
          <w:b w:val="1"/>
          <w:bCs w:val="1"/>
          <w:color w:val="auto"/>
        </w:rPr>
        <w:t>Releases</w:t>
      </w:r>
      <w:r>
        <w:rPr>
          <w:rFonts w:ascii="Arial" w:cs="Arial" w:eastAsia="Arial" w:hAnsi="Arial"/>
          <w:sz w:val="13"/>
          <w:szCs w:val="13"/>
          <w:color w:val="auto"/>
        </w:rPr>
        <w:t>” shall mean any release, deposit, discharge, emission, leaking, spilling, seeping, migrating, injecting, pumping, pouring, emptying, escaping, dumping, disposing, or other movement of Hazardous Materials into the environment. Landlord acknowledges that Tenant will be installing and using fume hoods in the Premises and that emissions of Hazardous Materials into the air in compliance with all Environmental Laws shall not be considered Releases.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5.3.1.2 </w:t>
      </w:r>
      <w:r>
        <w:rPr>
          <w:rFonts w:ascii="Arial" w:cs="Arial" w:eastAsia="Arial" w:hAnsi="Arial"/>
          <w:sz w:val="16"/>
          <w:szCs w:val="16"/>
          <w:b w:val="1"/>
          <w:bCs w:val="1"/>
          <w:u w:val="single" w:color="auto"/>
          <w:color w:val="auto"/>
        </w:rPr>
        <w:t>Notices to Landlord</w:t>
      </w:r>
      <w:r>
        <w:rPr>
          <w:rFonts w:ascii="Arial" w:cs="Arial" w:eastAsia="Arial" w:hAnsi="Arial"/>
          <w:sz w:val="16"/>
          <w:szCs w:val="16"/>
          <w:color w:val="auto"/>
        </w:rPr>
        <w:t>. Tenant shall notify Landlord in writing as soon as possible but in no event later than five (5) days after</w:t>
      </w:r>
    </w:p>
    <w:p>
      <w:pPr>
        <w:spacing w:after="0" w:line="20" w:lineRule="exact"/>
        <w:rPr>
          <w:sz w:val="20"/>
          <w:szCs w:val="20"/>
          <w:color w:val="auto"/>
        </w:rPr>
      </w:pPr>
    </w:p>
    <w:p>
      <w:pPr>
        <w:ind w:left="6" w:right="20" w:hanging="6"/>
        <w:spacing w:after="0" w:line="305" w:lineRule="auto"/>
        <w:tabs>
          <w:tab w:leader="none" w:pos="194" w:val="left"/>
        </w:tabs>
        <w:numPr>
          <w:ilvl w:val="0"/>
          <w:numId w:val="419"/>
        </w:numPr>
        <w:rPr>
          <w:rFonts w:ascii="Arial" w:cs="Arial" w:eastAsia="Arial" w:hAnsi="Arial"/>
          <w:sz w:val="13"/>
          <w:szCs w:val="13"/>
          <w:color w:val="auto"/>
        </w:rPr>
      </w:pPr>
      <w:r>
        <w:rPr>
          <w:rFonts w:ascii="Arial" w:cs="Arial" w:eastAsia="Arial" w:hAnsi="Arial"/>
          <w:sz w:val="13"/>
          <w:szCs w:val="13"/>
          <w:color w:val="auto"/>
        </w:rPr>
        <w:t>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Arial" w:cs="Arial" w:eastAsia="Arial" w:hAnsi="Arial"/>
          <w:sz w:val="13"/>
          <w:szCs w:val="13"/>
          <w:b w:val="1"/>
          <w:bCs w:val="1"/>
          <w:color w:val="auto"/>
        </w:rPr>
        <w:t>Hazardous Materials</w:t>
      </w:r>
      <w:r>
        <w:rPr>
          <w:rFonts w:ascii="Arial" w:cs="Arial" w:eastAsia="Arial" w:hAnsi="Arial"/>
          <w:sz w:val="13"/>
          <w:szCs w:val="13"/>
          <w:color w:val="auto"/>
        </w:rPr>
        <w:t xml:space="preserve"> </w:t>
      </w:r>
      <w:r>
        <w:rPr>
          <w:rFonts w:ascii="Arial" w:cs="Arial" w:eastAsia="Arial" w:hAnsi="Arial"/>
          <w:sz w:val="13"/>
          <w:szCs w:val="13"/>
          <w:b w:val="1"/>
          <w:bCs w:val="1"/>
          <w:color w:val="auto"/>
        </w:rPr>
        <w:t>Claims</w:t>
      </w:r>
      <w:r>
        <w:rPr>
          <w:rFonts w:ascii="Arial" w:cs="Arial" w:eastAsia="Arial" w:hAnsi="Arial"/>
          <w:sz w:val="13"/>
          <w:szCs w:val="13"/>
          <w:color w:val="auto"/>
        </w:rPr>
        <w:t>”. Tenant shall promptly forward to Landlord copies of all orders, notices, permits, applications and other communications and reports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Arial" w:cs="Arial" w:eastAsia="Arial" w:hAnsi="Arial"/>
          <w:sz w:val="13"/>
          <w:szCs w:val="13"/>
          <w:b w:val="1"/>
          <w:bCs w:val="1"/>
          <w:color w:val="auto"/>
        </w:rPr>
        <w:t>Environmental Laws</w:t>
      </w:r>
      <w:r>
        <w:rPr>
          <w:rFonts w:ascii="Arial" w:cs="Arial" w:eastAsia="Arial" w:hAnsi="Arial"/>
          <w:sz w:val="13"/>
          <w:szCs w:val="13"/>
          <w:color w:val="auto"/>
        </w:rPr>
        <w:t>” 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 w:right="20" w:firstLine="1251"/>
        <w:spacing w:after="0" w:line="346" w:lineRule="auto"/>
        <w:rPr>
          <w:sz w:val="20"/>
          <w:szCs w:val="20"/>
          <w:color w:val="auto"/>
        </w:rPr>
      </w:pPr>
      <w:r>
        <w:rPr>
          <w:rFonts w:ascii="Arial" w:cs="Arial" w:eastAsia="Arial" w:hAnsi="Arial"/>
          <w:sz w:val="13"/>
          <w:szCs w:val="13"/>
          <w:color w:val="auto"/>
        </w:rPr>
        <w:t xml:space="preserve">5.3.1.3 </w:t>
      </w:r>
      <w:r>
        <w:rPr>
          <w:rFonts w:ascii="Arial" w:cs="Arial" w:eastAsia="Arial" w:hAnsi="Arial"/>
          <w:sz w:val="13"/>
          <w:szCs w:val="13"/>
          <w:b w:val="1"/>
          <w:bCs w:val="1"/>
          <w:u w:val="single" w:color="auto"/>
          <w:color w:val="auto"/>
        </w:rPr>
        <w:t>Releases of Hazardous Materials</w:t>
      </w:r>
      <w:r>
        <w:rPr>
          <w:rFonts w:ascii="Arial" w:cs="Arial" w:eastAsia="Arial" w:hAnsi="Arial"/>
          <w:sz w:val="13"/>
          <w:szCs w:val="13"/>
          <w:color w:val="auto"/>
        </w:rPr>
        <w:t>. If any Release of any Hazardous Material in, on, under, from or about the Premises shall occur at any time during the Lease by Tenant or Tenant’s Agents, in addition to notifying Landlord as specified above, Tenant, at its own sole cost and expense, shall (i) immediately comply with any and all reporting requirements imposed pursuant to any and all Environmental Laws, (ii) provide a</w:t>
      </w:r>
    </w:p>
    <w:p>
      <w:pPr>
        <w:sectPr>
          <w:pgSz w:w="11900" w:h="16838" w:orient="portrait"/>
          <w:cols w:equalWidth="0" w:num="1">
            <w:col w:w="9586"/>
          </w:cols>
          <w:pgMar w:left="1134" w:top="256" w:right="1179" w:bottom="1440" w:gutter="0" w:footer="0" w:header="0"/>
        </w:sectPr>
      </w:pPr>
    </w:p>
    <w:bookmarkStart w:id="569" w:name="page570"/>
    <w:bookmarkEnd w:id="569"/>
    <w:p>
      <w:pPr>
        <w:ind w:left="6" w:right="360"/>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Arial" w:cs="Arial" w:eastAsia="Arial" w:hAnsi="Arial"/>
          <w:sz w:val="13"/>
          <w:szCs w:val="13"/>
          <w:b w:val="1"/>
          <w:bCs w:val="1"/>
          <w:u w:val="single" w:color="auto"/>
          <w:color w:val="auto"/>
        </w:rPr>
        <w:t>Section 5.3</w:t>
      </w:r>
      <w:r>
        <w:rPr>
          <w:rFonts w:ascii="Arial" w:cs="Arial" w:eastAsia="Arial" w:hAnsi="Arial"/>
          <w:sz w:val="13"/>
          <w:szCs w:val="13"/>
          <w:color w:val="auto"/>
        </w:rPr>
        <w:t xml:space="preserve">, including, without limitation, </w:t>
      </w:r>
      <w:r>
        <w:rPr>
          <w:rFonts w:ascii="Arial" w:cs="Arial" w:eastAsia="Arial" w:hAnsi="Arial"/>
          <w:sz w:val="13"/>
          <w:szCs w:val="13"/>
          <w:b w:val="1"/>
          <w:bCs w:val="1"/>
          <w:u w:val="single" w:color="auto"/>
          <w:color w:val="auto"/>
        </w:rPr>
        <w:t>Section 5.3.4</w:t>
      </w:r>
      <w:r>
        <w:rPr>
          <w:rFonts w:ascii="Arial" w:cs="Arial" w:eastAsia="Arial" w:hAnsi="Arial"/>
          <w:sz w:val="13"/>
          <w:szCs w:val="13"/>
          <w:color w:val="auto"/>
        </w:rPr>
        <w:t>, and</w:t>
      </w:r>
    </w:p>
    <w:p>
      <w:pPr>
        <w:spacing w:after="0" w:line="2" w:lineRule="exact"/>
        <w:rPr>
          <w:sz w:val="20"/>
          <w:szCs w:val="20"/>
          <w:color w:val="auto"/>
        </w:rPr>
      </w:pPr>
    </w:p>
    <w:p>
      <w:pPr>
        <w:ind w:left="6" w:right="200" w:hanging="6"/>
        <w:spacing w:after="0" w:line="252" w:lineRule="auto"/>
        <w:tabs>
          <w:tab w:leader="none" w:pos="27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take any such additional investigative, remedial and corrective actions as Landlord shall in its reasonable discretion deem necessary such that the Premises are remediated to the condition existing prior to such Release.</w:t>
      </w:r>
    </w:p>
    <w:p>
      <w:pPr>
        <w:spacing w:after="0" w:line="164" w:lineRule="exact"/>
        <w:rPr>
          <w:sz w:val="20"/>
          <w:szCs w:val="20"/>
          <w:color w:val="auto"/>
        </w:rPr>
      </w:pPr>
    </w:p>
    <w:p>
      <w:pPr>
        <w:ind w:left="1246"/>
        <w:spacing w:after="0"/>
        <w:rPr>
          <w:sz w:val="20"/>
          <w:szCs w:val="20"/>
          <w:color w:val="auto"/>
        </w:rPr>
      </w:pPr>
      <w:r>
        <w:rPr>
          <w:rFonts w:ascii="Arial" w:cs="Arial" w:eastAsia="Arial" w:hAnsi="Arial"/>
          <w:sz w:val="16"/>
          <w:szCs w:val="16"/>
          <w:color w:val="auto"/>
        </w:rPr>
        <w:t xml:space="preserve">5.3.1.4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99" w:lineRule="exact"/>
        <w:rPr>
          <w:sz w:val="20"/>
          <w:szCs w:val="20"/>
          <w:color w:val="auto"/>
        </w:rPr>
      </w:pPr>
    </w:p>
    <w:p>
      <w:pPr>
        <w:ind w:left="386" w:firstLine="1201"/>
        <w:spacing w:after="0" w:line="317" w:lineRule="auto"/>
        <w:rPr>
          <w:sz w:val="20"/>
          <w:szCs w:val="20"/>
          <w:color w:val="auto"/>
        </w:rPr>
      </w:pPr>
      <w:r>
        <w:rPr>
          <w:rFonts w:ascii="Arial" w:cs="Arial" w:eastAsia="Arial" w:hAnsi="Arial"/>
          <w:sz w:val="13"/>
          <w:szCs w:val="13"/>
          <w:color w:val="auto"/>
        </w:rPr>
        <w:t xml:space="preserve">5.3.1.4.1 </w:t>
      </w:r>
      <w:r>
        <w:rPr>
          <w:rFonts w:ascii="Arial" w:cs="Arial" w:eastAsia="Arial" w:hAnsi="Arial"/>
          <w:sz w:val="13"/>
          <w:szCs w:val="13"/>
          <w:b w:val="1"/>
          <w:bCs w:val="1"/>
          <w:u w:val="single" w:color="auto"/>
          <w:color w:val="auto"/>
        </w:rPr>
        <w:t>In General</w:t>
      </w:r>
      <w:r>
        <w:rPr>
          <w:rFonts w:ascii="Arial" w:cs="Arial" w:eastAsia="Arial" w:hAnsi="Arial"/>
          <w:sz w:val="13"/>
          <w:szCs w:val="13"/>
          <w:color w:val="auto"/>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Release of Hazardous Materials in, on, under or about the Premises by Tenant or Tenant’s Agents.</w:t>
      </w:r>
    </w:p>
    <w:p>
      <w:pPr>
        <w:spacing w:after="0" w:line="33" w:lineRule="exact"/>
        <w:rPr>
          <w:sz w:val="20"/>
          <w:szCs w:val="20"/>
          <w:color w:val="auto"/>
        </w:rPr>
      </w:pPr>
    </w:p>
    <w:p>
      <w:pPr>
        <w:jc w:val="both"/>
        <w:ind w:left="386" w:right="80" w:firstLine="1201"/>
        <w:spacing w:after="0" w:line="378" w:lineRule="auto"/>
        <w:rPr>
          <w:sz w:val="20"/>
          <w:szCs w:val="20"/>
          <w:color w:val="auto"/>
        </w:rPr>
      </w:pPr>
      <w:r>
        <w:rPr>
          <w:rFonts w:ascii="Arial" w:cs="Arial" w:eastAsia="Arial" w:hAnsi="Arial"/>
          <w:sz w:val="13"/>
          <w:szCs w:val="13"/>
          <w:color w:val="auto"/>
        </w:rPr>
        <w:t xml:space="preserve">5.3.1.4.2 </w:t>
      </w:r>
      <w:r>
        <w:rPr>
          <w:rFonts w:ascii="Arial" w:cs="Arial" w:eastAsia="Arial" w:hAnsi="Arial"/>
          <w:sz w:val="13"/>
          <w:szCs w:val="13"/>
          <w:b w:val="1"/>
          <w:bCs w:val="1"/>
          <w:u w:val="single" w:color="auto"/>
          <w:color w:val="auto"/>
        </w:rPr>
        <w:t>Limitations</w:t>
      </w:r>
      <w:r>
        <w:rPr>
          <w:rFonts w:ascii="Arial" w:cs="Arial" w:eastAsia="Arial" w:hAnsi="Arial"/>
          <w:sz w:val="13"/>
          <w:szCs w:val="13"/>
          <w:color w:val="auto"/>
        </w:rPr>
        <w:t xml:space="preserve">. Notwithstanding anything in </w:t>
      </w:r>
      <w:r>
        <w:rPr>
          <w:rFonts w:ascii="Arial" w:cs="Arial" w:eastAsia="Arial" w:hAnsi="Arial"/>
          <w:sz w:val="13"/>
          <w:szCs w:val="13"/>
          <w:b w:val="1"/>
          <w:bCs w:val="1"/>
          <w:u w:val="single" w:color="auto"/>
          <w:color w:val="auto"/>
        </w:rPr>
        <w:t>Section 5.3.1.4</w:t>
      </w:r>
      <w:r>
        <w:rPr>
          <w:rFonts w:ascii="Arial" w:cs="Arial" w:eastAsia="Arial" w:hAnsi="Arial"/>
          <w:sz w:val="13"/>
          <w:szCs w:val="13"/>
          <w:color w:val="auto"/>
        </w:rPr>
        <w:t xml:space="preserve">, above, to the contrary, Tenant’s indemnity of Landlord as set forth in </w:t>
      </w:r>
      <w:r>
        <w:rPr>
          <w:rFonts w:ascii="Arial" w:cs="Arial" w:eastAsia="Arial" w:hAnsi="Arial"/>
          <w:sz w:val="13"/>
          <w:szCs w:val="13"/>
          <w:b w:val="1"/>
          <w:bCs w:val="1"/>
          <w:u w:val="single" w:color="auto"/>
          <w:color w:val="auto"/>
        </w:rPr>
        <w:t>Section 5.3.1.4</w:t>
      </w:r>
      <w:r>
        <w:rPr>
          <w:rFonts w:ascii="Arial" w:cs="Arial" w:eastAsia="Arial" w:hAnsi="Arial"/>
          <w:sz w:val="13"/>
          <w:szCs w:val="13"/>
          <w:color w:val="auto"/>
        </w:rPr>
        <w:t>, above, shall not be applicable to claims based upon Hazardous Materials not Released by Tenant or Tenant’s Agents.</w:t>
      </w:r>
    </w:p>
    <w:p>
      <w:pPr>
        <w:spacing w:after="0" w:line="1" w:lineRule="exact"/>
        <w:rPr>
          <w:sz w:val="20"/>
          <w:szCs w:val="20"/>
          <w:color w:val="auto"/>
        </w:rPr>
      </w:pPr>
    </w:p>
    <w:p>
      <w:pPr>
        <w:ind w:left="386" w:right="40" w:firstLine="1201"/>
        <w:spacing w:after="0" w:line="271" w:lineRule="auto"/>
        <w:rPr>
          <w:sz w:val="20"/>
          <w:szCs w:val="20"/>
          <w:color w:val="auto"/>
        </w:rPr>
      </w:pPr>
      <w:r>
        <w:rPr>
          <w:rFonts w:ascii="Arial" w:cs="Arial" w:eastAsia="Arial" w:hAnsi="Arial"/>
          <w:sz w:val="15"/>
          <w:szCs w:val="15"/>
          <w:color w:val="auto"/>
        </w:rPr>
        <w:t xml:space="preserve">5.3.1.4.3 </w:t>
      </w:r>
      <w:r>
        <w:rPr>
          <w:rFonts w:ascii="Arial" w:cs="Arial" w:eastAsia="Arial" w:hAnsi="Arial"/>
          <w:sz w:val="15"/>
          <w:szCs w:val="15"/>
          <w:b w:val="1"/>
          <w:bCs w:val="1"/>
          <w:u w:val="single" w:color="auto"/>
          <w:color w:val="auto"/>
        </w:rPr>
        <w:t>Landlord Indemnity</w:t>
      </w:r>
      <w:r>
        <w:rPr>
          <w:rFonts w:ascii="Arial" w:cs="Arial" w:eastAsia="Arial" w:hAnsi="Arial"/>
          <w:sz w:val="15"/>
          <w:szCs w:val="15"/>
          <w:color w:val="auto"/>
        </w:rPr>
        <w:t>. Under no circumstance shall Tenant be liable for, and Landlord shall indemnify, defend, protect and hold harmless Tenant and Tenant’s Agents from and against, all losses, costs, claims, liabilities and damages (including attorneys’ and consultants’ fees) arising out of any Hazardous Materials that exist in, on or about the Project as of the date hereof, or Hazardous Material Released by Landlord or any Landlord Parties. Landlord has provided Tenant with an SMP description of environmental conditions from Roux Associates. The provision of such reports shall be for informational purposes only, and Landlord does not make any representation or warranty as to the correctness or completeness of any such reports.</w:t>
      </w:r>
    </w:p>
    <w:p>
      <w:pPr>
        <w:spacing w:after="0" w:line="152" w:lineRule="exact"/>
        <w:rPr>
          <w:sz w:val="20"/>
          <w:szCs w:val="20"/>
          <w:color w:val="auto"/>
        </w:rPr>
      </w:pPr>
    </w:p>
    <w:p>
      <w:pPr>
        <w:ind w:left="6" w:firstLine="1251"/>
        <w:spacing w:after="0" w:line="313" w:lineRule="auto"/>
        <w:rPr>
          <w:sz w:val="20"/>
          <w:szCs w:val="20"/>
          <w:color w:val="auto"/>
        </w:rPr>
      </w:pPr>
      <w:r>
        <w:rPr>
          <w:rFonts w:ascii="Arial" w:cs="Arial" w:eastAsia="Arial" w:hAnsi="Arial"/>
          <w:sz w:val="13"/>
          <w:szCs w:val="13"/>
          <w:color w:val="auto"/>
        </w:rPr>
        <w:t xml:space="preserve">5.3.1.5 </w:t>
      </w:r>
      <w:r>
        <w:rPr>
          <w:rFonts w:ascii="Arial" w:cs="Arial" w:eastAsia="Arial" w:hAnsi="Arial"/>
          <w:sz w:val="13"/>
          <w:szCs w:val="13"/>
          <w:b w:val="1"/>
          <w:bCs w:val="1"/>
          <w:u w:val="single" w:color="auto"/>
          <w:color w:val="auto"/>
        </w:rPr>
        <w:t>Compliance with Environmental Laws</w:t>
      </w:r>
      <w:r>
        <w:rPr>
          <w:rFonts w:ascii="Arial" w:cs="Arial" w:eastAsia="Arial" w:hAnsi="Arial"/>
          <w:sz w:val="13"/>
          <w:szCs w:val="13"/>
          <w:color w:val="auto"/>
        </w:rPr>
        <w:t>. Without limiting the generality of Tenant’s obligation to comply with applicable laws as otherwise provided in this Lease, Tenant shall, at its sole cost and expense, comply with all Environmental Laws related to the use of Hazardous Materials by Tenant and Tenant’s Agents.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320" w:lineRule="exact"/>
        <w:rPr>
          <w:sz w:val="20"/>
          <w:szCs w:val="20"/>
          <w:color w:val="auto"/>
        </w:rPr>
      </w:pPr>
    </w:p>
    <w:p>
      <w:pPr>
        <w:ind w:left="866"/>
        <w:spacing w:after="0"/>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b w:val="1"/>
          <w:bCs w:val="1"/>
          <w:u w:val="single" w:color="auto"/>
          <w:color w:val="auto"/>
        </w:rPr>
        <w:t>Assurance of Performance</w:t>
      </w:r>
      <w:r>
        <w:rPr>
          <w:rFonts w:ascii="Arial" w:cs="Arial" w:eastAsia="Arial" w:hAnsi="Arial"/>
          <w:sz w:val="16"/>
          <w:szCs w:val="16"/>
          <w:color w:val="auto"/>
        </w:rPr>
        <w:t>.</w:t>
      </w:r>
    </w:p>
    <w:p>
      <w:pPr>
        <w:spacing w:after="0" w:line="193" w:lineRule="exact"/>
        <w:rPr>
          <w:sz w:val="20"/>
          <w:szCs w:val="20"/>
          <w:color w:val="auto"/>
        </w:rPr>
      </w:pPr>
    </w:p>
    <w:p>
      <w:pPr>
        <w:ind w:left="6" w:right="60" w:firstLine="1251"/>
        <w:spacing w:after="0" w:line="254" w:lineRule="auto"/>
        <w:rPr>
          <w:sz w:val="20"/>
          <w:szCs w:val="20"/>
          <w:color w:val="auto"/>
        </w:rPr>
      </w:pPr>
      <w:r>
        <w:rPr>
          <w:rFonts w:ascii="Arial" w:cs="Arial" w:eastAsia="Arial" w:hAnsi="Arial"/>
          <w:sz w:val="16"/>
          <w:szCs w:val="16"/>
          <w:color w:val="auto"/>
        </w:rPr>
        <w:t xml:space="preserve">5.3.2.1 </w:t>
      </w:r>
      <w:r>
        <w:rPr>
          <w:rFonts w:ascii="Arial" w:cs="Arial" w:eastAsia="Arial" w:hAnsi="Arial"/>
          <w:sz w:val="16"/>
          <w:szCs w:val="16"/>
          <w:b w:val="1"/>
          <w:bCs w:val="1"/>
          <w:u w:val="single" w:color="auto"/>
          <w:color w:val="auto"/>
        </w:rPr>
        <w:t>Environmental Assessments In General</w:t>
      </w:r>
      <w:r>
        <w:rPr>
          <w:rFonts w:ascii="Arial" w:cs="Arial" w:eastAsia="Arial" w:hAnsi="Arial"/>
          <w:sz w:val="16"/>
          <w:szCs w:val="16"/>
          <w:color w:val="auto"/>
        </w:rPr>
        <w:t>. Landlord may, but shall not be required to, engage from time to time such contractors as Landlord determines to be appropriate (and which are reasonably acceptable to Tenant) to perform environmental assessments of a scope reasonably determined by Landlord (an “</w:t>
      </w:r>
      <w:r>
        <w:rPr>
          <w:rFonts w:ascii="Arial" w:cs="Arial" w:eastAsia="Arial" w:hAnsi="Arial"/>
          <w:sz w:val="16"/>
          <w:szCs w:val="16"/>
          <w:b w:val="1"/>
          <w:bCs w:val="1"/>
          <w:color w:val="auto"/>
        </w:rPr>
        <w:t>Environmental Assessment</w:t>
      </w:r>
      <w:r>
        <w:rPr>
          <w:rFonts w:ascii="Arial" w:cs="Arial" w:eastAsia="Arial" w:hAnsi="Arial"/>
          <w:sz w:val="16"/>
          <w:szCs w:val="16"/>
          <w:color w:val="auto"/>
        </w:rPr>
        <w:t>”) to ensure Tenant’s compliance with the requirements of this Lease with respect to Hazardous Materials.</w:t>
      </w:r>
    </w:p>
    <w:p>
      <w:pPr>
        <w:sectPr>
          <w:pgSz w:w="11900" w:h="16838" w:orient="portrait"/>
          <w:cols w:equalWidth="0" w:num="1">
            <w:col w:w="9586"/>
          </w:cols>
          <w:pgMar w:left="1134" w:top="256" w:right="1179" w:bottom="1440" w:gutter="0" w:footer="0" w:header="0"/>
        </w:sectPr>
      </w:pPr>
    </w:p>
    <w:bookmarkStart w:id="570" w:name="page571"/>
    <w:bookmarkEnd w:id="570"/>
    <w:p>
      <w:pPr>
        <w:ind w:right="160" w:firstLine="1251"/>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5.3.2.2 </w:t>
      </w:r>
      <w:r>
        <w:rPr>
          <w:rFonts w:ascii="Arial" w:cs="Arial" w:eastAsia="Arial" w:hAnsi="Arial"/>
          <w:sz w:val="16"/>
          <w:szCs w:val="16"/>
          <w:b w:val="1"/>
          <w:bCs w:val="1"/>
          <w:u w:val="single" w:color="auto"/>
          <w:color w:val="auto"/>
        </w:rPr>
        <w:t>Costs of Environmental Assessments</w:t>
      </w:r>
      <w:r>
        <w:rPr>
          <w:rFonts w:ascii="Arial" w:cs="Arial" w:eastAsia="Arial" w:hAnsi="Arial"/>
          <w:sz w:val="16"/>
          <w:szCs w:val="16"/>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Arial" w:cs="Arial" w:eastAsia="Arial" w:hAnsi="Arial"/>
          <w:sz w:val="16"/>
          <w:szCs w:val="16"/>
          <w:b w:val="1"/>
          <w:bCs w:val="1"/>
          <w:u w:val="single" w:color="auto"/>
          <w:color w:val="auto"/>
        </w:rPr>
        <w:t>Section 5.3</w:t>
      </w:r>
      <w:r>
        <w:rPr>
          <w:rFonts w:ascii="Arial" w:cs="Arial" w:eastAsia="Arial" w:hAnsi="Arial"/>
          <w:sz w:val="16"/>
          <w:szCs w:val="16"/>
          <w:color w:val="auto"/>
        </w:rPr>
        <w:t>, then all of the costs and expenses of such Environmental Assessment shall be reimbursed by Tenant as Additional Rent within thirty (30) days after receipt of written demand therefor.</w:t>
      </w:r>
    </w:p>
    <w:p>
      <w:pPr>
        <w:spacing w:after="0" w:line="164" w:lineRule="exact"/>
        <w:rPr>
          <w:sz w:val="20"/>
          <w:szCs w:val="20"/>
          <w:color w:val="auto"/>
        </w:rPr>
      </w:pPr>
    </w:p>
    <w:p>
      <w:pPr>
        <w:ind w:right="80" w:firstLine="866"/>
        <w:spacing w:after="0" w:line="271" w:lineRule="auto"/>
        <w:rPr>
          <w:sz w:val="20"/>
          <w:szCs w:val="20"/>
          <w:color w:val="auto"/>
        </w:rPr>
      </w:pPr>
      <w:r>
        <w:rPr>
          <w:rFonts w:ascii="Arial" w:cs="Arial" w:eastAsia="Arial" w:hAnsi="Arial"/>
          <w:sz w:val="15"/>
          <w:szCs w:val="15"/>
          <w:color w:val="auto"/>
        </w:rPr>
        <w:t xml:space="preserve">5.3.3 </w:t>
      </w:r>
      <w:r>
        <w:rPr>
          <w:rFonts w:ascii="Arial" w:cs="Arial" w:eastAsia="Arial" w:hAnsi="Arial"/>
          <w:sz w:val="15"/>
          <w:szCs w:val="15"/>
          <w:b w:val="1"/>
          <w:bCs w:val="1"/>
          <w:u w:val="single" w:color="auto"/>
          <w:color w:val="auto"/>
        </w:rPr>
        <w:t>Tenant’s Obligations upon Surrender</w:t>
      </w:r>
      <w:r>
        <w:rPr>
          <w:rFonts w:ascii="Arial" w:cs="Arial" w:eastAsia="Arial" w:hAnsi="Arial"/>
          <w:sz w:val="15"/>
          <w:szCs w:val="15"/>
          <w:color w:val="auto"/>
        </w:rPr>
        <w:t xml:space="preserve">. At the expiration or earlier termination of the Lease Term, Tenant, at Tenant’s sole cost and expense, shall: (i) cause an Environmental Assessment of the Premises to be conducted in accordance with </w:t>
      </w:r>
      <w:r>
        <w:rPr>
          <w:rFonts w:ascii="Arial" w:cs="Arial" w:eastAsia="Arial" w:hAnsi="Arial"/>
          <w:sz w:val="15"/>
          <w:szCs w:val="15"/>
          <w:b w:val="1"/>
          <w:bCs w:val="1"/>
          <w:u w:val="single" w:color="auto"/>
          <w:color w:val="auto"/>
        </w:rPr>
        <w:t>Section 15.3</w:t>
      </w:r>
      <w:r>
        <w:rPr>
          <w:rFonts w:ascii="Arial" w:cs="Arial" w:eastAsia="Arial" w:hAnsi="Arial"/>
          <w:sz w:val="15"/>
          <w:szCs w:val="15"/>
          <w:color w:val="auto"/>
        </w:rPr>
        <w:t>; (ii) cause all Hazardous Materials brought onto the Premises by Tenant or Tenant’s Agents to be removed from the Premises and disposed of in accordance with all Environmental Laws and as necessary to allow the Premises to be used for the purposes allowed as of the date of this Lease; and (iii) cause to be removed all containers installed or used by Tenant or Tenant’s Agents to store any Hazardous Materials on the Premises, and cause to be repaired any damage to the Premises caused by such removal.</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5.3.4 </w:t>
      </w:r>
      <w:r>
        <w:rPr>
          <w:rFonts w:ascii="Arial" w:cs="Arial" w:eastAsia="Arial" w:hAnsi="Arial"/>
          <w:sz w:val="16"/>
          <w:szCs w:val="16"/>
          <w:b w:val="1"/>
          <w:bCs w:val="1"/>
          <w:u w:val="single" w:color="auto"/>
          <w:color w:val="auto"/>
        </w:rPr>
        <w:t>Clean-up</w:t>
      </w:r>
      <w:r>
        <w:rPr>
          <w:rFonts w:ascii="Arial" w:cs="Arial" w:eastAsia="Arial" w:hAnsi="Arial"/>
          <w:sz w:val="16"/>
          <w:szCs w:val="16"/>
          <w:color w:val="auto"/>
        </w:rPr>
        <w:t>.</w:t>
      </w:r>
    </w:p>
    <w:p>
      <w:pPr>
        <w:spacing w:after="0" w:line="193" w:lineRule="exact"/>
        <w:rPr>
          <w:sz w:val="20"/>
          <w:szCs w:val="20"/>
          <w:color w:val="auto"/>
        </w:rPr>
      </w:pPr>
    </w:p>
    <w:p>
      <w:pPr>
        <w:ind w:right="40" w:firstLine="1251"/>
        <w:spacing w:after="0" w:line="265" w:lineRule="auto"/>
        <w:rPr>
          <w:sz w:val="20"/>
          <w:szCs w:val="20"/>
          <w:color w:val="auto"/>
        </w:rPr>
      </w:pPr>
      <w:r>
        <w:rPr>
          <w:rFonts w:ascii="Arial" w:cs="Arial" w:eastAsia="Arial" w:hAnsi="Arial"/>
          <w:sz w:val="15"/>
          <w:szCs w:val="15"/>
          <w:color w:val="auto"/>
        </w:rPr>
        <w:t xml:space="preserve">5.3.4.1 </w:t>
      </w:r>
      <w:r>
        <w:rPr>
          <w:rFonts w:ascii="Arial" w:cs="Arial" w:eastAsia="Arial" w:hAnsi="Arial"/>
          <w:sz w:val="15"/>
          <w:szCs w:val="15"/>
          <w:b w:val="1"/>
          <w:bCs w:val="1"/>
          <w:u w:val="single" w:color="auto"/>
          <w:color w:val="auto"/>
        </w:rPr>
        <w:t>Environmental Reports; Clean-Up</w:t>
      </w:r>
      <w:r>
        <w:rPr>
          <w:rFonts w:ascii="Arial" w:cs="Arial" w:eastAsia="Arial" w:hAnsi="Arial"/>
          <w:sz w:val="15"/>
          <w:szCs w:val="15"/>
          <w:color w:val="auto"/>
        </w:rPr>
        <w:t>. If any written report, including any report containing results of any Environmental Assessment (an “</w:t>
      </w:r>
      <w:r>
        <w:rPr>
          <w:rFonts w:ascii="Arial" w:cs="Arial" w:eastAsia="Arial" w:hAnsi="Arial"/>
          <w:sz w:val="15"/>
          <w:szCs w:val="15"/>
          <w:b w:val="1"/>
          <w:bCs w:val="1"/>
          <w:color w:val="auto"/>
        </w:rPr>
        <w:t>Environmental Report</w:t>
      </w:r>
      <w:r>
        <w:rPr>
          <w:rFonts w:ascii="Arial" w:cs="Arial" w:eastAsia="Arial" w:hAnsi="Arial"/>
          <w:sz w:val="15"/>
          <w:szCs w:val="15"/>
          <w:color w:val="auto"/>
        </w:rPr>
        <w:t xml:space="preserve">”) shall indicate (i) the presence of any Hazardous Materials as to which Tenant has a removal or remediation obligation under this </w:t>
      </w:r>
      <w:r>
        <w:rPr>
          <w:rFonts w:ascii="Arial" w:cs="Arial" w:eastAsia="Arial" w:hAnsi="Arial"/>
          <w:sz w:val="15"/>
          <w:szCs w:val="15"/>
          <w:b w:val="1"/>
          <w:bCs w:val="1"/>
          <w:u w:val="single" w:color="auto"/>
          <w:color w:val="auto"/>
        </w:rPr>
        <w:t>Section 5.3</w:t>
      </w:r>
      <w:r>
        <w:rPr>
          <w:rFonts w:ascii="Arial" w:cs="Arial" w:eastAsia="Arial" w:hAnsi="Arial"/>
          <w:sz w:val="15"/>
          <w:szCs w:val="15"/>
          <w:color w:val="auto"/>
        </w:rPr>
        <w:t>, and (ii) that as a result of same, the investigation, characterization, monitoring, assessment, repair, closure, remediation, removal, or other clean-up (the “</w:t>
      </w:r>
      <w:r>
        <w:rPr>
          <w:rFonts w:ascii="Arial" w:cs="Arial" w:eastAsia="Arial" w:hAnsi="Arial"/>
          <w:sz w:val="15"/>
          <w:szCs w:val="15"/>
          <w:b w:val="1"/>
          <w:bCs w:val="1"/>
          <w:color w:val="auto"/>
        </w:rPr>
        <w:t>Clean-up</w:t>
      </w:r>
      <w:r>
        <w:rPr>
          <w:rFonts w:ascii="Arial" w:cs="Arial" w:eastAsia="Arial" w:hAnsi="Arial"/>
          <w:sz w:val="15"/>
          <w:szCs w:val="15"/>
          <w:color w:val="auto"/>
        </w:rPr>
        <w:t>”) of any Hazardous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w:t>
      </w:r>
    </w:p>
    <w:p>
      <w:pPr>
        <w:spacing w:after="0" w:line="163" w:lineRule="exact"/>
        <w:rPr>
          <w:sz w:val="20"/>
          <w:szCs w:val="20"/>
          <w:color w:val="auto"/>
        </w:rPr>
      </w:pPr>
    </w:p>
    <w:p>
      <w:pPr>
        <w:ind w:right="120" w:firstLine="1251"/>
        <w:spacing w:after="0" w:line="390" w:lineRule="auto"/>
        <w:rPr>
          <w:sz w:val="20"/>
          <w:szCs w:val="20"/>
          <w:color w:val="auto"/>
        </w:rPr>
      </w:pPr>
      <w:r>
        <w:rPr>
          <w:rFonts w:ascii="Arial" w:cs="Arial" w:eastAsia="Arial" w:hAnsi="Arial"/>
          <w:sz w:val="13"/>
          <w:szCs w:val="13"/>
          <w:color w:val="auto"/>
        </w:rPr>
        <w:t xml:space="preserve">5.3.4.2 </w:t>
      </w:r>
      <w:r>
        <w:rPr>
          <w:rFonts w:ascii="Arial" w:cs="Arial" w:eastAsia="Arial" w:hAnsi="Arial"/>
          <w:sz w:val="13"/>
          <w:szCs w:val="13"/>
          <w:b w:val="1"/>
          <w:bCs w:val="1"/>
          <w:u w:val="single" w:color="auto"/>
          <w:color w:val="auto"/>
        </w:rPr>
        <w:t>No Rent Abatement</w:t>
      </w:r>
      <w:r>
        <w:rPr>
          <w:rFonts w:ascii="Arial" w:cs="Arial" w:eastAsia="Arial" w:hAnsi="Arial"/>
          <w:sz w:val="13"/>
          <w:szCs w:val="13"/>
          <w:color w:val="auto"/>
        </w:rPr>
        <w: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80" w:lineRule="exact"/>
        <w:rPr>
          <w:sz w:val="20"/>
          <w:szCs w:val="20"/>
          <w:color w:val="auto"/>
        </w:rPr>
      </w:pPr>
    </w:p>
    <w:p>
      <w:pPr>
        <w:jc w:val="both"/>
        <w:ind w:firstLine="1251"/>
        <w:spacing w:after="0" w:line="251" w:lineRule="auto"/>
        <w:rPr>
          <w:sz w:val="20"/>
          <w:szCs w:val="20"/>
          <w:color w:val="auto"/>
        </w:rPr>
      </w:pPr>
      <w:r>
        <w:rPr>
          <w:rFonts w:ascii="Arial" w:cs="Arial" w:eastAsia="Arial" w:hAnsi="Arial"/>
          <w:sz w:val="16"/>
          <w:szCs w:val="16"/>
          <w:color w:val="auto"/>
        </w:rPr>
        <w:t xml:space="preserve">5.3.4.3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Arial" w:cs="Arial" w:eastAsia="Arial" w:hAnsi="Arial"/>
          <w:sz w:val="16"/>
          <w:szCs w:val="16"/>
          <w:b w:val="1"/>
          <w:bCs w:val="1"/>
          <w:color w:val="auto"/>
        </w:rPr>
        <w:t>Closure Letter</w:t>
      </w:r>
      <w:r>
        <w:rPr>
          <w:rFonts w:ascii="Arial" w:cs="Arial" w:eastAsia="Arial" w:hAnsi="Arial"/>
          <w:sz w:val="16"/>
          <w:szCs w:val="16"/>
          <w:color w:val="auto"/>
        </w:rPr>
        <w:t>”). Upon the expiration or earlier termination of this Lease, Tenant shall also be obligated to close all permits obtained in connection with Hazardous Materials used by Tenant or Tenant’s Agents in accordance with applicable laws.</w:t>
      </w:r>
    </w:p>
    <w:p>
      <w:pPr>
        <w:spacing w:after="0" w:line="166" w:lineRule="exact"/>
        <w:rPr>
          <w:sz w:val="20"/>
          <w:szCs w:val="20"/>
          <w:color w:val="auto"/>
        </w:rPr>
      </w:pPr>
    </w:p>
    <w:p>
      <w:pPr>
        <w:ind w:right="120" w:firstLine="1251"/>
        <w:spacing w:after="0" w:line="273" w:lineRule="auto"/>
        <w:rPr>
          <w:sz w:val="20"/>
          <w:szCs w:val="20"/>
          <w:color w:val="auto"/>
        </w:rPr>
      </w:pPr>
      <w:r>
        <w:rPr>
          <w:rFonts w:ascii="Arial" w:cs="Arial" w:eastAsia="Arial" w:hAnsi="Arial"/>
          <w:sz w:val="15"/>
          <w:szCs w:val="15"/>
          <w:color w:val="auto"/>
        </w:rPr>
        <w:t xml:space="preserve">5.3.4.4 </w:t>
      </w:r>
      <w:r>
        <w:rPr>
          <w:rFonts w:ascii="Arial" w:cs="Arial" w:eastAsia="Arial" w:hAnsi="Arial"/>
          <w:sz w:val="15"/>
          <w:szCs w:val="15"/>
          <w:b w:val="1"/>
          <w:bCs w:val="1"/>
          <w:u w:val="single" w:color="auto"/>
          <w:color w:val="auto"/>
        </w:rPr>
        <w:t>Failure to Timely Clean-Up</w:t>
      </w:r>
      <w:r>
        <w:rPr>
          <w:rFonts w:ascii="Arial" w:cs="Arial" w:eastAsia="Arial" w:hAnsi="Arial"/>
          <w:sz w:val="15"/>
          <w:szCs w:val="15"/>
          <w:color w:val="auto"/>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then, commencing on the later of the termination of this Lease and three (3) business days after Landlord’s delivery of notice of such failure and that it elects to treat such failure as a holdover, Tenant shall be liable to Landlord as a holdover tenant (as more particularly provided in </w:t>
      </w:r>
      <w:r>
        <w:rPr>
          <w:rFonts w:ascii="Arial" w:cs="Arial" w:eastAsia="Arial" w:hAnsi="Arial"/>
          <w:sz w:val="15"/>
          <w:szCs w:val="15"/>
          <w:b w:val="1"/>
          <w:bCs w:val="1"/>
          <w:u w:val="single" w:color="auto"/>
          <w:color w:val="auto"/>
        </w:rPr>
        <w:t>Article 16</w:t>
      </w:r>
      <w:r>
        <w:rPr>
          <w:rFonts w:ascii="Arial" w:cs="Arial" w:eastAsia="Arial" w:hAnsi="Arial"/>
          <w:sz w:val="15"/>
          <w:szCs w:val="15"/>
          <w:color w:val="auto"/>
        </w:rPr>
        <w:t xml:space="preserve">) until Tenant has fully complied with its obligations under this </w:t>
      </w:r>
      <w:r>
        <w:rPr>
          <w:rFonts w:ascii="Arial" w:cs="Arial" w:eastAsia="Arial" w:hAnsi="Arial"/>
          <w:sz w:val="15"/>
          <w:szCs w:val="15"/>
          <w:b w:val="1"/>
          <w:bCs w:val="1"/>
          <w:u w:val="single" w:color="auto"/>
          <w:color w:val="auto"/>
        </w:rPr>
        <w:t>Section 5.3</w:t>
      </w:r>
      <w:r>
        <w:rPr>
          <w:rFonts w:ascii="Arial" w:cs="Arial" w:eastAsia="Arial" w:hAnsi="Arial"/>
          <w:sz w:val="15"/>
          <w:szCs w:val="15"/>
          <w:color w:val="auto"/>
        </w:rPr>
        <w:t>.</w:t>
      </w:r>
    </w:p>
    <w:p>
      <w:pPr>
        <w:sectPr>
          <w:pgSz w:w="11900" w:h="16838" w:orient="portrait"/>
          <w:cols w:equalWidth="0" w:num="1">
            <w:col w:w="9600"/>
          </w:cols>
          <w:pgMar w:left="1140" w:top="251" w:right="1159" w:bottom="1440" w:gutter="0" w:footer="0" w:header="0"/>
        </w:sectPr>
      </w:pPr>
    </w:p>
    <w:bookmarkStart w:id="571" w:name="page572"/>
    <w:bookmarkEnd w:id="571"/>
    <w:p>
      <w:pPr>
        <w:ind w:right="40" w:firstLine="866"/>
        <w:spacing w:after="0" w:line="31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5.3.5 </w:t>
      </w:r>
      <w:r>
        <w:rPr>
          <w:rFonts w:ascii="Arial" w:cs="Arial" w:eastAsia="Arial" w:hAnsi="Arial"/>
          <w:sz w:val="13"/>
          <w:szCs w:val="13"/>
          <w:b w:val="1"/>
          <w:bCs w:val="1"/>
          <w:u w:val="single" w:color="auto"/>
          <w:color w:val="auto"/>
        </w:rPr>
        <w:t>Confidentiality</w:t>
      </w:r>
      <w:r>
        <w:rPr>
          <w:rFonts w:ascii="Arial" w:cs="Arial" w:eastAsia="Arial" w:hAnsi="Arial"/>
          <w:sz w:val="13"/>
          <w:szCs w:val="13"/>
          <w:color w:val="auto"/>
        </w:rPr>
        <w:t xml:space="preserve">. Unless compelled to do so by applicable law, Tenant agrees that Tenant shall not disclose, discuss, disseminate or copy any information, data, findings, communications, conclusions and reports regarding the environmental condition of the Premises to any Person (other than Tenant’s consultants, attorneys, property managers, employees, shareholders and potential and actual investors, lenders, business and merger partners, subtenants and assignees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Arial" w:cs="Arial" w:eastAsia="Arial" w:hAnsi="Arial"/>
          <w:sz w:val="13"/>
          <w:szCs w:val="13"/>
          <w:b w:val="1"/>
          <w:bCs w:val="1"/>
          <w:u w:val="single" w:color="auto"/>
          <w:color w:val="auto"/>
        </w:rPr>
        <w:t>Section 5.3</w:t>
      </w:r>
      <w:r>
        <w:rPr>
          <w:rFonts w:ascii="Arial" w:cs="Arial" w:eastAsia="Arial" w:hAnsi="Arial"/>
          <w:sz w:val="13"/>
          <w:szCs w:val="13"/>
          <w:color w:val="auto"/>
        </w:rPr>
        <w:t>.</w:t>
      </w:r>
    </w:p>
    <w:p>
      <w:pPr>
        <w:spacing w:after="0" w:line="127" w:lineRule="exact"/>
        <w:rPr>
          <w:sz w:val="20"/>
          <w:szCs w:val="20"/>
          <w:color w:val="auto"/>
        </w:rPr>
      </w:pPr>
    </w:p>
    <w:p>
      <w:pPr>
        <w:ind w:right="60" w:firstLine="866"/>
        <w:spacing w:after="0" w:line="332" w:lineRule="auto"/>
        <w:rPr>
          <w:sz w:val="20"/>
          <w:szCs w:val="20"/>
          <w:color w:val="auto"/>
        </w:rPr>
      </w:pPr>
      <w:r>
        <w:rPr>
          <w:rFonts w:ascii="Arial" w:cs="Arial" w:eastAsia="Arial" w:hAnsi="Arial"/>
          <w:sz w:val="13"/>
          <w:szCs w:val="13"/>
          <w:color w:val="auto"/>
        </w:rPr>
        <w:t xml:space="preserve">5.3.6 </w:t>
      </w:r>
      <w:r>
        <w:rPr>
          <w:rFonts w:ascii="Arial" w:cs="Arial" w:eastAsia="Arial" w:hAnsi="Arial"/>
          <w:sz w:val="13"/>
          <w:szCs w:val="13"/>
          <w:b w:val="1"/>
          <w:bCs w:val="1"/>
          <w:u w:val="single" w:color="auto"/>
          <w:color w:val="auto"/>
        </w:rPr>
        <w:t>Copies of Environmental Reports</w:t>
      </w:r>
      <w:r>
        <w:rPr>
          <w:rFonts w:ascii="Arial" w:cs="Arial" w:eastAsia="Arial" w:hAnsi="Arial"/>
          <w:sz w:val="13"/>
          <w:szCs w:val="13"/>
          <w:color w:val="auto"/>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116" w:lineRule="exact"/>
        <w:rPr>
          <w:sz w:val="20"/>
          <w:szCs w:val="20"/>
          <w:color w:val="auto"/>
        </w:rPr>
      </w:pPr>
    </w:p>
    <w:p>
      <w:pPr>
        <w:ind w:firstLine="866"/>
        <w:spacing w:after="0" w:line="254" w:lineRule="auto"/>
        <w:rPr>
          <w:sz w:val="20"/>
          <w:szCs w:val="20"/>
          <w:color w:val="auto"/>
        </w:rPr>
      </w:pPr>
      <w:r>
        <w:rPr>
          <w:rFonts w:ascii="Arial" w:cs="Arial" w:eastAsia="Arial" w:hAnsi="Arial"/>
          <w:sz w:val="16"/>
          <w:szCs w:val="16"/>
          <w:color w:val="auto"/>
        </w:rPr>
        <w:t xml:space="preserve">5.3.7 </w:t>
      </w:r>
      <w:r>
        <w:rPr>
          <w:rFonts w:ascii="Arial" w:cs="Arial" w:eastAsia="Arial" w:hAnsi="Arial"/>
          <w:sz w:val="16"/>
          <w:szCs w:val="16"/>
          <w:b w:val="1"/>
          <w:bCs w:val="1"/>
          <w:u w:val="single" w:color="auto"/>
          <w:color w:val="auto"/>
        </w:rPr>
        <w:t>Signs, Response Plans, Etc</w:t>
      </w:r>
      <w:r>
        <w:rPr>
          <w:rFonts w:ascii="Arial" w:cs="Arial" w:eastAsia="Arial" w:hAnsi="Arial"/>
          <w:sz w:val="16"/>
          <w:szCs w:val="16"/>
          <w:color w:val="auto"/>
        </w:rPr>
        <w:t>. Tenant shall be responsible for posting on the Premises any signs required under applicable Environmental Laws with respect to the use of Hazardous Materials by Tenant or Tenant’s Agents. Tenant shall also complete and file any business response plans or inventories required by any applicable laws. Tenant shall concurrently file a copy of any such business response plan or inventory with Landlord.</w:t>
      </w:r>
    </w:p>
    <w:p>
      <w:pPr>
        <w:spacing w:after="0" w:line="164" w:lineRule="exact"/>
        <w:rPr>
          <w:sz w:val="20"/>
          <w:szCs w:val="20"/>
          <w:color w:val="auto"/>
        </w:rPr>
      </w:pPr>
    </w:p>
    <w:p>
      <w:pPr>
        <w:ind w:right="60" w:firstLine="866"/>
        <w:spacing w:after="0" w:line="259" w:lineRule="auto"/>
        <w:rPr>
          <w:sz w:val="20"/>
          <w:szCs w:val="20"/>
          <w:color w:val="auto"/>
        </w:rPr>
      </w:pPr>
      <w:r>
        <w:rPr>
          <w:rFonts w:ascii="Arial" w:cs="Arial" w:eastAsia="Arial" w:hAnsi="Arial"/>
          <w:sz w:val="16"/>
          <w:szCs w:val="16"/>
          <w:color w:val="auto"/>
        </w:rPr>
        <w:t xml:space="preserve">5.3.8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xml:space="preserve">. Each covenant, agreement, representation, warranty and indemnification made by Tenant set forth in this </w:t>
      </w:r>
      <w:r>
        <w:rPr>
          <w:rFonts w:ascii="Arial" w:cs="Arial" w:eastAsia="Arial" w:hAnsi="Arial"/>
          <w:sz w:val="16"/>
          <w:szCs w:val="16"/>
          <w:b w:val="1"/>
          <w:bCs w:val="1"/>
          <w:u w:val="single" w:color="auto"/>
          <w:color w:val="auto"/>
        </w:rPr>
        <w:t>Section 5.3</w:t>
      </w:r>
      <w:r>
        <w:rPr>
          <w:rFonts w:ascii="Arial" w:cs="Arial" w:eastAsia="Arial" w:hAnsi="Arial"/>
          <w:sz w:val="16"/>
          <w:szCs w:val="16"/>
          <w:color w:val="auto"/>
        </w:rPr>
        <w:t xml:space="preserve"> shall survive the expiration or earlier termination of this Lease and shall remain effective until all of Tenant’s obligations under this </w:t>
      </w:r>
      <w:r>
        <w:rPr>
          <w:rFonts w:ascii="Arial" w:cs="Arial" w:eastAsia="Arial" w:hAnsi="Arial"/>
          <w:sz w:val="16"/>
          <w:szCs w:val="16"/>
          <w:b w:val="1"/>
          <w:bCs w:val="1"/>
          <w:u w:val="single" w:color="auto"/>
          <w:color w:val="auto"/>
        </w:rPr>
        <w:t>Section 5.3</w:t>
      </w:r>
      <w:r>
        <w:rPr>
          <w:rFonts w:ascii="Arial" w:cs="Arial" w:eastAsia="Arial" w:hAnsi="Arial"/>
          <w:sz w:val="16"/>
          <w:szCs w:val="16"/>
          <w:color w:val="auto"/>
        </w:rPr>
        <w:t xml:space="preserve"> have been completely performed and satisfied.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SERVICES AND UTILITIES.</w:t>
      </w:r>
    </w:p>
    <w:p>
      <w:pPr>
        <w:spacing w:after="0" w:line="193" w:lineRule="exact"/>
        <w:rPr>
          <w:sz w:val="20"/>
          <w:szCs w:val="20"/>
          <w:color w:val="auto"/>
        </w:rPr>
      </w:pPr>
    </w:p>
    <w:p>
      <w:pPr>
        <w:ind w:right="20" w:firstLine="385"/>
        <w:spacing w:after="0" w:line="25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xml:space="preserve">. Landlord will be responsible, at Tenant’s sole cost and expense (subject to the terms of </w:t>
      </w:r>
      <w:r>
        <w:rPr>
          <w:rFonts w:ascii="Arial" w:cs="Arial" w:eastAsia="Arial" w:hAnsi="Arial"/>
          <w:sz w:val="16"/>
          <w:szCs w:val="16"/>
          <w:u w:val="single" w:color="auto"/>
          <w:color w:val="auto"/>
        </w:rPr>
        <w:t>Section 4.2.4</w:t>
      </w:r>
      <w:r>
        <w:rPr>
          <w:rFonts w:ascii="Arial" w:cs="Arial" w:eastAsia="Arial" w:hAnsi="Arial"/>
          <w:sz w:val="16"/>
          <w:szCs w:val="16"/>
          <w:color w:val="auto"/>
        </w:rPr>
        <w:t>, above), for the furnishing of heating, ventilation and air-conditioning, electricity, water, and interior Building security services to the Premises. Landlord shall not provide janitorial or telephone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70" w:lineRule="exact"/>
        <w:rPr>
          <w:sz w:val="20"/>
          <w:szCs w:val="20"/>
          <w:color w:val="auto"/>
        </w:rPr>
      </w:pPr>
    </w:p>
    <w:p>
      <w:pPr>
        <w:ind w:firstLine="385"/>
        <w:spacing w:after="0" w:line="272" w:lineRule="auto"/>
        <w:rPr>
          <w:sz w:val="20"/>
          <w:szCs w:val="20"/>
          <w:color w:val="auto"/>
        </w:rPr>
      </w:pPr>
      <w:r>
        <w:rPr>
          <w:rFonts w:ascii="Arial" w:cs="Arial" w:eastAsia="Arial" w:hAnsi="Arial"/>
          <w:sz w:val="15"/>
          <w:szCs w:val="15"/>
          <w:color w:val="auto"/>
        </w:rPr>
        <w:t xml:space="preserve">Tenant shall cooperate fully with Landlord at all times and abide by all reasonable regulations and requirements that Landlord may reasonably prescribe for the proper functioning and protection of the HVAC, electrical, mechanical and plumbing systems. Provided that Landlord agrees to provide and maintain and keep in continuous service utility connections to the Project, including electricity, water and sewage connections, Landlord shall have no obligation to provide any services or utilities to the Building, including, but not limited to heating, ventilation and air-conditioning, electricity, water, telephone, janitorial and interior Building security services, except as set forth in this </w:t>
      </w:r>
      <w:r>
        <w:rPr>
          <w:rFonts w:ascii="Arial" w:cs="Arial" w:eastAsia="Arial" w:hAnsi="Arial"/>
          <w:sz w:val="15"/>
          <w:szCs w:val="15"/>
          <w:u w:val="single" w:color="auto"/>
          <w:color w:val="auto"/>
        </w:rPr>
        <w:t>Section 6.1</w:t>
      </w:r>
      <w:r>
        <w:rPr>
          <w:rFonts w:ascii="Arial" w:cs="Arial" w:eastAsia="Arial" w:hAnsi="Arial"/>
          <w:sz w:val="15"/>
          <w:szCs w:val="15"/>
          <w:color w:val="auto"/>
        </w:rPr>
        <w:t>, above.</w:t>
      </w:r>
    </w:p>
    <w:p>
      <w:pPr>
        <w:spacing w:after="0" w:line="150" w:lineRule="exact"/>
        <w:rPr>
          <w:sz w:val="20"/>
          <w:szCs w:val="20"/>
          <w:color w:val="auto"/>
        </w:rPr>
      </w:pPr>
    </w:p>
    <w:p>
      <w:pPr>
        <w:ind w:right="120" w:firstLine="385"/>
        <w:spacing w:after="0" w:line="268"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u w:val="single" w:color="auto"/>
          <w:color w:val="auto"/>
        </w:rPr>
        <w:t>Tenant Payment of Utilities Costs</w:t>
      </w:r>
      <w:r>
        <w:rPr>
          <w:rFonts w:ascii="Arial" w:cs="Arial" w:eastAsia="Arial" w:hAnsi="Arial"/>
          <w:sz w:val="15"/>
          <w:szCs w:val="15"/>
          <w:color w:val="auto"/>
        </w:rPr>
        <w:t>. After the Lease Commencement Date, to the extent that any utilities (including without limitation, electricity, gas, sewer and water) to the Building are separately metered or sub-metered to the Premises, such utilities shall either be contracted for and paid directly by Tenant to the applicable utility provider, or reimbursed by Tenant to Landlord within thirty (30) days after billing. After the Lease Commencement Date, to the extent that any utilities (including without limitation, electricity, gas, sewer and water) to the Building are not separately metered to the Premises, then Tenant shall pay to Landlord, within thirty (30) days after billing, an equitable portion of the Building utility costs, based on Tenant’s proportionate use thereof. In connection with the foregoing, Landlord shall install separate meters on the Building Systems as a part of Landlord’s construction of the Base Building, and Tenant shall install separate meters on the systems installed in the Premises as part of the Tenant Improvements pursuant to the Work Letter.</w:t>
      </w:r>
    </w:p>
    <w:p>
      <w:pPr>
        <w:sectPr>
          <w:pgSz w:w="11900" w:h="16838" w:orient="portrait"/>
          <w:cols w:equalWidth="0" w:num="1">
            <w:col w:w="9600"/>
          </w:cols>
          <w:pgMar w:left="1140" w:top="252" w:right="1159" w:bottom="1440" w:gutter="0" w:footer="0" w:header="0"/>
        </w:sectPr>
      </w:pPr>
    </w:p>
    <w:bookmarkStart w:id="572" w:name="page573"/>
    <w:bookmarkEnd w:id="572"/>
    <w:p>
      <w:pPr>
        <w:ind w:right="60" w:firstLine="385"/>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6.3 </w:t>
      </w:r>
      <w:r>
        <w:rPr>
          <w:rFonts w:ascii="Arial" w:cs="Arial" w:eastAsia="Arial" w:hAnsi="Arial"/>
          <w:sz w:val="15"/>
          <w:szCs w:val="15"/>
          <w:b w:val="1"/>
          <w:bCs w:val="1"/>
          <w:u w:val="single" w:color="auto"/>
          <w:color w:val="auto"/>
        </w:rPr>
        <w:t>Interruption of Use</w:t>
      </w:r>
      <w:r>
        <w:rPr>
          <w:rFonts w:ascii="Arial" w:cs="Arial" w:eastAsia="Arial" w:hAnsi="Arial"/>
          <w:sz w:val="15"/>
          <w:szCs w:val="15"/>
          <w:color w:val="auto"/>
        </w:rPr>
        <w:t xml:space="preserve">. Tenant agrees that Landlord shall not be liable for damages, by abatement of Rent or otherwise, for failure to furnish or delay in furnishing any service or utility (including, without limitation, telephone and telecommunication services, UPS services, or other laboratory services or utilities),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or performing any of its obligations under this Lease. Notwithstanding the foregoing, Landlord may be liable for damages to the extent caused by the negligence or willful misconduct of Landlord or the Landlord Parties, provided that Landlord shall not be liable under any circumstances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5"/>
          <w:szCs w:val="15"/>
          <w:u w:val="single" w:color="auto"/>
          <w:color w:val="auto"/>
        </w:rPr>
        <w:t>Article 6</w:t>
      </w:r>
      <w:r>
        <w:rPr>
          <w:rFonts w:ascii="Arial" w:cs="Arial" w:eastAsia="Arial" w:hAnsi="Arial"/>
          <w:sz w:val="15"/>
          <w:szCs w:val="15"/>
          <w:color w:val="auto"/>
        </w:rPr>
        <w:t>.</w:t>
      </w:r>
    </w:p>
    <w:p>
      <w:pPr>
        <w:spacing w:after="0" w:line="161" w:lineRule="exact"/>
        <w:rPr>
          <w:sz w:val="20"/>
          <w:szCs w:val="20"/>
          <w:color w:val="auto"/>
        </w:rPr>
      </w:pPr>
    </w:p>
    <w:p>
      <w:pPr>
        <w:ind w:firstLine="385"/>
        <w:spacing w:after="0" w:line="307"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b w:val="1"/>
          <w:bCs w:val="1"/>
          <w:u w:val="single" w:color="auto"/>
          <w:color w:val="auto"/>
        </w:rPr>
        <w:t>Energy Performance Disclosure Information</w:t>
      </w:r>
      <w:r>
        <w:rPr>
          <w:rFonts w:ascii="Arial" w:cs="Arial" w:eastAsia="Arial" w:hAnsi="Arial"/>
          <w:sz w:val="13"/>
          <w:szCs w:val="13"/>
          <w:color w:val="auto"/>
        </w:rPr>
        <w:t>. Tenant hereby acknowledges that Landlord may be required to disclose certain information concerning the energy performance of the Building pursuant to California Public Resources Code Section 25402.10 and the regulations adopted pursuant thereto (collectively the “</w:t>
      </w:r>
      <w:r>
        <w:rPr>
          <w:rFonts w:ascii="Arial" w:cs="Arial" w:eastAsia="Arial" w:hAnsi="Arial"/>
          <w:sz w:val="13"/>
          <w:szCs w:val="13"/>
          <w:b w:val="1"/>
          <w:bCs w:val="1"/>
          <w:color w:val="auto"/>
        </w:rPr>
        <w:t>Energy Disclosure Requirements</w:t>
      </w:r>
      <w:r>
        <w:rPr>
          <w:rFonts w:ascii="Arial" w:cs="Arial" w:eastAsia="Arial" w:hAnsi="Arial"/>
          <w:sz w:val="13"/>
          <w:szCs w:val="13"/>
          <w:color w:val="auto"/>
        </w:rPr>
        <w:t>”). Tenant hereby acknowledges prior receipt of the Data Verification Checklist, as defined in the Energy Disclosure Requirements (the “</w:t>
      </w:r>
      <w:r>
        <w:rPr>
          <w:rFonts w:ascii="Arial" w:cs="Arial" w:eastAsia="Arial" w:hAnsi="Arial"/>
          <w:sz w:val="13"/>
          <w:szCs w:val="13"/>
          <w:b w:val="1"/>
          <w:bCs w:val="1"/>
          <w:color w:val="auto"/>
        </w:rPr>
        <w:t>Energy Disclosure Information</w:t>
      </w:r>
      <w:r>
        <w:rPr>
          <w:rFonts w:ascii="Arial" w:cs="Arial" w:eastAsia="Arial" w:hAnsi="Arial"/>
          <w:sz w:val="13"/>
          <w:szCs w:val="13"/>
          <w:color w:val="auto"/>
        </w:rPr>
        <w:t>”), and agrees that Landlord has timely complied in full with Landlord’s obligations under the Energy Disclosure Requirements. Tenant acknowledges and agrees that (i) Landlord makes no representation or warranty regarding the energy performance of the Building or the accuracy or completeness of the Energy Disclosure Information, (ii) the Energy 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If and to the extent not prohibited by applicable laws, Tenant hereby waives any right Tenant may have to receive the Energy Disclosure Information, 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Tenant’s acknowledgment of the AS-IS condition of the Premises pursuant to the terms of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w:t>
      </w:r>
      <w:r>
        <w:rPr>
          <w:rFonts w:ascii="Arial" w:cs="Arial" w:eastAsia="Arial" w:hAnsi="Arial"/>
          <w:sz w:val="13"/>
          <w:szCs w:val="13"/>
          <w:b w:val="1"/>
          <w:bCs w:val="1"/>
          <w:color w:val="auto"/>
        </w:rPr>
        <w:t>Tenant Energy Use Disclosure</w:t>
      </w:r>
      <w:r>
        <w:rPr>
          <w:rFonts w:ascii="Arial" w:cs="Arial" w:eastAsia="Arial" w:hAnsi="Arial"/>
          <w:sz w:val="13"/>
          <w:szCs w:val="13"/>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shall survive the expiration or earlier termination of this Lease.</w:t>
      </w:r>
    </w:p>
    <w:p>
      <w:pPr>
        <w:spacing w:after="0" w:line="200" w:lineRule="exact"/>
        <w:rPr>
          <w:sz w:val="20"/>
          <w:szCs w:val="20"/>
          <w:color w:val="auto"/>
        </w:rPr>
      </w:pPr>
    </w:p>
    <w:p>
      <w:pPr>
        <w:spacing w:after="0" w:line="319" w:lineRule="exact"/>
        <w:rPr>
          <w:sz w:val="20"/>
          <w:szCs w:val="20"/>
          <w:color w:val="auto"/>
        </w:rPr>
      </w:pPr>
    </w:p>
    <w:p>
      <w:pPr>
        <w:ind w:firstLine="385"/>
        <w:spacing w:after="0" w:line="267"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b w:val="1"/>
          <w:bCs w:val="1"/>
          <w:u w:val="single" w:color="auto"/>
          <w:color w:val="auto"/>
        </w:rPr>
        <w:t>Generator</w:t>
      </w:r>
      <w:r>
        <w:rPr>
          <w:rFonts w:ascii="Arial" w:cs="Arial" w:eastAsia="Arial" w:hAnsi="Arial"/>
          <w:sz w:val="15"/>
          <w:szCs w:val="15"/>
          <w:color w:val="auto"/>
        </w:rPr>
        <w:t>. Commencing on the Lease Commencement Date, Tenant shall have the right to connect to the Building back-up generator, which Landlord shall install as part of Landlord’s Work (the “</w:t>
      </w:r>
      <w:r>
        <w:rPr>
          <w:rFonts w:ascii="Arial" w:cs="Arial" w:eastAsia="Arial" w:hAnsi="Arial"/>
          <w:sz w:val="15"/>
          <w:szCs w:val="15"/>
          <w:b w:val="1"/>
          <w:bCs w:val="1"/>
          <w:color w:val="auto"/>
        </w:rPr>
        <w:t>Generator</w:t>
      </w:r>
      <w:r>
        <w:rPr>
          <w:rFonts w:ascii="Arial" w:cs="Arial" w:eastAsia="Arial" w:hAnsi="Arial"/>
          <w:sz w:val="15"/>
          <w:szCs w:val="15"/>
          <w:color w:val="auto"/>
        </w:rPr>
        <w:t>”), for Tenant’s Share of the Generator’s capacity to provide back-up generator services to the Premises. During the Lease Term, Landlord shall maintain the Generator in good condition and repair, and Tenant shall be responsible for a share of the costs of such maintenance and repair based on the proportion of the Generator capacity allocated to the Premises. Notwithstanding the foregoing, Landlord shall not be liable for any damages whatsoever resulting from any failure in operation of the Generator, or the failure of the Generator to provide suitable or adequate back-up power to the Premises,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159" w:lineRule="exact"/>
        <w:rPr>
          <w:sz w:val="20"/>
          <w:szCs w:val="20"/>
          <w:color w:val="auto"/>
        </w:rPr>
      </w:pPr>
    </w:p>
    <w:p>
      <w:pPr>
        <w:jc w:val="both"/>
        <w:ind w:right="160" w:firstLine="385"/>
        <w:spacing w:after="0" w:line="259"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u w:val="single" w:color="auto"/>
          <w:color w:val="auto"/>
        </w:rPr>
        <w:t>Chemical Storage Room</w:t>
      </w:r>
      <w:r>
        <w:rPr>
          <w:rFonts w:ascii="Arial" w:cs="Arial" w:eastAsia="Arial" w:hAnsi="Arial"/>
          <w:sz w:val="16"/>
          <w:szCs w:val="16"/>
          <w:color w:val="auto"/>
        </w:rPr>
        <w:t xml:space="preserve">. Tenant shall have the right to utilize storage space in the chemical storage room to be constructed by Landlord in the Building pursuant to </w:t>
      </w:r>
      <w:r>
        <w:rPr>
          <w:rFonts w:ascii="Arial" w:cs="Arial" w:eastAsia="Arial" w:hAnsi="Arial"/>
          <w:sz w:val="16"/>
          <w:szCs w:val="16"/>
          <w:b w:val="1"/>
          <w:bCs w:val="1"/>
          <w:u w:val="single" w:color="auto"/>
          <w:color w:val="auto"/>
        </w:rPr>
        <w:t>Schedule 1 to 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Chemical Storage Room</w:t>
      </w:r>
      <w:r>
        <w:rPr>
          <w:rFonts w:ascii="Arial" w:cs="Arial" w:eastAsia="Arial" w:hAnsi="Arial"/>
          <w:sz w:val="16"/>
          <w:szCs w:val="16"/>
          <w:color w:val="auto"/>
        </w:rPr>
        <w:t>”), for up to Tenant’s Share of the Chemical Storage Room’s storage capacity, provided that Tenant</w:t>
      </w:r>
    </w:p>
    <w:p>
      <w:pPr>
        <w:sectPr>
          <w:pgSz w:w="11900" w:h="16838" w:orient="portrait"/>
          <w:cols w:equalWidth="0" w:num="1">
            <w:col w:w="9600"/>
          </w:cols>
          <w:pgMar w:left="1140" w:top="252" w:right="1159" w:bottom="1440" w:gutter="0" w:footer="0" w:header="0"/>
        </w:sectPr>
      </w:pPr>
    </w:p>
    <w:bookmarkStart w:id="573" w:name="page574"/>
    <w:bookmarkEnd w:id="573"/>
    <w:p>
      <w:pPr>
        <w:ind w:left="6" w:right="60"/>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shall be responsible for providing any equipment or modifications (e.g., (self-contained bunkers, dedicated exhaust, additional fire rating, etc.) to support Tenant’s specific usage and Landlord shall demise by chain link fence Tenant’s Share of the Chemical Storage Room. During the Lease Term, Landlord shall maintain the Chemical Storage Room in good condition and repair, and Tenant shall be responsible for a share of the costs of such maintenance and repair based on the proportion of the capacity of the Chemical Storage Room allocated to Tenant’s use (subject to the provisions of Section 4.2.4 above). Notwithstanding the foregoing, Landlord shall not be liable for any damages whatsoever resulting from any failure in operation of the Chemical Storage Room, or the failure of the Chemical Storage Room to provide suitable or adequate storage of Tenant’s chemicals,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Chemical Storage Room or the Premises and any and all income derived or derivable therefrom.</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7. REPAIRS</w:t>
      </w:r>
      <w:r>
        <w:rPr>
          <w:rFonts w:ascii="Arial" w:cs="Arial" w:eastAsia="Arial" w:hAnsi="Arial"/>
          <w:sz w:val="16"/>
          <w:szCs w:val="16"/>
          <w:color w:val="auto"/>
        </w:rPr>
        <w:t>.</w:t>
      </w:r>
    </w:p>
    <w:p>
      <w:pPr>
        <w:spacing w:after="0" w:line="193" w:lineRule="exact"/>
        <w:rPr>
          <w:sz w:val="20"/>
          <w:szCs w:val="20"/>
          <w:color w:val="auto"/>
        </w:rPr>
      </w:pPr>
    </w:p>
    <w:p>
      <w:pPr>
        <w:ind w:left="6" w:firstLine="385"/>
        <w:spacing w:after="0" w:line="24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Tenant Repair Obligations</w:t>
      </w:r>
      <w:r>
        <w:rPr>
          <w:rFonts w:ascii="Arial" w:cs="Arial" w:eastAsia="Arial" w:hAnsi="Arial"/>
          <w:sz w:val="16"/>
          <w:szCs w:val="16"/>
          <w:color w:val="auto"/>
        </w:rPr>
        <w:t>. Tenant shall, throughout the Term, at its sole cost and expense, maintain, repair or replace as required, the Premises in a good standard of maintenance, repair and replacement as required, and in good and sanitary condition, all in accordance with the standards of First Class Life Sciences Projects, except for the Landlord Repair Obligations, whether or not such maintenance, repair, replacement or improvement is required in order to comply with applicable Laws (“</w:t>
      </w:r>
      <w:r>
        <w:rPr>
          <w:rFonts w:ascii="Arial" w:cs="Arial" w:eastAsia="Arial" w:hAnsi="Arial"/>
          <w:sz w:val="16"/>
          <w:szCs w:val="16"/>
          <w:b w:val="1"/>
          <w:bCs w:val="1"/>
          <w:color w:val="auto"/>
        </w:rPr>
        <w:t>Tenant’s Repair Obligations</w:t>
      </w:r>
      <w:r>
        <w:rPr>
          <w:rFonts w:ascii="Arial" w:cs="Arial" w:eastAsia="Arial" w:hAnsi="Arial"/>
          <w:sz w:val="16"/>
          <w:szCs w:val="16"/>
          <w:color w:val="auto"/>
        </w:rPr>
        <w:t>”), including without limitation, all electrical facilities and equipment, including lighting fixtures, lamps, fans and any exhaust equipment and systems, electrical motors and all other appliances and equipment of every kind and nature located in the Premises; all communications systems serving the Premises; all of Tenant’s security systems in or about or serving the Premises; Tenant’s signage; interior demising walls and partitions (including painting and wall coverings), equipment, floors. Tenant shall additionally be responsible, at Tenant’s sole cost and expense, to furnish all expendables, including light bulbs, paper goods and soaps, used in the Premises.</w:t>
      </w:r>
    </w:p>
    <w:p>
      <w:pPr>
        <w:spacing w:after="0" w:line="168" w:lineRule="exact"/>
        <w:rPr>
          <w:sz w:val="20"/>
          <w:szCs w:val="20"/>
          <w:color w:val="auto"/>
        </w:rPr>
      </w:pPr>
    </w:p>
    <w:p>
      <w:pPr>
        <w:ind w:left="6" w:firstLine="385"/>
        <w:spacing w:after="0" w:line="311"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b w:val="1"/>
          <w:bCs w:val="1"/>
          <w:u w:val="single" w:color="auto"/>
          <w:color w:val="auto"/>
        </w:rPr>
        <w:t>Landlord Repair Obligations</w:t>
      </w:r>
      <w:r>
        <w:rPr>
          <w:rFonts w:ascii="Arial" w:cs="Arial" w:eastAsia="Arial" w:hAnsi="Arial"/>
          <w:sz w:val="13"/>
          <w:szCs w:val="13"/>
          <w:color w:val="auto"/>
        </w:rPr>
        <w:t>. Landlord shall be responsible, as a part of Operating Expenses, for repairs to and routine maintenance of the Building including without limitation: (1) exterior windows, window frames, window casements (including the repairing, resealing, cleaning and replacing of exterior windows); (2) exterior doors, door frames and door closers; (3) the Building (as opposed to the Premises) and Project plumbing, sewer, drainage, electrical, fire protection, life safety and security systems and equipment, existing heating, ventilation and air-conditioning systems, and all other mechanical and HVAC systems and equipment (collectively, the “</w:t>
      </w:r>
      <w:r>
        <w:rPr>
          <w:rFonts w:ascii="Arial" w:cs="Arial" w:eastAsia="Arial" w:hAnsi="Arial"/>
          <w:sz w:val="13"/>
          <w:szCs w:val="13"/>
          <w:b w:val="1"/>
          <w:bCs w:val="1"/>
          <w:color w:val="auto"/>
        </w:rPr>
        <w:t>Building Systems</w:t>
      </w:r>
      <w:r>
        <w:rPr>
          <w:rFonts w:ascii="Arial" w:cs="Arial" w:eastAsia="Arial" w:hAnsi="Arial"/>
          <w:sz w:val="13"/>
          <w:szCs w:val="13"/>
          <w:color w:val="auto"/>
        </w:rPr>
        <w:t>”), (4) the exterior glass, exterior walls, foundation and roof of the Building, the structural portions of the floors of the Building, including, without limitation, any painting, sealing, patching and waterproofing of exterior walls, and (5) repairs to the elevator in the Building and underground utilities, except to the extent that any such repairs are required due to the negligence or willful misconduct of Tenant (the “</w:t>
      </w:r>
      <w:r>
        <w:rPr>
          <w:rFonts w:ascii="Arial" w:cs="Arial" w:eastAsia="Arial" w:hAnsi="Arial"/>
          <w:sz w:val="13"/>
          <w:szCs w:val="13"/>
          <w:b w:val="1"/>
          <w:bCs w:val="1"/>
          <w:color w:val="auto"/>
        </w:rPr>
        <w:t>Landlord Repair Obligations</w:t>
      </w:r>
      <w:r>
        <w:rPr>
          <w:rFonts w:ascii="Arial" w:cs="Arial" w:eastAsia="Arial" w:hAnsi="Arial"/>
          <w:sz w:val="13"/>
          <w:szCs w:val="13"/>
          <w:color w:val="auto"/>
        </w:rPr>
        <w:t xml:space="preserve">”); provided, however, that if such repairs are due to the negligence or willful misconduct of Tenant, Landlord shall nevertheless make such repairs at Tenant’s expense, or, if covered by Landlord’s insurance, Tenant shall only be obligated to pay any deductible in connection therewith. Costs expended by Landlord in connection with the Landlord Repair Obligations shall be included in Operating Expenses to the extent allowed pursuant to the terms of </w:t>
      </w:r>
      <w:r>
        <w:rPr>
          <w:rFonts w:ascii="Arial" w:cs="Arial" w:eastAsia="Arial" w:hAnsi="Arial"/>
          <w:sz w:val="13"/>
          <w:szCs w:val="13"/>
          <w:u w:val="single" w:color="auto"/>
          <w:color w:val="auto"/>
        </w:rPr>
        <w:t>Article 4</w:t>
      </w:r>
      <w:r>
        <w:rPr>
          <w:rFonts w:ascii="Arial" w:cs="Arial" w:eastAsia="Arial" w:hAnsi="Arial"/>
          <w:sz w:val="13"/>
          <w:szCs w:val="13"/>
          <w:color w:val="auto"/>
        </w:rPr>
        <w:t>, above. Landlord shall cooperate with Tenant to enforce any warranties that Landlord holds that could reduce Tenant’s maintenance obligations under this Lease.</w:t>
      </w:r>
    </w:p>
    <w:p>
      <w:pPr>
        <w:spacing w:after="0" w:line="321" w:lineRule="exact"/>
        <w:rPr>
          <w:sz w:val="20"/>
          <w:szCs w:val="20"/>
          <w:color w:val="auto"/>
        </w:rPr>
      </w:pPr>
    </w:p>
    <w:p>
      <w:pPr>
        <w:ind w:left="6" w:right="40" w:firstLine="385"/>
        <w:spacing w:after="0" w:line="306"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b w:val="1"/>
          <w:bCs w:val="1"/>
          <w:u w:val="single" w:color="auto"/>
          <w:color w:val="auto"/>
        </w:rPr>
        <w:t>Tenant’s Right to Make Repairs</w:t>
      </w:r>
      <w:r>
        <w:rPr>
          <w:rFonts w:ascii="Arial" w:cs="Arial" w:eastAsia="Arial" w:hAnsi="Arial"/>
          <w:sz w:val="13"/>
          <w:szCs w:val="13"/>
          <w:color w:val="auto"/>
        </w:rPr>
        <w:t xml:space="preserve">. Notwithstanding any provision to the contrary contained in this Lease, if Tenant provides written notice to Landlord of an event or circumstance which requires the action of Landlord under this Lease with respect to repair and/or maintenance required in the Premises, including repairs to the portions of the Building located within the Premises that are Landlord’s responsibility under </w:t>
      </w:r>
      <w:r>
        <w:rPr>
          <w:rFonts w:ascii="Arial" w:cs="Arial" w:eastAsia="Arial" w:hAnsi="Arial"/>
          <w:sz w:val="13"/>
          <w:szCs w:val="13"/>
          <w:u w:val="single" w:color="auto"/>
          <w:color w:val="auto"/>
        </w:rPr>
        <w:t>Section 7.4</w:t>
      </w:r>
      <w:r>
        <w:rPr>
          <w:rFonts w:ascii="Arial" w:cs="Arial" w:eastAsia="Arial" w:hAnsi="Arial"/>
          <w:sz w:val="13"/>
          <w:szCs w:val="13"/>
          <w:color w:val="auto"/>
        </w:rPr>
        <w:t xml:space="preserve"> (the “</w:t>
      </w:r>
      <w:r>
        <w:rPr>
          <w:rFonts w:ascii="Arial" w:cs="Arial" w:eastAsia="Arial" w:hAnsi="Arial"/>
          <w:sz w:val="13"/>
          <w:szCs w:val="13"/>
          <w:b w:val="1"/>
          <w:bCs w:val="1"/>
          <w:color w:val="auto"/>
        </w:rPr>
        <w:t>Base</w:t>
      </w:r>
      <w:r>
        <w:rPr>
          <w:rFonts w:ascii="Arial" w:cs="Arial" w:eastAsia="Arial" w:hAnsi="Arial"/>
          <w:sz w:val="13"/>
          <w:szCs w:val="13"/>
          <w:color w:val="auto"/>
        </w:rPr>
        <w:t xml:space="preserve"> </w:t>
      </w:r>
      <w:r>
        <w:rPr>
          <w:rFonts w:ascii="Arial" w:cs="Arial" w:eastAsia="Arial" w:hAnsi="Arial"/>
          <w:sz w:val="13"/>
          <w:szCs w:val="13"/>
          <w:b w:val="1"/>
          <w:bCs w:val="1"/>
          <w:color w:val="auto"/>
        </w:rPr>
        <w:t>Building</w:t>
      </w:r>
      <w:r>
        <w:rPr>
          <w:rFonts w:ascii="Arial" w:cs="Arial" w:eastAsia="Arial" w:hAnsi="Arial"/>
          <w:sz w:val="13"/>
          <w:szCs w:val="13"/>
          <w:color w:val="auto"/>
        </w:rPr>
        <w:t>”), which event or circumstance with respect to the Base Building materially and adversely affects the conduct of Tenant’s business from the</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and Landlord fails to commence corrective action within a reasonable period of time, given the circumstances, after the receipt of such notice, but in any event not later than thirty (30) days after receipt of said notice (unless Landlord’s obligation cannot reasonably be performed within thirty</w:t>
      </w:r>
    </w:p>
    <w:p>
      <w:pPr>
        <w:spacing w:after="0" w:line="4" w:lineRule="exact"/>
        <w:rPr>
          <w:sz w:val="20"/>
          <w:szCs w:val="20"/>
          <w:color w:val="auto"/>
        </w:rPr>
      </w:pPr>
    </w:p>
    <w:p>
      <w:pPr>
        <w:ind w:left="6" w:right="140" w:hanging="6"/>
        <w:spacing w:after="0" w:line="248" w:lineRule="auto"/>
        <w:tabs>
          <w:tab w:leader="none" w:pos="307" w:val="left"/>
        </w:tabs>
        <w:numPr>
          <w:ilvl w:val="0"/>
          <w:numId w:val="421"/>
        </w:numPr>
        <w:rPr>
          <w:rFonts w:ascii="Arial" w:cs="Arial" w:eastAsia="Arial" w:hAnsi="Arial"/>
          <w:sz w:val="16"/>
          <w:szCs w:val="16"/>
          <w:color w:val="auto"/>
        </w:rPr>
      </w:pPr>
      <w:r>
        <w:rPr>
          <w:rFonts w:ascii="Arial" w:cs="Arial" w:eastAsia="Arial" w:hAnsi="Arial"/>
          <w:sz w:val="16"/>
          <w:szCs w:val="16"/>
          <w:color w:val="auto"/>
        </w:rPr>
        <w:t>days, in which event Landlord shall be allowed additional time as is reasonably necessary to perform the obligation so long as Landlord begins performance within the initial thirty (30) days and diligently pursues performance to completion), or, in the event of an Emergency (as defined below), not later than five (5) business days after receipt of such notice, then Tenant shall have the right to undertake such actions as may be reasonably necessary to make such repairs if Landlord</w:t>
      </w:r>
    </w:p>
    <w:p>
      <w:pPr>
        <w:sectPr>
          <w:pgSz w:w="11900" w:h="16838" w:orient="portrait"/>
          <w:cols w:equalWidth="0" w:num="1">
            <w:col w:w="9606"/>
          </w:cols>
          <w:pgMar w:left="1134" w:top="256" w:right="1159" w:bottom="1440" w:gutter="0" w:footer="0" w:header="0"/>
        </w:sectPr>
      </w:pPr>
    </w:p>
    <w:bookmarkStart w:id="574" w:name="page575"/>
    <w:bookmarkEnd w:id="574"/>
    <w:p>
      <w:pPr>
        <w:ind w:left="6" w:right="280"/>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thereafter fails to commence corrective action within five (5) business days following Landlord’s receipt of a second written notice from Tenant specifying that Tenant will undertake such actions if Landlord fails to timely do so (provided that such notice shall include the following language in bold, capitalized text: “</w:t>
      </w:r>
      <w:r>
        <w:rPr>
          <w:rFonts w:ascii="Arial" w:cs="Arial" w:eastAsia="Arial" w:hAnsi="Arial"/>
          <w:sz w:val="13"/>
          <w:szCs w:val="13"/>
          <w:b w:val="1"/>
          <w:bCs w:val="1"/>
          <w:color w:val="auto"/>
        </w:rPr>
        <w:t>IF LANDLORD FAILS TO COMMENCE THE REPAIRS DESCRIBED IN THIS LETTER WITHIN FIVE</w:t>
      </w:r>
    </w:p>
    <w:p>
      <w:pPr>
        <w:spacing w:after="0" w:line="2" w:lineRule="exact"/>
        <w:rPr>
          <w:sz w:val="20"/>
          <w:szCs w:val="20"/>
          <w:color w:val="auto"/>
        </w:rPr>
      </w:pPr>
    </w:p>
    <w:p>
      <w:pPr>
        <w:ind w:left="6" w:hanging="6"/>
        <w:spacing w:after="0" w:line="263" w:lineRule="auto"/>
        <w:tabs>
          <w:tab w:leader="none" w:pos="229" w:val="left"/>
        </w:tabs>
        <w:numPr>
          <w:ilvl w:val="0"/>
          <w:numId w:val="422"/>
        </w:numPr>
        <w:rPr>
          <w:rFonts w:ascii="Arial" w:cs="Arial" w:eastAsia="Arial" w:hAnsi="Arial"/>
          <w:sz w:val="15"/>
          <w:szCs w:val="15"/>
          <w:b w:val="1"/>
          <w:bCs w:val="1"/>
          <w:color w:val="auto"/>
        </w:rPr>
      </w:pPr>
      <w:r>
        <w:rPr>
          <w:rFonts w:ascii="Arial" w:cs="Arial" w:eastAsia="Arial" w:hAnsi="Arial"/>
          <w:sz w:val="15"/>
          <w:szCs w:val="15"/>
          <w:b w:val="1"/>
          <w:bCs w:val="1"/>
          <w:color w:val="auto"/>
        </w:rPr>
        <w:t>BUSINESS DAYS FROM LANDLORD’S RECEIPT OF THIS LETTER, TENANT WILL PERFORM SUCH REPAIRS AT LANDLORD’S EXPENSE</w:t>
      </w:r>
      <w:r>
        <w:rPr>
          <w:rFonts w:ascii="Arial" w:cs="Arial" w:eastAsia="Arial" w:hAnsi="Arial"/>
          <w:sz w:val="15"/>
          <w:szCs w:val="15"/>
          <w:color w:val="auto"/>
        </w:rPr>
        <w:t>”; provided, however, that in no event shall Tenant undertake any actions that could materially or adversely affect the Base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Building. Notwithstanding the foregoing, in the event of an Emergency, no second written notice shall be required as long as Tenant advises Landlord in the first written notice of Tenant’s intent to perform such Emergency repairs if Landlord does not commence the same within such five (5) business day period, utilizing the language required in second notices. If such action was required under the terms of this Lease to be taken by Landlord and was not commenced by Landlord within such five (5) business day period and thereafter diligently pursued to completion, then Tenant shall be entitled to prompt reimbursement by Landlord of the reasonable out-of-pocket third-party costs and expenses actually incurred by Tenant in taking such action. If Tenant undertakes such corrective actions pursuant to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then (a) the insurance and indemnity provisions set forth in this Lease shall apply to Tenant’s performance of such corrective actions, (b) Tenant shall proceed in accordance with all applicable laws, (c) Tenant shall retain to perform such corrective actions only such reputable contractors and suppliers as are duly licensed and qualified, (d) Tenant shall effect such repairs in a good and workmanlike and commercially reasonable manner, (e) Tenant shall use new or like new materials, and (f) Tenant shall take reasonable efforts to minimize any material interference or impact on the other tenants and occupants of the Building. Promptly following completion of any work taken by Tenant pursuant to the terms of this Section 7.5, Tenant shall deliver a detailed invoice of the work completed, the materials used and the costs relating thereto, and Landlord shall reimburse Tenant the amounts expended by Tenant in connection with such work, provided that Landlord shall have the right to object if Landlord claims that such action did not have to be taken by Landlord pursuant to the terms of this Lease or that the charges are excessive (in which case Landlord shall pay the amount it contends would not have been excessive). For purposes of this </w:t>
      </w:r>
      <w:r>
        <w:rPr>
          <w:rFonts w:ascii="Arial" w:cs="Arial" w:eastAsia="Arial" w:hAnsi="Arial"/>
          <w:sz w:val="15"/>
          <w:szCs w:val="15"/>
          <w:u w:val="single" w:color="auto"/>
          <w:color w:val="auto"/>
        </w:rPr>
        <w:t>Section 7.5</w:t>
      </w:r>
      <w:r>
        <w:rPr>
          <w:rFonts w:ascii="Arial" w:cs="Arial" w:eastAsia="Arial" w:hAnsi="Arial"/>
          <w:sz w:val="15"/>
          <w:szCs w:val="15"/>
          <w:color w:val="auto"/>
        </w:rPr>
        <w:t>, an “</w:t>
      </w:r>
      <w:r>
        <w:rPr>
          <w:rFonts w:ascii="Arial" w:cs="Arial" w:eastAsia="Arial" w:hAnsi="Arial"/>
          <w:sz w:val="15"/>
          <w:szCs w:val="15"/>
          <w:b w:val="1"/>
          <w:bCs w:val="1"/>
          <w:color w:val="auto"/>
        </w:rPr>
        <w:t>Emergency</w:t>
      </w:r>
      <w:r>
        <w:rPr>
          <w:rFonts w:ascii="Arial" w:cs="Arial" w:eastAsia="Arial" w:hAnsi="Arial"/>
          <w:sz w:val="15"/>
          <w:szCs w:val="15"/>
          <w:color w:val="auto"/>
        </w:rPr>
        <w:t>” shall mean an event threatening immediate and material danger to people located in the Building or immediate, material damage to the Building, Base Building, or creating a realistic possibility of an immediate and material interference with, or immediate and material interruption of a material aspect of Tenant’s business operations.</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8. ADDITIONS AND ALTERATIONS.</w:t>
      </w:r>
    </w:p>
    <w:p>
      <w:pPr>
        <w:spacing w:after="0" w:line="193" w:lineRule="exact"/>
        <w:rPr>
          <w:sz w:val="20"/>
          <w:szCs w:val="20"/>
          <w:color w:val="auto"/>
        </w:rPr>
      </w:pPr>
    </w:p>
    <w:p>
      <w:pPr>
        <w:ind w:left="6" w:right="40" w:firstLine="385"/>
        <w:spacing w:after="0" w:line="267"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b w:val="1"/>
          <w:bCs w:val="1"/>
          <w:u w:val="single" w:color="auto"/>
          <w:color w:val="auto"/>
        </w:rPr>
        <w:t>Landlord’s Consent to Alterations</w:t>
      </w:r>
      <w:r>
        <w:rPr>
          <w:rFonts w:ascii="Arial" w:cs="Arial" w:eastAsia="Arial" w:hAnsi="Arial"/>
          <w:sz w:val="15"/>
          <w:szCs w:val="15"/>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5"/>
          <w:szCs w:val="15"/>
          <w:b w:val="1"/>
          <w:bCs w:val="1"/>
          <w:color w:val="auto"/>
        </w:rPr>
        <w:t>Alterations</w:t>
      </w:r>
      <w:r>
        <w:rPr>
          <w:rFonts w:ascii="Arial" w:cs="Arial" w:eastAsia="Arial" w:hAnsi="Arial"/>
          <w:sz w:val="15"/>
          <w:szCs w:val="15"/>
          <w:color w:val="auto"/>
        </w:rPr>
        <w:t xml:space="preserve">”) without first procuring the prior written consent of Landlord to such Alterations, which consent shall be requested by Tenant not less than ten (10) business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(as to Alterations costing more than $10,000 only), but without Landlord’s prior consent, to the extent that such Alterations (i) do not affect the building systems or equipment (other than minor changes such as adding or relocating electrical outlets and thermostats), (ii) are not visible from the exterior of the Building, and (iii) cost less than $50,000.00 for a particular job of work. The construction of the Tenant Improvements to the Premises shall be governed by the terms of the Tenant Work Letter and not the terms of this </w:t>
      </w:r>
      <w:r>
        <w:rPr>
          <w:rFonts w:ascii="Arial" w:cs="Arial" w:eastAsia="Arial" w:hAnsi="Arial"/>
          <w:sz w:val="15"/>
          <w:szCs w:val="15"/>
          <w:u w:val="single" w:color="auto"/>
          <w:color w:val="auto"/>
        </w:rPr>
        <w:t>Article 8</w:t>
      </w:r>
      <w:r>
        <w:rPr>
          <w:rFonts w:ascii="Arial" w:cs="Arial" w:eastAsia="Arial" w:hAnsi="Arial"/>
          <w:sz w:val="15"/>
          <w:szCs w:val="15"/>
          <w:color w:val="auto"/>
        </w:rPr>
        <w:t>.</w:t>
      </w:r>
    </w:p>
    <w:p>
      <w:pPr>
        <w:spacing w:after="0" w:line="156" w:lineRule="exact"/>
        <w:rPr>
          <w:sz w:val="20"/>
          <w:szCs w:val="20"/>
          <w:color w:val="auto"/>
        </w:rPr>
      </w:pPr>
    </w:p>
    <w:p>
      <w:pPr>
        <w:ind w:left="6" w:right="20" w:firstLine="385"/>
        <w:spacing w:after="0" w:line="267"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b w:val="1"/>
          <w:bCs w:val="1"/>
          <w:u w:val="single" w:color="auto"/>
          <w:color w:val="auto"/>
        </w:rPr>
        <w:t>Manner of Construction</w:t>
      </w:r>
      <w:r>
        <w:rPr>
          <w:rFonts w:ascii="Arial" w:cs="Arial" w:eastAsia="Arial" w:hAnsi="Arial"/>
          <w:sz w:val="15"/>
          <w:szCs w:val="15"/>
          <w:color w:val="auto"/>
        </w:rPr>
        <w:t>.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Tenant shall deliver to Landlord final lien waivers from all contractors, subcontractors and materialmen</w:t>
      </w:r>
    </w:p>
    <w:p>
      <w:pPr>
        <w:sectPr>
          <w:pgSz w:w="11900" w:h="16838" w:orient="portrait"/>
          <w:cols w:equalWidth="0" w:num="1">
            <w:col w:w="9626"/>
          </w:cols>
          <w:pgMar w:left="1134" w:top="255" w:right="1139" w:bottom="1440" w:gutter="0" w:footer="0" w:header="0"/>
        </w:sectPr>
      </w:pPr>
    </w:p>
    <w:bookmarkStart w:id="575" w:name="page576"/>
    <w:bookmarkEnd w:id="575"/>
    <w:p>
      <w:pPr>
        <w:ind w:left="6"/>
        <w:spacing w:after="0" w:line="3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who performed such work. In addition to Tenant’s obligations under </w:t>
      </w:r>
      <w:r>
        <w:rPr>
          <w:rFonts w:ascii="Arial" w:cs="Arial" w:eastAsia="Arial" w:hAnsi="Arial"/>
          <w:sz w:val="13"/>
          <w:szCs w:val="13"/>
          <w:u w:val="single" w:color="auto"/>
          <w:color w:val="auto"/>
        </w:rPr>
        <w:t>Article 9</w:t>
      </w:r>
      <w:r>
        <w:rPr>
          <w:rFonts w:ascii="Arial" w:cs="Arial" w:eastAsia="Arial" w:hAnsi="Arial"/>
          <w:sz w:val="13"/>
          <w:szCs w:val="13"/>
          <w:color w:val="auto"/>
        </w:rPr>
        <w:t xml:space="preserve"> of this Lease, upon completion of any Alterations, Tenant agrees to cause a Notice of Completion to be recorded in the office of the Recorder of the County of San Mateo in accordance with Section 3093 of the Civil Code of the State of California or any successor statute, and Tenant shall deliver to the Project construction manager a reproducible copy of the “</w:t>
      </w:r>
      <w:r>
        <w:rPr>
          <w:rFonts w:ascii="Arial" w:cs="Arial" w:eastAsia="Arial" w:hAnsi="Arial"/>
          <w:sz w:val="13"/>
          <w:szCs w:val="13"/>
          <w:b w:val="1"/>
          <w:bCs w:val="1"/>
          <w:color w:val="auto"/>
        </w:rPr>
        <w:t>as built</w:t>
      </w:r>
      <w:r>
        <w:rPr>
          <w:rFonts w:ascii="Arial" w:cs="Arial" w:eastAsia="Arial" w:hAnsi="Arial"/>
          <w:sz w:val="13"/>
          <w:szCs w:val="13"/>
          <w:color w:val="auto"/>
        </w:rPr>
        <w:t>” drawings of the Alterations as well as all permits, approvals and other documents issued by any governmental agency in connection with the Alterations.</w:t>
      </w:r>
    </w:p>
    <w:p>
      <w:pPr>
        <w:spacing w:after="0" w:line="119" w:lineRule="exact"/>
        <w:rPr>
          <w:sz w:val="20"/>
          <w:szCs w:val="20"/>
          <w:color w:val="auto"/>
        </w:rPr>
      </w:pPr>
    </w:p>
    <w:p>
      <w:pPr>
        <w:ind w:left="6" w:right="40" w:firstLine="385"/>
        <w:spacing w:after="0" w:line="284"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b w:val="1"/>
          <w:bCs w:val="1"/>
          <w:u w:val="single" w:color="auto"/>
          <w:color w:val="auto"/>
        </w:rPr>
        <w:t>Payment for Improvements</w:t>
      </w:r>
      <w:r>
        <w:rPr>
          <w:rFonts w:ascii="Arial" w:cs="Arial" w:eastAsia="Arial" w:hAnsi="Arial"/>
          <w:sz w:val="15"/>
          <w:szCs w:val="15"/>
          <w:color w:val="auto"/>
        </w:rPr>
        <w:t>. In connection with any Alterations that affect the Building systems (other than minor changes such as adding or relocating electrical outlets and thermostats), or which have a cost in excess of $100,000, Tenant shall reimburse Landlord for Landlord’s reasonable, actual, out-of-pocket costs and expenses actually incurred in connection with Landlord’s review of such work.</w:t>
      </w:r>
    </w:p>
    <w:p>
      <w:pPr>
        <w:spacing w:after="0" w:line="142" w:lineRule="exact"/>
        <w:rPr>
          <w:sz w:val="20"/>
          <w:szCs w:val="20"/>
          <w:color w:val="auto"/>
        </w:rPr>
      </w:pPr>
    </w:p>
    <w:p>
      <w:pPr>
        <w:ind w:left="6" w:right="20" w:firstLine="385"/>
        <w:spacing w:after="0" w:line="267"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b w:val="1"/>
          <w:bCs w:val="1"/>
          <w:u w:val="single" w:color="auto"/>
          <w:color w:val="auto"/>
        </w:rPr>
        <w:t>Construction Insurance</w:t>
      </w:r>
      <w:r>
        <w:rPr>
          <w:rFonts w:ascii="Arial" w:cs="Arial" w:eastAsia="Arial" w:hAnsi="Arial"/>
          <w:sz w:val="15"/>
          <w:szCs w:val="15"/>
          <w:color w:val="auto"/>
        </w:rPr>
        <w:t xml:space="preserve">. In addition to the requirements of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in the event that Tenant makes any Alterations, prior to the commencement of such Alterations, Tenant shall provide Landlord with evidence that Tenant or Tenant’s contractor carries “</w:t>
      </w:r>
      <w:r>
        <w:rPr>
          <w:rFonts w:ascii="Arial" w:cs="Arial" w:eastAsia="Arial" w:hAnsi="Arial"/>
          <w:sz w:val="15"/>
          <w:szCs w:val="15"/>
          <w:b w:val="1"/>
          <w:bCs w:val="1"/>
          <w:color w:val="auto"/>
        </w:rPr>
        <w:t>Builder’s All Risk</w:t>
      </w:r>
      <w:r>
        <w:rPr>
          <w:rFonts w:ascii="Arial" w:cs="Arial" w:eastAsia="Arial" w:hAnsi="Arial"/>
          <w:sz w:val="15"/>
          <w:szCs w:val="15"/>
          <w:color w:val="auto"/>
        </w:rPr>
        <w:t xml:space="preserve">” insurance (to the extent that the cost of such work shall exceed $50,000) in an amount approved by Landlord covering the construction of such Alterations, and such other insurance as Landlord may reasonably require, it being understood and agreed that all of such Alterations shall be insured by Landlord pursuant to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immediately upon completion thereof. In addition, Tenant’s contractors and subcontractors shall be required to carry Commercial General Liability Insurance in an amount approved by Landlord and otherwise in accordance with the requirements of Article 10 of this Lease. In connection with Alterations with a cost in excess of $250,000, Landlord may, in its reasonable discretion, require Tenant to obtain a lien and completion bond or some alternate form of security satisfactory to Landlord in an amount sufficient to ensure the lien-free completion of such Alterations and naming Landlord as a co-obligee.</w:t>
      </w:r>
    </w:p>
    <w:p>
      <w:pPr>
        <w:spacing w:after="0" w:line="159" w:lineRule="exact"/>
        <w:rPr>
          <w:sz w:val="20"/>
          <w:szCs w:val="20"/>
          <w:color w:val="auto"/>
        </w:rPr>
      </w:pPr>
    </w:p>
    <w:p>
      <w:pPr>
        <w:ind w:left="6" w:firstLine="385"/>
        <w:spacing w:after="0" w:line="311"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b w:val="1"/>
          <w:bCs w:val="1"/>
          <w:u w:val="single" w:color="auto"/>
          <w:color w:val="auto"/>
        </w:rPr>
        <w:t>Landlord’s Property</w:t>
      </w:r>
      <w:r>
        <w:rPr>
          <w:rFonts w:ascii="Arial" w:cs="Arial" w:eastAsia="Arial" w:hAnsi="Arial"/>
          <w:sz w:val="13"/>
          <w:szCs w:val="13"/>
          <w:color w:val="auto"/>
        </w:rPr>
        <w:t xml:space="preserve">. All Alterations, improvements, fixtures, equipment and/or appurtenances which may be installed or placed in or about the Premises, from time to time, shall be at the sole cost of Tenant and all Alterations and improvements, shall be and become the property of Landlord and remain in place at the Premises following the expiration or earlier termination of this Lease. Notwithstanding the foregoing, Landlord may, by written notice to Tenant given at the time it consents to an Alteration, require Tenant, at Tenant’s expense, to remove any Alterations within the Premises and to repair any damage to the Premises and Building caused by such removal. If Tenant fails to complete such removal and/or to repair any damage caused by the removal of any Alterations,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Notwithstanding the foregoing, except to the extent the same are paid for by the Tenant Improvement Allowance, the items set forth in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attached hereto (the “</w:t>
      </w:r>
      <w:r>
        <w:rPr>
          <w:rFonts w:ascii="Arial" w:cs="Arial" w:eastAsia="Arial" w:hAnsi="Arial"/>
          <w:sz w:val="13"/>
          <w:szCs w:val="13"/>
          <w:b w:val="1"/>
          <w:bCs w:val="1"/>
          <w:color w:val="auto"/>
        </w:rPr>
        <w:t>Tenant’s Property</w:t>
      </w:r>
      <w:r>
        <w:rPr>
          <w:rFonts w:ascii="Arial" w:cs="Arial" w:eastAsia="Arial" w:hAnsi="Arial"/>
          <w:sz w:val="13"/>
          <w:szCs w:val="13"/>
          <w:color w:val="auto"/>
        </w:rPr>
        <w:t xml:space="preserve">”) shall at all times be and remain Tenant’s property.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may be updated from time to time by agreement of the parties. Tenant may remove the Tenant’s Property from the Premises at any time, provided that Tenant repairs all damage caused by such removal. Landlord shall have no lien or other interest in the Tenant’s Property.</w:t>
      </w:r>
    </w:p>
    <w:p>
      <w:pPr>
        <w:spacing w:after="0" w:line="321" w:lineRule="exact"/>
        <w:rPr>
          <w:sz w:val="20"/>
          <w:szCs w:val="20"/>
          <w:color w:val="auto"/>
        </w:rPr>
      </w:pPr>
    </w:p>
    <w:p>
      <w:pPr>
        <w:ind w:left="6" w:hanging="6"/>
        <w:spacing w:after="0" w:line="267" w:lineRule="auto"/>
        <w:tabs>
          <w:tab w:leader="none" w:pos="163" w:val="left"/>
        </w:tabs>
        <w:numPr>
          <w:ilvl w:val="0"/>
          <w:numId w:val="4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COVENANT AGAINST LIENS. </w:t>
      </w:r>
      <w:r>
        <w:rPr>
          <w:rFonts w:ascii="Arial" w:cs="Arial" w:eastAsia="Arial" w:hAnsi="Arial"/>
          <w:sz w:val="15"/>
          <w:szCs w:val="15"/>
          <w:color w:val="auto"/>
        </w:rPr>
        <w:t>Tenant shall keep the Project and Premises free from any liens or encumbrances arising out of the work</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Except as to Alterations as to which no notice is required under the second sentence of </w:t>
      </w:r>
      <w:r>
        <w:rPr>
          <w:rFonts w:ascii="Arial" w:cs="Arial" w:eastAsia="Arial" w:hAnsi="Arial"/>
          <w:sz w:val="15"/>
          <w:szCs w:val="15"/>
          <w:u w:val="single" w:color="auto"/>
          <w:color w:val="auto"/>
        </w:rPr>
        <w:t>Section 8.1</w:t>
      </w:r>
      <w:r>
        <w:rPr>
          <w:rFonts w:ascii="Arial" w:cs="Arial" w:eastAsia="Arial" w:hAnsi="Arial"/>
          <w:sz w:val="15"/>
          <w:szCs w:val="15"/>
          <w:color w:val="auto"/>
        </w:rPr>
        <w:t>, Tenant shall give Landlord notice at least ten (10) business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sectPr>
          <w:pgSz w:w="11900" w:h="16838" w:orient="portrait"/>
          <w:cols w:equalWidth="0" w:num="1">
            <w:col w:w="9606"/>
          </w:cols>
          <w:pgMar w:left="1134" w:top="256" w:right="1159" w:bottom="1440" w:gutter="0" w:footer="0" w:header="0"/>
        </w:sectPr>
      </w:pPr>
    </w:p>
    <w:bookmarkStart w:id="576" w:name="page577"/>
    <w:bookmarkEnd w:id="57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10. INSURANCE.</w:t>
      </w:r>
    </w:p>
    <w:p>
      <w:pPr>
        <w:spacing w:after="0" w:line="193"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b w:val="1"/>
          <w:bCs w:val="1"/>
          <w:u w:val="single" w:color="auto"/>
          <w:color w:val="auto"/>
        </w:rPr>
        <w:t>Indemnification and Waiver</w:t>
      </w:r>
      <w:r>
        <w:rPr>
          <w:rFonts w:ascii="Arial" w:cs="Arial" w:eastAsia="Arial" w:hAnsi="Arial"/>
          <w:sz w:val="13"/>
          <w:szCs w:val="13"/>
          <w:color w:val="auto"/>
        </w:rPr>
        <w:t xml:space="preserve">. Except as provided in </w:t>
      </w:r>
      <w:r>
        <w:rPr>
          <w:rFonts w:ascii="Arial" w:cs="Arial" w:eastAsia="Arial" w:hAnsi="Arial"/>
          <w:sz w:val="13"/>
          <w:szCs w:val="13"/>
          <w:u w:val="single" w:color="auto"/>
          <w:color w:val="auto"/>
        </w:rPr>
        <w:t>Section 10.5</w:t>
      </w:r>
      <w:r>
        <w:rPr>
          <w:rFonts w:ascii="Arial" w:cs="Arial" w:eastAsia="Arial" w:hAnsi="Arial"/>
          <w:sz w:val="13"/>
          <w:szCs w:val="13"/>
          <w:color w:val="auto"/>
        </w:rPr>
        <w:t xml:space="preserve"> or to the extent due to the negligence, willful misconduct or violation of this Lease by Landlord or the Landlord Parties, Tenant hereby assumes all risk of damage to property in, upon or about the Premises from any cause whatsoever (including, but not limited to, any personal injuries resulting from a slip and fall in, upon or about the Premises) and agrees that Landlord, its partners, subpartners and their respective officers, agents, servants, employees, and independent contractors (collectively, “</w:t>
      </w:r>
      <w:r>
        <w:rPr>
          <w:rFonts w:ascii="Arial" w:cs="Arial" w:eastAsia="Arial" w:hAnsi="Arial"/>
          <w:sz w:val="13"/>
          <w:szCs w:val="13"/>
          <w:b w:val="1"/>
          <w:bCs w:val="1"/>
          <w:color w:val="auto"/>
        </w:rPr>
        <w:t>Landlord Parties</w:t>
      </w:r>
      <w:r>
        <w:rPr>
          <w:rFonts w:ascii="Arial" w:cs="Arial" w:eastAsia="Arial" w:hAnsi="Arial"/>
          <w:sz w:val="13"/>
          <w:szCs w:val="13"/>
          <w:color w:val="auto"/>
        </w:rPr>
        <w:t xml:space="preserve">”)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loss, cost, damage, expense and liability (including without limitation court costs and reasonable attorneys’ fees) incurred in connection with or arising from any cause in, on or about the Premises (including, but not limited to, a slip and fall),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and release shall not apply to the negligence or willful misconduct of Landlord or its agents, employees, contractors, licensees or invitees, or Landlord’s violation of this Lease.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Notwithstanding anything to the contrary in this Lease, Landlord shall not be released or indemnified from, and shall indemnify, defend, protect and hold harmless Tenant from, all losses, damages, liabilities, claims, attorneys’ fees, costs and expenses arising from the gross negligence or willful misconduct of Landlord or its agents, contractors, licensees or invitees, or a violation of Landlord’s obligations or representations under this Lease. The provisions of this </w:t>
      </w:r>
      <w:r>
        <w:rPr>
          <w:rFonts w:ascii="Arial" w:cs="Arial" w:eastAsia="Arial" w:hAnsi="Arial"/>
          <w:sz w:val="13"/>
          <w:szCs w:val="13"/>
          <w:u w:val="single" w:color="auto"/>
          <w:color w:val="auto"/>
        </w:rPr>
        <w:t>Section 10.1</w:t>
      </w:r>
      <w:r>
        <w:rPr>
          <w:rFonts w:ascii="Arial" w:cs="Arial" w:eastAsia="Arial" w:hAnsi="Arial"/>
          <w:sz w:val="13"/>
          <w:szCs w:val="13"/>
          <w:color w:val="auto"/>
        </w:rPr>
        <w:t xml:space="preserve"> shall survive the expiration or sooner termination of this Lease with respect to any claims or liability arising in connection with any event occurring prior to such expiration or termination.</w:t>
      </w:r>
    </w:p>
    <w:p>
      <w:pPr>
        <w:spacing w:after="0" w:line="200" w:lineRule="exact"/>
        <w:rPr>
          <w:sz w:val="20"/>
          <w:szCs w:val="20"/>
          <w:color w:val="auto"/>
        </w:rPr>
      </w:pPr>
    </w:p>
    <w:p>
      <w:pPr>
        <w:spacing w:after="0" w:line="311" w:lineRule="exact"/>
        <w:rPr>
          <w:sz w:val="20"/>
          <w:szCs w:val="20"/>
          <w:color w:val="auto"/>
        </w:rPr>
      </w:pPr>
    </w:p>
    <w:p>
      <w:pPr>
        <w:ind w:right="20" w:firstLine="385"/>
        <w:spacing w:after="0" w:line="311"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b w:val="1"/>
          <w:bCs w:val="1"/>
          <w:u w:val="single" w:color="auto"/>
          <w:color w:val="auto"/>
        </w:rPr>
        <w:t>Tenant’s Compliance With Landlord’s Property Insurance</w:t>
      </w:r>
      <w:r>
        <w:rPr>
          <w:rFonts w:ascii="Arial" w:cs="Arial" w:eastAsia="Arial" w:hAnsi="Arial"/>
          <w:sz w:val="13"/>
          <w:szCs w:val="13"/>
          <w:color w:val="auto"/>
        </w:rPr>
        <w:t xml:space="preserve">. Landlord shall insure the Building, Tenant Improvements and any Alterations during the Lease Term against loss or damage under an “all risk”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The costs of such insurance shall be included in Operating Expenses, subject to the terms of </w:t>
      </w:r>
      <w:r>
        <w:rPr>
          <w:rFonts w:ascii="Arial" w:cs="Arial" w:eastAsia="Arial" w:hAnsi="Arial"/>
          <w:sz w:val="13"/>
          <w:szCs w:val="13"/>
          <w:u w:val="single" w:color="auto"/>
          <w:color w:val="auto"/>
        </w:rPr>
        <w:t>Section 4.2.4</w:t>
      </w:r>
      <w:r>
        <w:rPr>
          <w:rFonts w:ascii="Arial" w:cs="Arial" w:eastAsia="Arial" w:hAnsi="Arial"/>
          <w:sz w:val="13"/>
          <w:szCs w:val="13"/>
          <w:color w:val="auto"/>
        </w:rPr>
        <w:t>.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Notwithstanding anything to the contrary in this Lease, Tenant shall not be required to comply with or cause the Premises to comply with any laws, rules, regulations or insurance requirements requiring the construction of alterations unless such compliance is necessitated solely due to Tenant’s particular use of the Premises.</w:t>
      </w:r>
    </w:p>
    <w:p>
      <w:pPr>
        <w:spacing w:after="0" w:line="321" w:lineRule="exact"/>
        <w:rPr>
          <w:sz w:val="20"/>
          <w:szCs w:val="20"/>
          <w:color w:val="auto"/>
        </w:rPr>
      </w:pPr>
    </w:p>
    <w:p>
      <w:pPr>
        <w:ind w:right="280" w:firstLine="385"/>
        <w:spacing w:after="0" w:line="27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Tenant shall maintain the following coverages in the following amounts during the Lease Term (except Tenant shall carry the insurance described in Section 10.3.1 during any period in which it enters the Premises).</w:t>
      </w:r>
    </w:p>
    <w:p>
      <w:pPr>
        <w:spacing w:after="0" w:line="153" w:lineRule="exact"/>
        <w:rPr>
          <w:sz w:val="20"/>
          <w:szCs w:val="20"/>
          <w:color w:val="auto"/>
        </w:rPr>
      </w:pPr>
    </w:p>
    <w:p>
      <w:pPr>
        <w:ind w:right="180" w:firstLine="866"/>
        <w:spacing w:after="0" w:line="256" w:lineRule="auto"/>
        <w:rPr>
          <w:sz w:val="20"/>
          <w:szCs w:val="20"/>
          <w:color w:val="auto"/>
        </w:rPr>
      </w:pPr>
      <w:r>
        <w:rPr>
          <w:rFonts w:ascii="Arial" w:cs="Arial" w:eastAsia="Arial" w:hAnsi="Arial"/>
          <w:sz w:val="16"/>
          <w:szCs w:val="16"/>
          <w:color w:val="auto"/>
        </w:rPr>
        <w:t>10.3.1 Commercial General Liability Insurance on an occurrence form covering the insured against claims of bodily injury and property damage (including loss of use thereof) arising out of Tenant’s operations, and contractual liabilities including a contractual coverage for limits of liability (which limits may be met together with umbrella liability insurance) of not less than:</w:t>
      </w:r>
    </w:p>
    <w:p>
      <w:pPr>
        <w:sectPr>
          <w:pgSz w:w="11900" w:h="16838" w:orient="portrait"/>
          <w:cols w:equalWidth="0" w:num="1">
            <w:col w:w="9600"/>
          </w:cols>
          <w:pgMar w:left="1140" w:top="252" w:right="1159" w:bottom="1440" w:gutter="0" w:footer="0" w:header="0"/>
        </w:sectPr>
      </w:pP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Bodily Injury and</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Property Damage Liability</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Personal Injury Liability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$4,000,000 each occurrence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$4,000,000 annual aggregate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$4,000,000 annual aggregate</w:t>
      </w:r>
    </w:p>
    <w:p>
      <w:pPr>
        <w:sectPr>
          <w:pgSz w:w="11900" w:h="16838" w:orient="portrait"/>
          <w:cols w:equalWidth="0" w:num="2">
            <w:col w:w="4260" w:space="720"/>
            <w:col w:w="4620"/>
          </w:cols>
          <w:pgMar w:left="1140" w:top="252" w:right="1159" w:bottom="1440" w:gutter="0" w:footer="0" w:header="0"/>
          <w:type w:val="continuous"/>
        </w:sectPr>
      </w:pPr>
    </w:p>
    <w:bookmarkStart w:id="577" w:name="page578"/>
    <w:bookmarkEnd w:id="577"/>
    <w:p>
      <w:pPr>
        <w:ind w:left="6" w:right="20" w:firstLine="866"/>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10.3.2 Property Insurance covering all office furniture, business and trade fixtures, office and lab equipment, free-standing cabinet work, movable partitions, merchandise and all other items of Tenant’s property on the Premises installed by, for, or at the expense of Tenant. Such insurance shall be written on an “</w:t>
      </w:r>
      <w:r>
        <w:rPr>
          <w:rFonts w:ascii="Arial" w:cs="Arial" w:eastAsia="Arial" w:hAnsi="Arial"/>
          <w:sz w:val="16"/>
          <w:szCs w:val="16"/>
          <w:b w:val="1"/>
          <w:bCs w:val="1"/>
          <w:color w:val="auto"/>
        </w:rPr>
        <w:t>all risks</w:t>
      </w:r>
      <w:r>
        <w:rPr>
          <w:rFonts w:ascii="Arial" w:cs="Arial" w:eastAsia="Arial" w:hAnsi="Arial"/>
          <w:sz w:val="16"/>
          <w:szCs w:val="16"/>
          <w:color w:val="auto"/>
        </w:rPr>
        <w:t>”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(excluding flood), including sprinkler leakage, bursting or stoppage of pipes, and explosion, and providing business interruption coverage for a period of ninety (90) days.</w:t>
      </w:r>
    </w:p>
    <w:p>
      <w:pPr>
        <w:spacing w:after="0" w:line="173" w:lineRule="exact"/>
        <w:rPr>
          <w:sz w:val="20"/>
          <w:szCs w:val="20"/>
          <w:color w:val="auto"/>
        </w:rPr>
      </w:pPr>
    </w:p>
    <w:p>
      <w:pPr>
        <w:ind w:left="6" w:firstLine="866"/>
        <w:spacing w:after="0" w:line="266" w:lineRule="auto"/>
        <w:rPr>
          <w:sz w:val="20"/>
          <w:szCs w:val="20"/>
          <w:color w:val="auto"/>
        </w:rPr>
      </w:pPr>
      <w:r>
        <w:rPr>
          <w:rFonts w:ascii="Arial" w:cs="Arial" w:eastAsia="Arial" w:hAnsi="Arial"/>
          <w:sz w:val="16"/>
          <w:szCs w:val="16"/>
          <w:color w:val="auto"/>
        </w:rPr>
        <w:t xml:space="preserve">10.3.3 Business Income Interruption for ninety (90) days plus Extra Expense insurance in such amounts as will reimburse Tenant for actual direct or indirect loss of earnings attributable to the risks outlined in </w:t>
      </w:r>
      <w:r>
        <w:rPr>
          <w:rFonts w:ascii="Arial" w:cs="Arial" w:eastAsia="Arial" w:hAnsi="Arial"/>
          <w:sz w:val="16"/>
          <w:szCs w:val="16"/>
          <w:u w:val="single" w:color="auto"/>
          <w:color w:val="auto"/>
        </w:rPr>
        <w:t>Section 10.3.2</w:t>
      </w:r>
      <w:r>
        <w:rPr>
          <w:rFonts w:ascii="Arial" w:cs="Arial" w:eastAsia="Arial" w:hAnsi="Arial"/>
          <w:sz w:val="16"/>
          <w:szCs w:val="16"/>
          <w:color w:val="auto"/>
        </w:rPr>
        <w:t xml:space="preserve"> above.</w:t>
      </w:r>
    </w:p>
    <w:p>
      <w:pPr>
        <w:spacing w:after="0" w:line="158" w:lineRule="exact"/>
        <w:rPr>
          <w:sz w:val="20"/>
          <w:szCs w:val="20"/>
          <w:color w:val="auto"/>
        </w:rPr>
      </w:pPr>
    </w:p>
    <w:p>
      <w:pPr>
        <w:ind w:left="6" w:right="200" w:firstLine="866"/>
        <w:spacing w:after="0" w:line="383" w:lineRule="auto"/>
        <w:rPr>
          <w:sz w:val="20"/>
          <w:szCs w:val="20"/>
          <w:color w:val="auto"/>
        </w:rPr>
      </w:pPr>
      <w:r>
        <w:rPr>
          <w:rFonts w:ascii="Arial" w:cs="Arial" w:eastAsia="Arial" w:hAnsi="Arial"/>
          <w:sz w:val="13"/>
          <w:szCs w:val="13"/>
          <w:color w:val="auto"/>
        </w:rPr>
        <w:t>10.3.4 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spacing w:after="0" w:line="85" w:lineRule="exact"/>
        <w:rPr>
          <w:sz w:val="20"/>
          <w:szCs w:val="20"/>
          <w:color w:val="auto"/>
        </w:rPr>
      </w:pPr>
    </w:p>
    <w:p>
      <w:pPr>
        <w:ind w:left="6" w:right="20" w:firstLine="385"/>
        <w:spacing w:after="0" w:line="306"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b w:val="1"/>
          <w:bCs w:val="1"/>
          <w:u w:val="single" w:color="auto"/>
          <w:color w:val="auto"/>
        </w:rPr>
        <w:t>Form of Policies</w:t>
      </w:r>
      <w:r>
        <w:rPr>
          <w:rFonts w:ascii="Arial" w:cs="Arial" w:eastAsia="Arial" w:hAnsi="Arial"/>
          <w:sz w:val="13"/>
          <w:szCs w:val="13"/>
          <w:color w:val="auto"/>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on the liability insurance, including Landlord’s managing agent, if any; (ii) be issued by an insurance company having a rating of not less than A-:VII in Best’s Insurance Guide or which is otherwise acceptable to Landlord and authorized to do business in the State of California; and (iv) be primary insurance as to all claims thereunder and provide that any insurance carried by Landlord is excess and is non-contributing with any insurance required of Tenant. Tenant shall not cause said insurance to be canceled or coverage changed unless thirty</w:t>
      </w:r>
    </w:p>
    <w:p>
      <w:pPr>
        <w:spacing w:after="0" w:line="4" w:lineRule="exact"/>
        <w:rPr>
          <w:sz w:val="20"/>
          <w:szCs w:val="20"/>
          <w:color w:val="auto"/>
        </w:rPr>
      </w:pPr>
    </w:p>
    <w:p>
      <w:pPr>
        <w:ind w:left="6" w:right="120" w:hanging="6"/>
        <w:spacing w:after="0" w:line="268" w:lineRule="auto"/>
        <w:tabs>
          <w:tab w:leader="none" w:pos="307" w:val="left"/>
        </w:tabs>
        <w:numPr>
          <w:ilvl w:val="0"/>
          <w:numId w:val="424"/>
        </w:numPr>
        <w:rPr>
          <w:rFonts w:ascii="Arial" w:cs="Arial" w:eastAsia="Arial" w:hAnsi="Arial"/>
          <w:sz w:val="15"/>
          <w:szCs w:val="15"/>
          <w:color w:val="auto"/>
        </w:rPr>
      </w:pPr>
      <w:r>
        <w:rPr>
          <w:rFonts w:ascii="Arial" w:cs="Arial" w:eastAsia="Arial" w:hAnsi="Arial"/>
          <w:sz w:val="15"/>
          <w:szCs w:val="15"/>
          <w:color w:val="auto"/>
        </w:rPr>
        <w:t>days’ prior written notice shall have been given to Landlord and any mortgagee of Landlord (unless such cancellation is the result of non-payment of premiums, in which case note less than five (5) days’ notice shall be provided).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spacing w:after="0" w:line="153" w:lineRule="exact"/>
        <w:rPr>
          <w:sz w:val="20"/>
          <w:szCs w:val="20"/>
          <w:color w:val="auto"/>
        </w:rPr>
      </w:pPr>
    </w:p>
    <w:p>
      <w:pPr>
        <w:ind w:left="6" w:right="80" w:firstLine="385"/>
        <w:spacing w:after="0" w:line="25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Subrogation</w:t>
      </w:r>
      <w:r>
        <w:rPr>
          <w:rFonts w:ascii="Arial" w:cs="Arial" w:eastAsia="Arial" w:hAnsi="Arial"/>
          <w:sz w:val="16"/>
          <w:szCs w:val="16"/>
          <w:color w:val="auto"/>
        </w:rPr>
        <w:t>. Landlord and Tenant hereby agree to look solely to, and seek recovery only from, their respective insurance carriers in the event of a property or business interruption loss to the extent that such coverage is agreed to be provided hereunder, notwithstanding the negligence of either party. Notwithstanding anything to the contrary in this Lease, the parties each hereby waive all rights and claims against each other for such losses, and waive all rights of subrogation of their respective insurers. The parties agree that their respective insurance policies do now, or shall, contain the waiver of subrogation.</w:t>
      </w:r>
    </w:p>
    <w:p>
      <w:pPr>
        <w:spacing w:after="0" w:line="166" w:lineRule="exact"/>
        <w:rPr>
          <w:sz w:val="20"/>
          <w:szCs w:val="20"/>
          <w:color w:val="auto"/>
        </w:rPr>
      </w:pPr>
    </w:p>
    <w:p>
      <w:pPr>
        <w:ind w:left="6" w:right="40" w:firstLine="385"/>
        <w:spacing w:after="0" w:line="25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Additional Insurance Obligations</w:t>
      </w:r>
      <w:r>
        <w:rPr>
          <w:rFonts w:ascii="Arial" w:cs="Arial" w:eastAsia="Arial" w:hAnsi="Arial"/>
          <w:sz w:val="16"/>
          <w:szCs w:val="16"/>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sectPr>
          <w:pgSz w:w="11900" w:h="16838" w:orient="portrait"/>
          <w:cols w:equalWidth="0" w:num="1">
            <w:col w:w="9626"/>
          </w:cols>
          <w:pgMar w:left="1134" w:top="256" w:right="1139" w:bottom="1440" w:gutter="0" w:footer="0" w:header="0"/>
        </w:sectPr>
      </w:pPr>
    </w:p>
    <w:bookmarkStart w:id="578" w:name="page579"/>
    <w:bookmarkEnd w:id="578"/>
    <w:p>
      <w:pPr>
        <w:ind w:right="100" w:firstLine="385"/>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10.7 </w:t>
      </w:r>
      <w:r>
        <w:rPr>
          <w:rFonts w:ascii="Arial" w:cs="Arial" w:eastAsia="Arial" w:hAnsi="Arial"/>
          <w:sz w:val="15"/>
          <w:szCs w:val="15"/>
          <w:b w:val="1"/>
          <w:bCs w:val="1"/>
          <w:u w:val="single" w:color="auto"/>
          <w:color w:val="auto"/>
        </w:rPr>
        <w:t>Construction Period</w:t>
      </w:r>
      <w:r>
        <w:rPr>
          <w:rFonts w:ascii="Arial" w:cs="Arial" w:eastAsia="Arial" w:hAnsi="Arial"/>
          <w:sz w:val="15"/>
          <w:szCs w:val="15"/>
          <w:color w:val="auto"/>
        </w:rPr>
        <w:t>: The term “Construction Period” shall mean the period from the date of this Lease to the date that Landlord completes construction of the Landlord’s Work (including any “</w:t>
      </w:r>
      <w:r>
        <w:rPr>
          <w:rFonts w:ascii="Arial" w:cs="Arial" w:eastAsia="Arial" w:hAnsi="Arial"/>
          <w:sz w:val="15"/>
          <w:szCs w:val="15"/>
          <w:b w:val="1"/>
          <w:bCs w:val="1"/>
          <w:color w:val="auto"/>
        </w:rPr>
        <w:t>Additional Base Building Items</w:t>
      </w:r>
      <w:r>
        <w:rPr>
          <w:rFonts w:ascii="Arial" w:cs="Arial" w:eastAsia="Arial" w:hAnsi="Arial"/>
          <w:sz w:val="15"/>
          <w:szCs w:val="15"/>
          <w:color w:val="auto"/>
        </w:rPr>
        <w:t xml:space="preserve">”, as defined in Section 3(f) of the Tenant Work Letter), and Common Areas, regardless of the occurrence of any Tenant Delay and without regard to the effect of any provision of this Lease pursuant to which the Premises are deemed to be Ready for Occupancy in advance of its actual occurrence. Notwithstanding any provision of this Lease to the contrary (including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during the Construction Period only, the following provisions shall be applicable:</w:t>
      </w:r>
    </w:p>
    <w:p>
      <w:pPr>
        <w:spacing w:after="0" w:line="155" w:lineRule="exact"/>
        <w:rPr>
          <w:sz w:val="20"/>
          <w:szCs w:val="20"/>
          <w:color w:val="auto"/>
        </w:rPr>
      </w:pPr>
    </w:p>
    <w:p>
      <w:pPr>
        <w:ind w:right="120" w:firstLine="866"/>
        <w:spacing w:after="0" w:line="250" w:lineRule="auto"/>
        <w:rPr>
          <w:sz w:val="20"/>
          <w:szCs w:val="20"/>
          <w:color w:val="auto"/>
        </w:rPr>
      </w:pPr>
      <w:r>
        <w:rPr>
          <w:rFonts w:ascii="Arial" w:cs="Arial" w:eastAsia="Arial" w:hAnsi="Arial"/>
          <w:sz w:val="16"/>
          <w:szCs w:val="16"/>
          <w:color w:val="auto"/>
        </w:rPr>
        <w:t>10.7.1 with respect to any indemnity obligation of Tenant arising at any time during the Construction Period only, (A) the term “Landlord Parties” shall mean and shall be limited to HCP Oyster Point III LLC, a Delaware limited liability company (or any entity that that succeeds to HCP Oyster Point III LLC’s interest as Landlord under the Lease) and shall not include any other person or entity; provided, however, that Landlord may include in any claim owed by Tenant to it any amount which Landlord shall pay or be obligated to indemnify any other person or entity, and (B) any indemnity obligation shall be limited to losses caused by, or arising as a result of any act or failure to act of, Tenant or Tenant’s employees, agents or contractors; and</w:t>
      </w:r>
    </w:p>
    <w:p>
      <w:pPr>
        <w:spacing w:after="0" w:line="171" w:lineRule="exact"/>
        <w:rPr>
          <w:sz w:val="20"/>
          <w:szCs w:val="20"/>
          <w:color w:val="auto"/>
        </w:rPr>
      </w:pPr>
    </w:p>
    <w:p>
      <w:pPr>
        <w:ind w:right="20" w:firstLine="866"/>
        <w:spacing w:after="0" w:line="266" w:lineRule="auto"/>
        <w:rPr>
          <w:sz w:val="20"/>
          <w:szCs w:val="20"/>
          <w:color w:val="auto"/>
        </w:rPr>
      </w:pPr>
      <w:r>
        <w:rPr>
          <w:rFonts w:ascii="Arial" w:cs="Arial" w:eastAsia="Arial" w:hAnsi="Arial"/>
          <w:sz w:val="15"/>
          <w:szCs w:val="15"/>
          <w:color w:val="auto"/>
        </w:rPr>
        <w:t>10.7.2 during the Construction Period only, Tenant’s liability under this Lease for Tenant’s actions or failures to act under the Lease during the Construction Period, including, without limitation, (A) Tenant’s indemnity obligations, plus (B) Base Rent and Additional Rent (as a consequence of Tenant Delay), plus (C) any and all other costs payable to Landlord or otherwise payable by Tenant under this Lease, which amount shall calculated to include (i) the accreted value of any payments previously made by Tenant plus (ii) the present value of the maximum amount that Tenant could be required to pay as of that point in time (whether or not construction is completed) discounted at Tenant’s incremental borrowing rate used to classify the Lease under ASC 840 (FAS 13), shall be limited to 89.9% of Landlord’s Project Costs determined as of the date of Landlord’s claim for such amount owed by Tenant. As used herein, “</w:t>
      </w:r>
      <w:r>
        <w:rPr>
          <w:rFonts w:ascii="Arial" w:cs="Arial" w:eastAsia="Arial" w:hAnsi="Arial"/>
          <w:sz w:val="15"/>
          <w:szCs w:val="15"/>
          <w:b w:val="1"/>
          <w:bCs w:val="1"/>
          <w:color w:val="auto"/>
        </w:rPr>
        <w:t>Landlord’s Project Costs</w:t>
      </w:r>
      <w:r>
        <w:rPr>
          <w:rFonts w:ascii="Arial" w:cs="Arial" w:eastAsia="Arial" w:hAnsi="Arial"/>
          <w:sz w:val="15"/>
          <w:szCs w:val="15"/>
          <w:color w:val="auto"/>
        </w:rPr>
        <w:t>” shall mean the amount capitalized in the Project by Landlord in accordance with GAAP, plus other costs related to the Project (including related site improvements and other Project costs) paid by Landlord to third parties other than lenders or owners of Landlord (excluding land acquisition costs and “Force Majeure Costs,” as that term is defined below, but including land carrying costs, such as interest or ground rent incurred during the Construction Period, and including all other costs incurred by Landlord in connection with the development and construction of the Project);</w:t>
      </w:r>
    </w:p>
    <w:p>
      <w:pPr>
        <w:spacing w:after="0" w:line="157" w:lineRule="exact"/>
        <w:rPr>
          <w:sz w:val="20"/>
          <w:szCs w:val="20"/>
          <w:color w:val="auto"/>
        </w:rPr>
      </w:pPr>
    </w:p>
    <w:p>
      <w:pPr>
        <w:ind w:firstLine="866"/>
        <w:spacing w:after="0" w:line="346" w:lineRule="auto"/>
        <w:rPr>
          <w:sz w:val="20"/>
          <w:szCs w:val="20"/>
          <w:color w:val="auto"/>
        </w:rPr>
      </w:pPr>
      <w:r>
        <w:rPr>
          <w:rFonts w:ascii="Arial" w:cs="Arial" w:eastAsia="Arial" w:hAnsi="Arial"/>
          <w:sz w:val="13"/>
          <w:szCs w:val="13"/>
          <w:color w:val="auto"/>
        </w:rPr>
        <w:t>10.7.3 “</w:t>
      </w:r>
      <w:r>
        <w:rPr>
          <w:rFonts w:ascii="Arial" w:cs="Arial" w:eastAsia="Arial" w:hAnsi="Arial"/>
          <w:sz w:val="13"/>
          <w:szCs w:val="13"/>
          <w:b w:val="1"/>
          <w:bCs w:val="1"/>
          <w:color w:val="auto"/>
        </w:rPr>
        <w:t>Force Majeure Costs</w:t>
      </w:r>
      <w:r>
        <w:rPr>
          <w:rFonts w:ascii="Arial" w:cs="Arial" w:eastAsia="Arial" w:hAnsi="Arial"/>
          <w:sz w:val="13"/>
          <w:szCs w:val="13"/>
          <w:color w:val="auto"/>
        </w:rPr>
        <w:t>” means the sum of (a) all costs and expenses that are incurred because the Building is damaged by a fire or other casualty event (including capitalized interest on such costs and expenses), less the amount of all insurance proceeds applied to restore the Building, and (b) any loss in fair market value of the Premises to the extent the same are not restored following a fire or other casualty event; and</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10.7.4 the provisions of Section 21.1(H) of the Lease shall not apply during the Construction Period.</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10.8 For the avoidance of doubt, Landlord and Tenant agree that:</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10.8.1 no claim by Landlord for Tenant’s repudiation of this Lease at any time shall be limited under this section; and</w:t>
      </w:r>
    </w:p>
    <w:p>
      <w:pPr>
        <w:spacing w:after="0" w:line="193" w:lineRule="exact"/>
        <w:rPr>
          <w:sz w:val="20"/>
          <w:szCs w:val="20"/>
          <w:color w:val="auto"/>
        </w:rPr>
      </w:pPr>
    </w:p>
    <w:p>
      <w:pPr>
        <w:ind w:right="100" w:firstLine="866"/>
        <w:spacing w:after="0" w:line="253" w:lineRule="auto"/>
        <w:rPr>
          <w:sz w:val="20"/>
          <w:szCs w:val="20"/>
          <w:color w:val="auto"/>
        </w:rPr>
      </w:pPr>
      <w:r>
        <w:rPr>
          <w:rFonts w:ascii="Arial" w:cs="Arial" w:eastAsia="Arial" w:hAnsi="Arial"/>
          <w:sz w:val="16"/>
          <w:szCs w:val="16"/>
          <w:color w:val="auto"/>
        </w:rPr>
        <w:t>10.8.2 for any claim other than under Section 10.8.1 above, if during the Construction Period Landlord makes any claim for any anticipatory breach by Tenant of any obligation under this Lease owed to Landlord for any period after the Construction Period and the amount payable by Tenant for such claim is limited by the provisions of Section 10.7.2 above, the entire amount (to the extent not theretofore paid) shall be payable promptly after the Construction Period; and</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10.8.3 following the end of the Construction Period, the terms of Section 10.7 shall be of no further force or effect.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DAMAGE AND DESTRUCTION.</w:t>
      </w:r>
    </w:p>
    <w:p>
      <w:pPr>
        <w:spacing w:after="0" w:line="193" w:lineRule="exact"/>
        <w:rPr>
          <w:sz w:val="20"/>
          <w:szCs w:val="20"/>
          <w:color w:val="auto"/>
        </w:rPr>
      </w:pPr>
    </w:p>
    <w:p>
      <w:pPr>
        <w:ind w:right="20" w:firstLine="385"/>
        <w:spacing w:after="0" w:line="277"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Repair of Damage to Premises by Landlord</w:t>
      </w:r>
      <w:r>
        <w:rPr>
          <w:rFonts w:ascii="Arial" w:cs="Arial" w:eastAsia="Arial" w:hAnsi="Arial"/>
          <w:sz w:val="15"/>
          <w:szCs w:val="15"/>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5"/>
          <w:szCs w:val="15"/>
          <w:u w:val="single" w:color="auto"/>
          <w:color w:val="auto"/>
        </w:rPr>
        <w:t>Article 11</w:t>
      </w:r>
      <w:r>
        <w:rPr>
          <w:rFonts w:ascii="Arial" w:cs="Arial" w:eastAsia="Arial" w:hAnsi="Arial"/>
          <w:sz w:val="15"/>
          <w:szCs w:val="15"/>
          <w:color w:val="auto"/>
        </w:rPr>
        <w:t>, restore the Premises and such Common Areas. Such restoration shall be</w:t>
      </w:r>
    </w:p>
    <w:p>
      <w:pPr>
        <w:sectPr>
          <w:pgSz w:w="11900" w:h="16838" w:orient="portrait"/>
          <w:cols w:equalWidth="0" w:num="1">
            <w:col w:w="9620"/>
          </w:cols>
          <w:pgMar w:left="1140" w:top="252" w:right="1139" w:bottom="1440" w:gutter="0" w:footer="0" w:header="0"/>
        </w:sectPr>
      </w:pPr>
    </w:p>
    <w:bookmarkStart w:id="579" w:name="page580"/>
    <w:bookmarkEnd w:id="579"/>
    <w:p>
      <w:pPr>
        <w:ind w:left="6" w:right="20"/>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556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90105" cy="35560"/>
                    </a:xfrm>
                    <a:prstGeom prst="rect">
                      <a:avLst/>
                    </a:prstGeom>
                    <a:noFill/>
                  </pic:spPr>
                </pic:pic>
              </a:graphicData>
            </a:graphic>
          </wp:anchor>
        </w:drawing>
        <w:t>to substantially the same condition of the Premises and the Common Areas prior to the casualty, except for modifications required by zoning and building codes and other laws or any other modifications to the Common Areas deemed desirable by Landlord, which are consistent with the character of the Project, provided that access to the Premises shall not be materially impaired.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damaged portions of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w:t>
      </w:r>
    </w:p>
    <w:p>
      <w:pPr>
        <w:spacing w:after="0" w:line="159" w:lineRule="exact"/>
        <w:rPr>
          <w:sz w:val="20"/>
          <w:szCs w:val="20"/>
          <w:color w:val="auto"/>
        </w:rPr>
      </w:pPr>
    </w:p>
    <w:p>
      <w:pPr>
        <w:ind w:left="6" w:firstLine="385"/>
        <w:spacing w:after="0" w:line="309"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u w:val="single" w:color="auto"/>
          <w:color w:val="auto"/>
        </w:rPr>
        <w:t>Landlord’s Option to Repair</w:t>
      </w:r>
      <w:r>
        <w:rPr>
          <w:rFonts w:ascii="Arial" w:cs="Arial" w:eastAsia="Arial" w:hAnsi="Arial"/>
          <w:sz w:val="13"/>
          <w:szCs w:val="13"/>
          <w:color w:val="auto"/>
        </w:rPr>
        <w:t xml:space="preserve">. Notwithstanding the terms of </w:t>
      </w:r>
      <w:r>
        <w:rPr>
          <w:rFonts w:ascii="Arial" w:cs="Arial" w:eastAsia="Arial" w:hAnsi="Arial"/>
          <w:sz w:val="13"/>
          <w:szCs w:val="13"/>
          <w:u w:val="single" w:color="auto"/>
          <w:color w:val="auto"/>
        </w:rPr>
        <w:t>Section 11.1</w:t>
      </w:r>
      <w:r>
        <w:rPr>
          <w:rFonts w:ascii="Arial" w:cs="Arial" w:eastAsia="Arial" w:hAnsi="Arial"/>
          <w:sz w:val="13"/>
          <w:szCs w:val="13"/>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shall be damaged by fire or other casualty or cause, and one or more of the following conditions is present: (i) in Landlord’s reasonable judgment, repairs cannot reasonably be completed within one (1) year after the date of discovery of the damage (when such repairs are made without the payment of overtime or other premiums); (ii) the damage is due to a risk that Landlord is not required to insure under this Lease, and the cost of restoration exceed five percent (5%) of the replacement cost of the Building (unless Tenant agrees to pay any uninsured amount in excess of such five percent (5%)); or (iii) the damage occurs during the last twelve (12) months of the Lease Term and will take more than sixty (60) days to restore; provided, however, that if Landlord does not elect to terminate this Lease pursuant to Landlord’s termination right as provided above, and the repairs cannot, in the reasonable opinion of Landlord, be completed within eight (8) months days after the date of discovery of the damage (or are not in fact completed within nine (9) months after the date of discovery of the damage), Tenant may elect, no earlier than sixty (60) days after the date of the damage and not later than ninety (90) days after the date of such damage, or within thirty (30) days after such repairs are not timely completed, to terminate this Lease by written notice to Landlord effective as of the date specified in the notice, which date shall not be less than thirty (30) days nor more than sixty (60) days after the date such notice is given by Tenant.</w:t>
      </w:r>
    </w:p>
    <w:p>
      <w:pPr>
        <w:spacing w:after="0" w:line="327" w:lineRule="exact"/>
        <w:rPr>
          <w:sz w:val="20"/>
          <w:szCs w:val="20"/>
          <w:color w:val="auto"/>
        </w:rPr>
      </w:pPr>
    </w:p>
    <w:p>
      <w:pPr>
        <w:ind w:left="6" w:right="60" w:firstLine="385"/>
        <w:spacing w:after="0" w:line="324"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b w:val="1"/>
          <w:bCs w:val="1"/>
          <w:u w:val="single" w:color="auto"/>
          <w:color w:val="auto"/>
        </w:rPr>
        <w:t>Waiver of Statutory Provisions</w:t>
      </w:r>
      <w:r>
        <w:rPr>
          <w:rFonts w:ascii="Arial" w:cs="Arial" w:eastAsia="Arial" w:hAnsi="Arial"/>
          <w:sz w:val="13"/>
          <w:szCs w:val="13"/>
          <w:color w:val="auto"/>
        </w:rPr>
        <w:t xml:space="preserve">. The provisions of this Lease, including this </w:t>
      </w:r>
      <w:r>
        <w:rPr>
          <w:rFonts w:ascii="Arial" w:cs="Arial" w:eastAsia="Arial" w:hAnsi="Arial"/>
          <w:sz w:val="13"/>
          <w:szCs w:val="13"/>
          <w:u w:val="single" w:color="auto"/>
          <w:color w:val="auto"/>
        </w:rPr>
        <w:t>Article 11</w:t>
      </w:r>
      <w:r>
        <w:rPr>
          <w:rFonts w:ascii="Arial" w:cs="Arial" w:eastAsia="Arial" w:hAnsi="Arial"/>
          <w:sz w:val="13"/>
          <w:szCs w:val="13"/>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23" w:lineRule="exact"/>
        <w:rPr>
          <w:sz w:val="20"/>
          <w:szCs w:val="20"/>
          <w:color w:val="auto"/>
        </w:rPr>
      </w:pPr>
    </w:p>
    <w:p>
      <w:pPr>
        <w:ind w:left="6" w:right="100" w:hanging="6"/>
        <w:spacing w:after="0" w:line="311" w:lineRule="auto"/>
        <w:tabs>
          <w:tab w:leader="none" w:pos="242" w:val="left"/>
        </w:tabs>
        <w:numPr>
          <w:ilvl w:val="0"/>
          <w:numId w:val="4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NONWAIVER. </w:t>
      </w:r>
      <w:r>
        <w:rPr>
          <w:rFonts w:ascii="Arial" w:cs="Arial" w:eastAsia="Arial" w:hAnsi="Arial"/>
          <w:sz w:val="13"/>
          <w:szCs w:val="13"/>
          <w:color w:val="auto"/>
        </w:rPr>
        <w:t>No provision of this Lease shall be deemed waived by either party hereto unless expressly waived in a writing signed thereby. The</w:t>
      </w:r>
      <w:r>
        <w:rPr>
          <w:rFonts w:ascii="Arial" w:cs="Arial" w:eastAsia="Arial" w:hAnsi="Arial"/>
          <w:sz w:val="13"/>
          <w:szCs w:val="13"/>
          <w:b w:val="1"/>
          <w:bCs w:val="1"/>
          <w:color w:val="auto"/>
        </w:rPr>
        <w:t xml:space="preserve"> </w:t>
      </w:r>
      <w:r>
        <w:rPr>
          <w:rFonts w:ascii="Arial" w:cs="Arial" w:eastAsia="Arial" w:hAnsi="Arial"/>
          <w:sz w:val="13"/>
          <w:szCs w:val="13"/>
          <w:color w:val="auto"/>
        </w:rPr>
        <w:t>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321" w:lineRule="exact"/>
        <w:rPr>
          <w:rFonts w:ascii="Arial" w:cs="Arial" w:eastAsia="Arial" w:hAnsi="Arial"/>
          <w:sz w:val="13"/>
          <w:szCs w:val="13"/>
          <w:b w:val="1"/>
          <w:bCs w:val="1"/>
          <w:color w:val="auto"/>
        </w:rPr>
      </w:pPr>
    </w:p>
    <w:p>
      <w:pPr>
        <w:ind w:left="6" w:right="20" w:hanging="6"/>
        <w:spacing w:after="0" w:line="272" w:lineRule="auto"/>
        <w:tabs>
          <w:tab w:leader="none" w:pos="242" w:val="left"/>
        </w:tabs>
        <w:numPr>
          <w:ilvl w:val="0"/>
          <w:numId w:val="4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CONDEMNATION. </w:t>
      </w:r>
      <w:r>
        <w:rPr>
          <w:rFonts w:ascii="Arial" w:cs="Arial" w:eastAsia="Arial" w:hAnsi="Arial"/>
          <w:sz w:val="16"/>
          <w:szCs w:val="16"/>
          <w:color w:val="auto"/>
        </w:rPr>
        <w:t>If the whole or any part of the Premises shall be taken by power of eminent domain or condemned by any competent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public or quasi-public use or purpose, or if any adjacent property</w:t>
      </w:r>
    </w:p>
    <w:p>
      <w:pPr>
        <w:sectPr>
          <w:pgSz w:w="11900" w:h="16838" w:orient="portrait"/>
          <w:cols w:equalWidth="0" w:num="1">
            <w:col w:w="9606"/>
          </w:cols>
          <w:pgMar w:left="1134" w:top="257" w:right="1159" w:bottom="1440" w:gutter="0" w:footer="0" w:header="0"/>
        </w:sectPr>
      </w:pPr>
    </w:p>
    <w:bookmarkStart w:id="580" w:name="page581"/>
    <w:bookmarkEnd w:id="580"/>
    <w:p>
      <w:pPr>
        <w:spacing w:after="0" w:line="26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or street shall be so taken or condemned, or reconfigured or vacated by such authority in such manner as to require the use or reconstruction of any part of the Premises,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for moving expenses, for the unamortized value of any improvements paid for by Tenant and for the Lease “bonus value”, so long as such claims are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ASSIGNMENT AND SUBLETTING.</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b w:val="1"/>
          <w:bCs w:val="1"/>
          <w:u w:val="single" w:color="auto"/>
          <w:color w:val="auto"/>
        </w:rPr>
        <w:t>Transfers</w:t>
      </w:r>
      <w:r>
        <w:rPr>
          <w:rFonts w:ascii="Arial" w:cs="Arial" w:eastAsia="Arial" w:hAnsi="Arial"/>
          <w:sz w:val="13"/>
          <w:szCs w:val="13"/>
          <w:color w:val="auto"/>
        </w:rPr>
        <w:t>. Tenant shall not, without the prior written consent of Landlord, assign, mortgage, pledge, hypothecate, encumber, or permit any</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lien to attach to, or otherwise transfer, this Lease or any interest hereunder, permit any assignment, or other transfer of this Lease or any interest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hereunder by operation of law, sublet the Premises or any part thereof, or enter into any license or concession agreements or otherwise permit the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occupancy or use of the Premises or any part thereof by any persons other than Tenant and its employees and contractors (all of the foregoing are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hereinafter sometimes referred to collectively as “</w:t>
      </w:r>
      <w:r>
        <w:rPr>
          <w:rFonts w:ascii="Arial" w:cs="Arial" w:eastAsia="Arial" w:hAnsi="Arial"/>
          <w:sz w:val="15"/>
          <w:szCs w:val="15"/>
          <w:b w:val="1"/>
          <w:bCs w:val="1"/>
          <w:color w:val="auto"/>
        </w:rPr>
        <w:t>Transfers</w:t>
      </w:r>
      <w:r>
        <w:rPr>
          <w:rFonts w:ascii="Arial" w:cs="Arial" w:eastAsia="Arial" w:hAnsi="Arial"/>
          <w:sz w:val="15"/>
          <w:szCs w:val="15"/>
          <w:color w:val="auto"/>
        </w:rPr>
        <w:t>” and any person to whom any Transfer is made or sought to be made is hereinafter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sometimes referred to as a “</w:t>
      </w:r>
      <w:r>
        <w:rPr>
          <w:rFonts w:ascii="Arial" w:cs="Arial" w:eastAsia="Arial" w:hAnsi="Arial"/>
          <w:sz w:val="13"/>
          <w:szCs w:val="13"/>
          <w:b w:val="1"/>
          <w:bCs w:val="1"/>
          <w:color w:val="auto"/>
        </w:rPr>
        <w:t>Transferee</w:t>
      </w:r>
      <w:r>
        <w:rPr>
          <w:rFonts w:ascii="Arial" w:cs="Arial" w:eastAsia="Arial" w:hAnsi="Arial"/>
          <w:sz w:val="13"/>
          <w:szCs w:val="13"/>
          <w:color w:val="auto"/>
        </w:rPr>
        <w:t>”). If Tenant desires Landlord’s consent to any Transfer, Tenant shall notify Landlord in writing, which notice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Transfer Notice</w:t>
      </w:r>
      <w:r>
        <w:rPr>
          <w:rFonts w:ascii="Arial" w:cs="Arial" w:eastAsia="Arial" w:hAnsi="Arial"/>
          <w:sz w:val="13"/>
          <w:szCs w:val="13"/>
          <w:color w:val="auto"/>
        </w:rPr>
        <w:t>”) shall include (i) the proposed effective date of the Transfer, which shall not be less than thirty (30) days nor more than one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hundred eighty (180) days after the date of delivery of the Transfer Notice, (ii) a description of the portion of the Premises to be transferred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Subject Space</w:t>
      </w:r>
      <w:r>
        <w:rPr>
          <w:rFonts w:ascii="Arial" w:cs="Arial" w:eastAsia="Arial" w:hAnsi="Arial"/>
          <w:sz w:val="13"/>
          <w:szCs w:val="13"/>
          <w:color w:val="auto"/>
        </w:rPr>
        <w:t>”), (iii) all of the terms of the proposed Transfer and the consideration therefor, including calculation of the “</w:t>
      </w:r>
      <w:r>
        <w:rPr>
          <w:rFonts w:ascii="Arial" w:cs="Arial" w:eastAsia="Arial" w:hAnsi="Arial"/>
          <w:sz w:val="13"/>
          <w:szCs w:val="13"/>
          <w:b w:val="1"/>
          <w:bCs w:val="1"/>
          <w:color w:val="auto"/>
        </w:rPr>
        <w:t>Transfer Premium</w:t>
      </w:r>
      <w:r>
        <w:rPr>
          <w:rFonts w:ascii="Arial" w:cs="Arial" w:eastAsia="Arial" w:hAnsi="Arial"/>
          <w:sz w:val="13"/>
          <w:szCs w:val="13"/>
          <w:color w:val="auto"/>
        </w:rPr>
        <w:t>”, as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that term is defined in </w:t>
      </w:r>
      <w:r>
        <w:rPr>
          <w:rFonts w:ascii="Arial" w:cs="Arial" w:eastAsia="Arial" w:hAnsi="Arial"/>
          <w:sz w:val="13"/>
          <w:szCs w:val="13"/>
          <w:u w:val="single" w:color="auto"/>
          <w:color w:val="auto"/>
        </w:rPr>
        <w:t>Section 14.3</w:t>
      </w:r>
      <w:r>
        <w:rPr>
          <w:rFonts w:ascii="Arial" w:cs="Arial" w:eastAsia="Arial" w:hAnsi="Arial"/>
          <w:sz w:val="13"/>
          <w:szCs w:val="13"/>
          <w:color w:val="auto"/>
        </w:rPr>
        <w:t xml:space="preserve"> below, in connection with such Transfer, the name and address of the proposed Transferee, and a copy of all existing</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executed and/or proposed documentation pertaining to the proposed Transfer, and (iv) current financial statements of the proposed Transferee certified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by an officer, partner or owner thereof, and any other information reasonably required by Landlord which will enable Landlord to determine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financial responsibility, character, and reputation of the proposed Transferee, nature of such Transferee’s business and proposed use of the Subject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Space. Any Transfer made without Landlord’s prior written consent shall, at Landlord’s option, be null, void and of no effect, and shall, at Landlord’s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option, constitute a default by Tenant under this Lease. Whether or not Landlord consents to any proposed Transfer, Tenant shall pay Landlord’s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reasonable review and processing fees, as well as any reasonable professional fees (including, without limitation, attorneys’, accountants’, architects’,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engineers’ and consultants’ fees) incurred by Landlord (not to exceed $3,500 in the aggregate for any particular Transfer), within thirty (30) days after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written request by Landlord.</w:t>
      </w:r>
    </w:p>
    <w:p>
      <w:pPr>
        <w:spacing w:after="0" w:line="178" w:lineRule="exact"/>
        <w:rPr>
          <w:sz w:val="20"/>
          <w:szCs w:val="20"/>
          <w:color w:val="auto"/>
        </w:rPr>
      </w:pPr>
    </w:p>
    <w:p>
      <w:pPr>
        <w:ind w:right="100" w:firstLine="385"/>
        <w:spacing w:after="0" w:line="25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u w:val="single" w:color="auto"/>
          <w:color w:val="auto"/>
        </w:rPr>
        <w:t>Landlord’s Consent</w:t>
      </w:r>
      <w:r>
        <w:rPr>
          <w:rFonts w:ascii="Arial" w:cs="Arial" w:eastAsia="Arial" w:hAnsi="Arial"/>
          <w:sz w:val="16"/>
          <w:szCs w:val="16"/>
          <w:color w:val="auto"/>
        </w:rPr>
        <w:t>. Landlord shall not unreasonably withhold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14.2.1 The Transferee is of a character or reputation or engaged in a business which is not consistent with the quality of the Building or the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Project;</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14.2.2 The Transferee is either a governmental agency or instrumentality thereof;</w:t>
      </w:r>
    </w:p>
    <w:p>
      <w:pPr>
        <w:spacing w:after="0" w:line="193" w:lineRule="exact"/>
        <w:rPr>
          <w:sz w:val="20"/>
          <w:szCs w:val="20"/>
          <w:color w:val="auto"/>
        </w:rPr>
      </w:pPr>
    </w:p>
    <w:p>
      <w:pPr>
        <w:ind w:right="80" w:firstLine="866"/>
        <w:spacing w:after="0" w:line="266" w:lineRule="auto"/>
        <w:rPr>
          <w:sz w:val="20"/>
          <w:szCs w:val="20"/>
          <w:color w:val="auto"/>
        </w:rPr>
      </w:pPr>
      <w:r>
        <w:rPr>
          <w:rFonts w:ascii="Arial" w:cs="Arial" w:eastAsia="Arial" w:hAnsi="Arial"/>
          <w:sz w:val="16"/>
          <w:szCs w:val="16"/>
          <w:color w:val="auto"/>
        </w:rPr>
        <w:t>14.2.3 The Transferee is not a party of reasonable financial worth and/or financial stability in light of the responsibilities to be undertaken in connection with the Transfer on the date consent is requested; or</w:t>
      </w:r>
    </w:p>
    <w:p>
      <w:pPr>
        <w:sectPr>
          <w:pgSz w:w="11900" w:h="16838" w:orient="portrait"/>
          <w:cols w:equalWidth="0" w:num="1">
            <w:col w:w="9600"/>
          </w:cols>
          <w:pgMar w:left="1140" w:top="256" w:right="1159" w:bottom="1440" w:gutter="0" w:footer="0" w:header="0"/>
        </w:sectPr>
      </w:pPr>
    </w:p>
    <w:bookmarkStart w:id="581" w:name="page582"/>
    <w:bookmarkEnd w:id="581"/>
    <w:p>
      <w:pPr>
        <w:ind w:right="100" w:firstLine="866"/>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14.2.4 The proposed Transfer would cause a violation of another lease for space in the Project, or would give an occupant of the Project a right to cancel its lease.</w:t>
      </w:r>
    </w:p>
    <w:p>
      <w:pPr>
        <w:spacing w:after="0" w:line="158" w:lineRule="exact"/>
        <w:rPr>
          <w:sz w:val="20"/>
          <w:szCs w:val="20"/>
          <w:color w:val="auto"/>
        </w:rPr>
      </w:pPr>
    </w:p>
    <w:p>
      <w:pPr>
        <w:ind w:right="20" w:firstLine="385"/>
        <w:spacing w:after="0" w:line="265" w:lineRule="auto"/>
        <w:rPr>
          <w:sz w:val="20"/>
          <w:szCs w:val="20"/>
          <w:color w:val="auto"/>
        </w:rPr>
      </w:pPr>
      <w:r>
        <w:rPr>
          <w:rFonts w:ascii="Arial" w:cs="Arial" w:eastAsia="Arial" w:hAnsi="Arial"/>
          <w:sz w:val="15"/>
          <w:szCs w:val="15"/>
          <w:color w:val="auto"/>
        </w:rPr>
        <w:t xml:space="preserve">If Landlord consents to any Transfer pursuant to the terms of this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(and does not exercise any recapture rights Landlord may have under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Tenant shall again submit the Transfer to Landlord for its approval and other action under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(including Landlord’s right of recapture, if any, under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or otherwise has breached or acted unreasonably under this </w:t>
      </w:r>
      <w:r>
        <w:rPr>
          <w:rFonts w:ascii="Arial" w:cs="Arial" w:eastAsia="Arial" w:hAnsi="Arial"/>
          <w:sz w:val="15"/>
          <w:szCs w:val="15"/>
          <w:u w:val="single" w:color="auto"/>
          <w:color w:val="auto"/>
        </w:rPr>
        <w:t>Article 14</w:t>
      </w:r>
      <w:r>
        <w:rPr>
          <w:rFonts w:ascii="Arial" w:cs="Arial" w:eastAsia="Arial" w:hAnsi="Arial"/>
          <w:sz w:val="15"/>
          <w:szCs w:val="15"/>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b w:val="1"/>
          <w:bCs w:val="1"/>
          <w:u w:val="single" w:color="auto"/>
          <w:color w:val="auto"/>
        </w:rPr>
        <w:t>Transfer Premium</w:t>
      </w:r>
      <w:r>
        <w:rPr>
          <w:rFonts w:ascii="Arial" w:cs="Arial" w:eastAsia="Arial" w:hAnsi="Arial"/>
          <w:sz w:val="13"/>
          <w:szCs w:val="13"/>
          <w:color w:val="auto"/>
        </w:rPr>
        <w:t>. If Landlord consents to a Transfer, as a condition thereto which the parties hereby agree is reasonable, Tenant shall pay</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to Landlord fifty percent (50%) of any “</w:t>
      </w:r>
      <w:r>
        <w:rPr>
          <w:rFonts w:ascii="Arial" w:cs="Arial" w:eastAsia="Arial" w:hAnsi="Arial"/>
          <w:sz w:val="13"/>
          <w:szCs w:val="13"/>
          <w:b w:val="1"/>
          <w:bCs w:val="1"/>
          <w:color w:val="auto"/>
        </w:rPr>
        <w:t>Transfer Premium</w:t>
      </w:r>
      <w:r>
        <w:rPr>
          <w:rFonts w:ascii="Arial" w:cs="Arial" w:eastAsia="Arial" w:hAnsi="Arial"/>
          <w:sz w:val="13"/>
          <w:szCs w:val="13"/>
          <w:color w:val="auto"/>
        </w:rPr>
        <w:t xml:space="preserve">,” as that term is defined in this </w:t>
      </w:r>
      <w:r>
        <w:rPr>
          <w:rFonts w:ascii="Arial" w:cs="Arial" w:eastAsia="Arial" w:hAnsi="Arial"/>
          <w:sz w:val="13"/>
          <w:szCs w:val="13"/>
          <w:u w:val="single" w:color="auto"/>
          <w:color w:val="auto"/>
        </w:rPr>
        <w:t>Section 14.3</w:t>
      </w:r>
      <w:r>
        <w:rPr>
          <w:rFonts w:ascii="Arial" w:cs="Arial" w:eastAsia="Arial" w:hAnsi="Arial"/>
          <w:sz w:val="13"/>
          <w:szCs w:val="13"/>
          <w:color w:val="auto"/>
        </w:rPr>
        <w:t>, received by Tenant from such Transferee.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 Premium</w:t>
      </w:r>
      <w:r>
        <w:rPr>
          <w:rFonts w:ascii="Arial" w:cs="Arial" w:eastAsia="Arial" w:hAnsi="Arial"/>
          <w:sz w:val="13"/>
          <w:szCs w:val="13"/>
          <w:color w:val="auto"/>
        </w:rPr>
        <w:t>” shall mean all rent, additional rent or other consideration payable by such Transferee in connection with the Transfer in excess of</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the Rent and Additional Rent payable by Tenant under this Lease during the term of the Transfer on a per rentable square foot basis if less than all of the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Premises is transferred, and after deduction of (i) any costs of improvements made to the Subject Space in connection with such Transfer, (ii) brokerage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commissions paid in connection with such Transfer, and (iii) reasonable legal fees incurred in connection with such Transfer. “</w:t>
      </w:r>
      <w:r>
        <w:rPr>
          <w:rFonts w:ascii="Arial" w:cs="Arial" w:eastAsia="Arial" w:hAnsi="Arial"/>
          <w:sz w:val="13"/>
          <w:szCs w:val="13"/>
          <w:b w:val="1"/>
          <w:bCs w:val="1"/>
          <w:color w:val="auto"/>
        </w:rPr>
        <w:t>Transfer Premium</w:t>
      </w:r>
      <w:r>
        <w:rPr>
          <w:rFonts w:ascii="Arial" w:cs="Arial" w:eastAsia="Arial" w:hAnsi="Arial"/>
          <w:sz w:val="13"/>
          <w:szCs w:val="13"/>
          <w:color w:val="auto"/>
        </w:rPr>
        <w:t>” shall</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also include, but not be limited to, key money, bonus money or other cash consideration paid by Transferee to Tenant in connection with such Transfer,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and any payment in excess of fair market value for services rendered by Tenant to Transferee or for assets, fixtures, inventory, equipment, or furniture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transferred by Tenant to Transferee in connection with such Transfer. The determination of the amount of Landlord’s applicable share of the Transfer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Premium shall be made on a monthly basis as rent or other consideration is received by Tenant under the Transfer.</w:t>
      </w:r>
    </w:p>
    <w:p>
      <w:pPr>
        <w:spacing w:after="0" w:line="178"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b w:val="1"/>
          <w:bCs w:val="1"/>
          <w:u w:val="single" w:color="auto"/>
          <w:color w:val="auto"/>
        </w:rPr>
        <w:t>Landlord’s Option as to Subject Space</w:t>
      </w:r>
      <w:r>
        <w:rPr>
          <w:rFonts w:ascii="Arial" w:cs="Arial" w:eastAsia="Arial" w:hAnsi="Arial"/>
          <w:sz w:val="13"/>
          <w:szCs w:val="13"/>
          <w:color w:val="auto"/>
        </w:rPr>
        <w:t xml:space="preserve">. Notwithstanding anything to the contrary contained in this </w:t>
      </w:r>
      <w:r>
        <w:rPr>
          <w:rFonts w:ascii="Arial" w:cs="Arial" w:eastAsia="Arial" w:hAnsi="Arial"/>
          <w:sz w:val="13"/>
          <w:szCs w:val="13"/>
          <w:u w:val="single" w:color="auto"/>
          <w:color w:val="auto"/>
        </w:rPr>
        <w:t>Article 14</w:t>
      </w:r>
      <w:r>
        <w:rPr>
          <w:rFonts w:ascii="Arial" w:cs="Arial" w:eastAsia="Arial" w:hAnsi="Arial"/>
          <w:sz w:val="13"/>
          <w:szCs w:val="13"/>
          <w:color w:val="auto"/>
        </w:rPr>
        <w:t>, in the event Tenant contemplates a Transfer other than to a Permitted Transferee which, together with all prior Transfers then remaining in effect, would cause fifty percent (50%) or more of the Premises to be Transferred for more than fifty percent (50%) of the then remaining Lease Term (taking into account any extension of the Lease Term which has irrevocably exercised by Tenant), Tenant shall give Landlord notice (the “</w:t>
      </w:r>
      <w:r>
        <w:rPr>
          <w:rFonts w:ascii="Arial" w:cs="Arial" w:eastAsia="Arial" w:hAnsi="Arial"/>
          <w:sz w:val="13"/>
          <w:szCs w:val="13"/>
          <w:b w:val="1"/>
          <w:bCs w:val="1"/>
          <w:color w:val="auto"/>
        </w:rPr>
        <w:t>Intention to Transfer Notice</w:t>
      </w:r>
      <w:r>
        <w:rPr>
          <w:rFonts w:ascii="Arial" w:cs="Arial" w:eastAsia="Arial" w:hAnsi="Arial"/>
          <w:sz w:val="13"/>
          <w:szCs w:val="13"/>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in the subject Transfer (the “</w:t>
      </w:r>
      <w:r>
        <w:rPr>
          <w:rFonts w:ascii="Arial" w:cs="Arial" w:eastAsia="Arial" w:hAnsi="Arial"/>
          <w:sz w:val="13"/>
          <w:szCs w:val="13"/>
          <w:b w:val="1"/>
          <w:bCs w:val="1"/>
          <w:color w:val="auto"/>
        </w:rPr>
        <w:t>Contemplated Transfer Space</w:t>
      </w:r>
      <w:r>
        <w:rPr>
          <w:rFonts w:ascii="Arial" w:cs="Arial" w:eastAsia="Arial" w:hAnsi="Arial"/>
          <w:sz w:val="13"/>
          <w:szCs w:val="13"/>
          <w:color w:val="auto"/>
        </w:rPr>
        <w:t>”), the contemplated date of commencement of the Contemplated Transfer (the “</w:t>
      </w:r>
      <w:r>
        <w:rPr>
          <w:rFonts w:ascii="Arial" w:cs="Arial" w:eastAsia="Arial" w:hAnsi="Arial"/>
          <w:sz w:val="13"/>
          <w:szCs w:val="13"/>
          <w:b w:val="1"/>
          <w:bCs w:val="1"/>
          <w:color w:val="auto"/>
        </w:rPr>
        <w:t>Contemplated Effective Date</w:t>
      </w:r>
      <w:r>
        <w:rPr>
          <w:rFonts w:ascii="Arial" w:cs="Arial" w:eastAsia="Arial" w:hAnsi="Arial"/>
          <w:sz w:val="13"/>
          <w:szCs w:val="13"/>
          <w:color w:val="auto"/>
        </w:rPr>
        <w:t xml:space="preserve">”), and the contemplated length of the term of such contemplated Transfer. Thereafter, Landlord shall have the option, by giving written notice to Tenant within thirty (30)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3"/>
          <w:szCs w:val="13"/>
          <w:u w:val="single" w:color="auto"/>
          <w:color w:val="auto"/>
        </w:rPr>
        <w:t>Section 14.4</w:t>
      </w:r>
      <w:r>
        <w:rPr>
          <w:rFonts w:ascii="Arial" w:cs="Arial" w:eastAsia="Arial" w:hAnsi="Arial"/>
          <w:sz w:val="13"/>
          <w:szCs w:val="13"/>
          <w:color w:val="auto"/>
        </w:rPr>
        <w:t xml:space="preserve">, then, subject to the other terms of this </w:t>
      </w:r>
      <w:r>
        <w:rPr>
          <w:rFonts w:ascii="Arial" w:cs="Arial" w:eastAsia="Arial" w:hAnsi="Arial"/>
          <w:sz w:val="13"/>
          <w:szCs w:val="13"/>
          <w:u w:val="single" w:color="auto"/>
          <w:color w:val="auto"/>
        </w:rPr>
        <w:t>Article 14</w:t>
      </w:r>
      <w:r>
        <w:rPr>
          <w:rFonts w:ascii="Arial" w:cs="Arial" w:eastAsia="Arial" w:hAnsi="Arial"/>
          <w:sz w:val="13"/>
          <w:szCs w:val="13"/>
          <w:color w:val="auto"/>
        </w:rPr>
        <w:t>, for a period of nine (9) months (the “</w:t>
      </w:r>
      <w:r>
        <w:rPr>
          <w:rFonts w:ascii="Arial" w:cs="Arial" w:eastAsia="Arial" w:hAnsi="Arial"/>
          <w:sz w:val="13"/>
          <w:szCs w:val="13"/>
          <w:b w:val="1"/>
          <w:bCs w:val="1"/>
          <w:color w:val="auto"/>
        </w:rPr>
        <w:t>Nine Month Period</w:t>
      </w:r>
      <w:r>
        <w:rPr>
          <w:rFonts w:ascii="Arial" w:cs="Arial" w:eastAsia="Arial" w:hAnsi="Arial"/>
          <w:sz w:val="13"/>
          <w:szCs w:val="13"/>
          <w:color w:val="auto"/>
        </w:rPr>
        <w:t xml:space="preserve">”)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3"/>
          <w:szCs w:val="13"/>
          <w:u w:val="single" w:color="auto"/>
          <w:color w:val="auto"/>
        </w:rPr>
        <w:t>Article 14</w:t>
      </w:r>
      <w:r>
        <w:rPr>
          <w:rFonts w:ascii="Arial" w:cs="Arial" w:eastAsia="Arial" w:hAnsi="Arial"/>
          <w:sz w:val="13"/>
          <w:szCs w:val="13"/>
          <w:color w:val="auto"/>
        </w:rPr>
        <w:t>. If such a Transfer is not so consummated within the Nine Month Period (or if a</w:t>
      </w:r>
    </w:p>
    <w:p>
      <w:pPr>
        <w:sectPr>
          <w:pgSz w:w="11900" w:h="16838" w:orient="portrait"/>
          <w:cols w:equalWidth="0" w:num="1">
            <w:col w:w="9600"/>
          </w:cols>
          <w:pgMar w:left="1140" w:top="255" w:right="1159" w:bottom="1440" w:gutter="0" w:footer="0" w:header="0"/>
        </w:sectPr>
      </w:pPr>
    </w:p>
    <w:bookmarkStart w:id="582" w:name="page583"/>
    <w:bookmarkEnd w:id="582"/>
    <w:p>
      <w:pPr>
        <w:ind w:left="6" w:right="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Tenant shall not be required to provide a separate Intention to Transfer Notice and Tenant’s request for Landlord’s consent to a Transfer shall satisfy Tenant’s obligations in this </w:t>
      </w:r>
      <w:r>
        <w:rPr>
          <w:rFonts w:ascii="Arial" w:cs="Arial" w:eastAsia="Arial" w:hAnsi="Arial"/>
          <w:sz w:val="15"/>
          <w:szCs w:val="15"/>
          <w:u w:val="single" w:color="auto"/>
          <w:color w:val="auto"/>
        </w:rPr>
        <w:t>Section 14.4</w:t>
      </w:r>
      <w:r>
        <w:rPr>
          <w:rFonts w:ascii="Arial" w:cs="Arial" w:eastAsia="Arial" w:hAnsi="Arial"/>
          <w:sz w:val="15"/>
          <w:szCs w:val="15"/>
          <w:color w:val="auto"/>
        </w:rPr>
        <w:t>.</w:t>
      </w:r>
    </w:p>
    <w:p>
      <w:pPr>
        <w:spacing w:after="0" w:line="149" w:lineRule="exact"/>
        <w:rPr>
          <w:sz w:val="20"/>
          <w:szCs w:val="20"/>
          <w:color w:val="auto"/>
        </w:rPr>
      </w:pPr>
    </w:p>
    <w:p>
      <w:pPr>
        <w:ind w:left="6" w:right="160" w:firstLine="385"/>
        <w:spacing w:after="0" w:line="307"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b w:val="1"/>
          <w:bCs w:val="1"/>
          <w:u w:val="single" w:color="auto"/>
          <w:color w:val="auto"/>
        </w:rPr>
        <w:t>Effect of Transfer</w:t>
      </w:r>
      <w:r>
        <w:rPr>
          <w:rFonts w:ascii="Arial" w:cs="Arial" w:eastAsia="Arial" w:hAnsi="Arial"/>
          <w:sz w:val="13"/>
          <w:szCs w:val="13"/>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w:t>
      </w:r>
    </w:p>
    <w:p>
      <w:pPr>
        <w:spacing w:after="0" w:line="2" w:lineRule="exact"/>
        <w:rPr>
          <w:sz w:val="20"/>
          <w:szCs w:val="20"/>
          <w:color w:val="auto"/>
        </w:rPr>
      </w:pPr>
    </w:p>
    <w:p>
      <w:pPr>
        <w:ind w:left="6" w:right="40" w:hanging="6"/>
        <w:spacing w:after="0" w:line="318" w:lineRule="auto"/>
        <w:tabs>
          <w:tab w:leader="none" w:pos="229" w:val="left"/>
        </w:tabs>
        <w:numPr>
          <w:ilvl w:val="0"/>
          <w:numId w:val="426"/>
        </w:numPr>
        <w:rPr>
          <w:rFonts w:ascii="Arial" w:cs="Arial" w:eastAsia="Arial" w:hAnsi="Arial"/>
          <w:sz w:val="13"/>
          <w:szCs w:val="13"/>
          <w:color w:val="auto"/>
        </w:rPr>
      </w:pPr>
      <w:r>
        <w:rPr>
          <w:rFonts w:ascii="Arial" w:cs="Arial" w:eastAsia="Arial" w:hAnsi="Arial"/>
          <w:sz w:val="13"/>
          <w:szCs w:val="13"/>
          <w:color w:val="auto"/>
        </w:rPr>
        <w:t>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126" w:lineRule="exact"/>
        <w:rPr>
          <w:sz w:val="20"/>
          <w:szCs w:val="20"/>
          <w:color w:val="auto"/>
        </w:rPr>
      </w:pPr>
    </w:p>
    <w:p>
      <w:pPr>
        <w:jc w:val="both"/>
        <w:ind w:left="6" w:right="440" w:firstLine="385"/>
        <w:spacing w:after="0" w:line="346" w:lineRule="auto"/>
        <w:rPr>
          <w:sz w:val="20"/>
          <w:szCs w:val="20"/>
          <w:color w:val="auto"/>
        </w:rPr>
      </w:pPr>
      <w:r>
        <w:rPr>
          <w:rFonts w:ascii="Arial" w:cs="Arial" w:eastAsia="Arial" w:hAnsi="Arial"/>
          <w:sz w:val="13"/>
          <w:szCs w:val="13"/>
          <w:color w:val="auto"/>
        </w:rPr>
        <w:t xml:space="preserve">14.6 </w:t>
      </w:r>
      <w:r>
        <w:rPr>
          <w:rFonts w:ascii="Arial" w:cs="Arial" w:eastAsia="Arial" w:hAnsi="Arial"/>
          <w:sz w:val="13"/>
          <w:szCs w:val="13"/>
          <w:b w:val="1"/>
          <w:bCs w:val="1"/>
          <w:u w:val="single" w:color="auto"/>
          <w:color w:val="auto"/>
        </w:rPr>
        <w:t>Additional Transfers</w:t>
      </w:r>
      <w:r>
        <w:rPr>
          <w:rFonts w:ascii="Arial" w:cs="Arial" w:eastAsia="Arial" w:hAnsi="Arial"/>
          <w:sz w:val="13"/>
          <w:szCs w:val="13"/>
          <w:color w:val="auto"/>
        </w:rPr>
        <w:t>. For purposes of this Lease, the term “</w:t>
      </w:r>
      <w:r>
        <w:rPr>
          <w:rFonts w:ascii="Arial" w:cs="Arial" w:eastAsia="Arial" w:hAnsi="Arial"/>
          <w:sz w:val="13"/>
          <w:szCs w:val="13"/>
          <w:b w:val="1"/>
          <w:bCs w:val="1"/>
          <w:color w:val="auto"/>
        </w:rPr>
        <w:t>Transfer</w:t>
      </w:r>
      <w:r>
        <w:rPr>
          <w:rFonts w:ascii="Arial" w:cs="Arial" w:eastAsia="Arial" w:hAnsi="Arial"/>
          <w:sz w:val="13"/>
          <w:szCs w:val="13"/>
          <w:color w:val="auto"/>
        </w:rPr>
        <w:t>” shall also include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w:t>
      </w:r>
    </w:p>
    <w:p>
      <w:pPr>
        <w:spacing w:after="0" w:line="108" w:lineRule="exact"/>
        <w:rPr>
          <w:sz w:val="20"/>
          <w:szCs w:val="20"/>
          <w:color w:val="auto"/>
        </w:rPr>
      </w:pPr>
    </w:p>
    <w:p>
      <w:pPr>
        <w:ind w:left="6" w:firstLine="385"/>
        <w:spacing w:after="0" w:line="311" w:lineRule="auto"/>
        <w:rPr>
          <w:sz w:val="20"/>
          <w:szCs w:val="20"/>
          <w:color w:val="auto"/>
        </w:rPr>
      </w:pPr>
      <w:r>
        <w:rPr>
          <w:rFonts w:ascii="Arial" w:cs="Arial" w:eastAsia="Arial" w:hAnsi="Arial"/>
          <w:sz w:val="13"/>
          <w:szCs w:val="13"/>
          <w:color w:val="auto"/>
        </w:rPr>
        <w:t xml:space="preserve">14.7 </w:t>
      </w:r>
      <w:r>
        <w:rPr>
          <w:rFonts w:ascii="Arial" w:cs="Arial" w:eastAsia="Arial" w:hAnsi="Arial"/>
          <w:sz w:val="13"/>
          <w:szCs w:val="13"/>
          <w:b w:val="1"/>
          <w:bCs w:val="1"/>
          <w:u w:val="single" w:color="auto"/>
          <w:color w:val="auto"/>
        </w:rPr>
        <w:t>Occurrence of Default</w:t>
      </w:r>
      <w:r>
        <w:rPr>
          <w:rFonts w:ascii="Arial" w:cs="Arial" w:eastAsia="Arial" w:hAnsi="Arial"/>
          <w:sz w:val="13"/>
          <w:szCs w:val="13"/>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3"/>
          <w:szCs w:val="13"/>
          <w:u w:val="single" w:color="auto"/>
          <w:color w:val="auto"/>
        </w:rPr>
        <w:t>Article 14</w:t>
      </w:r>
      <w:r>
        <w:rPr>
          <w:rFonts w:ascii="Arial" w:cs="Arial" w:eastAsia="Arial" w:hAnsi="Arial"/>
          <w:sz w:val="13"/>
          <w:szCs w:val="13"/>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321" w:lineRule="exact"/>
        <w:rPr>
          <w:sz w:val="20"/>
          <w:szCs w:val="20"/>
          <w:color w:val="auto"/>
        </w:rPr>
      </w:pPr>
    </w:p>
    <w:p>
      <w:pPr>
        <w:ind w:left="6" w:right="20" w:firstLine="385"/>
        <w:spacing w:after="0" w:line="311" w:lineRule="auto"/>
        <w:rPr>
          <w:sz w:val="20"/>
          <w:szCs w:val="20"/>
          <w:color w:val="auto"/>
        </w:rPr>
      </w:pPr>
      <w:r>
        <w:rPr>
          <w:rFonts w:ascii="Arial" w:cs="Arial" w:eastAsia="Arial" w:hAnsi="Arial"/>
          <w:sz w:val="13"/>
          <w:szCs w:val="13"/>
          <w:color w:val="auto"/>
        </w:rPr>
        <w:t xml:space="preserve">14.8 </w:t>
      </w:r>
      <w:r>
        <w:rPr>
          <w:rFonts w:ascii="Arial" w:cs="Arial" w:eastAsia="Arial" w:hAnsi="Arial"/>
          <w:sz w:val="13"/>
          <w:szCs w:val="13"/>
          <w:b w:val="1"/>
          <w:bCs w:val="1"/>
          <w:u w:val="single" w:color="auto"/>
          <w:color w:val="auto"/>
        </w:rPr>
        <w:t>Non-Transfers</w:t>
      </w:r>
      <w:r>
        <w:rPr>
          <w:rFonts w:ascii="Arial" w:cs="Arial" w:eastAsia="Arial" w:hAnsi="Arial"/>
          <w:sz w:val="13"/>
          <w:szCs w:val="13"/>
          <w:color w:val="auto"/>
        </w:rPr>
        <w:t xml:space="preserve">. Notwithstanding anything to the contrary contained in this </w:t>
      </w:r>
      <w:r>
        <w:rPr>
          <w:rFonts w:ascii="Arial" w:cs="Arial" w:eastAsia="Arial" w:hAnsi="Arial"/>
          <w:sz w:val="13"/>
          <w:szCs w:val="13"/>
          <w:u w:val="single" w:color="auto"/>
          <w:color w:val="auto"/>
        </w:rPr>
        <w:t>Article 14</w:t>
      </w:r>
      <w:r>
        <w:rPr>
          <w:rFonts w:ascii="Arial" w:cs="Arial" w:eastAsia="Arial" w:hAnsi="Arial"/>
          <w:sz w:val="13"/>
          <w:szCs w:val="13"/>
          <w:color w:val="auto"/>
        </w:rPr>
        <w:t>, (i) an assignment or subletting of all or a portion of the Premises to an affiliate of Tenant (an entity which is controlled by, controls, or is under common control with, Tenant), (ii) an assignment of the Premises to an entity which acquires all or substantially all of the assets or interests (partnership, stock or other) of Tenant, (iii) an assignment of the Premises to an entity which is the resulting entity of a merger or consolidation of Tenant with another entity, or (iv) a sale of corporate shares of capital stock in Tenant in connection with an initial public offering of Tenant’s stock on a nationally-recognized stock exchange (collectively, a “</w:t>
      </w:r>
      <w:r>
        <w:rPr>
          <w:rFonts w:ascii="Arial" w:cs="Arial" w:eastAsia="Arial" w:hAnsi="Arial"/>
          <w:sz w:val="13"/>
          <w:szCs w:val="13"/>
          <w:b w:val="1"/>
          <w:bCs w:val="1"/>
          <w:color w:val="auto"/>
        </w:rPr>
        <w:t>Permitted</w:t>
      </w:r>
      <w:r>
        <w:rPr>
          <w:rFonts w:ascii="Arial" w:cs="Arial" w:eastAsia="Arial" w:hAnsi="Arial"/>
          <w:sz w:val="13"/>
          <w:szCs w:val="13"/>
          <w:color w:val="auto"/>
        </w:rPr>
        <w:t xml:space="preserve"> </w:t>
      </w:r>
      <w:r>
        <w:rPr>
          <w:rFonts w:ascii="Arial" w:cs="Arial" w:eastAsia="Arial" w:hAnsi="Arial"/>
          <w:sz w:val="13"/>
          <w:szCs w:val="13"/>
          <w:b w:val="1"/>
          <w:bCs w:val="1"/>
          <w:color w:val="auto"/>
        </w:rPr>
        <w:t>Transferee</w:t>
      </w:r>
      <w:r>
        <w:rPr>
          <w:rFonts w:ascii="Arial" w:cs="Arial" w:eastAsia="Arial" w:hAnsi="Arial"/>
          <w:sz w:val="13"/>
          <w:szCs w:val="13"/>
          <w:color w:val="auto"/>
        </w:rPr>
        <w:t>”), shall not be deemed a Transfer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14</w:t>
      </w:r>
      <w:r>
        <w:rPr>
          <w:rFonts w:ascii="Arial" w:cs="Arial" w:eastAsia="Arial" w:hAnsi="Arial"/>
          <w:sz w:val="13"/>
          <w:szCs w:val="13"/>
          <w:color w:val="auto"/>
        </w:rPr>
        <w:t>, provided that (A) Tenant notifies Landlord of any such assignment or sublease and</w:t>
      </w:r>
      <w:r>
        <w:rPr>
          <w:rFonts w:ascii="Arial" w:cs="Arial" w:eastAsia="Arial" w:hAnsi="Arial"/>
          <w:sz w:val="13"/>
          <w:szCs w:val="13"/>
          <w:b w:val="1"/>
          <w:bCs w:val="1"/>
          <w:color w:val="auto"/>
        </w:rPr>
        <w:t xml:space="preserve"> </w:t>
      </w:r>
      <w:r>
        <w:rPr>
          <w:rFonts w:ascii="Arial" w:cs="Arial" w:eastAsia="Arial" w:hAnsi="Arial"/>
          <w:sz w:val="13"/>
          <w:szCs w:val="13"/>
          <w:color w:val="auto"/>
        </w:rPr>
        <w:t>promptly supplies Landlord with any documents or information requested by Landlord regarding such assignment or sublease or such affiliate, (B) such assignment or sublease is not a subterfuge by Tenant to avoid its obligations under this Lease, (C) such Permitted Transferee shall be of a character and reputation consistent with the quality of the Building, and (D) such Permitted Transferee described in subpart (ii) or (iii) above shall have a tangible net worth (not including goodwill as an asset) computed in accordance with generally accepted accounting principles (“</w:t>
      </w:r>
      <w:r>
        <w:rPr>
          <w:rFonts w:ascii="Arial" w:cs="Arial" w:eastAsia="Arial" w:hAnsi="Arial"/>
          <w:sz w:val="13"/>
          <w:szCs w:val="13"/>
          <w:b w:val="1"/>
          <w:bCs w:val="1"/>
          <w:color w:val="auto"/>
        </w:rPr>
        <w:t>Net Worth</w:t>
      </w:r>
      <w:r>
        <w:rPr>
          <w:rFonts w:ascii="Arial" w:cs="Arial" w:eastAsia="Arial" w:hAnsi="Arial"/>
          <w:sz w:val="13"/>
          <w:szCs w:val="13"/>
          <w:color w:val="auto"/>
        </w:rPr>
        <w:t>”) at least equal to the Net Worth of Tenant on the day immediately preceding the effective date of such assignment or sublease. An assignee of Tenant’s entire interest that is also a Permitted Transferee may also be known as a “</w:t>
      </w:r>
      <w:r>
        <w:rPr>
          <w:rFonts w:ascii="Arial" w:cs="Arial" w:eastAsia="Arial" w:hAnsi="Arial"/>
          <w:sz w:val="13"/>
          <w:szCs w:val="13"/>
          <w:b w:val="1"/>
          <w:bCs w:val="1"/>
          <w:color w:val="auto"/>
        </w:rPr>
        <w:t>Permitted</w:t>
      </w:r>
    </w:p>
    <w:p>
      <w:pPr>
        <w:sectPr>
          <w:pgSz w:w="11900" w:h="16838" w:orient="portrait"/>
          <w:cols w:equalWidth="0" w:num="1">
            <w:col w:w="9566"/>
          </w:cols>
          <w:pgMar w:left="1134" w:top="255" w:right="1199" w:bottom="1440" w:gutter="0" w:footer="0" w:header="0"/>
        </w:sectPr>
      </w:pPr>
    </w:p>
    <w:bookmarkStart w:id="583" w:name="page584"/>
    <w:bookmarkEnd w:id="583"/>
    <w:p>
      <w:pPr>
        <w:jc w:val="both"/>
        <w:ind w:right="300"/>
        <w:spacing w:after="0" w:line="346"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Assignee</w:t>
      </w:r>
      <w:r>
        <w:rPr>
          <w:rFonts w:ascii="Arial" w:cs="Arial" w:eastAsia="Arial" w:hAnsi="Arial"/>
          <w:sz w:val="13"/>
          <w:szCs w:val="13"/>
          <w:color w:val="auto"/>
        </w:rPr>
        <w:t>”. “</w:t>
      </w:r>
      <w:r>
        <w:rPr>
          <w:rFonts w:ascii="Arial" w:cs="Arial" w:eastAsia="Arial" w:hAnsi="Arial"/>
          <w:sz w:val="13"/>
          <w:szCs w:val="13"/>
          <w:b w:val="1"/>
          <w:bCs w:val="1"/>
          <w:color w:val="auto"/>
        </w:rPr>
        <w:t>Control</w:t>
      </w:r>
      <w:r>
        <w:rPr>
          <w:rFonts w:ascii="Arial" w:cs="Arial" w:eastAsia="Arial" w:hAnsi="Arial"/>
          <w:sz w:val="13"/>
          <w:szCs w:val="13"/>
          <w:color w:val="auto"/>
        </w:rPr>
        <w:t>,” as used in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14.8</w:t>
      </w:r>
      <w:r>
        <w:rPr>
          <w:rFonts w:ascii="Arial" w:cs="Arial" w:eastAsia="Arial" w:hAnsi="Arial"/>
          <w:sz w:val="13"/>
          <w:szCs w:val="13"/>
          <w:color w:val="auto"/>
        </w:rPr>
        <w:t>, shall mean the ownership, directly or indirectly, of at least fifty-one percent (51%) of the voting</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of, or possession of the right to vote, in the ordinary direction of its affairs, of at least fifty-one percent (51%) of the voting interest in, any person or entity. No such permitted assignment or subletting shall serve to release Tenant from any of its obligations under this Lease.</w:t>
      </w:r>
    </w:p>
    <w:p>
      <w:pPr>
        <w:spacing w:after="0" w:line="108" w:lineRule="exact"/>
        <w:rPr>
          <w:sz w:val="20"/>
          <w:szCs w:val="20"/>
          <w:color w:val="auto"/>
        </w:rPr>
      </w:pPr>
    </w:p>
    <w:p>
      <w:pPr>
        <w:ind w:right="40" w:firstLine="385"/>
        <w:spacing w:after="0" w:line="313" w:lineRule="auto"/>
        <w:rPr>
          <w:sz w:val="20"/>
          <w:szCs w:val="20"/>
          <w:color w:val="auto"/>
        </w:rPr>
      </w:pPr>
      <w:r>
        <w:rPr>
          <w:rFonts w:ascii="Arial" w:cs="Arial" w:eastAsia="Arial" w:hAnsi="Arial"/>
          <w:sz w:val="13"/>
          <w:szCs w:val="13"/>
          <w:color w:val="auto"/>
        </w:rPr>
        <w:t xml:space="preserve">14.9 </w:t>
      </w:r>
      <w:r>
        <w:rPr>
          <w:rFonts w:ascii="Arial" w:cs="Arial" w:eastAsia="Arial" w:hAnsi="Arial"/>
          <w:sz w:val="13"/>
          <w:szCs w:val="13"/>
          <w:b w:val="1"/>
          <w:bCs w:val="1"/>
          <w:u w:val="single" w:color="auto"/>
          <w:color w:val="auto"/>
        </w:rPr>
        <w:t>Pre-Approved Assignee</w:t>
      </w:r>
      <w:r>
        <w:rPr>
          <w:rFonts w:ascii="Arial" w:cs="Arial" w:eastAsia="Arial" w:hAnsi="Arial"/>
          <w:sz w:val="13"/>
          <w:szCs w:val="13"/>
          <w:color w:val="auto"/>
        </w:rPr>
        <w:t>. In addition to the foregoing and consistent with the terms of Section 14.8 subparts (A) – (C) above, Landlord and Tenant hereby acknowledge and agree that Original Tenant shall have the one-time right to assign its interest in this Lease without Landlord’s additional consent or being subject to the terms of Sections 14.1-14.4 above, to an entity in which Tenant owns at least fifty percent (50%) of the preferred shares and which entity has closed an equity financing with a current and future commitment of at least Thirty Million Dollars ($30,000,000) in cash or cash equivalents, as determined in accordance with generally accepted accounting practices, consistently applied (“</w:t>
      </w:r>
      <w:r>
        <w:rPr>
          <w:rFonts w:ascii="Arial" w:cs="Arial" w:eastAsia="Arial" w:hAnsi="Arial"/>
          <w:sz w:val="13"/>
          <w:szCs w:val="13"/>
          <w:b w:val="1"/>
          <w:bCs w:val="1"/>
          <w:color w:val="auto"/>
        </w:rPr>
        <w:t>GAAP</w:t>
      </w:r>
      <w:r>
        <w:rPr>
          <w:rFonts w:ascii="Arial" w:cs="Arial" w:eastAsia="Arial" w:hAnsi="Arial"/>
          <w:sz w:val="13"/>
          <w:szCs w:val="13"/>
          <w:color w:val="auto"/>
        </w:rPr>
        <w:t>”) and as evidenced by reasonable supporting documentation provided to Landlord. Such assignment shall be pursuant to the assignment form attached hereto as Exhibit I or another materially consistent form prepared by Tenant and approved by Landlord, which approval shall not be unreasonably withheld or delayed. The assignee pursuant to such an assignment shall be considered a “Permitted Assignee” hereunder. Upon such assignment pursuant to the express terms of this Section 14.9, notwithstanding Sections 14.5(v) and 14.8 above, Tenant shall be released by Landlord from all liability under this Lease.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SURRENDER OF PREMISES; OWNERSHIP AND REMOVAL OF TRADE FIXTURES.</w:t>
      </w:r>
    </w:p>
    <w:p>
      <w:pPr>
        <w:spacing w:after="0" w:line="193" w:lineRule="exact"/>
        <w:rPr>
          <w:sz w:val="20"/>
          <w:szCs w:val="20"/>
          <w:color w:val="auto"/>
        </w:rPr>
      </w:pPr>
    </w:p>
    <w:p>
      <w:pPr>
        <w:ind w:firstLine="385"/>
        <w:spacing w:after="0" w:line="317"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b w:val="1"/>
          <w:bCs w:val="1"/>
          <w:u w:val="single" w:color="auto"/>
          <w:color w:val="auto"/>
        </w:rPr>
        <w:t>Surrender of Premises</w:t>
      </w:r>
      <w:r>
        <w:rPr>
          <w:rFonts w:ascii="Arial" w:cs="Arial" w:eastAsia="Arial" w:hAnsi="Arial"/>
          <w:sz w:val="13"/>
          <w:szCs w:val="13"/>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27" w:lineRule="exact"/>
        <w:rPr>
          <w:sz w:val="20"/>
          <w:szCs w:val="20"/>
          <w:color w:val="auto"/>
        </w:rPr>
      </w:pPr>
    </w:p>
    <w:p>
      <w:pPr>
        <w:ind w:right="20" w:firstLine="385"/>
        <w:spacing w:after="0" w:line="315"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b w:val="1"/>
          <w:bCs w:val="1"/>
          <w:u w:val="single" w:color="auto"/>
          <w:color w:val="auto"/>
        </w:rPr>
        <w:t>Removal of Tenant Property by Tenant</w:t>
      </w:r>
      <w:r>
        <w:rPr>
          <w:rFonts w:ascii="Arial" w:cs="Arial" w:eastAsia="Arial" w:hAnsi="Arial"/>
          <w:sz w:val="13"/>
          <w:szCs w:val="13"/>
          <w:color w:val="auto"/>
        </w:rPr>
        <w:t xml:space="preserve">. Upon the expiration of the Lease Term, or upon any earlier termination of this Lease, Tenant shall, subject to the provisions of this </w:t>
      </w:r>
      <w:r>
        <w:rPr>
          <w:rFonts w:ascii="Arial" w:cs="Arial" w:eastAsia="Arial" w:hAnsi="Arial"/>
          <w:sz w:val="13"/>
          <w:szCs w:val="13"/>
          <w:u w:val="single" w:color="auto"/>
          <w:color w:val="auto"/>
        </w:rPr>
        <w:t>Article 15</w:t>
      </w:r>
      <w:r>
        <w:rPr>
          <w:rFonts w:ascii="Arial" w:cs="Arial" w:eastAsia="Arial" w:hAnsi="Arial"/>
          <w:sz w:val="13"/>
          <w:szCs w:val="13"/>
          <w:color w:val="auto"/>
        </w:rPr>
        <w:t>, quit and surrender possession of the Premises to Landlord in as good order and condition as when Tenant took possession and as thereafter improved by Landlord and/or Tenant, reasonable wear and tear, damage caused by casualty, repairs required as a result of condemnation,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(but not demountable walls)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128" w:lineRule="exact"/>
        <w:rPr>
          <w:sz w:val="20"/>
          <w:szCs w:val="20"/>
          <w:color w:val="auto"/>
        </w:rPr>
      </w:pPr>
    </w:p>
    <w:p>
      <w:pPr>
        <w:ind w:right="120" w:firstLine="385"/>
        <w:spacing w:after="0" w:line="269" w:lineRule="auto"/>
        <w:rPr>
          <w:sz w:val="20"/>
          <w:szCs w:val="20"/>
          <w:color w:val="auto"/>
        </w:rPr>
      </w:pPr>
      <w:r>
        <w:rPr>
          <w:rFonts w:ascii="Arial" w:cs="Arial" w:eastAsia="Arial" w:hAnsi="Arial"/>
          <w:sz w:val="15"/>
          <w:szCs w:val="15"/>
          <w:color w:val="auto"/>
        </w:rPr>
        <w:t xml:space="preserve">15.3 </w:t>
      </w:r>
      <w:r>
        <w:rPr>
          <w:rFonts w:ascii="Arial" w:cs="Arial" w:eastAsia="Arial" w:hAnsi="Arial"/>
          <w:sz w:val="15"/>
          <w:szCs w:val="15"/>
          <w:b w:val="1"/>
          <w:bCs w:val="1"/>
          <w:u w:val="single" w:color="auto"/>
          <w:color w:val="auto"/>
        </w:rPr>
        <w:t>Environmental Assessment</w:t>
      </w:r>
      <w:r>
        <w:rPr>
          <w:rFonts w:ascii="Arial" w:cs="Arial" w:eastAsia="Arial" w:hAnsi="Arial"/>
          <w:sz w:val="15"/>
          <w:szCs w:val="15"/>
          <w:color w:val="auto"/>
        </w:rPr>
        <w:t xml:space="preserve">. In connection with its surrender of the Premises, Tenant shall submit to Landlord, at least fifteen (15)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If such Environmental Assessment reveals that remediation or Clean-up is required under any Environmental Laws that Tenant is responsible for under this Lease, Tenant shall submit a remediation plan prepared by a recognized environmental consultant and shall be responsible for all costs of remediation and Clean-up, as more particularly provided in </w:t>
      </w:r>
      <w:r>
        <w:rPr>
          <w:rFonts w:ascii="Arial" w:cs="Arial" w:eastAsia="Arial" w:hAnsi="Arial"/>
          <w:sz w:val="15"/>
          <w:szCs w:val="15"/>
          <w:u w:val="single" w:color="auto"/>
          <w:color w:val="auto"/>
        </w:rPr>
        <w:t>Section 5.3</w:t>
      </w:r>
      <w:r>
        <w:rPr>
          <w:rFonts w:ascii="Arial" w:cs="Arial" w:eastAsia="Arial" w:hAnsi="Arial"/>
          <w:sz w:val="15"/>
          <w:szCs w:val="15"/>
          <w:color w:val="auto"/>
        </w:rPr>
        <w:t>, above.</w:t>
      </w:r>
    </w:p>
    <w:p>
      <w:pPr>
        <w:spacing w:after="0" w:line="156" w:lineRule="exact"/>
        <w:rPr>
          <w:sz w:val="20"/>
          <w:szCs w:val="20"/>
          <w:color w:val="auto"/>
        </w:rPr>
      </w:pPr>
    </w:p>
    <w:p>
      <w:pPr>
        <w:ind w:firstLine="385"/>
        <w:spacing w:after="0" w:line="259"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Condition of the Building and Premises Upon Surrender</w:t>
      </w:r>
      <w:r>
        <w:rPr>
          <w:rFonts w:ascii="Arial" w:cs="Arial" w:eastAsia="Arial" w:hAnsi="Arial"/>
          <w:sz w:val="16"/>
          <w:szCs w:val="16"/>
          <w:color w:val="auto"/>
        </w:rPr>
        <w:t xml:space="preserve">. In addition to the above requirements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upon the expiration of the Lease Term, or upon any earlier termination of this Lease, Tenant shall, surrender the Premises and Building with Tenant having complied with all of Tenant’s obligations under this Lease,</w:t>
      </w:r>
    </w:p>
    <w:p>
      <w:pPr>
        <w:sectPr>
          <w:pgSz w:w="11900" w:h="16838" w:orient="portrait"/>
          <w:cols w:equalWidth="0" w:num="1">
            <w:col w:w="9600"/>
          </w:cols>
          <w:pgMar w:left="1140" w:top="253" w:right="1159" w:bottom="1440" w:gutter="0" w:footer="0" w:header="0"/>
        </w:sectPr>
      </w:pPr>
    </w:p>
    <w:bookmarkStart w:id="584" w:name="page585"/>
    <w:bookmarkEnd w:id="584"/>
    <w:p>
      <w:pPr>
        <w:ind w:left="6" w:right="20"/>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including those relating to improvement, repair, maintenance, compliance with law, testing and other related obligations of Tenant set forth in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of this Lease. In the event that the Building and Premises shall be surrendered in a condition which does not comply with the terms of this </w:t>
      </w:r>
      <w:r>
        <w:rPr>
          <w:rFonts w:ascii="Arial" w:cs="Arial" w:eastAsia="Arial" w:hAnsi="Arial"/>
          <w:sz w:val="15"/>
          <w:szCs w:val="15"/>
          <w:u w:val="single" w:color="auto"/>
          <w:color w:val="auto"/>
        </w:rPr>
        <w:t>Section 15.4</w:t>
      </w:r>
      <w:r>
        <w:rPr>
          <w:rFonts w:ascii="Arial" w:cs="Arial" w:eastAsia="Arial" w:hAnsi="Arial"/>
          <w:sz w:val="15"/>
          <w:szCs w:val="15"/>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commencing on the later of the termination of this Lease and three (3) business days after Landlord’s delivery of notice of such failure and that it elects to treat such failure as a holdover, Tenant shall be deemed during the period that Tenant or Landlord, as the case may be, perform obligations relating to the Surrender Improvements to be in holdover under </w:t>
      </w:r>
      <w:r>
        <w:rPr>
          <w:rFonts w:ascii="Arial" w:cs="Arial" w:eastAsia="Arial" w:hAnsi="Arial"/>
          <w:sz w:val="15"/>
          <w:szCs w:val="15"/>
          <w:u w:val="single" w:color="auto"/>
          <w:color w:val="auto"/>
        </w:rPr>
        <w:t>Article 16</w:t>
      </w:r>
      <w:r>
        <w:rPr>
          <w:rFonts w:ascii="Arial" w:cs="Arial" w:eastAsia="Arial" w:hAnsi="Arial"/>
          <w:sz w:val="15"/>
          <w:szCs w:val="15"/>
          <w:color w:val="auto"/>
        </w:rPr>
        <w:t xml:space="preserve"> of this Lease.</w:t>
      </w:r>
    </w:p>
    <w:p>
      <w:pPr>
        <w:spacing w:after="0" w:line="159" w:lineRule="exact"/>
        <w:rPr>
          <w:sz w:val="20"/>
          <w:szCs w:val="20"/>
          <w:color w:val="auto"/>
        </w:rPr>
      </w:pPr>
    </w:p>
    <w:p>
      <w:pPr>
        <w:ind w:left="6" w:right="40" w:hanging="6"/>
        <w:spacing w:after="0" w:line="310" w:lineRule="auto"/>
        <w:tabs>
          <w:tab w:leader="none" w:pos="242" w:val="left"/>
        </w:tabs>
        <w:numPr>
          <w:ilvl w:val="0"/>
          <w:numId w:val="42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HOLDING OVER. </w:t>
      </w:r>
      <w:r>
        <w:rPr>
          <w:rFonts w:ascii="Arial" w:cs="Arial" w:eastAsia="Arial" w:hAnsi="Arial"/>
          <w:sz w:val="13"/>
          <w:szCs w:val="13"/>
          <w:color w:val="auto"/>
        </w:rPr>
        <w:t>If Tenant holds over after the expiration of the Lease Term or earlier termination thereof, with the express or implied consent of</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one hundred fifty percent (150%) of the Base Rent applicable during the last rental period of the Lease Term under this Lease. Such month-to-month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323" w:lineRule="exact"/>
        <w:rPr>
          <w:rFonts w:ascii="Arial" w:cs="Arial" w:eastAsia="Arial" w:hAnsi="Arial"/>
          <w:sz w:val="13"/>
          <w:szCs w:val="13"/>
          <w:b w:val="1"/>
          <w:bCs w:val="1"/>
          <w:color w:val="auto"/>
        </w:rPr>
      </w:pPr>
    </w:p>
    <w:p>
      <w:pPr>
        <w:ind w:left="6" w:right="20" w:hanging="6"/>
        <w:spacing w:after="0" w:line="311" w:lineRule="auto"/>
        <w:tabs>
          <w:tab w:leader="none" w:pos="242" w:val="left"/>
        </w:tabs>
        <w:numPr>
          <w:ilvl w:val="0"/>
          <w:numId w:val="42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ESTOPPEL CERTIFICATES. </w:t>
      </w:r>
      <w:r>
        <w:rPr>
          <w:rFonts w:ascii="Arial" w:cs="Arial" w:eastAsia="Arial" w:hAnsi="Arial"/>
          <w:sz w:val="13"/>
          <w:szCs w:val="13"/>
          <w:color w:val="auto"/>
        </w:rPr>
        <w:t>Within ten (10) business days following a request in writing by Landlord, Tenant shall execute, acknowledge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deliver to Landlord an estoppel certificate, which, as submitted by Landlord, shall be substantially in the form of </w:t>
      </w:r>
      <w:r>
        <w:rPr>
          <w:rFonts w:ascii="Arial" w:cs="Arial" w:eastAsia="Arial" w:hAnsi="Arial"/>
          <w:sz w:val="13"/>
          <w:szCs w:val="13"/>
          <w:b w:val="1"/>
          <w:bCs w:val="1"/>
          <w:u w:val="single" w:color="auto"/>
          <w:color w:val="auto"/>
        </w:rPr>
        <w:t>Exhibit D</w:t>
      </w:r>
      <w:r>
        <w:rPr>
          <w:rFonts w:ascii="Arial" w:cs="Arial" w:eastAsia="Arial" w:hAnsi="Arial"/>
          <w:sz w:val="13"/>
          <w:szCs w:val="13"/>
          <w:color w:val="auto"/>
        </w:rPr>
        <w:t>, attached hereto (or such other form as may be reasonably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in connection with a sale or financing of the Building by Landlord, Landlord may require Tenant to provide Landlord with its most recent annual financial statement and annual financial statements of the preceding two (2) years. Such statements shall be prepared in accordance with generally accepted accounting principles and, if such is the normal practice of Tenant, shall be audited by an independent certified public accountant. Landlord shall hold such statements confidential.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32" w:lineRule="exact"/>
        <w:rPr>
          <w:rFonts w:ascii="Arial" w:cs="Arial" w:eastAsia="Arial" w:hAnsi="Arial"/>
          <w:sz w:val="13"/>
          <w:szCs w:val="13"/>
          <w:b w:val="1"/>
          <w:bCs w:val="1"/>
          <w:color w:val="auto"/>
        </w:rPr>
      </w:pPr>
    </w:p>
    <w:p>
      <w:pPr>
        <w:ind w:left="6" w:hanging="6"/>
        <w:spacing w:after="0" w:line="267" w:lineRule="auto"/>
        <w:tabs>
          <w:tab w:leader="none" w:pos="242" w:val="left"/>
        </w:tabs>
        <w:numPr>
          <w:ilvl w:val="0"/>
          <w:numId w:val="4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SUBORDINATION. </w:t>
      </w:r>
      <w:r>
        <w:rPr>
          <w:rFonts w:ascii="Arial" w:cs="Arial" w:eastAsia="Arial" w:hAnsi="Arial"/>
          <w:sz w:val="15"/>
          <w:szCs w:val="15"/>
          <w:color w:val="auto"/>
        </w:rPr>
        <w:t>Landlord hereby represents and warrants to Tenant that the Project is not currently subject to any ground lease, or to the lien of</w:t>
      </w:r>
      <w:r>
        <w:rPr>
          <w:rFonts w:ascii="Arial" w:cs="Arial" w:eastAsia="Arial" w:hAnsi="Arial"/>
          <w:sz w:val="15"/>
          <w:szCs w:val="15"/>
          <w:b w:val="1"/>
          <w:bCs w:val="1"/>
          <w:color w:val="auto"/>
        </w:rPr>
        <w:t xml:space="preserve"> </w:t>
      </w:r>
      <w:r>
        <w:rPr>
          <w:rFonts w:ascii="Arial" w:cs="Arial" w:eastAsia="Arial" w:hAnsi="Arial"/>
          <w:sz w:val="15"/>
          <w:szCs w:val="15"/>
          <w:color w:val="auto"/>
        </w:rPr>
        <w:t>any mortgage or deed of trust. This Lease shall be subject and subordinate to all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The subordination of this Lease to any such future ground or underlying leases of the Building or Project or to the lien of any mortgage, trust deed or other encumbrances, shall be subject to Tenant’s receipt of a commercially reasonable subordination, non-disturbance, and attornment agreement in favor of Tenant. Tenant covenants and agrees in the event any proceedings are brought for the foreclosure of any such mortgage or deed in</w:t>
      </w:r>
    </w:p>
    <w:p>
      <w:pPr>
        <w:sectPr>
          <w:pgSz w:w="11900" w:h="16838" w:orient="portrait"/>
          <w:cols w:equalWidth="0" w:num="1">
            <w:col w:w="9626"/>
          </w:cols>
          <w:pgMar w:left="1134" w:top="256" w:right="1139" w:bottom="1440" w:gutter="0" w:footer="0" w:header="0"/>
        </w:sectPr>
      </w:pPr>
    </w:p>
    <w:bookmarkStart w:id="585" w:name="page586"/>
    <w:bookmarkEnd w:id="585"/>
    <w:p>
      <w:pPr>
        <w:ind w:left="6" w:right="120"/>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19. DEFAULTS; REMEDIES.</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The occurrence of any of the following shall constitute a default of this Lease by Tenant:</w:t>
      </w:r>
    </w:p>
    <w:p>
      <w:pPr>
        <w:spacing w:after="0" w:line="197" w:lineRule="exact"/>
        <w:rPr>
          <w:sz w:val="20"/>
          <w:szCs w:val="20"/>
          <w:color w:val="auto"/>
        </w:rPr>
      </w:pPr>
    </w:p>
    <w:p>
      <w:pPr>
        <w:ind w:left="6" w:firstLine="866"/>
        <w:spacing w:after="0" w:line="266" w:lineRule="auto"/>
        <w:rPr>
          <w:sz w:val="20"/>
          <w:szCs w:val="20"/>
          <w:color w:val="auto"/>
        </w:rPr>
      </w:pPr>
      <w:r>
        <w:rPr>
          <w:rFonts w:ascii="Arial" w:cs="Arial" w:eastAsia="Arial" w:hAnsi="Arial"/>
          <w:sz w:val="16"/>
          <w:szCs w:val="16"/>
          <w:color w:val="auto"/>
        </w:rPr>
        <w:t>19.1.1 Any failure by Tenant to pay any Rent or any other charge required to be paid under this Lease, or any part thereof, when due unless such failure is cured within five (5) business days after notice; or</w:t>
      </w:r>
    </w:p>
    <w:p>
      <w:pPr>
        <w:spacing w:after="0" w:line="158" w:lineRule="exact"/>
        <w:rPr>
          <w:sz w:val="20"/>
          <w:szCs w:val="20"/>
          <w:color w:val="auto"/>
        </w:rPr>
      </w:pPr>
    </w:p>
    <w:p>
      <w:pPr>
        <w:ind w:left="6" w:right="80" w:firstLine="866"/>
        <w:spacing w:after="0" w:line="307" w:lineRule="auto"/>
        <w:rPr>
          <w:sz w:val="20"/>
          <w:szCs w:val="20"/>
          <w:color w:val="auto"/>
        </w:rPr>
      </w:pPr>
      <w:r>
        <w:rPr>
          <w:rFonts w:ascii="Arial" w:cs="Arial" w:eastAsia="Arial" w:hAnsi="Arial"/>
          <w:sz w:val="13"/>
          <w:szCs w:val="13"/>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3"/>
          <w:szCs w:val="13"/>
          <w:u w:val="single" w:color="auto"/>
          <w:color w:val="auto"/>
        </w:rPr>
        <w:t>Section 19.1.2</w:t>
      </w:r>
      <w:r>
        <w:rPr>
          <w:rFonts w:ascii="Arial" w:cs="Arial" w:eastAsia="Arial" w:hAnsi="Arial"/>
          <w:sz w:val="13"/>
          <w:szCs w:val="13"/>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w:t>
      </w:r>
    </w:p>
    <w:p>
      <w:pPr>
        <w:spacing w:after="0" w:line="1" w:lineRule="exact"/>
        <w:rPr>
          <w:sz w:val="20"/>
          <w:szCs w:val="20"/>
          <w:color w:val="auto"/>
        </w:rPr>
      </w:pPr>
    </w:p>
    <w:p>
      <w:pPr>
        <w:ind w:left="6" w:right="20" w:hanging="6"/>
        <w:spacing w:after="0" w:line="252" w:lineRule="auto"/>
        <w:tabs>
          <w:tab w:leader="none" w:pos="307" w:val="left"/>
        </w:tabs>
        <w:numPr>
          <w:ilvl w:val="0"/>
          <w:numId w:val="428"/>
        </w:numPr>
        <w:rPr>
          <w:rFonts w:ascii="Arial" w:cs="Arial" w:eastAsia="Arial" w:hAnsi="Arial"/>
          <w:sz w:val="16"/>
          <w:szCs w:val="16"/>
          <w:color w:val="auto"/>
        </w:rPr>
      </w:pPr>
      <w:r>
        <w:rPr>
          <w:rFonts w:ascii="Arial" w:cs="Arial" w:eastAsia="Arial" w:hAnsi="Arial"/>
          <w:sz w:val="16"/>
          <w:szCs w:val="16"/>
          <w:color w:val="auto"/>
        </w:rPr>
        <w:t>day period, Tenant shall not be deemed to be in default if it diligently commences such cure within such period and thereafter diligently proceeds to rectify and cure such default; or</w:t>
      </w:r>
    </w:p>
    <w:p>
      <w:pPr>
        <w:spacing w:after="0" w:line="168" w:lineRule="exact"/>
        <w:rPr>
          <w:sz w:val="20"/>
          <w:szCs w:val="20"/>
          <w:color w:val="auto"/>
        </w:rPr>
      </w:pPr>
    </w:p>
    <w:p>
      <w:pPr>
        <w:ind w:left="866"/>
        <w:spacing w:after="0"/>
        <w:rPr>
          <w:sz w:val="20"/>
          <w:szCs w:val="20"/>
          <w:color w:val="auto"/>
        </w:rPr>
      </w:pPr>
      <w:r>
        <w:rPr>
          <w:rFonts w:ascii="Arial" w:cs="Arial" w:eastAsia="Arial" w:hAnsi="Arial"/>
          <w:sz w:val="13"/>
          <w:szCs w:val="13"/>
          <w:color w:val="auto"/>
        </w:rPr>
        <w:t>19.1.3 Abandonment or vacation of all or a substantial portion of the Premises by Tenant while Tenant is in default under the Lease; or</w:t>
      </w:r>
    </w:p>
    <w:p>
      <w:pPr>
        <w:spacing w:after="0" w:line="228" w:lineRule="exact"/>
        <w:rPr>
          <w:sz w:val="20"/>
          <w:szCs w:val="20"/>
          <w:color w:val="auto"/>
        </w:rPr>
      </w:pPr>
    </w:p>
    <w:p>
      <w:pPr>
        <w:ind w:left="6" w:right="100" w:firstLine="866"/>
        <w:spacing w:after="0" w:line="266" w:lineRule="auto"/>
        <w:rPr>
          <w:sz w:val="20"/>
          <w:szCs w:val="20"/>
          <w:color w:val="auto"/>
        </w:rPr>
      </w:pPr>
      <w:r>
        <w:rPr>
          <w:rFonts w:ascii="Arial" w:cs="Arial" w:eastAsia="Arial" w:hAnsi="Arial"/>
          <w:sz w:val="16"/>
          <w:szCs w:val="16"/>
          <w:color w:val="auto"/>
        </w:rPr>
        <w:t xml:space="preserve">19.1.4 The failure by Tenant to observe or perform according to the provisions of </w:t>
      </w:r>
      <w:r>
        <w:rPr>
          <w:rFonts w:ascii="Arial" w:cs="Arial" w:eastAsia="Arial" w:hAnsi="Arial"/>
          <w:sz w:val="16"/>
          <w:szCs w:val="16"/>
          <w:u w:val="single" w:color="auto"/>
          <w:color w:val="auto"/>
        </w:rPr>
        <w:t>Articles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of this Lease where such failure continues for more than five (5) business days after notice from Landlord.</w:t>
      </w:r>
    </w:p>
    <w:p>
      <w:pPr>
        <w:spacing w:after="0" w:line="154" w:lineRule="exact"/>
        <w:rPr>
          <w:sz w:val="20"/>
          <w:szCs w:val="20"/>
          <w:color w:val="auto"/>
        </w:rPr>
      </w:pPr>
    </w:p>
    <w:p>
      <w:pPr>
        <w:ind w:left="6" w:right="160" w:firstLine="385"/>
        <w:spacing w:after="0" w:line="284" w:lineRule="auto"/>
        <w:rPr>
          <w:sz w:val="20"/>
          <w:szCs w:val="20"/>
          <w:color w:val="auto"/>
        </w:rPr>
      </w:pPr>
      <w:r>
        <w:rPr>
          <w:rFonts w:ascii="Arial" w:cs="Arial" w:eastAsia="Arial" w:hAnsi="Arial"/>
          <w:sz w:val="15"/>
          <w:szCs w:val="15"/>
          <w:color w:val="auto"/>
        </w:rPr>
        <w:t xml:space="preserve">19.2 </w:t>
      </w:r>
      <w:r>
        <w:rPr>
          <w:rFonts w:ascii="Arial" w:cs="Arial" w:eastAsia="Arial" w:hAnsi="Arial"/>
          <w:sz w:val="15"/>
          <w:szCs w:val="15"/>
          <w:b w:val="1"/>
          <w:bCs w:val="1"/>
          <w:u w:val="single" w:color="auto"/>
          <w:color w:val="auto"/>
        </w:rPr>
        <w:t>Remedies Upon Default</w:t>
      </w:r>
      <w:r>
        <w:rPr>
          <w:rFonts w:ascii="Arial" w:cs="Arial" w:eastAsia="Arial" w:hAnsi="Arial"/>
          <w:sz w:val="15"/>
          <w:szCs w:val="15"/>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46" w:lineRule="exact"/>
        <w:rPr>
          <w:sz w:val="20"/>
          <w:szCs w:val="20"/>
          <w:color w:val="auto"/>
        </w:rPr>
      </w:pPr>
    </w:p>
    <w:p>
      <w:pPr>
        <w:ind w:left="6" w:right="20" w:firstLine="866"/>
        <w:spacing w:after="0" w:line="275" w:lineRule="auto"/>
        <w:rPr>
          <w:sz w:val="20"/>
          <w:szCs w:val="20"/>
          <w:color w:val="auto"/>
        </w:rPr>
      </w:pPr>
      <w:r>
        <w:rPr>
          <w:rFonts w:ascii="Arial" w:cs="Arial" w:eastAsia="Arial" w:hAnsi="Arial"/>
          <w:sz w:val="15"/>
          <w:szCs w:val="15"/>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58" w:lineRule="exact"/>
        <w:rPr>
          <w:sz w:val="20"/>
          <w:szCs w:val="20"/>
          <w:color w:val="auto"/>
        </w:rPr>
      </w:pPr>
    </w:p>
    <w:p>
      <w:pPr>
        <w:ind w:left="1406" w:hanging="190"/>
        <w:spacing w:after="0"/>
        <w:tabs>
          <w:tab w:leader="none" w:pos="1406"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worth at the time of award of the unpaid rent which has been earned at the time of such termination; plus</w:t>
      </w:r>
    </w:p>
    <w:p>
      <w:pPr>
        <w:spacing w:after="0" w:line="98" w:lineRule="exact"/>
        <w:rPr>
          <w:rFonts w:ascii="Arial" w:cs="Arial" w:eastAsia="Arial" w:hAnsi="Arial"/>
          <w:sz w:val="16"/>
          <w:szCs w:val="16"/>
          <w:color w:val="auto"/>
        </w:rPr>
      </w:pPr>
    </w:p>
    <w:p>
      <w:pPr>
        <w:ind w:left="866" w:right="60" w:firstLine="350"/>
        <w:spacing w:after="0" w:line="300" w:lineRule="auto"/>
        <w:tabs>
          <w:tab w:leader="none" w:pos="1447" w:val="left"/>
        </w:tabs>
        <w:numPr>
          <w:ilvl w:val="0"/>
          <w:numId w:val="429"/>
        </w:numPr>
        <w:rPr>
          <w:rFonts w:ascii="Arial" w:cs="Arial" w:eastAsia="Arial" w:hAnsi="Arial"/>
          <w:sz w:val="15"/>
          <w:szCs w:val="15"/>
          <w:color w:val="auto"/>
        </w:rPr>
      </w:pPr>
      <w:r>
        <w:rPr>
          <w:rFonts w:ascii="Arial" w:cs="Arial" w:eastAsia="Arial" w:hAnsi="Arial"/>
          <w:sz w:val="15"/>
          <w:szCs w:val="15"/>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ectPr>
          <w:pgSz w:w="11900" w:h="16838" w:orient="portrait"/>
          <w:cols w:equalWidth="0" w:num="1">
            <w:col w:w="9606"/>
          </w:cols>
          <w:pgMar w:left="1134" w:top="256" w:right="1159" w:bottom="1440" w:gutter="0" w:footer="0" w:header="0"/>
        </w:sectPr>
      </w:pPr>
    </w:p>
    <w:bookmarkStart w:id="586" w:name="page587"/>
    <w:bookmarkEnd w:id="586"/>
    <w:p>
      <w:pPr>
        <w:ind w:left="866" w:right="40" w:firstLine="350"/>
        <w:spacing w:after="0" w:line="266" w:lineRule="auto"/>
        <w:tabs>
          <w:tab w:leader="none" w:pos="1491" w:val="left"/>
        </w:tabs>
        <w:numPr>
          <w:ilvl w:val="0"/>
          <w:numId w:val="4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worth at the time of award of the amount by which the unpaid rent for the balance of the Lease Term after the time of award exceeds the amount of such rental loss that Tenant proves could have been reasonably avoided; plus</w:t>
      </w:r>
    </w:p>
    <w:p>
      <w:pPr>
        <w:spacing w:after="0" w:line="63" w:lineRule="exact"/>
        <w:rPr>
          <w:rFonts w:ascii="Arial" w:cs="Arial" w:eastAsia="Arial" w:hAnsi="Arial"/>
          <w:sz w:val="16"/>
          <w:szCs w:val="16"/>
          <w:color w:val="auto"/>
        </w:rPr>
      </w:pPr>
    </w:p>
    <w:p>
      <w:pPr>
        <w:ind w:left="866" w:right="100" w:firstLine="350"/>
        <w:spacing w:after="0" w:line="272" w:lineRule="auto"/>
        <w:tabs>
          <w:tab w:leader="none" w:pos="1482" w:val="left"/>
        </w:tabs>
        <w:numPr>
          <w:ilvl w:val="0"/>
          <w:numId w:val="430"/>
        </w:numPr>
        <w:rPr>
          <w:rFonts w:ascii="Arial" w:cs="Arial" w:eastAsia="Arial" w:hAnsi="Arial"/>
          <w:sz w:val="15"/>
          <w:szCs w:val="15"/>
          <w:color w:val="auto"/>
        </w:rPr>
      </w:pPr>
      <w:r>
        <w:rPr>
          <w:rFonts w:ascii="Arial" w:cs="Arial" w:eastAsia="Arial" w:hAnsi="Arial"/>
          <w:sz w:val="15"/>
          <w:szCs w:val="15"/>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in each case to the extent allocable to the remaining Lease Term, brokerage commissions and advertising expenses incurred to obtain a new tenant, expenses of remodeling the Premises or any portion thereof for a new tenant, whether for the same or a different use, and any special concessions made to obtain a new tenant; and</w:t>
      </w:r>
    </w:p>
    <w:p>
      <w:pPr>
        <w:spacing w:after="0" w:line="60" w:lineRule="exact"/>
        <w:rPr>
          <w:rFonts w:ascii="Arial" w:cs="Arial" w:eastAsia="Arial" w:hAnsi="Arial"/>
          <w:sz w:val="15"/>
          <w:szCs w:val="15"/>
          <w:color w:val="auto"/>
        </w:rPr>
      </w:pPr>
    </w:p>
    <w:p>
      <w:pPr>
        <w:ind w:left="866" w:right="260" w:firstLine="350"/>
        <w:spacing w:after="0" w:line="266" w:lineRule="auto"/>
        <w:tabs>
          <w:tab w:leader="none" w:pos="1439"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 law.</w:t>
      </w:r>
    </w:p>
    <w:p>
      <w:pPr>
        <w:spacing w:after="0" w:line="154" w:lineRule="exact"/>
        <w:rPr>
          <w:sz w:val="20"/>
          <w:szCs w:val="20"/>
          <w:color w:val="auto"/>
        </w:rPr>
      </w:pPr>
    </w:p>
    <w:p>
      <w:pPr>
        <w:ind w:left="6" w:firstLine="385"/>
        <w:spacing w:after="0" w:line="273"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b w:val="1"/>
          <w:bCs w:val="1"/>
          <w:color w:val="auto"/>
        </w:rPr>
        <w:t>rent</w:t>
      </w:r>
      <w:r>
        <w:rPr>
          <w:rFonts w:ascii="Arial" w:cs="Arial" w:eastAsia="Arial" w:hAnsi="Arial"/>
          <w:sz w:val="15"/>
          <w:szCs w:val="15"/>
          <w:color w:val="auto"/>
        </w:rPr>
        <w:t xml:space="preserve">” as used in this </w:t>
      </w:r>
      <w:r>
        <w:rPr>
          <w:rFonts w:ascii="Arial" w:cs="Arial" w:eastAsia="Arial" w:hAnsi="Arial"/>
          <w:sz w:val="15"/>
          <w:szCs w:val="15"/>
          <w:u w:val="single" w:color="auto"/>
          <w:color w:val="auto"/>
        </w:rPr>
        <w:t>Section 19.2</w:t>
      </w:r>
      <w:r>
        <w:rPr>
          <w:rFonts w:ascii="Arial" w:cs="Arial" w:eastAsia="Arial" w:hAnsi="Arial"/>
          <w:sz w:val="15"/>
          <w:szCs w:val="15"/>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5"/>
          <w:szCs w:val="15"/>
          <w:u w:val="single" w:color="auto"/>
          <w:color w:val="auto"/>
        </w:rPr>
        <w:t>Sections 19.2.1(i)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above, the “worth at the time of award” shall be computed by allowing interest at the rate set forth in </w:t>
      </w:r>
      <w:r>
        <w:rPr>
          <w:rFonts w:ascii="Arial" w:cs="Arial" w:eastAsia="Arial" w:hAnsi="Arial"/>
          <w:sz w:val="15"/>
          <w:szCs w:val="15"/>
          <w:u w:val="single" w:color="auto"/>
          <w:color w:val="auto"/>
        </w:rPr>
        <w:t>Article 25</w:t>
      </w:r>
      <w:r>
        <w:rPr>
          <w:rFonts w:ascii="Arial" w:cs="Arial" w:eastAsia="Arial" w:hAnsi="Arial"/>
          <w:sz w:val="15"/>
          <w:szCs w:val="15"/>
          <w:color w:val="auto"/>
        </w:rPr>
        <w:t xml:space="preserve"> of this Lease, but in no case greater than the maximum amount of such interest permitted by law. As used in </w:t>
      </w:r>
      <w:r>
        <w:rPr>
          <w:rFonts w:ascii="Arial" w:cs="Arial" w:eastAsia="Arial" w:hAnsi="Arial"/>
          <w:sz w:val="15"/>
          <w:szCs w:val="15"/>
          <w:u w:val="single" w:color="auto"/>
          <w:color w:val="auto"/>
        </w:rPr>
        <w:t>Section 19.2.1(iii)</w:t>
      </w:r>
      <w:r>
        <w:rPr>
          <w:rFonts w:ascii="Arial" w:cs="Arial" w:eastAsia="Arial" w:hAnsi="Arial"/>
          <w:sz w:val="15"/>
          <w:szCs w:val="15"/>
          <w:color w:val="auto"/>
        </w:rPr>
        <w:t xml:space="preserve"> above, the “</w:t>
      </w:r>
      <w:r>
        <w:rPr>
          <w:rFonts w:ascii="Arial" w:cs="Arial" w:eastAsia="Arial" w:hAnsi="Arial"/>
          <w:sz w:val="15"/>
          <w:szCs w:val="15"/>
          <w:b w:val="1"/>
          <w:bCs w:val="1"/>
          <w:color w:val="auto"/>
        </w:rPr>
        <w:t>worth at the time of award</w:t>
      </w:r>
      <w:r>
        <w:rPr>
          <w:rFonts w:ascii="Arial" w:cs="Arial" w:eastAsia="Arial" w:hAnsi="Arial"/>
          <w:sz w:val="15"/>
          <w:szCs w:val="15"/>
          <w:color w:val="auto"/>
        </w:rPr>
        <w:t>” shall be computed by discounting such amount at the discount rate of the Federal Reserve Bank of San Francisco at the time of award plus one percent (1%).</w:t>
      </w:r>
    </w:p>
    <w:p>
      <w:pPr>
        <w:spacing w:after="0" w:line="155" w:lineRule="exact"/>
        <w:rPr>
          <w:sz w:val="20"/>
          <w:szCs w:val="20"/>
          <w:color w:val="auto"/>
        </w:rPr>
      </w:pPr>
    </w:p>
    <w:p>
      <w:pPr>
        <w:ind w:left="6" w:right="20" w:firstLine="866"/>
        <w:spacing w:after="0" w:line="275" w:lineRule="auto"/>
        <w:rPr>
          <w:sz w:val="20"/>
          <w:szCs w:val="20"/>
          <w:color w:val="auto"/>
        </w:rPr>
      </w:pPr>
      <w:r>
        <w:rPr>
          <w:rFonts w:ascii="Arial" w:cs="Arial" w:eastAsia="Arial" w:hAnsi="Arial"/>
          <w:sz w:val="15"/>
          <w:szCs w:val="15"/>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53" w:lineRule="exact"/>
        <w:rPr>
          <w:sz w:val="20"/>
          <w:szCs w:val="20"/>
          <w:color w:val="auto"/>
        </w:rPr>
      </w:pPr>
    </w:p>
    <w:p>
      <w:pPr>
        <w:ind w:left="6" w:right="20" w:firstLine="866"/>
        <w:spacing w:after="0" w:line="253" w:lineRule="auto"/>
        <w:rPr>
          <w:sz w:val="20"/>
          <w:szCs w:val="20"/>
          <w:color w:val="auto"/>
        </w:rPr>
      </w:pPr>
      <w:r>
        <w:rPr>
          <w:rFonts w:ascii="Arial" w:cs="Arial" w:eastAsia="Arial" w:hAnsi="Arial"/>
          <w:sz w:val="16"/>
          <w:szCs w:val="16"/>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6"/>
          <w:szCs w:val="16"/>
          <w:u w:val="single" w:color="auto"/>
          <w:color w:val="auto"/>
        </w:rPr>
        <w:t>Sections 19.2.1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19.2.2</w:t>
      </w:r>
      <w:r>
        <w:rPr>
          <w:rFonts w:ascii="Arial" w:cs="Arial" w:eastAsia="Arial" w:hAnsi="Arial"/>
          <w:sz w:val="16"/>
          <w:szCs w:val="16"/>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63" w:lineRule="exact"/>
        <w:rPr>
          <w:sz w:val="20"/>
          <w:szCs w:val="20"/>
          <w:color w:val="auto"/>
        </w:rPr>
      </w:pPr>
    </w:p>
    <w:p>
      <w:pPr>
        <w:ind w:left="6" w:right="40" w:firstLine="385"/>
        <w:spacing w:after="0" w:line="324" w:lineRule="auto"/>
        <w:rPr>
          <w:sz w:val="20"/>
          <w:szCs w:val="20"/>
          <w:color w:val="auto"/>
        </w:rPr>
      </w:pPr>
      <w:r>
        <w:rPr>
          <w:rFonts w:ascii="Arial" w:cs="Arial" w:eastAsia="Arial" w:hAnsi="Arial"/>
          <w:sz w:val="13"/>
          <w:szCs w:val="13"/>
          <w:color w:val="auto"/>
        </w:rPr>
        <w:t xml:space="preserve">19.3 </w:t>
      </w:r>
      <w:r>
        <w:rPr>
          <w:rFonts w:ascii="Arial" w:cs="Arial" w:eastAsia="Arial" w:hAnsi="Arial"/>
          <w:sz w:val="13"/>
          <w:szCs w:val="13"/>
          <w:b w:val="1"/>
          <w:bCs w:val="1"/>
          <w:u w:val="single" w:color="auto"/>
          <w:color w:val="auto"/>
        </w:rPr>
        <w:t>Subleases of Tenant</w:t>
      </w:r>
      <w:r>
        <w:rPr>
          <w:rFonts w:ascii="Arial" w:cs="Arial" w:eastAsia="Arial" w:hAnsi="Arial"/>
          <w:sz w:val="13"/>
          <w:szCs w:val="13"/>
          <w:color w:val="auto"/>
        </w:rPr>
        <w:t xml:space="preserve">. If Landlord elects to terminate this Lease on account of any default by Tenant, as set forth in this </w:t>
      </w:r>
      <w:r>
        <w:rPr>
          <w:rFonts w:ascii="Arial" w:cs="Arial" w:eastAsia="Arial" w:hAnsi="Arial"/>
          <w:sz w:val="13"/>
          <w:szCs w:val="13"/>
          <w:u w:val="single" w:color="auto"/>
          <w:color w:val="auto"/>
        </w:rPr>
        <w:t>Article 19</w:t>
      </w:r>
      <w:r>
        <w:rPr>
          <w:rFonts w:ascii="Arial" w:cs="Arial" w:eastAsia="Arial" w:hAnsi="Arial"/>
          <w:sz w:val="13"/>
          <w:szCs w:val="13"/>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23" w:lineRule="exact"/>
        <w:rPr>
          <w:sz w:val="20"/>
          <w:szCs w:val="20"/>
          <w:color w:val="auto"/>
        </w:rPr>
      </w:pPr>
    </w:p>
    <w:p>
      <w:pPr>
        <w:ind w:left="6" w:firstLine="385"/>
        <w:spacing w:after="0" w:line="254"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b w:val="1"/>
          <w:bCs w:val="1"/>
          <w:u w:val="single" w:color="auto"/>
          <w:color w:val="auto"/>
        </w:rPr>
        <w:t>Efforts to Relet</w:t>
      </w:r>
      <w:r>
        <w:rPr>
          <w:rFonts w:ascii="Arial" w:cs="Arial" w:eastAsia="Arial" w:hAnsi="Arial"/>
          <w:sz w:val="16"/>
          <w:szCs w:val="16"/>
          <w:color w:val="auto"/>
        </w:rPr>
        <w:t>. No re-entry, repairs, maintenance, changes, alterations and additions,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w:t>
      </w:r>
    </w:p>
    <w:p>
      <w:pPr>
        <w:spacing w:after="0" w:line="164" w:lineRule="exact"/>
        <w:rPr>
          <w:sz w:val="20"/>
          <w:szCs w:val="20"/>
          <w:color w:val="auto"/>
        </w:rPr>
      </w:pPr>
    </w:p>
    <w:p>
      <w:pPr>
        <w:ind w:left="6" w:right="20" w:hanging="6"/>
        <w:spacing w:after="0" w:line="273" w:lineRule="auto"/>
        <w:tabs>
          <w:tab w:leader="none" w:pos="242" w:val="left"/>
        </w:tabs>
        <w:numPr>
          <w:ilvl w:val="0"/>
          <w:numId w:val="4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COVENANT OF QUIET ENJOYMENT. </w:t>
      </w:r>
      <w:r>
        <w:rPr>
          <w:rFonts w:ascii="Arial" w:cs="Arial" w:eastAsia="Arial" w:hAnsi="Arial"/>
          <w:sz w:val="15"/>
          <w:szCs w:val="15"/>
          <w:color w:val="auto"/>
        </w:rPr>
        <w:t>Landlord covenants that Tenant, on paying the Rent, charges for services and other payments herein</w:t>
      </w:r>
      <w:r>
        <w:rPr>
          <w:rFonts w:ascii="Arial" w:cs="Arial" w:eastAsia="Arial" w:hAnsi="Arial"/>
          <w:sz w:val="15"/>
          <w:szCs w:val="15"/>
          <w:b w:val="1"/>
          <w:bCs w:val="1"/>
          <w:color w:val="auto"/>
        </w:rPr>
        <w:t xml:space="preserve"> </w:t>
      </w:r>
      <w:r>
        <w:rPr>
          <w:rFonts w:ascii="Arial" w:cs="Arial" w:eastAsia="Arial" w:hAnsi="Arial"/>
          <w:sz w:val="15"/>
          <w:szCs w:val="15"/>
          <w:color w:val="auto"/>
        </w:rPr>
        <w:t>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ectPr>
          <w:pgSz w:w="11900" w:h="16838" w:orient="portrait"/>
          <w:cols w:equalWidth="0" w:num="1">
            <w:col w:w="9606"/>
          </w:cols>
          <w:pgMar w:left="1134" w:top="256" w:right="1159" w:bottom="1440" w:gutter="0" w:footer="0" w:header="0"/>
        </w:sectPr>
      </w:pPr>
    </w:p>
    <w:bookmarkStart w:id="587" w:name="page588"/>
    <w:bookmarkEnd w:id="58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21. LETTER OF CREDIT.</w:t>
      </w:r>
    </w:p>
    <w:p>
      <w:pPr>
        <w:spacing w:after="0" w:line="193" w:lineRule="exact"/>
        <w:rPr>
          <w:sz w:val="20"/>
          <w:szCs w:val="20"/>
          <w:color w:val="auto"/>
        </w:rPr>
      </w:pPr>
    </w:p>
    <w:p>
      <w:pPr>
        <w:ind w:firstLine="385"/>
        <w:spacing w:after="0" w:line="305"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b w:val="1"/>
          <w:bCs w:val="1"/>
          <w:u w:val="single" w:color="auto"/>
          <w:color w:val="auto"/>
        </w:rPr>
        <w:t>Delivery of Letter of Credit</w:t>
      </w:r>
      <w:r>
        <w:rPr>
          <w:rFonts w:ascii="Arial" w:cs="Arial" w:eastAsia="Arial" w:hAnsi="Arial"/>
          <w:sz w:val="13"/>
          <w:szCs w:val="13"/>
          <w:color w:val="auto"/>
        </w:rPr>
        <w:t>. Tenant shall deliver to Landlord, within ten (10) business days following Tenant’s execution of this Lease, an unconditional, clean, irrevocable letter of credit (the “</w:t>
      </w:r>
      <w:r>
        <w:rPr>
          <w:rFonts w:ascii="Arial" w:cs="Arial" w:eastAsia="Arial" w:hAnsi="Arial"/>
          <w:sz w:val="13"/>
          <w:szCs w:val="13"/>
          <w:b w:val="1"/>
          <w:bCs w:val="1"/>
          <w:color w:val="auto"/>
        </w:rPr>
        <w:t>L-C</w:t>
      </w:r>
      <w:r>
        <w:rPr>
          <w:rFonts w:ascii="Arial" w:cs="Arial" w:eastAsia="Arial" w:hAnsi="Arial"/>
          <w:sz w:val="13"/>
          <w:szCs w:val="13"/>
          <w:color w:val="auto"/>
        </w:rPr>
        <w:t xml:space="preserve">”) in the amount set forth in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of the Lease Summary (the “</w:t>
      </w:r>
      <w:r>
        <w:rPr>
          <w:rFonts w:ascii="Arial" w:cs="Arial" w:eastAsia="Arial" w:hAnsi="Arial"/>
          <w:sz w:val="13"/>
          <w:szCs w:val="13"/>
          <w:b w:val="1"/>
          <w:bCs w:val="1"/>
          <w:color w:val="auto"/>
        </w:rPr>
        <w:t>L-C Amount</w:t>
      </w:r>
      <w:r>
        <w:rPr>
          <w:rFonts w:ascii="Arial" w:cs="Arial" w:eastAsia="Arial" w:hAnsi="Arial"/>
          <w:sz w:val="13"/>
          <w:szCs w:val="13"/>
          <w:color w:val="auto"/>
        </w:rPr>
        <w:t>”), which L-C 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Arial" w:cs="Arial" w:eastAsia="Arial" w:hAnsi="Arial"/>
          <w:sz w:val="13"/>
          <w:szCs w:val="13"/>
          <w:b w:val="1"/>
          <w:bCs w:val="1"/>
          <w:color w:val="auto"/>
        </w:rPr>
        <w:t>Bank</w:t>
      </w:r>
      <w:r>
        <w:rPr>
          <w:rFonts w:ascii="Arial" w:cs="Arial" w:eastAsia="Arial" w:hAnsi="Arial"/>
          <w:sz w:val="13"/>
          <w:szCs w:val="13"/>
          <w:color w:val="auto"/>
        </w:rPr>
        <w:t>”), which Bank must have a rating from Standard and Poors Corporation of A- or better (or any equivalent rating thereto from any successor or substitute rating service selected by Lessor) and a letter of credit issuer rating from Moody’s Investor Service of A3 or better (or any equivalent rating thereto from any successor rating agency thereto)) (collectively, the “</w:t>
      </w:r>
      <w:r>
        <w:rPr>
          <w:rFonts w:ascii="Arial" w:cs="Arial" w:eastAsia="Arial" w:hAnsi="Arial"/>
          <w:sz w:val="13"/>
          <w:szCs w:val="13"/>
          <w:b w:val="1"/>
          <w:bCs w:val="1"/>
          <w:color w:val="auto"/>
        </w:rPr>
        <w:t>Bank’s Credit Rating</w:t>
      </w:r>
      <w:r>
        <w:rPr>
          <w:rFonts w:ascii="Arial" w:cs="Arial" w:eastAsia="Arial" w:hAnsi="Arial"/>
          <w:sz w:val="13"/>
          <w:szCs w:val="13"/>
          <w:color w:val="auto"/>
        </w:rPr>
        <w:t xml:space="preserve"> </w:t>
      </w:r>
      <w:r>
        <w:rPr>
          <w:rFonts w:ascii="Arial" w:cs="Arial" w:eastAsia="Arial" w:hAnsi="Arial"/>
          <w:sz w:val="13"/>
          <w:szCs w:val="13"/>
          <w:b w:val="1"/>
          <w:bCs w:val="1"/>
          <w:color w:val="auto"/>
        </w:rPr>
        <w:t>Threshold</w:t>
      </w:r>
      <w:r>
        <w:rPr>
          <w:rFonts w:ascii="Arial" w:cs="Arial" w:eastAsia="Arial" w:hAnsi="Arial"/>
          <w:sz w:val="13"/>
          <w:szCs w:val="13"/>
          <w:color w:val="auto"/>
        </w:rPr>
        <w:t>”), and which L-C shall be in the form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Exhibit H</w:t>
      </w:r>
      <w:r>
        <w:rPr>
          <w:rFonts w:ascii="Arial" w:cs="Arial" w:eastAsia="Arial" w:hAnsi="Arial"/>
          <w:sz w:val="13"/>
          <w:szCs w:val="13"/>
          <w:color w:val="auto"/>
        </w:rPr>
        <w:t>, attached hereto, or another form reasonably acceptable to Landlord. Notwithstanding the</w:t>
      </w:r>
      <w:r>
        <w:rPr>
          <w:rFonts w:ascii="Arial" w:cs="Arial" w:eastAsia="Arial" w:hAnsi="Arial"/>
          <w:sz w:val="13"/>
          <w:szCs w:val="13"/>
          <w:b w:val="1"/>
          <w:bCs w:val="1"/>
          <w:color w:val="auto"/>
        </w:rPr>
        <w:t xml:space="preserve"> </w:t>
      </w:r>
      <w:r>
        <w:rPr>
          <w:rFonts w:ascii="Arial" w:cs="Arial" w:eastAsia="Arial" w:hAnsi="Arial"/>
          <w:sz w:val="13"/>
          <w:szCs w:val="13"/>
          <w:color w:val="auto"/>
        </w:rPr>
        <w:t>foregoing, Landlord hereby approves First Republic Bank as the Bank. Tenant shall pay all expenses, points and/or fees incurred by Tenant in obtaining the L-C. The L-C shall (i) be “callable” at sight, irrevocable and unconditional, (ii) be maintained in effect, whether through renewal or extension, for the period commencing on the date of this Lease and continuing until the date (the “</w:t>
      </w:r>
      <w:r>
        <w:rPr>
          <w:rFonts w:ascii="Arial" w:cs="Arial" w:eastAsia="Arial" w:hAnsi="Arial"/>
          <w:sz w:val="13"/>
          <w:szCs w:val="13"/>
          <w:b w:val="1"/>
          <w:bCs w:val="1"/>
          <w:color w:val="auto"/>
        </w:rPr>
        <w:t>L-C Expiration Date</w:t>
      </w:r>
      <w:r>
        <w:rPr>
          <w:rFonts w:ascii="Arial" w:cs="Arial" w:eastAsia="Arial" w:hAnsi="Arial"/>
          <w:sz w:val="13"/>
          <w:szCs w:val="13"/>
          <w:color w:val="auto"/>
        </w:rPr>
        <w:t>”) that is no less than sixty (60) days after the expiration of the Lease Term as the same may be extended, and Tenant shall deliver a new L-C or certificate of renewal or extension to Landlord at least thirty (30) days prior to the expiration of the L-C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and has not been paid within applicable notice and cure periods (or, if Landlord is prevented by law from providing notice, within the period for payment set forth in the Lease), or (B) Tenant has filed a voluntary petition under the U. S. Bankruptcy Code or any state bankruptcy code (collectively, “</w:t>
      </w:r>
      <w:r>
        <w:rPr>
          <w:rFonts w:ascii="Arial" w:cs="Arial" w:eastAsia="Arial" w:hAnsi="Arial"/>
          <w:sz w:val="13"/>
          <w:szCs w:val="13"/>
          <w:b w:val="1"/>
          <w:bCs w:val="1"/>
          <w:color w:val="auto"/>
        </w:rPr>
        <w:t>Bankruptcy Code</w:t>
      </w:r>
      <w:r>
        <w:rPr>
          <w:rFonts w:ascii="Arial" w:cs="Arial" w:eastAsia="Arial" w:hAnsi="Arial"/>
          <w:sz w:val="13"/>
          <w:szCs w:val="13"/>
          <w:color w:val="auto"/>
        </w:rPr>
        <w:t xml:space="preserve">”), or (C) an involuntary petition has been filed against Tenant under the Bankruptcy Code that is not dismissed within thirty (30) days,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L-C will not be renewed or extended through the L-C Expiration Date, and Tenant has not provided a replacement L-C that satisfies the requirements of this Lease at least thirty (30) days prior to such expiration, or (F) Tenant is placed into receivership or conservatorship, or becomes subject to similar proceedings under Federal or State law, or (G) Tenant executes an assignment for the benefit of creditors, or (H) if (1) any of the Bank’s (other than First Republic Bank)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(including, but not limited to, the requirements placed on the issuing Bank more particularly set forth in this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above), in the amount of the applicable L-C Amount, within ten (10)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3"/>
          <w:szCs w:val="13"/>
          <w:b w:val="1"/>
          <w:bCs w:val="1"/>
          <w:color w:val="auto"/>
        </w:rPr>
        <w:t>L-C Draw Event</w:t>
      </w:r>
      <w:r>
        <w:rPr>
          <w:rFonts w:ascii="Arial" w:cs="Arial" w:eastAsia="Arial" w:hAnsi="Arial"/>
          <w:sz w:val="13"/>
          <w:szCs w:val="13"/>
          <w:color w:val="auto"/>
        </w:rPr>
        <w:t xml:space="preserve">”). The L-C shall be honored by the Bank regardless of whether Tenant disputes Landlord’s right to draw upon the L-C. 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and, within ten (10) days following Landlord’s notice to Tenant of such receivership or conservatorship (the “</w:t>
      </w:r>
      <w:r>
        <w:rPr>
          <w:rFonts w:ascii="Arial" w:cs="Arial" w:eastAsia="Arial" w:hAnsi="Arial"/>
          <w:sz w:val="13"/>
          <w:szCs w:val="13"/>
          <w:b w:val="1"/>
          <w:bCs w:val="1"/>
          <w:color w:val="auto"/>
        </w:rPr>
        <w:t>L-C FDIC Replacement Notice</w:t>
      </w:r>
      <w:r>
        <w:rPr>
          <w:rFonts w:ascii="Arial" w:cs="Arial" w:eastAsia="Arial" w:hAnsi="Arial"/>
          <w:sz w:val="13"/>
          <w:szCs w:val="13"/>
          <w:color w:val="auto"/>
        </w:rPr>
        <w:t xml:space="preserv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If Tenant fails to replace such L-C with such conforming, substitute letter of credit pursuant to the terms and conditions of this </w:t>
      </w:r>
      <w:r>
        <w:rPr>
          <w:rFonts w:ascii="Arial" w:cs="Arial" w:eastAsia="Arial" w:hAnsi="Arial"/>
          <w:sz w:val="13"/>
          <w:szCs w:val="13"/>
          <w:u w:val="single" w:color="auto"/>
          <w:color w:val="auto"/>
        </w:rPr>
        <w:t>Section 21.1</w:t>
      </w:r>
      <w:r>
        <w:rPr>
          <w:rFonts w:ascii="Arial" w:cs="Arial" w:eastAsia="Arial" w:hAnsi="Arial"/>
          <w:sz w:val="13"/>
          <w:szCs w:val="13"/>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Tenant’s and Bank’s costs incurred with the review of any replacement L-C, which replacement is required pursuant to this Section or is otherwise requested by Tenant. In the event of an assignment by Tenant of its interest in the Lease (and</w:t>
      </w:r>
    </w:p>
    <w:p>
      <w:pPr>
        <w:sectPr>
          <w:pgSz w:w="11900" w:h="16838" w:orient="portrait"/>
          <w:cols w:equalWidth="0" w:num="1">
            <w:col w:w="9600"/>
          </w:cols>
          <w:pgMar w:left="1140" w:top="252" w:right="1159" w:bottom="1440" w:gutter="0" w:footer="0" w:header="0"/>
        </w:sectPr>
      </w:pPr>
    </w:p>
    <w:bookmarkStart w:id="588" w:name="page589"/>
    <w:bookmarkEnd w:id="588"/>
    <w:p>
      <w:pPr>
        <w:jc w:val="both"/>
        <w:ind w:left="6"/>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irrespective of whether Landlord’s consent is required for such assignment), the acceptance of any replacement or substitute letter of credit by Landlord from the assignee shall be subject to Landlord’s prior written approval, in Landlord’s reasonable discretion, and the actual and reasonable attorney’s fees incurred by Landlord in connection with such determination shall be payable by Tenant to Landlord within ten (10) days of billing.</w:t>
      </w:r>
    </w:p>
    <w:p>
      <w:pPr>
        <w:spacing w:after="0" w:line="110" w:lineRule="exact"/>
        <w:rPr>
          <w:sz w:val="20"/>
          <w:szCs w:val="20"/>
          <w:color w:val="auto"/>
        </w:rPr>
      </w:pPr>
    </w:p>
    <w:p>
      <w:pPr>
        <w:ind w:left="6" w:firstLine="385"/>
        <w:spacing w:after="0" w:line="309"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b w:val="1"/>
          <w:bCs w:val="1"/>
          <w:u w:val="single" w:color="auto"/>
          <w:color w:val="auto"/>
        </w:rPr>
        <w:t>Application of L</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C</w:t>
      </w:r>
      <w:r>
        <w:rPr>
          <w:rFonts w:ascii="Arial" w:cs="Arial" w:eastAsia="Arial" w:hAnsi="Arial"/>
          <w:sz w:val="13"/>
          <w:szCs w:val="13"/>
          <w:color w:val="auto"/>
        </w:rPr>
        <w:t xml:space="preserve">.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(except in connection with an L-C Draw Event under </w:t>
      </w:r>
      <w:r>
        <w:rPr>
          <w:rFonts w:ascii="Arial" w:cs="Arial" w:eastAsia="Arial" w:hAnsi="Arial"/>
          <w:sz w:val="13"/>
          <w:szCs w:val="13"/>
          <w:u w:val="single" w:color="auto"/>
          <w:color w:val="auto"/>
        </w:rPr>
        <w:t>Section 21.1(H)</w:t>
      </w:r>
      <w:r>
        <w:rPr>
          <w:rFonts w:ascii="Arial" w:cs="Arial" w:eastAsia="Arial" w:hAnsi="Arial"/>
          <w:sz w:val="13"/>
          <w:szCs w:val="13"/>
          <w:color w:val="auto"/>
        </w:rPr>
        <w:t xml:space="preserve"> above), draw upon the L-C, in part or in whole, in the amount necessary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w:t>
      </w:r>
    </w:p>
    <w:p>
      <w:pPr>
        <w:spacing w:after="0" w:line="324" w:lineRule="exact"/>
        <w:rPr>
          <w:sz w:val="20"/>
          <w:szCs w:val="20"/>
          <w:color w:val="auto"/>
        </w:rPr>
      </w:pPr>
    </w:p>
    <w:p>
      <w:pPr>
        <w:ind w:left="6" w:right="60" w:firstLine="385"/>
        <w:spacing w:after="0" w:line="308"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b w:val="1"/>
          <w:bCs w:val="1"/>
          <w:u w:val="single" w:color="auto"/>
          <w:color w:val="auto"/>
        </w:rPr>
        <w:t>Maintenance of L-C by Tenant</w:t>
      </w:r>
      <w:r>
        <w:rPr>
          <w:rFonts w:ascii="Arial" w:cs="Arial" w:eastAsia="Arial" w:hAnsi="Arial"/>
          <w:sz w:val="13"/>
          <w:szCs w:val="13"/>
          <w:color w:val="auto"/>
        </w:rPr>
        <w:t xml:space="preserve">. If, as a result of any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If Tenant exercises its option to extend the Lease Term pursuant to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of this Lease then, not later than thirty (30) days prior to the commencement of the Option Term, Tenant shall deliver to Landlord a new L C or certificate of renewal or extension evidencing the L-C Expiration Date as thirty (30) days after the expiration of the Option Term. However, if the L-C is not timely renewed, or if Tenant fails to maintain the L-C in the amount and in accordance with the terms set forth in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Landlord shall have the right to present the L-C to the Bank in accordance with the terms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In the event Landlord elects to exercise its rights as provided above,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w:t>
      </w:r>
    </w:p>
    <w:p>
      <w:pPr>
        <w:spacing w:after="0" w:line="153" w:lineRule="exact"/>
        <w:rPr>
          <w:sz w:val="20"/>
          <w:szCs w:val="20"/>
          <w:color w:val="auto"/>
        </w:rPr>
      </w:pPr>
    </w:p>
    <w:p>
      <w:pPr>
        <w:ind w:left="6" w:hanging="6"/>
        <w:spacing w:after="0" w:line="311" w:lineRule="auto"/>
        <w:tabs>
          <w:tab w:leader="none" w:pos="255" w:val="left"/>
        </w:tabs>
        <w:numPr>
          <w:ilvl w:val="0"/>
          <w:numId w:val="432"/>
        </w:numPr>
        <w:rPr>
          <w:rFonts w:ascii="Arial" w:cs="Arial" w:eastAsia="Arial" w:hAnsi="Arial"/>
          <w:sz w:val="13"/>
          <w:szCs w:val="13"/>
          <w:color w:val="auto"/>
        </w:rPr>
      </w:pPr>
      <w:r>
        <w:rPr>
          <w:rFonts w:ascii="Arial" w:cs="Arial" w:eastAsia="Arial" w:hAnsi="Arial"/>
          <w:sz w:val="13"/>
          <w:szCs w:val="13"/>
          <w:color w:val="auto"/>
        </w:rPr>
        <w:t>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 If Landlord draws on the L-C due to Tenant’s failure to timely renew or provide a replacement L-C, such failure shall not be considered a default under this Lease and Landlord shall return such cash proceeds upon Tenant’s presentation of a replacement L-C that satisfies the requirements of this Lease, subject to reasonable satisfaction of any preference risk to Landlord.</w:t>
      </w:r>
    </w:p>
    <w:p>
      <w:pPr>
        <w:sectPr>
          <w:pgSz w:w="11900" w:h="16838" w:orient="portrait"/>
          <w:cols w:equalWidth="0" w:num="1">
            <w:col w:w="9586"/>
          </w:cols>
          <w:pgMar w:left="1134" w:top="256" w:right="1179" w:bottom="1440" w:gutter="0" w:footer="0" w:header="0"/>
        </w:sectPr>
      </w:pPr>
    </w:p>
    <w:bookmarkStart w:id="589" w:name="page590"/>
    <w:bookmarkEnd w:id="589"/>
    <w:p>
      <w:pPr>
        <w:ind w:left="6" w:right="40" w:firstLine="385"/>
        <w:spacing w:after="0" w:line="31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21.4 </w:t>
      </w:r>
      <w:r>
        <w:rPr>
          <w:rFonts w:ascii="Arial" w:cs="Arial" w:eastAsia="Arial" w:hAnsi="Arial"/>
          <w:sz w:val="13"/>
          <w:szCs w:val="13"/>
          <w:b w:val="1"/>
          <w:bCs w:val="1"/>
          <w:u w:val="single" w:color="auto"/>
          <w:color w:val="auto"/>
        </w:rPr>
        <w:t>Transfer and Encumbrance</w:t>
      </w:r>
      <w:r>
        <w:rPr>
          <w:rFonts w:ascii="Arial" w:cs="Arial" w:eastAsia="Arial" w:hAnsi="Arial"/>
          <w:sz w:val="13"/>
          <w:szCs w:val="13"/>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ten (10) days after Tenant’s receipt of an invoice from Landlord therefor.</w:t>
      </w:r>
    </w:p>
    <w:p>
      <w:pPr>
        <w:spacing w:after="0" w:line="320" w:lineRule="exact"/>
        <w:rPr>
          <w:sz w:val="20"/>
          <w:szCs w:val="20"/>
          <w:color w:val="auto"/>
        </w:rPr>
      </w:pPr>
    </w:p>
    <w:p>
      <w:pPr>
        <w:jc w:val="both"/>
        <w:ind w:left="6" w:right="100" w:firstLine="385"/>
        <w:spacing w:after="0" w:line="307"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b w:val="1"/>
          <w:bCs w:val="1"/>
          <w:u w:val="single" w:color="auto"/>
          <w:color w:val="auto"/>
        </w:rPr>
        <w:t>L-C Not a Security Deposit</w:t>
      </w:r>
      <w:r>
        <w:rPr>
          <w:rFonts w:ascii="Arial" w:cs="Arial" w:eastAsia="Arial" w:hAnsi="Arial"/>
          <w:sz w:val="13"/>
          <w:szCs w:val="13"/>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3"/>
          <w:szCs w:val="13"/>
          <w:b w:val="1"/>
          <w:bCs w:val="1"/>
          <w:u w:val="single" w:color="auto"/>
          <w:color w:val="auto"/>
        </w:rPr>
        <w:t>Security Deposit Laws</w:t>
      </w:r>
      <w:r>
        <w:rPr>
          <w:rFonts w:ascii="Arial" w:cs="Arial" w:eastAsia="Arial" w:hAnsi="Arial"/>
          <w:sz w:val="13"/>
          <w:szCs w:val="13"/>
          <w:u w:val="single" w:color="auto"/>
          <w:color w:val="auto"/>
        </w:rPr>
        <w:t>”</w:t>
      </w:r>
      <w:r>
        <w:rPr>
          <w:rFonts w:ascii="Arial" w:cs="Arial" w:eastAsia="Arial" w:hAnsi="Arial"/>
          <w:sz w:val="13"/>
          <w:szCs w:val="13"/>
          <w:color w:val="auto"/>
        </w:rPr>
        <w:t>), (2) acknowledge and agree that the L-C (including any renewal thereof or substitute therefor or any proceeds thereof) is not intended to serve as a security deposit, and the Security Deposit Laws shall have no applicability or relevancy thereto, and</w:t>
      </w:r>
    </w:p>
    <w:p>
      <w:pPr>
        <w:spacing w:after="0" w:line="2" w:lineRule="exact"/>
        <w:rPr>
          <w:sz w:val="20"/>
          <w:szCs w:val="20"/>
          <w:color w:val="auto"/>
        </w:rPr>
      </w:pPr>
    </w:p>
    <w:p>
      <w:pPr>
        <w:ind w:left="6" w:right="40" w:hanging="6"/>
        <w:spacing w:after="0" w:line="264" w:lineRule="auto"/>
        <w:tabs>
          <w:tab w:leader="none" w:pos="229" w:val="left"/>
        </w:tabs>
        <w:numPr>
          <w:ilvl w:val="0"/>
          <w:numId w:val="433"/>
        </w:numPr>
        <w:rPr>
          <w:rFonts w:ascii="Arial" w:cs="Arial" w:eastAsia="Arial" w:hAnsi="Arial"/>
          <w:sz w:val="15"/>
          <w:szCs w:val="15"/>
          <w:color w:val="auto"/>
        </w:rPr>
      </w:pPr>
      <w:r>
        <w:rPr>
          <w:rFonts w:ascii="Arial" w:cs="Arial" w:eastAsia="Arial" w:hAnsi="Arial"/>
          <w:sz w:val="15"/>
          <w:szCs w:val="15"/>
          <w:color w:val="auto"/>
        </w:rPr>
        <w:t xml:space="preserve">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159" w:lineRule="exact"/>
        <w:rPr>
          <w:sz w:val="20"/>
          <w:szCs w:val="20"/>
          <w:color w:val="auto"/>
        </w:rPr>
      </w:pPr>
    </w:p>
    <w:p>
      <w:pPr>
        <w:ind w:left="6" w:firstLine="385"/>
        <w:spacing w:after="0" w:line="268" w:lineRule="auto"/>
        <w:rPr>
          <w:sz w:val="20"/>
          <w:szCs w:val="20"/>
          <w:color w:val="auto"/>
        </w:rPr>
      </w:pPr>
      <w:r>
        <w:rPr>
          <w:rFonts w:ascii="Arial" w:cs="Arial" w:eastAsia="Arial" w:hAnsi="Arial"/>
          <w:sz w:val="15"/>
          <w:szCs w:val="15"/>
          <w:color w:val="auto"/>
        </w:rPr>
        <w:t xml:space="preserve">21.6 </w:t>
      </w:r>
      <w:r>
        <w:rPr>
          <w:rFonts w:ascii="Arial" w:cs="Arial" w:eastAsia="Arial" w:hAnsi="Arial"/>
          <w:sz w:val="15"/>
          <w:szCs w:val="15"/>
          <w:b w:val="1"/>
          <w:bCs w:val="1"/>
          <w:u w:val="single" w:color="auto"/>
          <w:color w:val="auto"/>
        </w:rPr>
        <w:t>Remedy for Improper Drafts</w:t>
      </w:r>
      <w:r>
        <w:rPr>
          <w:rFonts w:ascii="Arial" w:cs="Arial" w:eastAsia="Arial" w:hAnsi="Arial"/>
          <w:sz w:val="15"/>
          <w:szCs w:val="15"/>
          <w:color w:val="auto"/>
        </w:rPr>
        <w:t>. Tenant’s sole remedy in connection with the improper presentment or payment of sight drafts drawn under any L-C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157" w:lineRule="exact"/>
        <w:rPr>
          <w:sz w:val="20"/>
          <w:szCs w:val="20"/>
          <w:color w:val="auto"/>
        </w:rPr>
      </w:pPr>
    </w:p>
    <w:p>
      <w:pPr>
        <w:jc w:val="both"/>
        <w:ind w:left="6" w:right="200" w:hanging="6"/>
        <w:spacing w:after="0" w:line="259" w:lineRule="auto"/>
        <w:tabs>
          <w:tab w:leader="none" w:pos="242" w:val="left"/>
        </w:tabs>
        <w:numPr>
          <w:ilvl w:val="0"/>
          <w:numId w:val="4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COMMUNICATIONS AND COMPUTER LINE. </w:t>
      </w:r>
      <w:r>
        <w:rPr>
          <w:rFonts w:ascii="Arial" w:cs="Arial" w:eastAsia="Arial" w:hAnsi="Arial"/>
          <w:sz w:val="16"/>
          <w:szCs w:val="16"/>
          <w:color w:val="auto"/>
        </w:rPr>
        <w:t>Tenant may install, maintain, replace, remove or use any communications or computer wires</w:t>
      </w:r>
      <w:r>
        <w:rPr>
          <w:rFonts w:ascii="Arial" w:cs="Arial" w:eastAsia="Arial" w:hAnsi="Arial"/>
          <w:sz w:val="16"/>
          <w:szCs w:val="16"/>
          <w:b w:val="1"/>
          <w:bCs w:val="1"/>
          <w:color w:val="auto"/>
        </w:rPr>
        <w:t xml:space="preserve"> </w:t>
      </w:r>
      <w:r>
        <w:rPr>
          <w:rFonts w:ascii="Arial" w:cs="Arial" w:eastAsia="Arial" w:hAnsi="Arial"/>
          <w:sz w:val="16"/>
          <w:szCs w:val="16"/>
          <w:color w:val="auto"/>
        </w:rPr>
        <w:t>and cables serving the Premises (collectively, the “</w:t>
      </w:r>
      <w:r>
        <w:rPr>
          <w:rFonts w:ascii="Arial" w:cs="Arial" w:eastAsia="Arial" w:hAnsi="Arial"/>
          <w:sz w:val="16"/>
          <w:szCs w:val="16"/>
          <w:b w:val="1"/>
          <w:bCs w:val="1"/>
          <w:color w:val="auto"/>
        </w:rPr>
        <w:t>Lines</w:t>
      </w:r>
      <w:r>
        <w:rPr>
          <w:rFonts w:ascii="Arial" w:cs="Arial" w:eastAsia="Arial" w:hAnsi="Arial"/>
          <w:sz w:val="16"/>
          <w:szCs w:val="16"/>
          <w:color w:val="auto"/>
        </w:rPr>
        <w:t>”), provided that Tenant shall obtain Landlord’s prior written consent, use an experienced and qualified contractor approved in writing</w:t>
      </w:r>
    </w:p>
    <w:p>
      <w:pPr>
        <w:sectPr>
          <w:pgSz w:w="11900" w:h="16838" w:orient="portrait"/>
          <w:cols w:equalWidth="0" w:num="1">
            <w:col w:w="9626"/>
          </w:cols>
          <w:pgMar w:left="1134" w:top="252" w:right="1139" w:bottom="1440" w:gutter="0" w:footer="0" w:header="0"/>
        </w:sectPr>
      </w:pPr>
    </w:p>
    <w:bookmarkStart w:id="590" w:name="page591"/>
    <w:bookmarkEnd w:id="590"/>
    <w:p>
      <w:pPr>
        <w:ind w:left="6" w:right="16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by Landlord, and comply with all of the other provisions of Articles 7 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23. SIGNS.</w:t>
      </w:r>
    </w:p>
    <w:p>
      <w:pPr>
        <w:spacing w:after="0" w:line="193" w:lineRule="exact"/>
        <w:rPr>
          <w:sz w:val="20"/>
          <w:szCs w:val="20"/>
          <w:color w:val="auto"/>
        </w:rPr>
      </w:pPr>
    </w:p>
    <w:p>
      <w:pPr>
        <w:ind w:left="6" w:right="420" w:firstLine="385"/>
        <w:spacing w:after="0" w:line="315" w:lineRule="auto"/>
        <w:rPr>
          <w:sz w:val="20"/>
          <w:szCs w:val="20"/>
          <w:color w:val="auto"/>
        </w:rPr>
      </w:pPr>
      <w:r>
        <w:rPr>
          <w:rFonts w:ascii="Arial" w:cs="Arial" w:eastAsia="Arial" w:hAnsi="Arial"/>
          <w:sz w:val="13"/>
          <w:szCs w:val="13"/>
          <w:color w:val="auto"/>
        </w:rPr>
        <w:t xml:space="preserve">23.1 </w:t>
      </w:r>
      <w:r>
        <w:rPr>
          <w:rFonts w:ascii="Arial" w:cs="Arial" w:eastAsia="Arial" w:hAnsi="Arial"/>
          <w:sz w:val="13"/>
          <w:szCs w:val="13"/>
          <w:b w:val="1"/>
          <w:bCs w:val="1"/>
          <w:u w:val="single" w:color="auto"/>
          <w:color w:val="auto"/>
        </w:rPr>
        <w:t>Exterior Signage</w:t>
      </w:r>
      <w:r>
        <w:rPr>
          <w:rFonts w:ascii="Arial" w:cs="Arial" w:eastAsia="Arial" w:hAnsi="Arial"/>
          <w:sz w:val="13"/>
          <w:szCs w:val="13"/>
          <w:color w:val="auto"/>
        </w:rPr>
        <w:t>. Subject to Landlord’s prior written approval, which shall not be unreasonably withheld, conditioned or delayed, and provided all signs are in keeping with the quality, design and style of the Building and Project, Tenant, at its sole cost and expense, may install</w:t>
      </w:r>
    </w:p>
    <w:p>
      <w:pPr>
        <w:ind w:left="6" w:right="20" w:hanging="6"/>
        <w:spacing w:after="0" w:line="264" w:lineRule="auto"/>
        <w:tabs>
          <w:tab w:leader="none" w:pos="194" w:val="left"/>
        </w:tabs>
        <w:numPr>
          <w:ilvl w:val="0"/>
          <w:numId w:val="435"/>
        </w:numPr>
        <w:rPr>
          <w:rFonts w:ascii="Arial" w:cs="Arial" w:eastAsia="Arial" w:hAnsi="Arial"/>
          <w:sz w:val="15"/>
          <w:szCs w:val="15"/>
          <w:color w:val="auto"/>
        </w:rPr>
      </w:pPr>
      <w:r>
        <w:rPr>
          <w:rFonts w:ascii="Arial" w:cs="Arial" w:eastAsia="Arial" w:hAnsi="Arial"/>
          <w:sz w:val="15"/>
          <w:szCs w:val="15"/>
          <w:color w:val="auto"/>
        </w:rPr>
        <w:t>identification signage on the monument sign outside the front entrance to the Building (which monument sign shall be installed by Landlord at its sole cost prior to the Lease Commencement Date), (ii) internal directional and lobby identification signage, and (iii) signage in the elevator lobby on the floor containing the Premises (collectively, “</w:t>
      </w:r>
      <w:r>
        <w:rPr>
          <w:rFonts w:ascii="Arial" w:cs="Arial" w:eastAsia="Arial" w:hAnsi="Arial"/>
          <w:sz w:val="15"/>
          <w:szCs w:val="15"/>
          <w:b w:val="1"/>
          <w:bCs w:val="1"/>
          <w:color w:val="auto"/>
        </w:rPr>
        <w:t>Tenant Signage</w:t>
      </w:r>
      <w:r>
        <w:rPr>
          <w:rFonts w:ascii="Arial" w:cs="Arial" w:eastAsia="Arial" w:hAnsi="Arial"/>
          <w:sz w:val="15"/>
          <w:szCs w:val="15"/>
          <w:color w:val="auto"/>
        </w:rPr>
        <w:t xml:space="preserve">”); provided, however, in no event shall Tenant’s Signage include an “Objectionable Name,” as that term is defined in </w:t>
      </w:r>
      <w:r>
        <w:rPr>
          <w:rFonts w:ascii="Arial" w:cs="Arial" w:eastAsia="Arial" w:hAnsi="Arial"/>
          <w:sz w:val="15"/>
          <w:szCs w:val="15"/>
          <w:u w:val="single" w:color="auto"/>
          <w:color w:val="auto"/>
        </w:rPr>
        <w:t>Section 23.3</w:t>
      </w:r>
      <w:r>
        <w:rPr>
          <w:rFonts w:ascii="Arial" w:cs="Arial" w:eastAsia="Arial" w:hAnsi="Arial"/>
          <w:sz w:val="15"/>
          <w:szCs w:val="15"/>
          <w:color w:val="auto"/>
        </w:rPr>
        <w:t>, of this Lease. All such signage shall be subject to Tenant’s obtaining all required governmental approvals. All permitted signs shall be maintained by Tenant at its expense in a first-class and safe condition and appearance.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Arial" w:cs="Arial" w:eastAsia="Arial" w:hAnsi="Arial"/>
          <w:sz w:val="15"/>
          <w:szCs w:val="15"/>
          <w:b w:val="1"/>
          <w:bCs w:val="1"/>
          <w:color w:val="auto"/>
        </w:rPr>
        <w:t>Sign Specifications</w:t>
      </w:r>
      <w:r>
        <w:rPr>
          <w:rFonts w:ascii="Arial" w:cs="Arial" w:eastAsia="Arial" w:hAnsi="Arial"/>
          <w:sz w:val="15"/>
          <w:szCs w:val="15"/>
          <w:color w:val="auto"/>
        </w:rPr>
        <w:t>”) shall be subject to the prior written approval of Landlord, which approval shall not be unreasonably withheld, conditioned or delayed, and shall be consistent and compatible with the quality and nature of the Project.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terms of this Lease shall be unaffected. Except as required by applicable law, Landlord shall not install any other signage on the Building. If Landlord elects to install a multi-tenant identification sign at the entrance to the Project, Tenant shall be entitled to install its name on such sign (subject to availability on a pro-rata basis based on the relative square footages leased by the tenants of the Project), at Tenant’s sole cost and expense.</w:t>
      </w:r>
    </w:p>
    <w:p>
      <w:pPr>
        <w:spacing w:after="0" w:line="157" w:lineRule="exact"/>
        <w:rPr>
          <w:sz w:val="20"/>
          <w:szCs w:val="20"/>
          <w:color w:val="auto"/>
        </w:rPr>
      </w:pPr>
    </w:p>
    <w:p>
      <w:pPr>
        <w:ind w:left="6" w:right="40" w:firstLine="385"/>
        <w:spacing w:after="0" w:line="254"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u w:val="single" w:color="auto"/>
          <w:color w:val="auto"/>
        </w:rPr>
        <w:t>Objectionable Name</w:t>
      </w:r>
      <w:r>
        <w:rPr>
          <w:rFonts w:ascii="Arial" w:cs="Arial" w:eastAsia="Arial" w:hAnsi="Arial"/>
          <w:sz w:val="16"/>
          <w:szCs w:val="16"/>
          <w:color w:val="auto"/>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16"/>
          <w:szCs w:val="16"/>
          <w:b w:val="1"/>
          <w:bCs w:val="1"/>
          <w:color w:val="auto"/>
        </w:rPr>
        <w:t>Objectionable Name</w:t>
      </w:r>
      <w:r>
        <w:rPr>
          <w:rFonts w:ascii="Arial" w:cs="Arial" w:eastAsia="Arial" w:hAnsi="Arial"/>
          <w:sz w:val="16"/>
          <w:szCs w:val="16"/>
          <w:color w:val="auto"/>
        </w:rPr>
        <w:t>”). Landlord agrees that “The Column Group, LLC” and “ TCG” are not Objectionable Names.</w:t>
      </w:r>
    </w:p>
    <w:p>
      <w:pPr>
        <w:spacing w:after="0" w:line="164" w:lineRule="exact"/>
        <w:rPr>
          <w:sz w:val="20"/>
          <w:szCs w:val="20"/>
          <w:color w:val="auto"/>
        </w:rPr>
      </w:pPr>
    </w:p>
    <w:p>
      <w:pPr>
        <w:ind w:left="6" w:right="220" w:firstLine="385"/>
        <w:spacing w:after="0" w:line="277" w:lineRule="auto"/>
        <w:rPr>
          <w:sz w:val="20"/>
          <w:szCs w:val="20"/>
          <w:color w:val="auto"/>
        </w:rPr>
      </w:pPr>
      <w:r>
        <w:rPr>
          <w:rFonts w:ascii="Arial" w:cs="Arial" w:eastAsia="Arial" w:hAnsi="Arial"/>
          <w:sz w:val="15"/>
          <w:szCs w:val="15"/>
          <w:color w:val="auto"/>
        </w:rPr>
        <w:t xml:space="preserve">23.3 </w:t>
      </w:r>
      <w:r>
        <w:rPr>
          <w:rFonts w:ascii="Arial" w:cs="Arial" w:eastAsia="Arial" w:hAnsi="Arial"/>
          <w:sz w:val="15"/>
          <w:szCs w:val="15"/>
          <w:b w:val="1"/>
          <w:bCs w:val="1"/>
          <w:u w:val="single" w:color="auto"/>
          <w:color w:val="auto"/>
        </w:rPr>
        <w:t>Prohibited Signage and Other Items</w:t>
      </w:r>
      <w:r>
        <w:rPr>
          <w:rFonts w:ascii="Arial" w:cs="Arial" w:eastAsia="Arial" w:hAnsi="Arial"/>
          <w:sz w:val="15"/>
          <w:szCs w:val="15"/>
          <w:color w:val="auto"/>
        </w:rPr>
        <w:t>. Any signs, notices, logos, pictures, names or advertisements which are installed and that have not 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47" w:lineRule="exact"/>
        <w:rPr>
          <w:sz w:val="20"/>
          <w:szCs w:val="20"/>
          <w:color w:val="auto"/>
        </w:rPr>
      </w:pPr>
    </w:p>
    <w:p>
      <w:pPr>
        <w:ind w:left="6" w:hanging="6"/>
        <w:spacing w:after="0" w:line="312" w:lineRule="auto"/>
        <w:tabs>
          <w:tab w:leader="none" w:pos="242" w:val="left"/>
        </w:tabs>
        <w:numPr>
          <w:ilvl w:val="0"/>
          <w:numId w:val="4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COMPLIANCE WITH LAW. </w:t>
      </w:r>
      <w:r>
        <w:rPr>
          <w:rFonts w:ascii="Arial" w:cs="Arial" w:eastAsia="Arial" w:hAnsi="Arial"/>
          <w:sz w:val="13"/>
          <w:szCs w:val="13"/>
          <w:color w:val="auto"/>
        </w:rPr>
        <w:t>Tenant shall not do anything or suffer anything to be done in or about the Premises or the Project which will in any</w:t>
      </w:r>
      <w:r>
        <w:rPr>
          <w:rFonts w:ascii="Arial" w:cs="Arial" w:eastAsia="Arial" w:hAnsi="Arial"/>
          <w:sz w:val="13"/>
          <w:szCs w:val="13"/>
          <w:b w:val="1"/>
          <w:bCs w:val="1"/>
          <w:color w:val="auto"/>
        </w:rPr>
        <w:t xml:space="preserve"> </w:t>
      </w:r>
      <w:r>
        <w:rPr>
          <w:rFonts w:ascii="Arial" w:cs="Arial" w:eastAsia="Arial" w:hAnsi="Arial"/>
          <w:sz w:val="13"/>
          <w:szCs w:val="13"/>
          <w:color w:val="auto"/>
        </w:rPr>
        <w:t>way conflict with any law, statute, ordinance or other governmental rule, regulation or requirement now in force or which may hereafter be enacted or promulgated (specifically including the handicap access codes and Americans With Disabilities Act as locally enacted (“</w:t>
      </w:r>
      <w:r>
        <w:rPr>
          <w:rFonts w:ascii="Arial" w:cs="Arial" w:eastAsia="Arial" w:hAnsi="Arial"/>
          <w:sz w:val="13"/>
          <w:szCs w:val="13"/>
          <w:b w:val="1"/>
          <w:bCs w:val="1"/>
          <w:color w:val="auto"/>
        </w:rPr>
        <w:t>ADA</w:t>
      </w:r>
      <w:r>
        <w:rPr>
          <w:rFonts w:ascii="Arial" w:cs="Arial" w:eastAsia="Arial" w:hAnsi="Arial"/>
          <w:sz w:val="13"/>
          <w:szCs w:val="13"/>
          <w:color w:val="auto"/>
        </w:rPr>
        <w:t>”) and Environmental Laws) (collectively, “</w:t>
      </w:r>
      <w:r>
        <w:rPr>
          <w:rFonts w:ascii="Arial" w:cs="Arial" w:eastAsia="Arial" w:hAnsi="Arial"/>
          <w:sz w:val="13"/>
          <w:szCs w:val="13"/>
          <w:b w:val="1"/>
          <w:bCs w:val="1"/>
          <w:color w:val="auto"/>
        </w:rPr>
        <w:t>Applicable Laws</w:t>
      </w:r>
      <w:r>
        <w:rPr>
          <w:rFonts w:ascii="Arial" w:cs="Arial" w:eastAsia="Arial" w:hAnsi="Arial"/>
          <w:sz w:val="13"/>
          <w:szCs w:val="13"/>
          <w:color w:val="auto"/>
        </w:rPr>
        <w:t xml:space="preserve">”). At its sole cost and expense, Tenant shall promptly comply with all such governmental measures.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and Premises as are required to comply with the governmental rules, regulations, requirements or standards described in this </w:t>
      </w:r>
      <w:r>
        <w:rPr>
          <w:rFonts w:ascii="Arial" w:cs="Arial" w:eastAsia="Arial" w:hAnsi="Arial"/>
          <w:sz w:val="13"/>
          <w:szCs w:val="13"/>
          <w:u w:val="single" w:color="auto"/>
          <w:color w:val="auto"/>
        </w:rPr>
        <w:t>Article 24</w:t>
      </w:r>
      <w:r>
        <w:rPr>
          <w:rFonts w:ascii="Arial" w:cs="Arial" w:eastAsia="Arial" w:hAnsi="Arial"/>
          <w:sz w:val="13"/>
          <w:szCs w:val="13"/>
          <w:color w:val="auto"/>
        </w:rPr>
        <w:t xml:space="preserve">. The judgment of any court of competent jurisdiction or the admission of Tenant in any judicial action, regardless of whether Landlord is a party thereto, that Tenant has violated any of said governmental measures, shall be conclusive of that fact as between Landlord and Tenant. Tenant’s obligations under this </w:t>
      </w:r>
      <w:r>
        <w:rPr>
          <w:rFonts w:ascii="Arial" w:cs="Arial" w:eastAsia="Arial" w:hAnsi="Arial"/>
          <w:sz w:val="13"/>
          <w:szCs w:val="13"/>
          <w:u w:val="single" w:color="auto"/>
          <w:color w:val="auto"/>
        </w:rPr>
        <w:t>Article 24</w:t>
      </w:r>
      <w:r>
        <w:rPr>
          <w:rFonts w:ascii="Arial" w:cs="Arial" w:eastAsia="Arial" w:hAnsi="Arial"/>
          <w:sz w:val="13"/>
          <w:szCs w:val="13"/>
          <w:color w:val="auto"/>
        </w:rPr>
        <w:t xml:space="preserve"> are subject to the limitation in </w:t>
      </w:r>
      <w:r>
        <w:rPr>
          <w:rFonts w:ascii="Arial" w:cs="Arial" w:eastAsia="Arial" w:hAnsi="Arial"/>
          <w:sz w:val="13"/>
          <w:szCs w:val="13"/>
          <w:u w:val="single" w:color="auto"/>
          <w:color w:val="auto"/>
        </w:rPr>
        <w:t>Section 10.2</w:t>
      </w:r>
      <w:r>
        <w:rPr>
          <w:rFonts w:ascii="Arial" w:cs="Arial" w:eastAsia="Arial" w:hAnsi="Arial"/>
          <w:sz w:val="13"/>
          <w:szCs w:val="13"/>
          <w:color w:val="auto"/>
        </w:rPr>
        <w:t>, above.</w:t>
      </w:r>
    </w:p>
    <w:p>
      <w:pPr>
        <w:sectPr>
          <w:pgSz w:w="11900" w:h="16838" w:orient="portrait"/>
          <w:cols w:equalWidth="0" w:num="1">
            <w:col w:w="9606"/>
          </w:cols>
          <w:pgMar w:left="1134" w:top="256" w:right="1159" w:bottom="1440" w:gutter="0" w:footer="0" w:header="0"/>
        </w:sectPr>
      </w:pPr>
    </w:p>
    <w:bookmarkStart w:id="591" w:name="page592"/>
    <w:bookmarkEnd w:id="591"/>
    <w:p>
      <w:pPr>
        <w:ind w:left="6" w:right="80" w:hanging="6"/>
        <w:spacing w:after="0" w:line="305" w:lineRule="auto"/>
        <w:tabs>
          <w:tab w:leader="none" w:pos="242" w:val="left"/>
        </w:tabs>
        <w:numPr>
          <w:ilvl w:val="0"/>
          <w:numId w:val="437"/>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LATE CHARGES. </w:t>
      </w:r>
      <w:r>
        <w:rPr>
          <w:rFonts w:ascii="Arial" w:cs="Arial" w:eastAsia="Arial" w:hAnsi="Arial"/>
          <w:sz w:val="13"/>
          <w:szCs w:val="13"/>
          <w:color w:val="auto"/>
        </w:rPr>
        <w:t>If any installment of Rent or any other sum due from Tenant shall not be received by Landlord or Landlord’s designee within</w:t>
      </w:r>
      <w:r>
        <w:rPr>
          <w:rFonts w:ascii="Arial" w:cs="Arial" w:eastAsia="Arial" w:hAnsi="Arial"/>
          <w:sz w:val="13"/>
          <w:szCs w:val="13"/>
          <w:b w:val="1"/>
          <w:bCs w:val="1"/>
          <w:color w:val="auto"/>
        </w:rPr>
        <w:t xml:space="preserve"> </w:t>
      </w:r>
      <w:r>
        <w:rPr>
          <w:rFonts w:ascii="Arial" w:cs="Arial" w:eastAsia="Arial" w:hAnsi="Arial"/>
          <w:sz w:val="13"/>
          <w:szCs w:val="13"/>
          <w:color w:val="auto"/>
        </w:rPr>
        <w:t>five (5) business days after Tenant’s receipt of written notice from Landlord that said amount is delinquent,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Tenant’s receipt of written notice that said amount is delinquent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w:t>
      </w:r>
    </w:p>
    <w:p>
      <w:pPr>
        <w:spacing w:after="0" w:line="3" w:lineRule="exact"/>
        <w:rPr>
          <w:rFonts w:ascii="Arial" w:cs="Arial" w:eastAsia="Arial" w:hAnsi="Arial"/>
          <w:sz w:val="13"/>
          <w:szCs w:val="13"/>
          <w:b w:val="1"/>
          <w:bCs w:val="1"/>
          <w:color w:val="auto"/>
        </w:rPr>
      </w:pPr>
    </w:p>
    <w:p>
      <w:pPr>
        <w:ind w:left="6"/>
        <w:spacing w:after="0"/>
        <w:rPr>
          <w:rFonts w:ascii="Arial" w:cs="Arial" w:eastAsia="Arial" w:hAnsi="Arial"/>
          <w:sz w:val="13"/>
          <w:szCs w:val="13"/>
          <w:b w:val="1"/>
          <w:bCs w:val="1"/>
          <w:color w:val="auto"/>
        </w:rPr>
      </w:pPr>
      <w:r>
        <w:rPr>
          <w:rFonts w:ascii="Arial" w:cs="Arial" w:eastAsia="Arial" w:hAnsi="Arial"/>
          <w:sz w:val="16"/>
          <w:szCs w:val="16"/>
          <w:color w:val="auto"/>
        </w:rPr>
        <w:t>(4) percentage points, and (ii) the highest rate permitted by applicable law.</w:t>
      </w:r>
    </w:p>
    <w:p>
      <w:pPr>
        <w:spacing w:after="0" w:line="177" w:lineRule="exact"/>
        <w:rPr>
          <w:rFonts w:ascii="Arial" w:cs="Arial" w:eastAsia="Arial" w:hAnsi="Arial"/>
          <w:sz w:val="13"/>
          <w:szCs w:val="13"/>
          <w:b w:val="1"/>
          <w:bCs w:val="1"/>
          <w:color w:val="auto"/>
        </w:rPr>
      </w:pPr>
    </w:p>
    <w:p>
      <w:pPr>
        <w:ind w:left="226" w:hanging="226"/>
        <w:spacing w:after="0"/>
        <w:tabs>
          <w:tab w:leader="none" w:pos="226"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color w:val="auto"/>
        </w:rPr>
        <w:t>LANDLORD’S RIGHT TO CURE DEFAULT; PAYMENTS BY TENANT.</w:t>
      </w:r>
    </w:p>
    <w:p>
      <w:pPr>
        <w:spacing w:after="0" w:line="193" w:lineRule="exact"/>
        <w:rPr>
          <w:sz w:val="20"/>
          <w:szCs w:val="20"/>
          <w:color w:val="auto"/>
        </w:rPr>
      </w:pPr>
    </w:p>
    <w:p>
      <w:pPr>
        <w:ind w:left="6" w:right="20" w:firstLine="385"/>
        <w:spacing w:after="0" w:line="324" w:lineRule="auto"/>
        <w:rPr>
          <w:sz w:val="20"/>
          <w:szCs w:val="20"/>
          <w:color w:val="auto"/>
        </w:rPr>
      </w:pPr>
      <w:r>
        <w:rPr>
          <w:rFonts w:ascii="Arial" w:cs="Arial" w:eastAsia="Arial" w:hAnsi="Arial"/>
          <w:sz w:val="13"/>
          <w:szCs w:val="13"/>
          <w:color w:val="auto"/>
        </w:rPr>
        <w:t xml:space="preserve">26.1 </w:t>
      </w:r>
      <w:r>
        <w:rPr>
          <w:rFonts w:ascii="Arial" w:cs="Arial" w:eastAsia="Arial" w:hAnsi="Arial"/>
          <w:sz w:val="13"/>
          <w:szCs w:val="13"/>
          <w:b w:val="1"/>
          <w:bCs w:val="1"/>
          <w:u w:val="single" w:color="auto"/>
          <w:color w:val="auto"/>
        </w:rPr>
        <w:t>Landlord’s Cure</w:t>
      </w:r>
      <w:r>
        <w:rPr>
          <w:rFonts w:ascii="Arial" w:cs="Arial" w:eastAsia="Arial" w:hAnsi="Arial"/>
          <w:sz w:val="13"/>
          <w:szCs w:val="13"/>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3"/>
          <w:szCs w:val="13"/>
          <w:u w:val="single" w:color="auto"/>
          <w:color w:val="auto"/>
        </w:rPr>
        <w:t>Section 19.1.2</w:t>
      </w:r>
      <w:r>
        <w:rPr>
          <w:rFonts w:ascii="Arial" w:cs="Arial" w:eastAsia="Arial" w:hAnsi="Arial"/>
          <w:sz w:val="13"/>
          <w:szCs w:val="13"/>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23" w:lineRule="exact"/>
        <w:rPr>
          <w:sz w:val="20"/>
          <w:szCs w:val="20"/>
          <w:color w:val="auto"/>
        </w:rPr>
      </w:pPr>
    </w:p>
    <w:p>
      <w:pPr>
        <w:ind w:left="6" w:right="20" w:firstLine="385"/>
        <w:spacing w:after="0" w:line="269" w:lineRule="auto"/>
        <w:rPr>
          <w:sz w:val="20"/>
          <w:szCs w:val="20"/>
          <w:color w:val="auto"/>
        </w:rPr>
      </w:pPr>
      <w:r>
        <w:rPr>
          <w:rFonts w:ascii="Arial" w:cs="Arial" w:eastAsia="Arial" w:hAnsi="Arial"/>
          <w:sz w:val="15"/>
          <w:szCs w:val="15"/>
          <w:color w:val="auto"/>
        </w:rPr>
        <w:t xml:space="preserve">26.2 </w:t>
      </w:r>
      <w:r>
        <w:rPr>
          <w:rFonts w:ascii="Arial" w:cs="Arial" w:eastAsia="Arial" w:hAnsi="Arial"/>
          <w:sz w:val="15"/>
          <w:szCs w:val="15"/>
          <w:b w:val="1"/>
          <w:bCs w:val="1"/>
          <w:u w:val="single" w:color="auto"/>
          <w:color w:val="auto"/>
        </w:rPr>
        <w:t>Tenant’s Reimbursement</w:t>
      </w:r>
      <w:r>
        <w:rPr>
          <w:rFonts w:ascii="Arial" w:cs="Arial" w:eastAsia="Arial" w:hAnsi="Arial"/>
          <w:sz w:val="15"/>
          <w:szCs w:val="15"/>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5"/>
          <w:szCs w:val="15"/>
          <w:u w:val="single" w:color="auto"/>
          <w:color w:val="auto"/>
        </w:rPr>
        <w:t>Section 26.1</w:t>
      </w:r>
      <w:r>
        <w:rPr>
          <w:rFonts w:ascii="Arial" w:cs="Arial" w:eastAsia="Arial" w:hAnsi="Arial"/>
          <w:sz w:val="15"/>
          <w:szCs w:val="15"/>
          <w:color w:val="auto"/>
        </w:rPr>
        <w:t xml:space="preserve">; (ii) sums equal to all losses, costs, liabilities, damages and expenses referred to in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and (iii) subject to </w:t>
      </w:r>
      <w:r>
        <w:rPr>
          <w:rFonts w:ascii="Arial" w:cs="Arial" w:eastAsia="Arial" w:hAnsi="Arial"/>
          <w:sz w:val="15"/>
          <w:szCs w:val="15"/>
          <w:u w:val="single" w:color="auto"/>
          <w:color w:val="auto"/>
        </w:rPr>
        <w:t>Section 29.21</w:t>
      </w:r>
      <w:r>
        <w:rPr>
          <w:rFonts w:ascii="Arial" w:cs="Arial" w:eastAsia="Arial" w:hAnsi="Arial"/>
          <w:sz w:val="15"/>
          <w:szCs w:val="15"/>
          <w:color w:val="auto"/>
        </w:rPr>
        <w:t xml:space="preserve">,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5"/>
          <w:szCs w:val="15"/>
          <w:u w:val="single" w:color="auto"/>
          <w:color w:val="auto"/>
        </w:rPr>
        <w:t>Section 26.2</w:t>
      </w:r>
      <w:r>
        <w:rPr>
          <w:rFonts w:ascii="Arial" w:cs="Arial" w:eastAsia="Arial" w:hAnsi="Arial"/>
          <w:sz w:val="15"/>
          <w:szCs w:val="15"/>
          <w:color w:val="auto"/>
        </w:rPr>
        <w:t xml:space="preserve"> shall survive the expiration or sooner termination of the Lease Term.</w:t>
      </w:r>
    </w:p>
    <w:p>
      <w:pPr>
        <w:spacing w:after="0" w:line="156" w:lineRule="exact"/>
        <w:rPr>
          <w:sz w:val="20"/>
          <w:szCs w:val="20"/>
          <w:color w:val="auto"/>
        </w:rPr>
      </w:pPr>
    </w:p>
    <w:p>
      <w:pPr>
        <w:ind w:left="6" w:hanging="6"/>
        <w:spacing w:after="0" w:line="312" w:lineRule="auto"/>
        <w:tabs>
          <w:tab w:leader="none" w:pos="242" w:val="left"/>
        </w:tabs>
        <w:numPr>
          <w:ilvl w:val="0"/>
          <w:numId w:val="4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ENTRY BY LANDLORD. </w:t>
      </w:r>
      <w:r>
        <w:rPr>
          <w:rFonts w:ascii="Arial" w:cs="Arial" w:eastAsia="Arial" w:hAnsi="Arial"/>
          <w:sz w:val="13"/>
          <w:szCs w:val="13"/>
          <w:color w:val="auto"/>
        </w:rPr>
        <w:t>Landlord reserves the right at all reasonable times and upon reasonable notice to Tenant (except in the case of an</w:t>
      </w:r>
      <w:r>
        <w:rPr>
          <w:rFonts w:ascii="Arial" w:cs="Arial" w:eastAsia="Arial" w:hAnsi="Arial"/>
          <w:sz w:val="13"/>
          <w:szCs w:val="13"/>
          <w:b w:val="1"/>
          <w:bCs w:val="1"/>
          <w:color w:val="auto"/>
        </w:rPr>
        <w:t xml:space="preserve"> </w:t>
      </w:r>
      <w:r>
        <w:rPr>
          <w:rFonts w:ascii="Arial" w:cs="Arial" w:eastAsia="Arial" w:hAnsi="Arial"/>
          <w:sz w:val="13"/>
          <w:szCs w:val="13"/>
          <w:color w:val="auto"/>
        </w:rPr>
        <w:t>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(to the extent applicable pursuant to then applicable law); or (iv) repair the Premises or the Building, or for structural repairs to the Building or the Building’s systems and equipment as provided under the Lease.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Landlord shall use commercially reasonable efforts to minimize any interference with Tenant’s use of or access to the Premises in connection with any such entry, and shall comply with Tenant’s reasonable security measures. Landlord shall hold confidential any information regarding Tenant’s business that it may learn as a result of such entry.</w:t>
      </w:r>
    </w:p>
    <w:p>
      <w:pPr>
        <w:spacing w:after="0" w:line="320" w:lineRule="exact"/>
        <w:rPr>
          <w:rFonts w:ascii="Arial" w:cs="Arial" w:eastAsia="Arial" w:hAnsi="Arial"/>
          <w:sz w:val="13"/>
          <w:szCs w:val="13"/>
          <w:b w:val="1"/>
          <w:bCs w:val="1"/>
          <w:color w:val="auto"/>
        </w:rPr>
      </w:pPr>
    </w:p>
    <w:p>
      <w:pPr>
        <w:ind w:left="6" w:right="260" w:hanging="6"/>
        <w:spacing w:after="0" w:line="271" w:lineRule="auto"/>
        <w:tabs>
          <w:tab w:leader="none" w:pos="242" w:val="left"/>
        </w:tabs>
        <w:numPr>
          <w:ilvl w:val="0"/>
          <w:numId w:val="4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TENANT PARKING. </w:t>
      </w:r>
      <w:r>
        <w:rPr>
          <w:rFonts w:ascii="Arial" w:cs="Arial" w:eastAsia="Arial" w:hAnsi="Arial"/>
          <w:sz w:val="15"/>
          <w:szCs w:val="15"/>
          <w:color w:val="auto"/>
        </w:rPr>
        <w:t>Tenant shall have the right, without the payment of any parking charge or fee (other than as a reimbursement of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expenses to the extent allowed pursuant to the terms or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of this Lease, above), commencing on the Lease Commencement Date, to use the amount of parking set forth in Section 9 of the Summary, in the on-site parking lot and garage which serves the Building.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 that</w:t>
      </w:r>
    </w:p>
    <w:p>
      <w:pPr>
        <w:sectPr>
          <w:pgSz w:w="11900" w:h="16838" w:orient="portrait"/>
          <w:cols w:equalWidth="0" w:num="1">
            <w:col w:w="9626"/>
          </w:cols>
          <w:pgMar w:left="1134" w:top="251" w:right="1139" w:bottom="1440" w:gutter="0" w:footer="0" w:header="0"/>
        </w:sectPr>
      </w:pPr>
    </w:p>
    <w:bookmarkStart w:id="592" w:name="page593"/>
    <w:bookmarkEnd w:id="592"/>
    <w:p>
      <w:pPr>
        <w:ind w:right="20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MISCELLANEOUS PROVISIONS.</w:t>
      </w:r>
    </w:p>
    <w:p>
      <w:pPr>
        <w:spacing w:after="0" w:line="193" w:lineRule="exact"/>
        <w:rPr>
          <w:sz w:val="20"/>
          <w:szCs w:val="20"/>
          <w:color w:val="auto"/>
        </w:rPr>
      </w:pPr>
    </w:p>
    <w:p>
      <w:pPr>
        <w:ind w:right="20" w:firstLine="385"/>
        <w:spacing w:after="0" w:line="254"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b w:val="1"/>
          <w:bCs w:val="1"/>
          <w:u w:val="single" w:color="auto"/>
          <w:color w:val="auto"/>
        </w:rPr>
        <w:t>Terms; Captions</w:t>
      </w:r>
      <w:r>
        <w:rPr>
          <w:rFonts w:ascii="Arial" w:cs="Arial" w:eastAsia="Arial" w:hAnsi="Arial"/>
          <w:sz w:val="16"/>
          <w:szCs w:val="16"/>
          <w:color w:val="auto"/>
        </w:rPr>
        <w:t>. The words “</w:t>
      </w:r>
      <w:r>
        <w:rPr>
          <w:rFonts w:ascii="Arial" w:cs="Arial" w:eastAsia="Arial" w:hAnsi="Arial"/>
          <w:sz w:val="16"/>
          <w:szCs w:val="16"/>
          <w:b w:val="1"/>
          <w:bCs w:val="1"/>
          <w:color w:val="auto"/>
        </w:rPr>
        <w:t>Landlord</w:t>
      </w:r>
      <w:r>
        <w:rPr>
          <w:rFonts w:ascii="Arial" w:cs="Arial" w:eastAsia="Arial" w:hAnsi="Arial"/>
          <w:sz w:val="16"/>
          <w:szCs w:val="16"/>
          <w:color w:val="auto"/>
        </w:rPr>
        <w:t>” and “</w:t>
      </w:r>
      <w:r>
        <w:rPr>
          <w:rFonts w:ascii="Arial" w:cs="Arial" w:eastAsia="Arial" w:hAnsi="Arial"/>
          <w:sz w:val="16"/>
          <w:szCs w:val="16"/>
          <w:b w:val="1"/>
          <w:bCs w:val="1"/>
          <w:color w:val="auto"/>
        </w:rPr>
        <w:t>Tenant</w:t>
      </w:r>
      <w:r>
        <w:rPr>
          <w:rFonts w:ascii="Arial" w:cs="Arial" w:eastAsia="Arial" w:hAnsi="Arial"/>
          <w:sz w:val="16"/>
          <w:szCs w:val="16"/>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64" w:lineRule="exact"/>
        <w:rPr>
          <w:sz w:val="20"/>
          <w:szCs w:val="20"/>
          <w:color w:val="auto"/>
        </w:rPr>
      </w:pPr>
    </w:p>
    <w:p>
      <w:pPr>
        <w:ind w:right="160" w:firstLine="385"/>
        <w:spacing w:after="0" w:line="25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164" w:lineRule="exact"/>
        <w:rPr>
          <w:sz w:val="20"/>
          <w:szCs w:val="20"/>
          <w:color w:val="auto"/>
        </w:rPr>
      </w:pPr>
    </w:p>
    <w:p>
      <w:pPr>
        <w:ind w:right="20" w:firstLine="385"/>
        <w:spacing w:after="0" w:line="254" w:lineRule="auto"/>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b w:val="1"/>
          <w:bCs w:val="1"/>
          <w:u w:val="single" w:color="auto"/>
          <w:color w:val="auto"/>
        </w:rPr>
        <w:t>No Air Rights</w:t>
      </w:r>
      <w:r>
        <w:rPr>
          <w:rFonts w:ascii="Arial" w:cs="Arial" w:eastAsia="Arial" w:hAnsi="Arial"/>
          <w:sz w:val="16"/>
          <w:szCs w:val="16"/>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64" w:lineRule="exact"/>
        <w:rPr>
          <w:sz w:val="20"/>
          <w:szCs w:val="20"/>
          <w:color w:val="auto"/>
        </w:rPr>
      </w:pPr>
    </w:p>
    <w:p>
      <w:pPr>
        <w:ind w:right="20" w:firstLine="385"/>
        <w:spacing w:after="0" w:line="271" w:lineRule="auto"/>
        <w:rPr>
          <w:sz w:val="20"/>
          <w:szCs w:val="20"/>
          <w:color w:val="auto"/>
        </w:rPr>
      </w:pPr>
      <w:r>
        <w:rPr>
          <w:rFonts w:ascii="Arial" w:cs="Arial" w:eastAsia="Arial" w:hAnsi="Arial"/>
          <w:sz w:val="15"/>
          <w:szCs w:val="15"/>
          <w:color w:val="auto"/>
        </w:rPr>
        <w:t xml:space="preserve">29.4 </w:t>
      </w:r>
      <w:r>
        <w:rPr>
          <w:rFonts w:ascii="Arial" w:cs="Arial" w:eastAsia="Arial" w:hAnsi="Arial"/>
          <w:sz w:val="15"/>
          <w:szCs w:val="15"/>
          <w:b w:val="1"/>
          <w:bCs w:val="1"/>
          <w:u w:val="single" w:color="auto"/>
          <w:color w:val="auto"/>
        </w:rPr>
        <w:t>Modification of Lease</w:t>
      </w:r>
      <w:r>
        <w:rPr>
          <w:rFonts w:ascii="Arial" w:cs="Arial" w:eastAsia="Arial" w:hAnsi="Arial"/>
          <w:sz w:val="15"/>
          <w:szCs w:val="15"/>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or interfere with Tenant’s use of the Premises,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152" w:lineRule="exact"/>
        <w:rPr>
          <w:sz w:val="20"/>
          <w:szCs w:val="20"/>
          <w:color w:val="auto"/>
        </w:rPr>
      </w:pPr>
    </w:p>
    <w:p>
      <w:pPr>
        <w:ind w:firstLine="385"/>
        <w:spacing w:after="0" w:line="273" w:lineRule="auto"/>
        <w:rPr>
          <w:sz w:val="20"/>
          <w:szCs w:val="20"/>
          <w:color w:val="auto"/>
        </w:rPr>
      </w:pPr>
      <w:r>
        <w:rPr>
          <w:rFonts w:ascii="Arial" w:cs="Arial" w:eastAsia="Arial" w:hAnsi="Arial"/>
          <w:sz w:val="15"/>
          <w:szCs w:val="15"/>
          <w:color w:val="auto"/>
        </w:rPr>
        <w:t xml:space="preserve">29.5 </w:t>
      </w:r>
      <w:r>
        <w:rPr>
          <w:rFonts w:ascii="Arial" w:cs="Arial" w:eastAsia="Arial" w:hAnsi="Arial"/>
          <w:sz w:val="15"/>
          <w:szCs w:val="15"/>
          <w:b w:val="1"/>
          <w:bCs w:val="1"/>
          <w:u w:val="single" w:color="auto"/>
          <w:color w:val="auto"/>
        </w:rPr>
        <w:t>Transfer of Landlord’s Interest</w:t>
      </w:r>
      <w:r>
        <w:rPr>
          <w:rFonts w:ascii="Arial" w:cs="Arial" w:eastAsia="Arial" w:hAnsi="Arial"/>
          <w:sz w:val="15"/>
          <w:szCs w:val="15"/>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accruing after the date of transfer provided such transferee shall have fully assumed and agreed in writing to be liable for all obligations of this Lease to be performed by Landlord, including the return of any security deposit or L-C, and Tenant shall attorn to such transferee.</w:t>
      </w:r>
    </w:p>
    <w:p>
      <w:pPr>
        <w:spacing w:after="0" w:line="151" w:lineRule="exact"/>
        <w:rPr>
          <w:sz w:val="20"/>
          <w:szCs w:val="20"/>
          <w:color w:val="auto"/>
        </w:rPr>
      </w:pPr>
    </w:p>
    <w:p>
      <w:pPr>
        <w:ind w:right="260" w:firstLine="385"/>
        <w:spacing w:after="0" w:line="306" w:lineRule="auto"/>
        <w:rPr>
          <w:sz w:val="20"/>
          <w:szCs w:val="20"/>
          <w:color w:val="auto"/>
        </w:rPr>
      </w:pPr>
      <w:r>
        <w:rPr>
          <w:rFonts w:ascii="Arial" w:cs="Arial" w:eastAsia="Arial" w:hAnsi="Arial"/>
          <w:sz w:val="15"/>
          <w:szCs w:val="15"/>
          <w:color w:val="auto"/>
        </w:rPr>
        <w:t xml:space="preserve">29.6 </w:t>
      </w:r>
      <w:r>
        <w:rPr>
          <w:rFonts w:ascii="Arial" w:cs="Arial" w:eastAsia="Arial" w:hAnsi="Arial"/>
          <w:sz w:val="15"/>
          <w:szCs w:val="15"/>
          <w:b w:val="1"/>
          <w:bCs w:val="1"/>
          <w:u w:val="single" w:color="auto"/>
          <w:color w:val="auto"/>
        </w:rPr>
        <w:t>Prohibition Against Recording</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 29.4</w:t>
      </w:r>
      <w:r>
        <w:rPr>
          <w:rFonts w:ascii="Arial" w:cs="Arial" w:eastAsia="Arial" w:hAnsi="Arial"/>
          <w:sz w:val="15"/>
          <w:szCs w:val="15"/>
          <w:color w:val="auto"/>
        </w:rPr>
        <w:t xml:space="preserve"> of this Lease, neither this Lease, nor any memorandum, affidavit or other writing with respect thereto, shall be recorded by Tenant or by anyone acting through, under or on behalf of Tenant.</w:t>
      </w:r>
    </w:p>
    <w:p>
      <w:pPr>
        <w:spacing w:after="0" w:line="126" w:lineRule="exact"/>
        <w:rPr>
          <w:sz w:val="20"/>
          <w:szCs w:val="20"/>
          <w:color w:val="auto"/>
        </w:rPr>
      </w:pPr>
    </w:p>
    <w:p>
      <w:pPr>
        <w:ind w:right="40" w:firstLine="385"/>
        <w:spacing w:after="0" w:line="272" w:lineRule="auto"/>
        <w:rPr>
          <w:sz w:val="20"/>
          <w:szCs w:val="20"/>
          <w:color w:val="auto"/>
        </w:rPr>
      </w:pPr>
      <w:r>
        <w:rPr>
          <w:rFonts w:ascii="Arial" w:cs="Arial" w:eastAsia="Arial" w:hAnsi="Arial"/>
          <w:sz w:val="16"/>
          <w:szCs w:val="16"/>
          <w:color w:val="auto"/>
        </w:rPr>
        <w:t xml:space="preserve">29.7 </w:t>
      </w:r>
      <w:r>
        <w:rPr>
          <w:rFonts w:ascii="Arial" w:cs="Arial" w:eastAsia="Arial" w:hAnsi="Arial"/>
          <w:sz w:val="16"/>
          <w:szCs w:val="16"/>
          <w:b w:val="1"/>
          <w:bCs w:val="1"/>
          <w:u w:val="single" w:color="auto"/>
          <w:color w:val="auto"/>
        </w:rPr>
        <w:t>Landlord’s Title</w:t>
      </w:r>
      <w:r>
        <w:rPr>
          <w:rFonts w:ascii="Arial" w:cs="Arial" w:eastAsia="Arial" w:hAnsi="Arial"/>
          <w:sz w:val="16"/>
          <w:szCs w:val="16"/>
          <w:color w:val="auto"/>
        </w:rPr>
        <w:t>. Landlord’s title is and always shall be paramount to the title of Tenant. Nothing herein contained shall empower Tenant to do any act which can, shall or may encumber the title of Landlord.</w:t>
      </w:r>
    </w:p>
    <w:p>
      <w:pPr>
        <w:spacing w:after="0" w:line="149" w:lineRule="exact"/>
        <w:rPr>
          <w:sz w:val="20"/>
          <w:szCs w:val="20"/>
          <w:color w:val="auto"/>
        </w:rPr>
      </w:pPr>
    </w:p>
    <w:p>
      <w:pPr>
        <w:ind w:right="160" w:firstLine="385"/>
        <w:spacing w:after="0" w:line="306" w:lineRule="auto"/>
        <w:rPr>
          <w:sz w:val="20"/>
          <w:szCs w:val="20"/>
          <w:color w:val="auto"/>
        </w:rPr>
      </w:pPr>
      <w:r>
        <w:rPr>
          <w:rFonts w:ascii="Arial" w:cs="Arial" w:eastAsia="Arial" w:hAnsi="Arial"/>
          <w:sz w:val="15"/>
          <w:szCs w:val="15"/>
          <w:color w:val="auto"/>
        </w:rPr>
        <w:t xml:space="preserve">29.8 </w:t>
      </w:r>
      <w:r>
        <w:rPr>
          <w:rFonts w:ascii="Arial" w:cs="Arial" w:eastAsia="Arial" w:hAnsi="Arial"/>
          <w:sz w:val="15"/>
          <w:szCs w:val="15"/>
          <w:b w:val="1"/>
          <w:bCs w:val="1"/>
          <w:u w:val="single" w:color="auto"/>
          <w:color w:val="auto"/>
        </w:rPr>
        <w:t>Relationship of Parties</w:t>
      </w:r>
      <w:r>
        <w:rPr>
          <w:rFonts w:ascii="Arial" w:cs="Arial" w:eastAsia="Arial" w:hAnsi="Arial"/>
          <w:sz w:val="15"/>
          <w:szCs w:val="15"/>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26" w:lineRule="exact"/>
        <w:rPr>
          <w:sz w:val="20"/>
          <w:szCs w:val="20"/>
          <w:color w:val="auto"/>
        </w:rPr>
      </w:pPr>
    </w:p>
    <w:p>
      <w:pPr>
        <w:ind w:right="240" w:firstLine="385"/>
        <w:spacing w:after="0" w:line="272"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u w:val="single" w:color="auto"/>
          <w:color w:val="auto"/>
        </w:rPr>
        <w:t>Payment under Protest</w:t>
      </w:r>
      <w:r>
        <w:rPr>
          <w:rFonts w:ascii="Arial" w:cs="Arial" w:eastAsia="Arial" w:hAnsi="Arial"/>
          <w:sz w:val="16"/>
          <w:szCs w:val="16"/>
          <w:color w:val="auto"/>
        </w:rPr>
        <w:t xml:space="preserve">. If Tenant in good faith disputes any amounts billed by Landlord, other than (i) Base Rent, (ii) Tenant’s Share of Direct Expenses (as to which Tenant may exercise its rights under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ectPr>
          <w:pgSz w:w="11900" w:h="16838" w:orient="portrait"/>
          <w:cols w:equalWidth="0" w:num="1">
            <w:col w:w="9560"/>
          </w:cols>
          <w:pgMar w:left="1140" w:top="257" w:right="1199" w:bottom="1440" w:gutter="0" w:footer="0" w:header="0"/>
        </w:sectPr>
      </w:pPr>
    </w:p>
    <w:bookmarkStart w:id="593" w:name="page594"/>
    <w:bookmarkEnd w:id="593"/>
    <w:p>
      <w:pPr>
        <w:spacing w:after="0" w:line="31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above), Tenant may make payment of such amounts under protest, and reserve all of its rights with respect to such amounts (the “</w:t>
      </w:r>
      <w:r>
        <w:rPr>
          <w:rFonts w:ascii="Arial" w:cs="Arial" w:eastAsia="Arial" w:hAnsi="Arial"/>
          <w:sz w:val="13"/>
          <w:szCs w:val="13"/>
          <w:b w:val="1"/>
          <w:bCs w:val="1"/>
          <w:color w:val="auto"/>
        </w:rPr>
        <w:t>Disputed Amounts</w:t>
      </w:r>
      <w:r>
        <w:rPr>
          <w:rFonts w:ascii="Arial" w:cs="Arial" w:eastAsia="Arial" w:hAnsi="Arial"/>
          <w:sz w:val="13"/>
          <w:szCs w:val="13"/>
          <w:color w:val="auto"/>
        </w:rPr>
        <w:t xml:space="preserve">”). Landlord and Tenant shall meet and confer to discuss the Disputed Amounts and attempt, in good faith, to resolve the particular dispute. If, despite such good faith efforts, Landlord and Tenant are unable to reach agreement regarding the Disputed Amounts, either party may submit the matter to binding arbitration under the JAMS Streamlined Arbitration Rules &amp; Procedures. The non-prevailing party, as determined by JAMS, will be responsible to pay all fees and costs incurred in connection with the JAMS procedure, as well as all other costs and expenses, including reasonable attorneys’ fees, incurred by the prevailing party. This </w:t>
      </w:r>
      <w:r>
        <w:rPr>
          <w:rFonts w:ascii="Arial" w:cs="Arial" w:eastAsia="Arial" w:hAnsi="Arial"/>
          <w:sz w:val="13"/>
          <w:szCs w:val="13"/>
          <w:u w:val="single" w:color="auto"/>
          <w:color w:val="auto"/>
        </w:rPr>
        <w:t>Section 29.9</w:t>
      </w:r>
      <w:r>
        <w:rPr>
          <w:rFonts w:ascii="Arial" w:cs="Arial" w:eastAsia="Arial" w:hAnsi="Arial"/>
          <w:sz w:val="13"/>
          <w:szCs w:val="13"/>
          <w:color w:val="auto"/>
        </w:rPr>
        <w:t xml:space="preserve"> shall not apply to claims relating to Landlord’s exercise of any unlawful detainer rights pursuant to California law or rights or remedies used by Landlord to gain possession of the Premises or terminate Lessee’s right of possession to the Premises.</w:t>
      </w:r>
    </w:p>
    <w:p>
      <w:pPr>
        <w:spacing w:after="0" w:line="127" w:lineRule="exact"/>
        <w:rPr>
          <w:sz w:val="20"/>
          <w:szCs w:val="20"/>
          <w:color w:val="auto"/>
        </w:rPr>
      </w:pPr>
    </w:p>
    <w:p>
      <w:pPr>
        <w:ind w:right="60" w:firstLine="385"/>
        <w:spacing w:after="0" w:line="272" w:lineRule="auto"/>
        <w:rPr>
          <w:sz w:val="20"/>
          <w:szCs w:val="20"/>
          <w:color w:val="auto"/>
        </w:rPr>
      </w:pPr>
      <w:r>
        <w:rPr>
          <w:rFonts w:ascii="Arial" w:cs="Arial" w:eastAsia="Arial" w:hAnsi="Arial"/>
          <w:sz w:val="16"/>
          <w:szCs w:val="16"/>
          <w:color w:val="auto"/>
        </w:rPr>
        <w:t xml:space="preserve">29.10 </w:t>
      </w:r>
      <w:r>
        <w:rPr>
          <w:rFonts w:ascii="Arial" w:cs="Arial" w:eastAsia="Arial" w:hAnsi="Arial"/>
          <w:sz w:val="16"/>
          <w:szCs w:val="16"/>
          <w:b w:val="1"/>
          <w:bCs w:val="1"/>
          <w:u w:val="single" w:color="auto"/>
          <w:color w:val="auto"/>
        </w:rPr>
        <w:t>Time of Essence</w:t>
      </w:r>
      <w:r>
        <w:rPr>
          <w:rFonts w:ascii="Arial" w:cs="Arial" w:eastAsia="Arial" w:hAnsi="Arial"/>
          <w:sz w:val="16"/>
          <w:szCs w:val="16"/>
          <w:color w:val="auto"/>
        </w:rPr>
        <w:t>. Time is of the essence with respect to the performance of every provision of this Lease in which time of performance is a factor.</w:t>
      </w:r>
    </w:p>
    <w:p>
      <w:pPr>
        <w:spacing w:after="0" w:line="149" w:lineRule="exact"/>
        <w:rPr>
          <w:sz w:val="20"/>
          <w:szCs w:val="20"/>
          <w:color w:val="auto"/>
        </w:rPr>
      </w:pPr>
    </w:p>
    <w:p>
      <w:pPr>
        <w:ind w:right="160" w:firstLine="385"/>
        <w:spacing w:after="0" w:line="254" w:lineRule="auto"/>
        <w:rPr>
          <w:sz w:val="20"/>
          <w:szCs w:val="20"/>
          <w:color w:val="auto"/>
        </w:rPr>
      </w:pPr>
      <w:r>
        <w:rPr>
          <w:rFonts w:ascii="Arial" w:cs="Arial" w:eastAsia="Arial" w:hAnsi="Arial"/>
          <w:sz w:val="16"/>
          <w:szCs w:val="16"/>
          <w:color w:val="auto"/>
        </w:rPr>
        <w:t xml:space="preserve">29.11 </w:t>
      </w:r>
      <w:r>
        <w:rPr>
          <w:rFonts w:ascii="Arial" w:cs="Arial" w:eastAsia="Arial" w:hAnsi="Arial"/>
          <w:sz w:val="16"/>
          <w:szCs w:val="16"/>
          <w:b w:val="1"/>
          <w:bCs w:val="1"/>
          <w:u w:val="single" w:color="auto"/>
          <w:color w:val="auto"/>
        </w:rPr>
        <w:t>Partial Invalidity</w:t>
      </w:r>
      <w:r>
        <w:rPr>
          <w:rFonts w:ascii="Arial" w:cs="Arial" w:eastAsia="Arial" w:hAnsi="Arial"/>
          <w:sz w:val="16"/>
          <w:szCs w:val="16"/>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64" w:lineRule="exact"/>
        <w:rPr>
          <w:sz w:val="20"/>
          <w:szCs w:val="20"/>
          <w:color w:val="auto"/>
        </w:rPr>
      </w:pPr>
    </w:p>
    <w:p>
      <w:pPr>
        <w:ind w:right="200" w:firstLine="385"/>
        <w:spacing w:after="0" w:line="254" w:lineRule="auto"/>
        <w:rPr>
          <w:sz w:val="20"/>
          <w:szCs w:val="20"/>
          <w:color w:val="auto"/>
        </w:rPr>
      </w:pPr>
      <w:r>
        <w:rPr>
          <w:rFonts w:ascii="Arial" w:cs="Arial" w:eastAsia="Arial" w:hAnsi="Arial"/>
          <w:sz w:val="16"/>
          <w:szCs w:val="16"/>
          <w:color w:val="auto"/>
        </w:rPr>
        <w:t xml:space="preserve">29.12 </w:t>
      </w:r>
      <w:r>
        <w:rPr>
          <w:rFonts w:ascii="Arial" w:cs="Arial" w:eastAsia="Arial" w:hAnsi="Arial"/>
          <w:sz w:val="16"/>
          <w:szCs w:val="16"/>
          <w:b w:val="1"/>
          <w:bCs w:val="1"/>
          <w:u w:val="single" w:color="auto"/>
          <w:color w:val="auto"/>
        </w:rPr>
        <w:t>No Warranty</w:t>
      </w:r>
      <w:r>
        <w:rPr>
          <w:rFonts w:ascii="Arial" w:cs="Arial" w:eastAsia="Arial" w:hAnsi="Arial"/>
          <w:sz w:val="16"/>
          <w:szCs w:val="16"/>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64" w:lineRule="exact"/>
        <w:rPr>
          <w:sz w:val="20"/>
          <w:szCs w:val="20"/>
          <w:color w:val="auto"/>
        </w:rPr>
      </w:pPr>
    </w:p>
    <w:p>
      <w:pPr>
        <w:ind w:right="20" w:firstLine="385"/>
        <w:spacing w:after="0" w:line="309" w:lineRule="auto"/>
        <w:rPr>
          <w:sz w:val="20"/>
          <w:szCs w:val="20"/>
          <w:color w:val="auto"/>
        </w:rPr>
      </w:pPr>
      <w:r>
        <w:rPr>
          <w:rFonts w:ascii="Arial" w:cs="Arial" w:eastAsia="Arial" w:hAnsi="Arial"/>
          <w:sz w:val="13"/>
          <w:szCs w:val="13"/>
          <w:color w:val="auto"/>
        </w:rPr>
        <w:t xml:space="preserve">29.13 </w:t>
      </w:r>
      <w:r>
        <w:rPr>
          <w:rFonts w:ascii="Arial" w:cs="Arial" w:eastAsia="Arial" w:hAnsi="Arial"/>
          <w:sz w:val="13"/>
          <w:szCs w:val="13"/>
          <w:b w:val="1"/>
          <w:bCs w:val="1"/>
          <w:u w:val="single" w:color="auto"/>
          <w:color w:val="auto"/>
        </w:rPr>
        <w:t>Landlord Exculpation</w:t>
      </w:r>
      <w:r>
        <w:rPr>
          <w:rFonts w:ascii="Arial" w:cs="Arial" w:eastAsia="Arial" w:hAnsi="Arial"/>
          <w:sz w:val="13"/>
          <w:szCs w:val="13"/>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Project or (b) the equity interest Landlord would have in the Project if the Project were encumbered by third-party debt in an amount equal to eighty percent (80%) of the value of the Project (as such value is determined by Landlord), including any rental, condemnation, sales and insurance proceeds received by Landlord or the Landlord Parties in connection with the Project, Building or Premises. No Landlord Parties (other than Landlord) shall have any personal liability therefor, and Tenant hereby expressly waives and releases such liability on behalf of itself and all persons claiming by, through or under Tenant. The limitations of liability contained in this </w:t>
      </w:r>
      <w:r>
        <w:rPr>
          <w:rFonts w:ascii="Arial" w:cs="Arial" w:eastAsia="Arial" w:hAnsi="Arial"/>
          <w:sz w:val="13"/>
          <w:szCs w:val="13"/>
          <w:u w:val="single" w:color="auto"/>
          <w:color w:val="auto"/>
        </w:rPr>
        <w:t>Section 29.13</w:t>
      </w:r>
      <w:r>
        <w:rPr>
          <w:rFonts w:ascii="Arial" w:cs="Arial" w:eastAsia="Arial" w:hAnsi="Arial"/>
          <w:sz w:val="13"/>
          <w:szCs w:val="13"/>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324" w:lineRule="exact"/>
        <w:rPr>
          <w:sz w:val="20"/>
          <w:szCs w:val="20"/>
          <w:color w:val="auto"/>
        </w:rPr>
      </w:pPr>
    </w:p>
    <w:p>
      <w:pPr>
        <w:ind w:right="40" w:firstLine="385"/>
        <w:spacing w:after="0" w:line="273" w:lineRule="auto"/>
        <w:rPr>
          <w:sz w:val="20"/>
          <w:szCs w:val="20"/>
          <w:color w:val="auto"/>
        </w:rPr>
      </w:pPr>
      <w:r>
        <w:rPr>
          <w:rFonts w:ascii="Arial" w:cs="Arial" w:eastAsia="Arial" w:hAnsi="Arial"/>
          <w:sz w:val="15"/>
          <w:szCs w:val="15"/>
          <w:color w:val="auto"/>
        </w:rPr>
        <w:t xml:space="preserve">29.14 </w:t>
      </w: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ectPr>
          <w:pgSz w:w="11900" w:h="16838" w:orient="portrait"/>
          <w:cols w:equalWidth="0" w:num="1">
            <w:col w:w="9600"/>
          </w:cols>
          <w:pgMar w:left="1140" w:top="252" w:right="1159" w:bottom="1440" w:gutter="0" w:footer="0" w:header="0"/>
        </w:sectPr>
      </w:pPr>
    </w:p>
    <w:bookmarkStart w:id="594" w:name="page595"/>
    <w:bookmarkEnd w:id="594"/>
    <w:p>
      <w:pPr>
        <w:ind w:left="6" w:right="60" w:firstLine="385"/>
        <w:spacing w:after="0" w:line="34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29.15 </w:t>
      </w:r>
      <w:r>
        <w:rPr>
          <w:rFonts w:ascii="Arial" w:cs="Arial" w:eastAsia="Arial" w:hAnsi="Arial"/>
          <w:sz w:val="13"/>
          <w:szCs w:val="13"/>
          <w:b w:val="1"/>
          <w:bCs w:val="1"/>
          <w:u w:val="single" w:color="auto"/>
          <w:color w:val="auto"/>
        </w:rPr>
        <w:t>Right to Lease</w:t>
      </w:r>
      <w:r>
        <w:rPr>
          <w:rFonts w:ascii="Arial" w:cs="Arial" w:eastAsia="Arial" w:hAnsi="Arial"/>
          <w:sz w:val="13"/>
          <w:szCs w:val="13"/>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08" w:lineRule="exact"/>
        <w:rPr>
          <w:sz w:val="20"/>
          <w:szCs w:val="20"/>
          <w:color w:val="auto"/>
        </w:rPr>
      </w:pPr>
    </w:p>
    <w:p>
      <w:pPr>
        <w:ind w:left="6" w:right="40" w:firstLine="385"/>
        <w:spacing w:after="0" w:line="317" w:lineRule="auto"/>
        <w:rPr>
          <w:sz w:val="20"/>
          <w:szCs w:val="20"/>
          <w:color w:val="auto"/>
        </w:rPr>
      </w:pPr>
      <w:r>
        <w:rPr>
          <w:rFonts w:ascii="Arial" w:cs="Arial" w:eastAsia="Arial" w:hAnsi="Arial"/>
          <w:sz w:val="13"/>
          <w:szCs w:val="13"/>
          <w:color w:val="auto"/>
        </w:rPr>
        <w:t xml:space="preserve">29.16 </w:t>
      </w:r>
      <w:r>
        <w:rPr>
          <w:rFonts w:ascii="Arial" w:cs="Arial" w:eastAsia="Arial" w:hAnsi="Arial"/>
          <w:sz w:val="13"/>
          <w:szCs w:val="13"/>
          <w:b w:val="1"/>
          <w:bCs w:val="1"/>
          <w:u w:val="single" w:color="auto"/>
          <w:color w:val="auto"/>
        </w:rPr>
        <w:t>Force Majeure</w:t>
      </w:r>
      <w:r>
        <w:rPr>
          <w:rFonts w:ascii="Arial" w:cs="Arial" w:eastAsia="Arial" w:hAnsi="Arial"/>
          <w:sz w:val="13"/>
          <w:szCs w:val="13"/>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3"/>
          <w:szCs w:val="13"/>
          <w:b w:val="1"/>
          <w:bCs w:val="1"/>
          <w:color w:val="auto"/>
        </w:rPr>
        <w:t>Force Majeure</w:t>
      </w:r>
      <w:r>
        <w:rPr>
          <w:rFonts w:ascii="Arial" w:cs="Arial" w:eastAsia="Arial" w:hAnsi="Arial"/>
          <w:sz w:val="13"/>
          <w:szCs w:val="13"/>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provided, however, the foregoing delays shall not apply to Tenant’s termination rights hereunder.</w:t>
      </w:r>
    </w:p>
    <w:p>
      <w:pPr>
        <w:spacing w:after="0" w:line="12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29.17 </w:t>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193" w:lineRule="exact"/>
        <w:rPr>
          <w:sz w:val="20"/>
          <w:szCs w:val="20"/>
          <w:color w:val="auto"/>
        </w:rPr>
      </w:pPr>
    </w:p>
    <w:p>
      <w:pPr>
        <w:ind w:left="6" w:firstLine="385"/>
        <w:spacing w:after="0" w:line="306" w:lineRule="auto"/>
        <w:rPr>
          <w:sz w:val="20"/>
          <w:szCs w:val="20"/>
          <w:color w:val="auto"/>
        </w:rPr>
      </w:pPr>
      <w:r>
        <w:rPr>
          <w:rFonts w:ascii="Arial" w:cs="Arial" w:eastAsia="Arial" w:hAnsi="Arial"/>
          <w:sz w:val="13"/>
          <w:szCs w:val="13"/>
          <w:color w:val="auto"/>
        </w:rPr>
        <w:t xml:space="preserve">29.18 </w:t>
      </w: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All notices, demands, statements, designations, approvals or other communications (collectively, “</w:t>
      </w:r>
      <w:r>
        <w:rPr>
          <w:rFonts w:ascii="Arial" w:cs="Arial" w:eastAsia="Arial" w:hAnsi="Arial"/>
          <w:sz w:val="13"/>
          <w:szCs w:val="13"/>
          <w:b w:val="1"/>
          <w:bCs w:val="1"/>
          <w:color w:val="auto"/>
        </w:rPr>
        <w:t>Notices</w:t>
      </w:r>
      <w:r>
        <w:rPr>
          <w:rFonts w:ascii="Arial" w:cs="Arial" w:eastAsia="Arial" w:hAnsi="Arial"/>
          <w:sz w:val="13"/>
          <w:szCs w:val="13"/>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3"/>
          <w:szCs w:val="13"/>
          <w:b w:val="1"/>
          <w:bCs w:val="1"/>
          <w:color w:val="auto"/>
        </w:rPr>
        <w:t>Mail</w:t>
      </w:r>
      <w:r>
        <w:rPr>
          <w:rFonts w:ascii="Arial" w:cs="Arial" w:eastAsia="Arial" w:hAnsi="Arial"/>
          <w:sz w:val="13"/>
          <w:szCs w:val="13"/>
          <w:color w:val="auto"/>
        </w:rPr>
        <w:t xml:space="preserve">”), (B) delivered by a nationally recognized overnight courier, or (C) delivered personally. Any Notice shall be sent, transmitted, or delivered, as the case may be, to Tenant at the appropriate address set forth in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business days after the date it is posted if sent by Mail,</w:t>
      </w:r>
    </w:p>
    <w:p>
      <w:pPr>
        <w:spacing w:after="0" w:line="4" w:lineRule="exact"/>
        <w:rPr>
          <w:sz w:val="20"/>
          <w:szCs w:val="20"/>
          <w:color w:val="auto"/>
        </w:rPr>
      </w:pPr>
    </w:p>
    <w:p>
      <w:pPr>
        <w:ind w:left="6" w:right="60" w:hanging="6"/>
        <w:spacing w:after="0" w:line="252" w:lineRule="auto"/>
        <w:tabs>
          <w:tab w:leader="none" w:pos="237"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date the overnight courier delivery is made, or (iii) the date personal delivery is made. As of the date of this Lease, any Notices to Landlord must be sent, transmitted, or delivered, as the case may be, to the following addresses:</w:t>
      </w:r>
    </w:p>
    <w:p>
      <w:pPr>
        <w:spacing w:after="0" w:line="74"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HCP, Inc.</w:t>
      </w:r>
    </w:p>
    <w:p>
      <w:pPr>
        <w:spacing w:after="0" w:line="16"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1920 Main Street, Suite 1200</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Irvine, CA 92614</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Attention: Legal Department</w:t>
      </w:r>
    </w:p>
    <w:p>
      <w:pPr>
        <w:spacing w:after="0" w:line="88"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with a copy to:</w:t>
      </w:r>
    </w:p>
    <w:p>
      <w:pPr>
        <w:spacing w:after="0" w:line="99"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HCP Life Science Estates</w:t>
      </w:r>
    </w:p>
    <w:p>
      <w:pPr>
        <w:spacing w:after="0" w:line="16"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950 Tower Lane, Suite 1650</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Foster City, CA 94404</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Attention: Jonathan M. Bergschneider</w:t>
      </w:r>
    </w:p>
    <w:p>
      <w:pPr>
        <w:spacing w:after="0" w:line="88"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and</w:t>
      </w:r>
    </w:p>
    <w:p>
      <w:pPr>
        <w:spacing w:after="0" w:line="99"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Allen Matkins Leck Gamble Mallory &amp; Natsis LLP</w:t>
      </w:r>
    </w:p>
    <w:p>
      <w:pPr>
        <w:spacing w:after="0" w:line="16"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1901 Avenue of the Stars, Suite 1800</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Los Angeles, California 90067</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Attention: Anton N. Natsis, Esq.</w:t>
      </w:r>
    </w:p>
    <w:p>
      <w:pPr>
        <w:spacing w:after="0" w:line="178" w:lineRule="exact"/>
        <w:rPr>
          <w:sz w:val="20"/>
          <w:szCs w:val="20"/>
          <w:color w:val="auto"/>
        </w:rPr>
      </w:pPr>
    </w:p>
    <w:p>
      <w:pPr>
        <w:ind w:left="386"/>
        <w:spacing w:after="0"/>
        <w:rPr>
          <w:sz w:val="20"/>
          <w:szCs w:val="20"/>
          <w:color w:val="auto"/>
        </w:rPr>
      </w:pPr>
      <w:r>
        <w:rPr>
          <w:rFonts w:ascii="Arial" w:cs="Arial" w:eastAsia="Arial" w:hAnsi="Arial"/>
          <w:sz w:val="13"/>
          <w:szCs w:val="13"/>
          <w:color w:val="auto"/>
        </w:rPr>
        <w:t xml:space="preserve">29.19 </w:t>
      </w:r>
      <w:r>
        <w:rPr>
          <w:rFonts w:ascii="Arial" w:cs="Arial" w:eastAsia="Arial" w:hAnsi="Arial"/>
          <w:sz w:val="13"/>
          <w:szCs w:val="13"/>
          <w:b w:val="1"/>
          <w:bCs w:val="1"/>
          <w:u w:val="single" w:color="auto"/>
          <w:color w:val="auto"/>
        </w:rPr>
        <w:t>Joint and Several</w:t>
      </w:r>
      <w:r>
        <w:rPr>
          <w:rFonts w:ascii="Arial" w:cs="Arial" w:eastAsia="Arial" w:hAnsi="Arial"/>
          <w:sz w:val="13"/>
          <w:szCs w:val="13"/>
          <w:color w:val="auto"/>
        </w:rPr>
        <w:t>. If there is more than one tenant, the obligations imposed upon Tenant under this Lease shall be joint and several.</w:t>
      </w:r>
    </w:p>
    <w:p>
      <w:pPr>
        <w:spacing w:after="0" w:line="228" w:lineRule="exact"/>
        <w:rPr>
          <w:sz w:val="20"/>
          <w:szCs w:val="20"/>
          <w:color w:val="auto"/>
        </w:rPr>
      </w:pPr>
    </w:p>
    <w:p>
      <w:pPr>
        <w:ind w:left="6" w:firstLine="385"/>
        <w:spacing w:after="0" w:line="259" w:lineRule="auto"/>
        <w:rPr>
          <w:sz w:val="20"/>
          <w:szCs w:val="20"/>
          <w:color w:val="auto"/>
        </w:rPr>
      </w:pPr>
      <w:r>
        <w:rPr>
          <w:rFonts w:ascii="Arial" w:cs="Arial" w:eastAsia="Arial" w:hAnsi="Arial"/>
          <w:sz w:val="16"/>
          <w:szCs w:val="16"/>
          <w:color w:val="auto"/>
        </w:rPr>
        <w:t xml:space="preserve">29.20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If Tenant is a corporation, trust or partnership,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w:t>
      </w:r>
    </w:p>
    <w:p>
      <w:pPr>
        <w:sectPr>
          <w:pgSz w:w="11900" w:h="16838" w:orient="portrait"/>
          <w:cols w:equalWidth="0" w:num="1">
            <w:col w:w="9626"/>
          </w:cols>
          <w:pgMar w:left="1134" w:top="251" w:right="1139" w:bottom="1440" w:gutter="0" w:footer="0" w:header="0"/>
        </w:sectPr>
      </w:pPr>
    </w:p>
    <w:bookmarkStart w:id="595" w:name="page596"/>
    <w:bookmarkEnd w:id="595"/>
    <w:p>
      <w:pPr>
        <w:ind w:right="80" w:firstLine="385"/>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to the prevailing party by the other party, which obligation on the part of the other party shall be deemed to have accrued on the date of the commencement of such action and shall be enforceable whether or not the action is prosecuted to judgment.</w:t>
      </w:r>
    </w:p>
    <w:p>
      <w:pPr>
        <w:spacing w:after="0" w:line="166" w:lineRule="exact"/>
        <w:rPr>
          <w:sz w:val="20"/>
          <w:szCs w:val="20"/>
          <w:color w:val="auto"/>
        </w:rPr>
      </w:pPr>
    </w:p>
    <w:p>
      <w:pPr>
        <w:ind w:right="40" w:firstLine="385"/>
        <w:spacing w:after="0" w:line="266" w:lineRule="auto"/>
        <w:rPr>
          <w:sz w:val="20"/>
          <w:szCs w:val="20"/>
          <w:color w:val="auto"/>
        </w:rPr>
      </w:pPr>
      <w:r>
        <w:rPr>
          <w:rFonts w:ascii="Arial" w:cs="Arial" w:eastAsia="Arial" w:hAnsi="Arial"/>
          <w:sz w:val="15"/>
          <w:szCs w:val="15"/>
          <w:color w:val="auto"/>
        </w:rPr>
        <w:t xml:space="preserve">29.22 </w:t>
      </w:r>
      <w:r>
        <w:rPr>
          <w:rFonts w:ascii="Arial" w:cs="Arial" w:eastAsia="Arial" w:hAnsi="Arial"/>
          <w:sz w:val="15"/>
          <w:szCs w:val="15"/>
          <w:b w:val="1"/>
          <w:bCs w:val="1"/>
          <w:u w:val="single" w:color="auto"/>
          <w:color w:val="auto"/>
        </w:rPr>
        <w:t>Governing Law; WAIVER OF TRIAL BY JURY</w:t>
      </w:r>
      <w:r>
        <w:rPr>
          <w:rFonts w:ascii="Arial" w:cs="Arial" w:eastAsia="Arial" w:hAnsi="Arial"/>
          <w:sz w:val="15"/>
          <w:szCs w:val="15"/>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61" w:lineRule="exact"/>
        <w:rPr>
          <w:sz w:val="20"/>
          <w:szCs w:val="20"/>
          <w:color w:val="auto"/>
        </w:rPr>
      </w:pPr>
    </w:p>
    <w:p>
      <w:pPr>
        <w:ind w:right="100" w:firstLine="385"/>
        <w:spacing w:after="0" w:line="306" w:lineRule="auto"/>
        <w:rPr>
          <w:sz w:val="20"/>
          <w:szCs w:val="20"/>
          <w:color w:val="auto"/>
        </w:rPr>
      </w:pPr>
      <w:r>
        <w:rPr>
          <w:rFonts w:ascii="Arial" w:cs="Arial" w:eastAsia="Arial" w:hAnsi="Arial"/>
          <w:sz w:val="15"/>
          <w:szCs w:val="15"/>
          <w:color w:val="auto"/>
        </w:rPr>
        <w:t xml:space="preserve">29.23 </w:t>
      </w:r>
      <w:r>
        <w:rPr>
          <w:rFonts w:ascii="Arial" w:cs="Arial" w:eastAsia="Arial" w:hAnsi="Arial"/>
          <w:sz w:val="15"/>
          <w:szCs w:val="15"/>
          <w:b w:val="1"/>
          <w:bCs w:val="1"/>
          <w:u w:val="single" w:color="auto"/>
          <w:color w:val="auto"/>
        </w:rPr>
        <w:t>Submission of Lease</w:t>
      </w:r>
      <w:r>
        <w:rPr>
          <w:rFonts w:ascii="Arial" w:cs="Arial" w:eastAsia="Arial" w:hAnsi="Arial"/>
          <w:sz w:val="15"/>
          <w:szCs w:val="15"/>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26" w:lineRule="exact"/>
        <w:rPr>
          <w:sz w:val="20"/>
          <w:szCs w:val="20"/>
          <w:color w:val="auto"/>
        </w:rPr>
      </w:pPr>
    </w:p>
    <w:p>
      <w:pPr>
        <w:ind w:right="60" w:firstLine="385"/>
        <w:spacing w:after="0" w:line="317" w:lineRule="auto"/>
        <w:rPr>
          <w:sz w:val="20"/>
          <w:szCs w:val="20"/>
          <w:color w:val="auto"/>
        </w:rPr>
      </w:pPr>
      <w:r>
        <w:rPr>
          <w:rFonts w:ascii="Arial" w:cs="Arial" w:eastAsia="Arial" w:hAnsi="Arial"/>
          <w:sz w:val="13"/>
          <w:szCs w:val="13"/>
          <w:color w:val="auto"/>
        </w:rPr>
        <w:t xml:space="preserve">29.24 </w:t>
      </w:r>
      <w:r>
        <w:rPr>
          <w:rFonts w:ascii="Arial" w:cs="Arial" w:eastAsia="Arial" w:hAnsi="Arial"/>
          <w:sz w:val="13"/>
          <w:szCs w:val="13"/>
          <w:b w:val="1"/>
          <w:bCs w:val="1"/>
          <w:u w:val="single" w:color="auto"/>
          <w:color w:val="auto"/>
        </w:rPr>
        <w:t>Brokers</w:t>
      </w:r>
      <w:r>
        <w:rPr>
          <w:rFonts w:ascii="Arial" w:cs="Arial" w:eastAsia="Arial" w:hAnsi="Arial"/>
          <w:sz w:val="13"/>
          <w:szCs w:val="13"/>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Brokers</w:t>
      </w:r>
      <w:r>
        <w:rPr>
          <w:rFonts w:ascii="Arial" w:cs="Arial" w:eastAsia="Arial" w:hAnsi="Arial"/>
          <w:sz w:val="13"/>
          <w:szCs w:val="13"/>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Arial" w:cs="Arial" w:eastAsia="Arial" w:hAnsi="Arial"/>
          <w:sz w:val="13"/>
          <w:szCs w:val="13"/>
          <w:u w:val="single" w:color="auto"/>
          <w:color w:val="auto"/>
        </w:rPr>
        <w:t>Section 29.24</w:t>
      </w:r>
      <w:r>
        <w:rPr>
          <w:rFonts w:ascii="Arial" w:cs="Arial" w:eastAsia="Arial" w:hAnsi="Arial"/>
          <w:sz w:val="13"/>
          <w:szCs w:val="13"/>
          <w:color w:val="auto"/>
        </w:rPr>
        <w:t xml:space="preserve"> shall survive the expiration or earlier termination of the Lease Term.</w:t>
      </w:r>
    </w:p>
    <w:p>
      <w:pPr>
        <w:spacing w:after="0" w:line="127" w:lineRule="exact"/>
        <w:rPr>
          <w:sz w:val="20"/>
          <w:szCs w:val="20"/>
          <w:color w:val="auto"/>
        </w:rPr>
      </w:pPr>
    </w:p>
    <w:p>
      <w:pPr>
        <w:ind w:firstLine="385"/>
        <w:spacing w:after="0" w:line="254" w:lineRule="auto"/>
        <w:rPr>
          <w:sz w:val="20"/>
          <w:szCs w:val="20"/>
          <w:color w:val="auto"/>
        </w:rPr>
      </w:pPr>
      <w:r>
        <w:rPr>
          <w:rFonts w:ascii="Arial" w:cs="Arial" w:eastAsia="Arial" w:hAnsi="Arial"/>
          <w:sz w:val="16"/>
          <w:szCs w:val="16"/>
          <w:color w:val="auto"/>
        </w:rPr>
        <w:t xml:space="preserve">29.25 </w:t>
      </w:r>
      <w:r>
        <w:rPr>
          <w:rFonts w:ascii="Arial" w:cs="Arial" w:eastAsia="Arial" w:hAnsi="Arial"/>
          <w:sz w:val="16"/>
          <w:szCs w:val="16"/>
          <w:b w:val="1"/>
          <w:bCs w:val="1"/>
          <w:u w:val="single" w:color="auto"/>
          <w:color w:val="auto"/>
        </w:rPr>
        <w:t>Independent Covenants</w:t>
      </w:r>
      <w:r>
        <w:rPr>
          <w:rFonts w:ascii="Arial" w:cs="Arial" w:eastAsia="Arial" w:hAnsi="Arial"/>
          <w:sz w:val="16"/>
          <w:szCs w:val="16"/>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29.26 </w:t>
      </w:r>
      <w:r>
        <w:rPr>
          <w:rFonts w:ascii="Arial" w:cs="Arial" w:eastAsia="Arial" w:hAnsi="Arial"/>
          <w:sz w:val="13"/>
          <w:szCs w:val="13"/>
          <w:b w:val="1"/>
          <w:bCs w:val="1"/>
          <w:u w:val="single" w:color="auto"/>
          <w:color w:val="auto"/>
        </w:rPr>
        <w:t>Project or Building Name, Address and Signage</w:t>
      </w:r>
      <w:r>
        <w:rPr>
          <w:rFonts w:ascii="Arial" w:cs="Arial" w:eastAsia="Arial" w:hAnsi="Arial"/>
          <w:sz w:val="13"/>
          <w:szCs w:val="13"/>
          <w:color w:val="auto"/>
        </w:rPr>
        <w:t>. Landlord shall have the right at any time to change the name and/or address of the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Project or Building (and Landlord shall reimburse Tenant its actual, reasonable costs incurred as a result of such change, if any) and, subject to</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23.1</w:t>
      </w:r>
      <w:r>
        <w:rPr>
          <w:rFonts w:ascii="Arial" w:cs="Arial" w:eastAsia="Arial" w:hAnsi="Arial"/>
          <w:sz w:val="13"/>
          <w:szCs w:val="13"/>
          <w:color w:val="auto"/>
        </w:rPr>
        <w:t>, to install, affix and maintain any and all signs on the exterior and on the interior of the Project or Building as Landlord may, in Landlord’s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sole discretion, desire. Tenant shall not use the name of the Project or Building or use pictures or illustrations of the Project or Building in advertising or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other publicity or for any purpose other than as the address of the business to be conducted by Tenant in the Premises, without the prior written consent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 Landlord.</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29.27 </w:t>
      </w: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Lease may be executed in counterparts with the same effect as if both parties hereto had executed the same document.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Both counterparts shall be construed together and shall constitute a single lease.</w:t>
      </w:r>
    </w:p>
    <w:p>
      <w:pPr>
        <w:spacing w:after="0" w:line="178" w:lineRule="exact"/>
        <w:rPr>
          <w:sz w:val="20"/>
          <w:szCs w:val="20"/>
          <w:color w:val="auto"/>
        </w:rPr>
      </w:pPr>
    </w:p>
    <w:p>
      <w:pPr>
        <w:ind w:right="380" w:firstLine="385"/>
        <w:spacing w:after="0" w:line="272" w:lineRule="auto"/>
        <w:rPr>
          <w:sz w:val="20"/>
          <w:szCs w:val="20"/>
          <w:color w:val="auto"/>
        </w:rPr>
      </w:pPr>
      <w:r>
        <w:rPr>
          <w:rFonts w:ascii="Arial" w:cs="Arial" w:eastAsia="Arial" w:hAnsi="Arial"/>
          <w:sz w:val="16"/>
          <w:szCs w:val="16"/>
          <w:color w:val="auto"/>
        </w:rPr>
        <w:t xml:space="preserve">29.28 </w:t>
      </w:r>
      <w:r>
        <w:rPr>
          <w:rFonts w:ascii="Arial" w:cs="Arial" w:eastAsia="Arial" w:hAnsi="Arial"/>
          <w:sz w:val="16"/>
          <w:szCs w:val="16"/>
          <w:b w:val="1"/>
          <w:bCs w:val="1"/>
          <w:u w:val="single" w:color="auto"/>
          <w:color w:val="auto"/>
        </w:rPr>
        <w:t>Good Faith</w:t>
      </w:r>
      <w:r>
        <w:rPr>
          <w:rFonts w:ascii="Arial" w:cs="Arial" w:eastAsia="Arial" w:hAnsi="Arial"/>
          <w:sz w:val="16"/>
          <w:szCs w:val="16"/>
          <w:color w:val="auto"/>
        </w:rPr>
        <w:t>. Except (i) for matters for which there is a standard of consent or discretion specifically set forth in this Lease; (ii) matters which could have an adverse effect on the Building Structure or the Building</w:t>
      </w:r>
    </w:p>
    <w:p>
      <w:pPr>
        <w:sectPr>
          <w:pgSz w:w="11900" w:h="16838" w:orient="portrait"/>
          <w:cols w:equalWidth="0" w:num="1">
            <w:col w:w="9620"/>
          </w:cols>
          <w:pgMar w:left="1140" w:top="251" w:right="1139" w:bottom="1440" w:gutter="0" w:footer="0" w:header="0"/>
        </w:sectPr>
      </w:pPr>
    </w:p>
    <w:bookmarkStart w:id="596" w:name="page597"/>
    <w:bookmarkEnd w:id="596"/>
    <w:p>
      <w:pPr>
        <w:ind w:right="2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Systems, or which could affect the exterior appearance of the Building, or (iii) matters covered by Article 4 (Additional Rent), or Article 19 (Defaults; Remedies) of this Lease (collectively, the “</w:t>
      </w:r>
      <w:r>
        <w:rPr>
          <w:rFonts w:ascii="Arial" w:cs="Arial" w:eastAsia="Arial" w:hAnsi="Arial"/>
          <w:sz w:val="16"/>
          <w:szCs w:val="16"/>
          <w:b w:val="1"/>
          <w:bCs w:val="1"/>
          <w:color w:val="auto"/>
        </w:rPr>
        <w:t>Excepted Matters</w:t>
      </w:r>
      <w:r>
        <w:rPr>
          <w:rFonts w:ascii="Arial" w:cs="Arial" w:eastAsia="Arial" w:hAnsi="Arial"/>
          <w:sz w:val="16"/>
          <w:szCs w:val="16"/>
          <w:color w:val="auto"/>
        </w:rPr>
        <w:t>”), any time the consent of Landlord or Tenant is required, such consent shall not be unreasonably withheld or delayed, and, except with regard to the Excepted Matters, whenever this Lease grants Landlord or Tenant the right to take action, exercise discretion, establish rules and regulations or make an allocation or other determination, Landlord and Tenant shall act reasonably and in good faith.</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29.29 </w:t>
      </w:r>
      <w:r>
        <w:rPr>
          <w:rFonts w:ascii="Arial" w:cs="Arial" w:eastAsia="Arial" w:hAnsi="Arial"/>
          <w:sz w:val="16"/>
          <w:szCs w:val="16"/>
          <w:b w:val="1"/>
          <w:bCs w:val="1"/>
          <w:u w:val="single" w:color="auto"/>
          <w:color w:val="auto"/>
        </w:rPr>
        <w:t>Development of the Project</w:t>
      </w:r>
      <w:r>
        <w:rPr>
          <w:rFonts w:ascii="Arial" w:cs="Arial" w:eastAsia="Arial" w:hAnsi="Arial"/>
          <w:sz w:val="16"/>
          <w:szCs w:val="16"/>
          <w:color w:val="auto"/>
        </w:rPr>
        <w:t>.</w:t>
      </w:r>
    </w:p>
    <w:p>
      <w:pPr>
        <w:spacing w:after="0" w:line="193" w:lineRule="exact"/>
        <w:rPr>
          <w:sz w:val="20"/>
          <w:szCs w:val="20"/>
          <w:color w:val="auto"/>
        </w:rPr>
      </w:pPr>
    </w:p>
    <w:p>
      <w:pPr>
        <w:ind w:right="100" w:firstLine="866"/>
        <w:spacing w:after="0" w:line="320" w:lineRule="auto"/>
        <w:rPr>
          <w:sz w:val="20"/>
          <w:szCs w:val="20"/>
          <w:color w:val="auto"/>
        </w:rPr>
      </w:pPr>
      <w:r>
        <w:rPr>
          <w:rFonts w:ascii="Arial" w:cs="Arial" w:eastAsia="Arial" w:hAnsi="Arial"/>
          <w:sz w:val="13"/>
          <w:szCs w:val="13"/>
          <w:color w:val="auto"/>
        </w:rPr>
        <w:t xml:space="preserve">29.29.1 </w:t>
      </w:r>
      <w:r>
        <w:rPr>
          <w:rFonts w:ascii="Arial" w:cs="Arial" w:eastAsia="Arial" w:hAnsi="Arial"/>
          <w:sz w:val="13"/>
          <w:szCs w:val="13"/>
          <w:b w:val="1"/>
          <w:bCs w:val="1"/>
          <w:u w:val="single" w:color="auto"/>
          <w:color w:val="auto"/>
        </w:rPr>
        <w:t>Subdivision</w:t>
      </w:r>
      <w:r>
        <w:rPr>
          <w:rFonts w:ascii="Arial" w:cs="Arial" w:eastAsia="Arial" w:hAnsi="Arial"/>
          <w:sz w:val="13"/>
          <w:szCs w:val="13"/>
          <w:color w:val="auto"/>
        </w:rPr>
        <w:t>. Landlord reserves the right to subdivide all or a portion of the buildings and Common Areas, so long as the same does not interfere with Tenant’s use of or access to the Premises or Tenant’s parking rights. Tenant agrees to execute and deliver, upon demand by Landlord and in the form requested by Landlord, any additional documents needed to conform this Lease to the circumstances resulting from a subdivision and any all maps in connection therewith, so long as the same does not increase Tenant’s obligations or decrease Tenant’s rights under this Lease.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125" w:lineRule="exact"/>
        <w:rPr>
          <w:sz w:val="20"/>
          <w:szCs w:val="20"/>
          <w:color w:val="auto"/>
        </w:rPr>
      </w:pPr>
    </w:p>
    <w:p>
      <w:pPr>
        <w:ind w:firstLine="866"/>
        <w:spacing w:after="0" w:line="320" w:lineRule="auto"/>
        <w:rPr>
          <w:sz w:val="20"/>
          <w:szCs w:val="20"/>
          <w:color w:val="auto"/>
        </w:rPr>
      </w:pPr>
      <w:r>
        <w:rPr>
          <w:rFonts w:ascii="Arial" w:cs="Arial" w:eastAsia="Arial" w:hAnsi="Arial"/>
          <w:sz w:val="13"/>
          <w:szCs w:val="13"/>
          <w:color w:val="auto"/>
        </w:rPr>
        <w:t xml:space="preserve">29.29.2 </w:t>
      </w:r>
      <w:r>
        <w:rPr>
          <w:rFonts w:ascii="Arial" w:cs="Arial" w:eastAsia="Arial" w:hAnsi="Arial"/>
          <w:sz w:val="13"/>
          <w:szCs w:val="13"/>
          <w:b w:val="1"/>
          <w:bCs w:val="1"/>
          <w:u w:val="single" w:color="auto"/>
          <w:color w:val="auto"/>
        </w:rPr>
        <w:t>Construction of Property and Other Improvements</w:t>
      </w:r>
      <w:r>
        <w:rPr>
          <w:rFonts w:ascii="Arial" w:cs="Arial" w:eastAsia="Arial" w:hAnsi="Arial"/>
          <w:sz w:val="13"/>
          <w:szCs w:val="13"/>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so long as the same does not interfere with Tenant’s use of or access to the Premises or Tenant’s parking rights. Landlord acknowledges that Tenant will have in the Premises a large vivarium with sensitivity to noise and vibration, and agrees that it shall use commercially reasonable efforts to minimize and mitigate noise and vibrations in connection with any such construction.</w:t>
      </w:r>
    </w:p>
    <w:p>
      <w:pPr>
        <w:spacing w:after="0" w:line="125" w:lineRule="exact"/>
        <w:rPr>
          <w:sz w:val="20"/>
          <w:szCs w:val="20"/>
          <w:color w:val="auto"/>
        </w:rPr>
      </w:pPr>
    </w:p>
    <w:p>
      <w:pPr>
        <w:ind w:firstLine="385"/>
        <w:spacing w:after="0" w:line="277" w:lineRule="auto"/>
        <w:rPr>
          <w:sz w:val="20"/>
          <w:szCs w:val="20"/>
          <w:color w:val="auto"/>
        </w:rPr>
      </w:pPr>
      <w:r>
        <w:rPr>
          <w:rFonts w:ascii="Arial" w:cs="Arial" w:eastAsia="Arial" w:hAnsi="Arial"/>
          <w:sz w:val="15"/>
          <w:szCs w:val="15"/>
          <w:color w:val="auto"/>
        </w:rPr>
        <w:t xml:space="preserve">29.30 </w:t>
      </w:r>
      <w:r>
        <w:rPr>
          <w:rFonts w:ascii="Arial" w:cs="Arial" w:eastAsia="Arial" w:hAnsi="Arial"/>
          <w:sz w:val="15"/>
          <w:szCs w:val="15"/>
          <w:b w:val="1"/>
          <w:bCs w:val="1"/>
          <w:u w:val="single" w:color="auto"/>
          <w:color w:val="auto"/>
        </w:rPr>
        <w:t>No Violation</w:t>
      </w:r>
      <w:r>
        <w:rPr>
          <w:rFonts w:ascii="Arial" w:cs="Arial" w:eastAsia="Arial" w:hAnsi="Arial"/>
          <w:sz w:val="15"/>
          <w:szCs w:val="15"/>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47" w:lineRule="exact"/>
        <w:rPr>
          <w:sz w:val="20"/>
          <w:szCs w:val="20"/>
          <w:color w:val="auto"/>
        </w:rPr>
      </w:pPr>
    </w:p>
    <w:p>
      <w:pPr>
        <w:ind w:firstLine="385"/>
        <w:spacing w:after="0" w:line="317" w:lineRule="auto"/>
        <w:rPr>
          <w:sz w:val="20"/>
          <w:szCs w:val="20"/>
          <w:color w:val="auto"/>
        </w:rPr>
      </w:pPr>
      <w:r>
        <w:rPr>
          <w:rFonts w:ascii="Arial" w:cs="Arial" w:eastAsia="Arial" w:hAnsi="Arial"/>
          <w:sz w:val="13"/>
          <w:szCs w:val="13"/>
          <w:color w:val="auto"/>
        </w:rPr>
        <w:t xml:space="preserve">29.31 </w:t>
      </w:r>
      <w:r>
        <w:rPr>
          <w:rFonts w:ascii="Arial" w:cs="Arial" w:eastAsia="Arial" w:hAnsi="Arial"/>
          <w:sz w:val="13"/>
          <w:szCs w:val="13"/>
          <w:b w:val="1"/>
          <w:bCs w:val="1"/>
          <w:u w:val="single" w:color="auto"/>
          <w:color w:val="auto"/>
        </w:rPr>
        <w:t>Transportation Management</w:t>
      </w:r>
      <w:r>
        <w:rPr>
          <w:rFonts w:ascii="Arial" w:cs="Arial" w:eastAsia="Arial" w:hAnsi="Arial"/>
          <w:sz w:val="13"/>
          <w:szCs w:val="13"/>
          <w:color w:val="auto"/>
        </w:rPr>
        <w:t>. 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ectPr>
          <w:pgSz w:w="11900" w:h="16838" w:orient="portrait"/>
          <w:cols w:equalWidth="0" w:num="1">
            <w:col w:w="9560"/>
          </w:cols>
          <w:pgMar w:left="1140" w:top="256" w:right="1199" w:bottom="1440" w:gutter="0" w:footer="0" w:header="0"/>
        </w:sectPr>
      </w:pPr>
    </w:p>
    <w:bookmarkStart w:id="597" w:name="page598"/>
    <w:bookmarkEnd w:id="597"/>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 WITNESS WHEREOF, Landlord and Tenant have caused this Lease to be executed the day and date first above written.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3"/>
          </w:tcPr>
          <w:p>
            <w:pPr>
              <w:spacing w:after="0"/>
              <w:rPr>
                <w:sz w:val="20"/>
                <w:szCs w:val="20"/>
                <w:color w:val="auto"/>
              </w:rPr>
            </w:pPr>
            <w:r>
              <w:rPr>
                <w:rFonts w:ascii="Arial" w:cs="Arial" w:eastAsia="Arial" w:hAnsi="Arial"/>
                <w:sz w:val="16"/>
                <w:szCs w:val="16"/>
                <w:color w:val="auto"/>
              </w:rPr>
              <w:t>LANDLORD:</w:t>
            </w:r>
          </w:p>
        </w:tc>
        <w:tc>
          <w:tcPr>
            <w:tcW w:w="5220" w:type="dxa"/>
            <w:vAlign w:val="bottom"/>
            <w:gridSpan w:val="5"/>
          </w:tcPr>
          <w:p>
            <w:pPr>
              <w:ind w:left="620"/>
              <w:spacing w:after="0"/>
              <w:rPr>
                <w:sz w:val="20"/>
                <w:szCs w:val="20"/>
                <w:color w:val="auto"/>
              </w:rPr>
            </w:pPr>
            <w:r>
              <w:rPr>
                <w:rFonts w:ascii="Arial" w:cs="Arial" w:eastAsia="Arial" w:hAnsi="Arial"/>
                <w:sz w:val="16"/>
                <w:szCs w:val="16"/>
                <w:color w:val="auto"/>
              </w:rPr>
              <w:t>TENANT:</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80"/>
        </w:trPr>
        <w:tc>
          <w:tcPr>
            <w:tcW w:w="4400" w:type="dxa"/>
            <w:vAlign w:val="bottom"/>
            <w:gridSpan w:val="3"/>
          </w:tcPr>
          <w:p>
            <w:pPr>
              <w:spacing w:after="0"/>
              <w:rPr>
                <w:sz w:val="20"/>
                <w:szCs w:val="20"/>
                <w:color w:val="auto"/>
              </w:rPr>
            </w:pPr>
            <w:r>
              <w:rPr>
                <w:rFonts w:ascii="Arial" w:cs="Arial" w:eastAsia="Arial" w:hAnsi="Arial"/>
                <w:sz w:val="16"/>
                <w:szCs w:val="16"/>
                <w:color w:val="auto"/>
              </w:rPr>
              <w:t>HCP OYSTER POINT III LLC,</w:t>
            </w:r>
          </w:p>
        </w:tc>
        <w:tc>
          <w:tcPr>
            <w:tcW w:w="5220" w:type="dxa"/>
            <w:vAlign w:val="bottom"/>
            <w:gridSpan w:val="5"/>
          </w:tcPr>
          <w:p>
            <w:pPr>
              <w:ind w:left="620"/>
              <w:spacing w:after="0"/>
              <w:rPr>
                <w:sz w:val="20"/>
                <w:szCs w:val="20"/>
                <w:color w:val="auto"/>
              </w:rPr>
            </w:pPr>
            <w:r>
              <w:rPr>
                <w:rFonts w:ascii="Arial" w:cs="Arial" w:eastAsia="Arial" w:hAnsi="Arial"/>
                <w:sz w:val="16"/>
                <w:szCs w:val="16"/>
                <w:color w:val="auto"/>
              </w:rPr>
              <w:t>THE COLUMN GROUP, LLC,</w:t>
            </w:r>
          </w:p>
        </w:tc>
      </w:tr>
      <w:tr>
        <w:trPr>
          <w:trHeight w:val="200"/>
        </w:trPr>
        <w:tc>
          <w:tcPr>
            <w:tcW w:w="4400" w:type="dxa"/>
            <w:vAlign w:val="bottom"/>
            <w:gridSpan w:val="3"/>
          </w:tcPr>
          <w:p>
            <w:pPr>
              <w:spacing w:after="0"/>
              <w:rPr>
                <w:sz w:val="20"/>
                <w:szCs w:val="20"/>
                <w:color w:val="auto"/>
              </w:rPr>
            </w:pPr>
            <w:r>
              <w:rPr>
                <w:rFonts w:ascii="Arial" w:cs="Arial" w:eastAsia="Arial" w:hAnsi="Arial"/>
                <w:sz w:val="16"/>
                <w:szCs w:val="16"/>
                <w:color w:val="auto"/>
              </w:rPr>
              <w:t>a Delaware limited liability company</w:t>
            </w:r>
          </w:p>
        </w:tc>
        <w:tc>
          <w:tcPr>
            <w:tcW w:w="5220" w:type="dxa"/>
            <w:vAlign w:val="bottom"/>
            <w:gridSpan w:val="5"/>
          </w:tcPr>
          <w:p>
            <w:pPr>
              <w:ind w:left="620"/>
              <w:spacing w:after="0"/>
              <w:rPr>
                <w:sz w:val="20"/>
                <w:szCs w:val="20"/>
                <w:color w:val="auto"/>
              </w:rPr>
            </w:pPr>
            <w:r>
              <w:rPr>
                <w:rFonts w:ascii="Arial" w:cs="Arial" w:eastAsia="Arial" w:hAnsi="Arial"/>
                <w:sz w:val="16"/>
                <w:szCs w:val="16"/>
                <w:color w:val="auto"/>
              </w:rPr>
              <w:t>a Delaware limited liability company</w:t>
            </w:r>
          </w:p>
        </w:tc>
      </w:tr>
      <w:tr>
        <w:trPr>
          <w:trHeight w:val="389"/>
        </w:trPr>
        <w:tc>
          <w:tcPr>
            <w:tcW w:w="4400" w:type="dxa"/>
            <w:vAlign w:val="bottom"/>
            <w:gridSpan w:val="3"/>
          </w:tcPr>
          <w:p>
            <w:pPr>
              <w:spacing w:after="0"/>
              <w:rPr>
                <w:sz w:val="20"/>
                <w:szCs w:val="20"/>
                <w:color w:val="auto"/>
              </w:rPr>
            </w:pPr>
            <w:r>
              <w:rPr>
                <w:rFonts w:ascii="Arial" w:cs="Arial" w:eastAsia="Arial" w:hAnsi="Arial"/>
                <w:sz w:val="16"/>
                <w:szCs w:val="16"/>
                <w:color w:val="auto"/>
              </w:rPr>
              <w:t>By:  /s/ Jonathan M. Bergschneider</w:t>
            </w: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By:</w:t>
            </w:r>
          </w:p>
        </w:tc>
        <w:tc>
          <w:tcPr>
            <w:tcW w:w="4040" w:type="dxa"/>
            <w:vAlign w:val="bottom"/>
            <w:gridSpan w:val="3"/>
          </w:tcPr>
          <w:p>
            <w:pPr>
              <w:spacing w:after="0"/>
              <w:rPr>
                <w:sz w:val="20"/>
                <w:szCs w:val="20"/>
                <w:color w:val="auto"/>
              </w:rPr>
            </w:pPr>
            <w:r>
              <w:rPr>
                <w:rFonts w:ascii="Arial" w:cs="Arial" w:eastAsia="Arial" w:hAnsi="Arial"/>
                <w:sz w:val="16"/>
                <w:szCs w:val="16"/>
                <w:color w:val="auto"/>
              </w:rPr>
              <w:t>/s/ David V. Goeddel</w:t>
            </w:r>
          </w:p>
        </w:tc>
      </w:tr>
      <w:tr>
        <w:trPr>
          <w:trHeight w:val="181"/>
        </w:trPr>
        <w:tc>
          <w:tcPr>
            <w:tcW w:w="380" w:type="dxa"/>
            <w:vAlign w:val="bottom"/>
          </w:tcPr>
          <w:p>
            <w:pPr>
              <w:spacing w:after="0"/>
              <w:rPr>
                <w:sz w:val="15"/>
                <w:szCs w:val="15"/>
                <w:color w:val="auto"/>
              </w:rPr>
            </w:pPr>
          </w:p>
        </w:tc>
        <w:tc>
          <w:tcPr>
            <w:tcW w:w="4020" w:type="dxa"/>
            <w:vAlign w:val="bottom"/>
            <w:tcBorders>
              <w:top w:val="single" w:sz="8" w:color="auto"/>
            </w:tcBorders>
            <w:gridSpan w:val="2"/>
          </w:tcPr>
          <w:p>
            <w:pPr>
              <w:spacing w:after="0" w:line="181" w:lineRule="exact"/>
              <w:rPr>
                <w:sz w:val="20"/>
                <w:szCs w:val="20"/>
                <w:color w:val="auto"/>
              </w:rPr>
            </w:pPr>
            <w:r>
              <w:rPr>
                <w:rFonts w:ascii="Arial" w:cs="Arial" w:eastAsia="Arial" w:hAnsi="Arial"/>
                <w:sz w:val="16"/>
                <w:szCs w:val="16"/>
                <w:color w:val="auto"/>
              </w:rPr>
              <w:t>Jonathan M. Bergschneider</w:t>
            </w:r>
          </w:p>
        </w:tc>
        <w:tc>
          <w:tcPr>
            <w:tcW w:w="1180" w:type="dxa"/>
            <w:vAlign w:val="bottom"/>
            <w:gridSpan w:val="2"/>
          </w:tcPr>
          <w:p>
            <w:pPr>
              <w:ind w:left="620"/>
              <w:spacing w:after="0" w:line="181" w:lineRule="exact"/>
              <w:rPr>
                <w:sz w:val="20"/>
                <w:szCs w:val="20"/>
                <w:color w:val="auto"/>
              </w:rPr>
            </w:pPr>
            <w:r>
              <w:rPr>
                <w:rFonts w:ascii="Arial" w:cs="Arial" w:eastAsia="Arial" w:hAnsi="Arial"/>
                <w:sz w:val="16"/>
                <w:szCs w:val="16"/>
                <w:color w:val="auto"/>
              </w:rPr>
              <w:t>Name:</w:t>
            </w:r>
          </w:p>
        </w:tc>
        <w:tc>
          <w:tcPr>
            <w:tcW w:w="20" w:type="dxa"/>
            <w:vAlign w:val="bottom"/>
          </w:tcPr>
          <w:p>
            <w:pPr>
              <w:spacing w:after="0"/>
              <w:rPr>
                <w:sz w:val="15"/>
                <w:szCs w:val="15"/>
                <w:color w:val="auto"/>
              </w:rPr>
            </w:pPr>
          </w:p>
        </w:tc>
        <w:tc>
          <w:tcPr>
            <w:tcW w:w="4020" w:type="dxa"/>
            <w:vAlign w:val="bottom"/>
            <w:tcBorders>
              <w:top w:val="single" w:sz="8" w:color="auto"/>
            </w:tcBorders>
            <w:gridSpan w:val="2"/>
          </w:tcPr>
          <w:p>
            <w:pPr>
              <w:spacing w:after="0" w:line="181" w:lineRule="exact"/>
              <w:rPr>
                <w:sz w:val="20"/>
                <w:szCs w:val="20"/>
                <w:color w:val="auto"/>
              </w:rPr>
            </w:pPr>
            <w:r>
              <w:rPr>
                <w:rFonts w:ascii="Arial" w:cs="Arial" w:eastAsia="Arial" w:hAnsi="Arial"/>
                <w:sz w:val="16"/>
                <w:szCs w:val="16"/>
                <w:color w:val="auto"/>
              </w:rPr>
              <w:t>David V. Goeddel</w:t>
            </w:r>
          </w:p>
        </w:tc>
      </w:tr>
      <w:tr>
        <w:trPr>
          <w:trHeight w:val="200"/>
        </w:trPr>
        <w:tc>
          <w:tcPr>
            <w:tcW w:w="38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Executive Vice President</w:t>
            </w: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Its:</w:t>
            </w:r>
          </w:p>
        </w:tc>
        <w:tc>
          <w:tcPr>
            <w:tcW w:w="4040" w:type="dxa"/>
            <w:vAlign w:val="bottom"/>
            <w:gridSpan w:val="3"/>
          </w:tcPr>
          <w:p>
            <w:pPr>
              <w:spacing w:after="0"/>
              <w:rPr>
                <w:sz w:val="20"/>
                <w:szCs w:val="20"/>
                <w:color w:val="auto"/>
              </w:rPr>
            </w:pPr>
            <w:r>
              <w:rPr>
                <w:rFonts w:ascii="Arial" w:cs="Arial" w:eastAsia="Arial" w:hAnsi="Arial"/>
                <w:sz w:val="16"/>
                <w:szCs w:val="16"/>
                <w:color w:val="auto"/>
              </w:rPr>
              <w:t>Managing Director</w:t>
            </w:r>
          </w:p>
        </w:tc>
      </w:tr>
      <w:tr>
        <w:trPr>
          <w:trHeight w:val="377"/>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By:</w:t>
            </w:r>
          </w:p>
        </w:tc>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James Evangelista</w:t>
            </w:r>
          </w:p>
        </w:tc>
      </w:tr>
      <w:tr>
        <w:trPr>
          <w:trHeight w:val="181"/>
        </w:trPr>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80" w:type="dxa"/>
            <w:vAlign w:val="bottom"/>
            <w:gridSpan w:val="2"/>
          </w:tcPr>
          <w:p>
            <w:pPr>
              <w:ind w:left="620"/>
              <w:spacing w:after="0" w:line="181" w:lineRule="exact"/>
              <w:rPr>
                <w:sz w:val="20"/>
                <w:szCs w:val="20"/>
                <w:color w:val="auto"/>
              </w:rPr>
            </w:pPr>
            <w:r>
              <w:rPr>
                <w:rFonts w:ascii="Arial" w:cs="Arial" w:eastAsia="Arial" w:hAnsi="Arial"/>
                <w:sz w:val="16"/>
                <w:szCs w:val="16"/>
                <w:color w:val="auto"/>
              </w:rPr>
              <w:t>Name:</w:t>
            </w:r>
          </w:p>
        </w:tc>
        <w:tc>
          <w:tcPr>
            <w:tcW w:w="4040" w:type="dxa"/>
            <w:vAlign w:val="bottom"/>
            <w:gridSpan w:val="3"/>
          </w:tcPr>
          <w:p>
            <w:pPr>
              <w:spacing w:after="0" w:line="181" w:lineRule="exact"/>
              <w:rPr>
                <w:sz w:val="20"/>
                <w:szCs w:val="20"/>
                <w:color w:val="auto"/>
              </w:rPr>
            </w:pPr>
            <w:r>
              <w:rPr>
                <w:rFonts w:ascii="Arial" w:cs="Arial" w:eastAsia="Arial" w:hAnsi="Arial"/>
                <w:sz w:val="16"/>
                <w:szCs w:val="16"/>
                <w:color w:val="auto"/>
              </w:rPr>
              <w:t>James Evangelista</w:t>
            </w:r>
          </w:p>
        </w:tc>
      </w:tr>
      <w:tr>
        <w:trPr>
          <w:trHeight w:val="200"/>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Its:</w:t>
            </w:r>
          </w:p>
        </w:tc>
        <w:tc>
          <w:tcPr>
            <w:tcW w:w="4040" w:type="dxa"/>
            <w:vAlign w:val="bottom"/>
            <w:gridSpan w:val="3"/>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9620"/>
          </w:cols>
          <w:pgMar w:left="1140" w:top="256" w:right="1139" w:bottom="1440" w:gutter="0" w:footer="0" w:header="0"/>
        </w:sectPr>
      </w:pPr>
    </w:p>
    <w:bookmarkStart w:id="598" w:name="page599"/>
    <w:bookmarkEnd w:id="598"/>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93" w:lineRule="exact"/>
        <w:rPr>
          <w:sz w:val="20"/>
          <w:szCs w:val="20"/>
          <w:color w:val="auto"/>
        </w:rPr>
      </w:pPr>
    </w:p>
    <w:p>
      <w:pPr>
        <w:ind w:left="2740"/>
        <w:spacing w:after="0"/>
        <w:rPr>
          <w:sz w:val="20"/>
          <w:szCs w:val="20"/>
          <w:color w:val="auto"/>
        </w:rPr>
      </w:pPr>
      <w:r>
        <w:rPr>
          <w:rFonts w:ascii="Arial" w:cs="Arial" w:eastAsia="Arial" w:hAnsi="Arial"/>
          <w:sz w:val="15"/>
          <w:szCs w:val="15"/>
          <w:b w:val="1"/>
          <w:bCs w:val="1"/>
          <w:u w:val="single" w:color="auto"/>
          <w:color w:val="auto"/>
        </w:rPr>
        <w:t>OUTLINE OF PREMISES; PROJECT SITE PLAN</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5"/>
          <w:szCs w:val="15"/>
          <w:color w:val="auto"/>
        </w:rPr>
        <w:t>**floor plan below is representative to show the outline of Premises and is not a final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153035</wp:posOffset>
            </wp:positionV>
            <wp:extent cx="3855720" cy="50984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855720" cy="509841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599" w:name="page600"/>
    <w:bookmarkEnd w:id="599"/>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TENANT WORK LETTER</w:t>
      </w:r>
    </w:p>
    <w:p>
      <w:pPr>
        <w:spacing w:after="0" w:line="193" w:lineRule="exact"/>
        <w:rPr>
          <w:sz w:val="20"/>
          <w:szCs w:val="20"/>
          <w:color w:val="auto"/>
        </w:rPr>
      </w:pPr>
    </w:p>
    <w:p>
      <w:pPr>
        <w:ind w:left="540" w:hanging="162"/>
        <w:spacing w:after="0"/>
        <w:tabs>
          <w:tab w:leader="none" w:pos="540" w:val="left"/>
        </w:tabs>
        <w:numPr>
          <w:ilvl w:val="0"/>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As used in this Tenant Work Letter, the following capitalized terms have the following meanings:</w:t>
      </w:r>
    </w:p>
    <w:p>
      <w:pPr>
        <w:spacing w:after="0" w:line="193" w:lineRule="exact"/>
        <w:rPr>
          <w:rFonts w:ascii="Arial" w:cs="Arial" w:eastAsia="Arial" w:hAnsi="Arial"/>
          <w:sz w:val="16"/>
          <w:szCs w:val="16"/>
          <w:color w:val="auto"/>
        </w:rPr>
      </w:pPr>
    </w:p>
    <w:p>
      <w:pPr>
        <w:ind w:right="40" w:firstLine="860"/>
        <w:spacing w:after="0" w:line="259" w:lineRule="auto"/>
        <w:tabs>
          <w:tab w:leader="none" w:pos="1079"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Approved TI Plans</w:t>
      </w:r>
      <w:r>
        <w:rPr>
          <w:rFonts w:ascii="Arial" w:cs="Arial" w:eastAsia="Arial" w:hAnsi="Arial"/>
          <w:sz w:val="16"/>
          <w:szCs w:val="16"/>
          <w:color w:val="auto"/>
        </w:rPr>
        <w:t>: Plans and specifications prepared by the applicable Architect for the Tenant Improvements and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in accordance with Paragraph 2 of this Tenant Work Letter, subject to further modification from time to time to the extent provided in and in accordance with such Paragraph 2.</w:t>
      </w:r>
    </w:p>
    <w:p>
      <w:pPr>
        <w:spacing w:after="0" w:line="158" w:lineRule="exact"/>
        <w:rPr>
          <w:rFonts w:ascii="Arial" w:cs="Arial" w:eastAsia="Arial" w:hAnsi="Arial"/>
          <w:sz w:val="16"/>
          <w:szCs w:val="16"/>
          <w:color w:val="auto"/>
        </w:rPr>
      </w:pPr>
    </w:p>
    <w:p>
      <w:pPr>
        <w:ind w:right="540" w:firstLine="860"/>
        <w:spacing w:after="0" w:line="272" w:lineRule="auto"/>
        <w:tabs>
          <w:tab w:leader="none" w:pos="1088"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Architect</w:t>
      </w:r>
      <w:r>
        <w:rPr>
          <w:rFonts w:ascii="Arial" w:cs="Arial" w:eastAsia="Arial" w:hAnsi="Arial"/>
          <w:sz w:val="16"/>
          <w:szCs w:val="16"/>
          <w:color w:val="auto"/>
        </w:rPr>
        <w:t>: Landlord shall engage DGA with respect to any Tenant Improvements which Landlord is to cause to be constructed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Tenant Work Letter.</w:t>
      </w:r>
    </w:p>
    <w:p>
      <w:pPr>
        <w:spacing w:after="0" w:line="148" w:lineRule="exact"/>
        <w:rPr>
          <w:rFonts w:ascii="Arial" w:cs="Arial" w:eastAsia="Arial" w:hAnsi="Arial"/>
          <w:sz w:val="16"/>
          <w:szCs w:val="16"/>
          <w:color w:val="auto"/>
        </w:rPr>
      </w:pPr>
    </w:p>
    <w:p>
      <w:pPr>
        <w:ind w:left="1080" w:hanging="220"/>
        <w:spacing w:after="0"/>
        <w:tabs>
          <w:tab w:leader="none" w:pos="1080"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 Change Request</w:t>
      </w:r>
      <w:r>
        <w:rPr>
          <w:rFonts w:ascii="Arial" w:cs="Arial" w:eastAsia="Arial" w:hAnsi="Arial"/>
          <w:sz w:val="16"/>
          <w:szCs w:val="16"/>
          <w:color w:val="auto"/>
        </w:rPr>
        <w:t>: See definition in Paragraph 2(c)(ii) hereof.</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Final TI Working Drawings</w:t>
      </w:r>
      <w:r>
        <w:rPr>
          <w:rFonts w:ascii="Arial" w:cs="Arial" w:eastAsia="Arial" w:hAnsi="Arial"/>
          <w:sz w:val="16"/>
          <w:szCs w:val="16"/>
          <w:color w:val="auto"/>
        </w:rPr>
        <w:t>: See definition in Paragraph 2(a) hereof.</w:t>
      </w:r>
    </w:p>
    <w:p>
      <w:pPr>
        <w:spacing w:after="0" w:line="193" w:lineRule="exact"/>
        <w:rPr>
          <w:rFonts w:ascii="Arial" w:cs="Arial" w:eastAsia="Arial" w:hAnsi="Arial"/>
          <w:sz w:val="16"/>
          <w:szCs w:val="16"/>
          <w:color w:val="auto"/>
        </w:rPr>
      </w:pPr>
    </w:p>
    <w:p>
      <w:pPr>
        <w:ind w:right="420" w:firstLine="860"/>
        <w:spacing w:after="0" w:line="272" w:lineRule="auto"/>
        <w:tabs>
          <w:tab w:leader="none" w:pos="1079"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Contractor</w:t>
      </w:r>
      <w:r>
        <w:rPr>
          <w:rFonts w:ascii="Arial" w:cs="Arial" w:eastAsia="Arial" w:hAnsi="Arial"/>
          <w:sz w:val="16"/>
          <w:szCs w:val="16"/>
          <w:color w:val="auto"/>
        </w:rPr>
        <w:t>: The general contractor reasonably selected by Landlord with respect to Landlord’s TI Work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2(c) below. Tenant shall have no right to direct or control such General Contractor.</w:t>
      </w:r>
    </w:p>
    <w:p>
      <w:pPr>
        <w:spacing w:after="0" w:line="148" w:lineRule="exact"/>
        <w:rPr>
          <w:rFonts w:ascii="Arial" w:cs="Arial" w:eastAsia="Arial" w:hAnsi="Arial"/>
          <w:sz w:val="16"/>
          <w:szCs w:val="16"/>
          <w:color w:val="auto"/>
        </w:rPr>
      </w:pPr>
    </w:p>
    <w:p>
      <w:pPr>
        <w:ind w:right="220" w:firstLine="860"/>
        <w:spacing w:after="0" w:line="272" w:lineRule="auto"/>
        <w:tabs>
          <w:tab w:leader="none" w:pos="1062"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Landlord’s TI Work</w:t>
      </w:r>
      <w:r>
        <w:rPr>
          <w:rFonts w:ascii="Arial" w:cs="Arial" w:eastAsia="Arial" w:hAnsi="Arial"/>
          <w:sz w:val="16"/>
          <w:szCs w:val="16"/>
          <w:color w:val="auto"/>
        </w:rPr>
        <w:t>: Any Tenant Improvements which Landlord is to construct or install pursuant to this Tenant Work Letter or by</w:t>
      </w:r>
      <w:r>
        <w:rPr>
          <w:rFonts w:ascii="Arial" w:cs="Arial" w:eastAsia="Arial" w:hAnsi="Arial"/>
          <w:sz w:val="16"/>
          <w:szCs w:val="16"/>
          <w:b w:val="1"/>
          <w:bCs w:val="1"/>
          <w:color w:val="auto"/>
        </w:rPr>
        <w:t xml:space="preserve"> </w:t>
      </w:r>
      <w:r>
        <w:rPr>
          <w:rFonts w:ascii="Arial" w:cs="Arial" w:eastAsia="Arial" w:hAnsi="Arial"/>
          <w:sz w:val="16"/>
          <w:szCs w:val="16"/>
          <w:color w:val="auto"/>
        </w:rPr>
        <w:t>mutual agreement of Landlord and Tenant from time to time.</w:t>
      </w:r>
    </w:p>
    <w:p>
      <w:pPr>
        <w:spacing w:after="0" w:line="148" w:lineRule="exact"/>
        <w:rPr>
          <w:rFonts w:ascii="Arial" w:cs="Arial" w:eastAsia="Arial" w:hAnsi="Arial"/>
          <w:sz w:val="16"/>
          <w:szCs w:val="16"/>
          <w:color w:val="auto"/>
        </w:rPr>
      </w:pPr>
    </w:p>
    <w:p>
      <w:pPr>
        <w:ind w:right="220" w:firstLine="860"/>
        <w:spacing w:after="0" w:line="259" w:lineRule="auto"/>
        <w:tabs>
          <w:tab w:leader="none" w:pos="1088"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Project Manager</w:t>
      </w:r>
      <w:r>
        <w:rPr>
          <w:rFonts w:ascii="Arial" w:cs="Arial" w:eastAsia="Arial" w:hAnsi="Arial"/>
          <w:sz w:val="16"/>
          <w:szCs w:val="16"/>
          <w:color w:val="auto"/>
        </w:rPr>
        <w:t>. Project Management Advisors, Inc., or any other project manager designated by Landlord in its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from time to time to act in a supervisory, oversight, project management or other similar capacity on behalf of Landlord in connection with the design and/or construction of the Tenant Improvements.</w:t>
      </w:r>
    </w:p>
    <w:p>
      <w:pPr>
        <w:spacing w:after="0" w:line="158" w:lineRule="exact"/>
        <w:rPr>
          <w:rFonts w:ascii="Arial" w:cs="Arial" w:eastAsia="Arial" w:hAnsi="Arial"/>
          <w:sz w:val="16"/>
          <w:szCs w:val="16"/>
          <w:color w:val="auto"/>
        </w:rPr>
      </w:pPr>
    </w:p>
    <w:p>
      <w:pPr>
        <w:ind w:firstLine="860"/>
        <w:spacing w:after="0" w:line="346" w:lineRule="auto"/>
        <w:tabs>
          <w:tab w:leader="none" w:pos="1088" w:val="left"/>
        </w:tabs>
        <w:numPr>
          <w:ilvl w:val="1"/>
          <w:numId w:val="440"/>
        </w:numPr>
        <w:rPr>
          <w:rFonts w:ascii="Arial" w:cs="Arial" w:eastAsia="Arial" w:hAnsi="Arial"/>
          <w:sz w:val="13"/>
          <w:szCs w:val="13"/>
          <w:color w:val="auto"/>
        </w:rPr>
      </w:pPr>
      <w:r>
        <w:rPr>
          <w:rFonts w:ascii="Arial" w:cs="Arial" w:eastAsia="Arial" w:hAnsi="Arial"/>
          <w:sz w:val="13"/>
          <w:szCs w:val="13"/>
          <w:b w:val="1"/>
          <w:bCs w:val="1"/>
          <w:u w:val="single" w:color="auto"/>
          <w:color w:val="auto"/>
        </w:rPr>
        <w:t>Punch List Work</w:t>
      </w:r>
      <w:r>
        <w:rPr>
          <w:rFonts w:ascii="Arial" w:cs="Arial" w:eastAsia="Arial" w:hAnsi="Arial"/>
          <w:sz w:val="13"/>
          <w:szCs w:val="13"/>
          <w:color w:val="auto"/>
        </w:rPr>
        <w:t>: Minor corrections of construction or decoration details, and minor mechanical adjustments, that are required in</w:t>
      </w:r>
      <w:r>
        <w:rPr>
          <w:rFonts w:ascii="Arial" w:cs="Arial" w:eastAsia="Arial" w:hAnsi="Arial"/>
          <w:sz w:val="13"/>
          <w:szCs w:val="13"/>
          <w:b w:val="1"/>
          <w:bCs w:val="1"/>
          <w:color w:val="auto"/>
        </w:rPr>
        <w:t xml:space="preserve"> </w:t>
      </w:r>
      <w:r>
        <w:rPr>
          <w:rFonts w:ascii="Arial" w:cs="Arial" w:eastAsia="Arial" w:hAnsi="Arial"/>
          <w:sz w:val="13"/>
          <w:szCs w:val="13"/>
          <w:color w:val="auto"/>
        </w:rPr>
        <w:t>order to cause any applicable portion of the Tenant Improvements or Landlord’s Work as constructed to conform to the Approved TI Plans or this Tenant Work Letter in all material respects and that do not materially interfere with Tenant’s use or occupancy of the Building and the Premises.</w:t>
      </w:r>
    </w:p>
    <w:p>
      <w:pPr>
        <w:spacing w:after="0" w:line="107" w:lineRule="exact"/>
        <w:rPr>
          <w:rFonts w:ascii="Arial" w:cs="Arial" w:eastAsia="Arial" w:hAnsi="Arial"/>
          <w:sz w:val="13"/>
          <w:szCs w:val="13"/>
          <w:color w:val="auto"/>
        </w:rPr>
      </w:pPr>
    </w:p>
    <w:p>
      <w:pPr>
        <w:ind w:left="1040" w:hanging="180"/>
        <w:spacing w:after="0"/>
        <w:tabs>
          <w:tab w:leader="none" w:pos="1040"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Substantial Completion Certificate</w:t>
      </w:r>
      <w:r>
        <w:rPr>
          <w:rFonts w:ascii="Arial" w:cs="Arial" w:eastAsia="Arial" w:hAnsi="Arial"/>
          <w:sz w:val="16"/>
          <w:szCs w:val="16"/>
          <w:color w:val="auto"/>
        </w:rPr>
        <w:t>: See definition in Paragraph 3(a) hereof.</w:t>
      </w:r>
    </w:p>
    <w:p>
      <w:pPr>
        <w:spacing w:after="0" w:line="193" w:lineRule="exact"/>
        <w:rPr>
          <w:rFonts w:ascii="Arial" w:cs="Arial" w:eastAsia="Arial" w:hAnsi="Arial"/>
          <w:sz w:val="16"/>
          <w:szCs w:val="16"/>
          <w:color w:val="auto"/>
        </w:rPr>
      </w:pPr>
    </w:p>
    <w:p>
      <w:pPr>
        <w:ind w:right="60" w:firstLine="860"/>
        <w:spacing w:after="0" w:line="306" w:lineRule="auto"/>
        <w:tabs>
          <w:tab w:leader="none" w:pos="1053" w:val="left"/>
        </w:tabs>
        <w:numPr>
          <w:ilvl w:val="1"/>
          <w:numId w:val="440"/>
        </w:numPr>
        <w:rPr>
          <w:rFonts w:ascii="Arial" w:cs="Arial" w:eastAsia="Arial" w:hAnsi="Arial"/>
          <w:sz w:val="15"/>
          <w:szCs w:val="15"/>
          <w:color w:val="auto"/>
        </w:rPr>
      </w:pPr>
      <w:r>
        <w:rPr>
          <w:rFonts w:ascii="Arial" w:cs="Arial" w:eastAsia="Arial" w:hAnsi="Arial"/>
          <w:sz w:val="15"/>
          <w:szCs w:val="15"/>
          <w:b w:val="1"/>
          <w:bCs w:val="1"/>
          <w:u w:val="single" w:color="auto"/>
          <w:color w:val="auto"/>
        </w:rPr>
        <w:t>Tenant Delay</w:t>
      </w:r>
      <w:r>
        <w:rPr>
          <w:rFonts w:ascii="Arial" w:cs="Arial" w:eastAsia="Arial" w:hAnsi="Arial"/>
          <w:sz w:val="15"/>
          <w:szCs w:val="15"/>
          <w:color w:val="auto"/>
        </w:rPr>
        <w:t>: Any of the following types of delay in the completion of construction of Landlord’s TI Work (but in each instance, only</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that any of the following has actually and proximately caused substantial completion of Landlord’s TI Work to be delayed):</w:t>
      </w:r>
    </w:p>
    <w:p>
      <w:pPr>
        <w:spacing w:after="0" w:line="35" w:lineRule="exact"/>
        <w:rPr>
          <w:rFonts w:ascii="Arial" w:cs="Arial" w:eastAsia="Arial" w:hAnsi="Arial"/>
          <w:sz w:val="15"/>
          <w:szCs w:val="15"/>
          <w:color w:val="auto"/>
        </w:rPr>
      </w:pPr>
    </w:p>
    <w:p>
      <w:pPr>
        <w:ind w:left="860" w:right="80" w:firstLine="350"/>
        <w:spacing w:after="0" w:line="256" w:lineRule="auto"/>
        <w:tabs>
          <w:tab w:leader="none" w:pos="1398" w:val="left"/>
        </w:tabs>
        <w:numPr>
          <w:ilvl w:val="2"/>
          <w:numId w:val="440"/>
        </w:numPr>
        <w:rPr>
          <w:rFonts w:ascii="Arial" w:cs="Arial" w:eastAsia="Arial" w:hAnsi="Arial"/>
          <w:sz w:val="16"/>
          <w:szCs w:val="16"/>
          <w:color w:val="auto"/>
        </w:rPr>
      </w:pPr>
      <w:r>
        <w:rPr>
          <w:rFonts w:ascii="Arial" w:cs="Arial" w:eastAsia="Arial" w:hAnsi="Arial"/>
          <w:sz w:val="16"/>
          <w:szCs w:val="16"/>
          <w:color w:val="auto"/>
        </w:rPr>
        <w:t>Any delay resulting from Tenant’s failure to furnish, in a timely manner, information reasonably requested by Landlord or by Landlord’s Project Manager in connection with the design or construction of Landlord’s TI Work, or from Tenant’s failure to approve in a timely manner any matters requiring approval by Tenant;</w:t>
      </w:r>
    </w:p>
    <w:p>
      <w:pPr>
        <w:spacing w:after="0" w:line="71" w:lineRule="exact"/>
        <w:rPr>
          <w:rFonts w:ascii="Arial" w:cs="Arial" w:eastAsia="Arial" w:hAnsi="Arial"/>
          <w:sz w:val="16"/>
          <w:szCs w:val="16"/>
          <w:color w:val="auto"/>
        </w:rPr>
      </w:pPr>
    </w:p>
    <w:p>
      <w:pPr>
        <w:ind w:left="1240" w:firstLine="339"/>
        <w:spacing w:after="0" w:line="300" w:lineRule="auto"/>
        <w:tabs>
          <w:tab w:leader="none" w:pos="1806" w:val="left"/>
        </w:tabs>
        <w:numPr>
          <w:ilvl w:val="4"/>
          <w:numId w:val="440"/>
        </w:numPr>
        <w:rPr>
          <w:rFonts w:ascii="Arial" w:cs="Arial" w:eastAsia="Arial" w:hAnsi="Arial"/>
          <w:sz w:val="15"/>
          <w:szCs w:val="15"/>
          <w:color w:val="auto"/>
        </w:rPr>
      </w:pPr>
      <w:r>
        <w:rPr>
          <w:rFonts w:ascii="Arial" w:cs="Arial" w:eastAsia="Arial" w:hAnsi="Arial"/>
          <w:sz w:val="15"/>
          <w:szCs w:val="15"/>
          <w:color w:val="auto"/>
        </w:rPr>
        <w:t>Any delay resulting from Tenant Change Requests initiated by Tenant, including any delay resulting from the need to revise any drawings or obtain further governmental approvals as a result of any such Tenant Change Request; or</w:t>
      </w:r>
    </w:p>
    <w:p>
      <w:pPr>
        <w:spacing w:after="0" w:line="40" w:lineRule="exact"/>
        <w:rPr>
          <w:rFonts w:ascii="Arial" w:cs="Arial" w:eastAsia="Arial" w:hAnsi="Arial"/>
          <w:sz w:val="15"/>
          <w:szCs w:val="15"/>
          <w:color w:val="auto"/>
        </w:rPr>
      </w:pPr>
    </w:p>
    <w:p>
      <w:pPr>
        <w:ind w:left="1240" w:right="20" w:firstLine="339"/>
        <w:spacing w:after="0" w:line="308" w:lineRule="auto"/>
        <w:tabs>
          <w:tab w:leader="none" w:pos="1850" w:val="left"/>
        </w:tabs>
        <w:numPr>
          <w:ilvl w:val="4"/>
          <w:numId w:val="440"/>
        </w:numPr>
        <w:rPr>
          <w:rFonts w:ascii="Arial" w:cs="Arial" w:eastAsia="Arial" w:hAnsi="Arial"/>
          <w:sz w:val="13"/>
          <w:szCs w:val="13"/>
          <w:color w:val="auto"/>
        </w:rPr>
      </w:pPr>
      <w:r>
        <w:rPr>
          <w:rFonts w:ascii="Arial" w:cs="Arial" w:eastAsia="Arial" w:hAnsi="Arial"/>
          <w:sz w:val="13"/>
          <w:szCs w:val="13"/>
          <w:color w:val="auto"/>
        </w:rPr>
        <w:t>Any delay caused by Tenant (or Tenant’s contractors, agents or employees) materially interfering with the performance of Landlord’s TI Work, provided that Landlord shall have given Tenant prompt notice of such material interference and, before the first time a Tenant Delay is deemed to have occurred as a result of such delay, such interference has continued for more than twenty-four</w:t>
      </w:r>
    </w:p>
    <w:p>
      <w:pPr>
        <w:spacing w:after="0" w:line="1" w:lineRule="exact"/>
        <w:rPr>
          <w:rFonts w:ascii="Arial" w:cs="Arial" w:eastAsia="Arial" w:hAnsi="Arial"/>
          <w:sz w:val="13"/>
          <w:szCs w:val="13"/>
          <w:color w:val="auto"/>
        </w:rPr>
      </w:pPr>
    </w:p>
    <w:p>
      <w:pPr>
        <w:ind w:left="1540" w:hanging="296"/>
        <w:spacing w:after="0"/>
        <w:tabs>
          <w:tab w:leader="none" w:pos="1540" w:val="left"/>
        </w:tabs>
        <w:numPr>
          <w:ilvl w:val="3"/>
          <w:numId w:val="440"/>
        </w:numPr>
        <w:rPr>
          <w:rFonts w:ascii="Arial" w:cs="Arial" w:eastAsia="Arial" w:hAnsi="Arial"/>
          <w:sz w:val="16"/>
          <w:szCs w:val="16"/>
          <w:color w:val="auto"/>
        </w:rPr>
      </w:pPr>
      <w:r>
        <w:rPr>
          <w:rFonts w:ascii="Arial" w:cs="Arial" w:eastAsia="Arial" w:hAnsi="Arial"/>
          <w:sz w:val="16"/>
          <w:szCs w:val="16"/>
          <w:color w:val="auto"/>
        </w:rPr>
        <w:t>hours after Tenant’s receipt of such notice.</w:t>
      </w:r>
    </w:p>
    <w:p>
      <w:pPr>
        <w:sectPr>
          <w:pgSz w:w="11900" w:h="16838" w:orient="portrait"/>
          <w:cols w:equalWidth="0" w:num="1">
            <w:col w:w="9600"/>
          </w:cols>
          <w:pgMar w:left="1140" w:top="252" w:right="1159" w:bottom="1440" w:gutter="0" w:footer="0" w:header="0"/>
        </w:sectPr>
      </w:pPr>
    </w:p>
    <w:bookmarkStart w:id="600" w:name="page601"/>
    <w:bookmarkEnd w:id="600"/>
    <w:p>
      <w:pPr>
        <w:ind w:left="-300" w:right="280" w:firstLine="860"/>
        <w:spacing w:after="0" w:line="259" w:lineRule="auto"/>
        <w:tabs>
          <w:tab w:leader="none" w:pos="788" w:val="left"/>
        </w:tabs>
        <w:numPr>
          <w:ilvl w:val="1"/>
          <w:numId w:val="44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Improvements</w:t>
      </w:r>
      <w:r>
        <w:rPr>
          <w:rFonts w:ascii="Arial" w:cs="Arial" w:eastAsia="Arial" w:hAnsi="Arial"/>
          <w:sz w:val="16"/>
          <w:szCs w:val="16"/>
          <w:color w:val="auto"/>
        </w:rPr>
        <w:t>: The improvements to or within the Building shown on the Approved TI Plans from time to time and to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constructed by Landlord pursuant to the Lease and this Tenant Work Letter. The term “Tenant Improvements” does not include the improvements existing in the Building and Premises at the date of execution of the Lease.</w:t>
      </w:r>
    </w:p>
    <w:p>
      <w:pPr>
        <w:spacing w:after="0" w:line="158" w:lineRule="exact"/>
        <w:rPr>
          <w:rFonts w:ascii="Arial" w:cs="Arial" w:eastAsia="Arial" w:hAnsi="Arial"/>
          <w:sz w:val="16"/>
          <w:szCs w:val="16"/>
          <w:color w:val="auto"/>
        </w:rPr>
      </w:pPr>
    </w:p>
    <w:p>
      <w:pPr>
        <w:jc w:val="both"/>
        <w:ind w:left="-300" w:right="120" w:firstLine="860"/>
        <w:spacing w:after="0" w:line="254" w:lineRule="auto"/>
        <w:tabs>
          <w:tab w:leader="none" w:pos="753" w:val="left"/>
        </w:tabs>
        <w:numPr>
          <w:ilvl w:val="1"/>
          <w:numId w:val="441"/>
        </w:numPr>
        <w:rPr>
          <w:rFonts w:ascii="Arial" w:cs="Arial" w:eastAsia="Arial" w:hAnsi="Arial"/>
          <w:sz w:val="16"/>
          <w:szCs w:val="16"/>
          <w:color w:val="auto"/>
        </w:rPr>
      </w:pPr>
      <w:r>
        <w:rPr>
          <w:rFonts w:ascii="Arial" w:cs="Arial" w:eastAsia="Arial" w:hAnsi="Arial"/>
          <w:sz w:val="16"/>
          <w:szCs w:val="16"/>
          <w:b w:val="1"/>
          <w:bCs w:val="1"/>
          <w:u w:val="single" w:color="auto"/>
          <w:color w:val="auto"/>
        </w:rPr>
        <w:t>Unavoidable Delays</w:t>
      </w:r>
      <w:r>
        <w:rPr>
          <w:rFonts w:ascii="Arial" w:cs="Arial" w:eastAsia="Arial" w:hAnsi="Arial"/>
          <w:sz w:val="16"/>
          <w:szCs w:val="16"/>
          <w:color w:val="auto"/>
        </w:rPr>
        <w:t>: Delays due to acts of God, acts of public agencies, labor disputes, strikes, fires, freight embargoes, inability</w:t>
      </w:r>
      <w:r>
        <w:rPr>
          <w:rFonts w:ascii="Arial" w:cs="Arial" w:eastAsia="Arial" w:hAnsi="Arial"/>
          <w:sz w:val="16"/>
          <w:szCs w:val="16"/>
          <w:b w:val="1"/>
          <w:bCs w:val="1"/>
          <w:color w:val="auto"/>
        </w:rPr>
        <w:t xml:space="preserve"> </w:t>
      </w:r>
      <w:r>
        <w:rPr>
          <w:rFonts w:ascii="Arial" w:cs="Arial" w:eastAsia="Arial" w:hAnsi="Arial"/>
          <w:sz w:val="16"/>
          <w:szCs w:val="16"/>
          <w:color w:val="auto"/>
        </w:rPr>
        <w:t>(despite the exercise of due diligence) to obtain supplies, materials, fuels or permits, or other causes or contingencies (excluding financial inability) beyond the reasonable control of Landlord or Tenant, as applicable. Landlord shall use commercially reasonable efforts to provide Tenant with prompt notice of any Unavoidable Delays.</w:t>
      </w:r>
    </w:p>
    <w:p>
      <w:pPr>
        <w:spacing w:after="0" w:line="168" w:lineRule="exact"/>
        <w:rPr>
          <w:rFonts w:ascii="Arial" w:cs="Arial" w:eastAsia="Arial" w:hAnsi="Arial"/>
          <w:sz w:val="16"/>
          <w:szCs w:val="16"/>
          <w:color w:val="auto"/>
        </w:rPr>
      </w:pPr>
    </w:p>
    <w:p>
      <w:pPr>
        <w:ind w:left="820" w:hanging="260"/>
        <w:spacing w:after="0"/>
        <w:tabs>
          <w:tab w:leader="none" w:pos="820" w:val="left"/>
        </w:tabs>
        <w:numPr>
          <w:ilvl w:val="1"/>
          <w:numId w:val="441"/>
        </w:numPr>
        <w:rPr>
          <w:rFonts w:ascii="Arial" w:cs="Arial" w:eastAsia="Arial" w:hAnsi="Arial"/>
          <w:sz w:val="16"/>
          <w:szCs w:val="16"/>
          <w:color w:val="auto"/>
        </w:rPr>
      </w:pPr>
      <w:r>
        <w:rPr>
          <w:rFonts w:ascii="Arial" w:cs="Arial" w:eastAsia="Arial" w:hAnsi="Arial"/>
          <w:sz w:val="16"/>
          <w:szCs w:val="16"/>
          <w:color w:val="auto"/>
        </w:rPr>
        <w:t>Capitalized terms not otherwise defined in this Tenant Work Letter shall have the definitions set forth in the Lease.</w:t>
      </w:r>
    </w:p>
    <w:p>
      <w:pPr>
        <w:spacing w:after="0" w:line="189" w:lineRule="exact"/>
        <w:rPr>
          <w:rFonts w:ascii="Arial" w:cs="Arial" w:eastAsia="Arial" w:hAnsi="Arial"/>
          <w:sz w:val="16"/>
          <w:szCs w:val="16"/>
          <w:color w:val="auto"/>
        </w:rPr>
      </w:pPr>
    </w:p>
    <w:p>
      <w:pPr>
        <w:ind w:left="-300" w:right="380" w:firstLine="378"/>
        <w:spacing w:after="0" w:line="272" w:lineRule="auto"/>
        <w:tabs>
          <w:tab w:leader="none" w:pos="242" w:val="left"/>
        </w:tabs>
        <w:numPr>
          <w:ilvl w:val="0"/>
          <w:numId w:val="442"/>
        </w:numPr>
        <w:rPr>
          <w:rFonts w:ascii="Arial" w:cs="Arial" w:eastAsia="Arial" w:hAnsi="Arial"/>
          <w:sz w:val="16"/>
          <w:szCs w:val="16"/>
          <w:color w:val="auto"/>
        </w:rPr>
      </w:pPr>
      <w:r>
        <w:rPr>
          <w:rFonts w:ascii="Arial" w:cs="Arial" w:eastAsia="Arial" w:hAnsi="Arial"/>
          <w:sz w:val="16"/>
          <w:szCs w:val="16"/>
          <w:b w:val="1"/>
          <w:bCs w:val="1"/>
          <w:u w:val="single" w:color="auto"/>
          <w:color w:val="auto"/>
        </w:rPr>
        <w:t>Plans and Construction</w:t>
      </w:r>
      <w:r>
        <w:rPr>
          <w:rFonts w:ascii="Arial" w:cs="Arial" w:eastAsia="Arial" w:hAnsi="Arial"/>
          <w:sz w:val="16"/>
          <w:szCs w:val="16"/>
          <w:color w:val="auto"/>
        </w:rPr>
        <w:t>. Landlord and Tenant shall comply with the procedures set forth in this Paragraph 2 in preparing, delivering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matters relating to the Tenant Improvements.</w:t>
      </w:r>
    </w:p>
    <w:p>
      <w:pPr>
        <w:spacing w:after="0" w:line="152" w:lineRule="exact"/>
        <w:rPr>
          <w:rFonts w:ascii="Arial" w:cs="Arial" w:eastAsia="Arial" w:hAnsi="Arial"/>
          <w:sz w:val="16"/>
          <w:szCs w:val="16"/>
          <w:color w:val="auto"/>
        </w:rPr>
      </w:pPr>
    </w:p>
    <w:p>
      <w:pPr>
        <w:ind w:left="-300" w:firstLine="860"/>
        <w:spacing w:after="0" w:line="264" w:lineRule="auto"/>
        <w:tabs>
          <w:tab w:leader="none" w:pos="779" w:val="left"/>
        </w:tabs>
        <w:numPr>
          <w:ilvl w:val="1"/>
          <w:numId w:val="442"/>
        </w:numPr>
        <w:rPr>
          <w:rFonts w:ascii="Arial" w:cs="Arial" w:eastAsia="Arial" w:hAnsi="Arial"/>
          <w:sz w:val="15"/>
          <w:szCs w:val="15"/>
          <w:color w:val="auto"/>
        </w:rPr>
      </w:pPr>
      <w:r>
        <w:rPr>
          <w:rFonts w:ascii="Arial" w:cs="Arial" w:eastAsia="Arial" w:hAnsi="Arial"/>
          <w:sz w:val="15"/>
          <w:szCs w:val="15"/>
          <w:u w:val="single" w:color="auto"/>
          <w:color w:val="auto"/>
        </w:rPr>
        <w:t>Approved Plans and Working Drawings for Tenant Improvements</w:t>
      </w:r>
      <w:r>
        <w:rPr>
          <w:rFonts w:ascii="Arial" w:cs="Arial" w:eastAsia="Arial" w:hAnsi="Arial"/>
          <w:sz w:val="15"/>
          <w:szCs w:val="15"/>
          <w:color w:val="auto"/>
        </w:rPr>
        <w:t>. Tenant shall promptly and diligently work with the Architect to cause to be prepared and delivered to Landlord for approval (which approval shall not be unreasonably withheld, conditioned or delayed by Landlord) proposed schematic plans and outline specifications for the Tenant Improvements. Following mutual approval of such proposed schematic plans and outline specifications by Landlord and by Tenant (as so approved, the “</w:t>
      </w:r>
      <w:r>
        <w:rPr>
          <w:rFonts w:ascii="Arial" w:cs="Arial" w:eastAsia="Arial" w:hAnsi="Arial"/>
          <w:sz w:val="15"/>
          <w:szCs w:val="15"/>
          <w:b w:val="1"/>
          <w:bCs w:val="1"/>
          <w:color w:val="auto"/>
        </w:rPr>
        <w:t>Approved Schematic Plans</w:t>
      </w:r>
      <w:r>
        <w:rPr>
          <w:rFonts w:ascii="Arial" w:cs="Arial" w:eastAsia="Arial" w:hAnsi="Arial"/>
          <w:sz w:val="15"/>
          <w:szCs w:val="15"/>
          <w:color w:val="auto"/>
        </w:rPr>
        <w:t>”), Tenant shall then work with the Architect to cause to be prepared, promptly and diligently (assuming timely delivery by Landlord of any information and decisions required to be furnished or made by Landlord in order to permit preparation of final working drawings, all of which information and decisions Landlord will deliver promptly and with reasonable diligence), and delivered to Landlord for approval (which approval shall not be unreasonably withheld, conditioned or delayed by Landlord) final detailed working drawings and specifications for the Tenant Improvements, including (without limitation) any applicable life safety, mechanical, electrical and plumbing working drawings and final architectural drawings (collectively, “</w:t>
      </w:r>
      <w:r>
        <w:rPr>
          <w:rFonts w:ascii="Arial" w:cs="Arial" w:eastAsia="Arial" w:hAnsi="Arial"/>
          <w:sz w:val="15"/>
          <w:szCs w:val="15"/>
          <w:b w:val="1"/>
          <w:bCs w:val="1"/>
          <w:color w:val="auto"/>
        </w:rPr>
        <w:t>Final TI Working Drawings</w:t>
      </w:r>
      <w:r>
        <w:rPr>
          <w:rFonts w:ascii="Arial" w:cs="Arial" w:eastAsia="Arial" w:hAnsi="Arial"/>
          <w:sz w:val="15"/>
          <w:szCs w:val="15"/>
          <w:color w:val="auto"/>
        </w:rPr>
        <w:t xml:space="preserve">”), which Final TI Working Drawings shall substantially conform to the Approved Schematic Plans. Upon receipt from Tenant of proposed schematic plans and outline specifications, proposed Final TI Working Drawings, any other plans and specifications, or any revisions or resubmittals of any of the foregoing, as applicable, Landlord shall promptly and diligently (and in all events within 10 business days after receipt in the case of an initial submittal of schematic plans and outline specifications or proposed Final TI Working Drawings, and within 7 business days after receipt in the case of any other plans and specifications or any revisions or resubmittals of any of the foregoing) either approve such proposed schematic plans and outline specifications or proposed Final TI Working Drawings, as applicable, or set forth in writing with particularity any changes necessary to bring the aspects of such proposed schematic plans and outline specifications or proposed Final TI Working Drawings into a form which will be reasonably acceptable to Landlord. Upon approval of the Final TI Working Drawings by Landlord and Tenant, the Final TI Working Drawings shall constitute the </w:t>
      </w:r>
      <w:r>
        <w:rPr>
          <w:rFonts w:ascii="Arial" w:cs="Arial" w:eastAsia="Arial" w:hAnsi="Arial"/>
          <w:sz w:val="15"/>
          <w:szCs w:val="15"/>
          <w:b w:val="1"/>
          <w:bCs w:val="1"/>
          <w:color w:val="auto"/>
        </w:rPr>
        <w:t>“Approved TI</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Plans,” </w:t>
      </w:r>
      <w:r>
        <w:rPr>
          <w:rFonts w:ascii="Arial" w:cs="Arial" w:eastAsia="Arial" w:hAnsi="Arial"/>
          <w:sz w:val="15"/>
          <w:szCs w:val="15"/>
          <w:color w:val="auto"/>
        </w:rPr>
        <w:t>superseding (to the extent of any inconsistencies) any inconsistent features of the previously existing Approved Schematic Plans.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respond to any request for information or approval of plans or drawings from Landlord or Architect within five (5) business days. Tenant acknowledges that the Tenant Improvements will include the items set forth on </w:t>
      </w:r>
      <w:r>
        <w:rPr>
          <w:rFonts w:ascii="Arial" w:cs="Arial" w:eastAsia="Arial" w:hAnsi="Arial"/>
          <w:sz w:val="15"/>
          <w:szCs w:val="15"/>
          <w:u w:val="single" w:color="auto"/>
          <w:color w:val="auto"/>
        </w:rPr>
        <w:t>Schedule 2</w:t>
      </w:r>
      <w:r>
        <w:rPr>
          <w:rFonts w:ascii="Arial" w:cs="Arial" w:eastAsia="Arial" w:hAnsi="Arial"/>
          <w:sz w:val="15"/>
          <w:szCs w:val="15"/>
          <w:color w:val="auto"/>
        </w:rPr>
        <w:t xml:space="preserve"> to this Exhibit B, in order to allow the Premises to achieve a LEED “Silver” certification level.</w:t>
      </w:r>
    </w:p>
    <w:p>
      <w:pPr>
        <w:spacing w:after="0" w:line="161" w:lineRule="exact"/>
        <w:rPr>
          <w:rFonts w:ascii="Arial" w:cs="Arial" w:eastAsia="Arial" w:hAnsi="Arial"/>
          <w:sz w:val="15"/>
          <w:szCs w:val="15"/>
          <w:color w:val="auto"/>
        </w:rPr>
      </w:pPr>
    </w:p>
    <w:p>
      <w:pPr>
        <w:ind w:left="-300" w:right="120" w:firstLine="860"/>
        <w:spacing w:after="0" w:line="269" w:lineRule="auto"/>
        <w:tabs>
          <w:tab w:leader="none" w:pos="788" w:val="left"/>
        </w:tabs>
        <w:numPr>
          <w:ilvl w:val="1"/>
          <w:numId w:val="442"/>
        </w:numPr>
        <w:rPr>
          <w:rFonts w:ascii="Arial" w:cs="Arial" w:eastAsia="Arial" w:hAnsi="Arial"/>
          <w:sz w:val="15"/>
          <w:szCs w:val="15"/>
          <w:color w:val="auto"/>
        </w:rPr>
      </w:pPr>
      <w:r>
        <w:rPr>
          <w:rFonts w:ascii="Arial" w:cs="Arial" w:eastAsia="Arial" w:hAnsi="Arial"/>
          <w:sz w:val="15"/>
          <w:szCs w:val="15"/>
          <w:u w:val="single" w:color="auto"/>
          <w:color w:val="auto"/>
        </w:rPr>
        <w:t>Cost of Improvements</w:t>
      </w:r>
      <w:r>
        <w:rPr>
          <w:rFonts w:ascii="Arial" w:cs="Arial" w:eastAsia="Arial" w:hAnsi="Arial"/>
          <w:sz w:val="15"/>
          <w:szCs w:val="15"/>
          <w:color w:val="auto"/>
        </w:rPr>
        <w:t>. “</w:t>
      </w:r>
      <w:r>
        <w:rPr>
          <w:rFonts w:ascii="Arial" w:cs="Arial" w:eastAsia="Arial" w:hAnsi="Arial"/>
          <w:sz w:val="15"/>
          <w:szCs w:val="15"/>
          <w:b w:val="1"/>
          <w:bCs w:val="1"/>
          <w:color w:val="auto"/>
        </w:rPr>
        <w:t>Cost of Improvement</w:t>
      </w:r>
      <w:r>
        <w:rPr>
          <w:rFonts w:ascii="Arial" w:cs="Arial" w:eastAsia="Arial" w:hAnsi="Arial"/>
          <w:sz w:val="15"/>
          <w:szCs w:val="15"/>
          <w:color w:val="auto"/>
        </w:rPr>
        <w:t>” shall mean, with respect to any item or component for which a cost must be determined in order to allocate such cost, or an increase in such cost, to Tenant pursuant to this Tenant Work Letter, the sum of the following (unless otherwise agreed in writing by Landlord and Tenant with respect to any specific item or component or any category of items or components): (i) all sums paid to contractors or subcontractors for labor and materials furnished in connection with construction of such item or component; (ii) all costs, expenses, payments, fees and charges (other than penalties) paid to or at the direction of any city, county or other governmental or quasi-governmental authority or agency which are required to be paid in order to obtain all necessary governmental permits, licenses, inspections and approvals relating to construction of such item</w:t>
      </w:r>
    </w:p>
    <w:p>
      <w:pPr>
        <w:sectPr>
          <w:pgSz w:w="11900" w:h="16838" w:orient="portrait"/>
          <w:cols w:equalWidth="0" w:num="1">
            <w:col w:w="9280"/>
          </w:cols>
          <w:pgMar w:left="1440" w:top="252" w:right="1179" w:bottom="1440" w:gutter="0" w:footer="0" w:header="0"/>
        </w:sectPr>
      </w:pPr>
    </w:p>
    <w:bookmarkStart w:id="601" w:name="page602"/>
    <w:bookmarkEnd w:id="601"/>
    <w:p>
      <w:pPr>
        <w:ind w:left="6" w:right="180"/>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 component; (iii) engineering and architectural fees for services rendered in connection with the design and construction of such item or component (including, but not limited to, the Architect for such item or component and an electrical engineer, mechanical engineer, structural engineer and civil engineer, if applicable); (iv) sales and use taxes; (v) testing and inspection costs; (vi) the cost of power, water and other utility facilities and the cost of collection and removal of debris required in connection with construction of such item or component; (vii) costs for builder’s risk insurance; and</w:t>
      </w:r>
    </w:p>
    <w:p>
      <w:pPr>
        <w:spacing w:after="0" w:line="1" w:lineRule="exact"/>
        <w:rPr>
          <w:sz w:val="20"/>
          <w:szCs w:val="20"/>
          <w:color w:val="auto"/>
        </w:rPr>
      </w:pPr>
    </w:p>
    <w:p>
      <w:pPr>
        <w:jc w:val="both"/>
        <w:ind w:left="6" w:right="140" w:hanging="6"/>
        <w:spacing w:after="0" w:line="249" w:lineRule="auto"/>
        <w:tabs>
          <w:tab w:leader="none" w:pos="36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xml:space="preserve">all other “hard” and “soft” costs incurred in the construction of such item or component in accordance with the Approved TI Plans (if applicable) and this Tenant Work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Cost of Improvements shall not include any internal or third-party costs incurred by Landlord except as provided in </w:t>
      </w:r>
      <w:r>
        <w:rPr>
          <w:rFonts w:ascii="Arial" w:cs="Arial" w:eastAsia="Arial" w:hAnsi="Arial"/>
          <w:sz w:val="16"/>
          <w:szCs w:val="16"/>
          <w:u w:val="single" w:color="auto"/>
          <w:color w:val="auto"/>
        </w:rPr>
        <w:t>Section 2(e)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6" w:right="40" w:firstLine="860"/>
        <w:spacing w:after="0" w:line="309" w:lineRule="auto"/>
        <w:tabs>
          <w:tab w:leader="none" w:pos="1085" w:val="left"/>
        </w:tabs>
        <w:numPr>
          <w:ilvl w:val="1"/>
          <w:numId w:val="443"/>
        </w:numPr>
        <w:rPr>
          <w:rFonts w:ascii="Arial" w:cs="Arial" w:eastAsia="Arial" w:hAnsi="Arial"/>
          <w:sz w:val="13"/>
          <w:szCs w:val="13"/>
          <w:color w:val="auto"/>
        </w:rPr>
      </w:pPr>
      <w:r>
        <w:rPr>
          <w:rFonts w:ascii="Arial" w:cs="Arial" w:eastAsia="Arial" w:hAnsi="Arial"/>
          <w:sz w:val="13"/>
          <w:szCs w:val="13"/>
          <w:b w:val="1"/>
          <w:bCs w:val="1"/>
          <w:u w:val="single" w:color="auto"/>
          <w:color w:val="auto"/>
        </w:rPr>
        <w:t>Construction of Landlord’s TI Work</w:t>
      </w:r>
      <w:r>
        <w:rPr>
          <w:rFonts w:ascii="Arial" w:cs="Arial" w:eastAsia="Arial" w:hAnsi="Arial"/>
          <w:sz w:val="13"/>
          <w:szCs w:val="13"/>
          <w:color w:val="auto"/>
        </w:rPr>
        <w:t>. Following completion of the Approved TI Plans, Landlord shall apply for and use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efforts to obtain the necessary permits and approvals to allow construction of all Tenant Improvements. Upon receipt of such permits and approvals, Landlord shall, at Tenant’s expense (subject to Landlord’s payment of the Tenant Improvement Allowance and, to the extent requested by Tenant, the First Additional TI Allowance and Second Additional TI Allowance), construct and complete the Tenant Improvements substantially in accordance with the Approved TI Plans, subject to Unavoidable Delays and Tenant Delays (if any). Such construction of the Tenant Improvements and Landlord’s Work shall be performed in a neat, good and workmanlike manner, free of defects, using new materials and equipment of good quality, and shall materially conform to all applicable laws, rules, regulations, codes, ordinances, requirements, covenants, conditions and restrictions applicable thereto in force at the time such work is completed. Landlord shall cause Hathaway Dinwiddie (so long as obtaining such bid does not delay the commencement of Landlord’s TI Work), Landmark Builders and any other potential general contractors requested by Tenant and reasonably approved by Landlord to bid on general conditions and fee for construction of the Tenant Improvements and provide an estimate for the direct cost of the Tenant Improvements. All bids will be opened together with Landlord selecting the general contractor to construct the Tenant Improvements, subject to the reasonable approval of Tenant. Tenant shall also have the right to approve all subcontractors engaged by the General Contractor, which subcontractors shall be competitively bid and which approval shall not be unreasonably withheld, conditioned or delayed. Landlord shall enter into a stipulated sum or guaranteed maximum price construction contract with the General Contractor in the amount of the construction costs approved by Landlord and Tenant.</w:t>
      </w:r>
    </w:p>
    <w:p>
      <w:pPr>
        <w:spacing w:after="0" w:line="327" w:lineRule="exact"/>
        <w:rPr>
          <w:rFonts w:ascii="Arial" w:cs="Arial" w:eastAsia="Arial" w:hAnsi="Arial"/>
          <w:sz w:val="13"/>
          <w:szCs w:val="13"/>
          <w:color w:val="auto"/>
        </w:rPr>
      </w:pPr>
    </w:p>
    <w:p>
      <w:pPr>
        <w:ind w:left="1086" w:hanging="220"/>
        <w:spacing w:after="0"/>
        <w:tabs>
          <w:tab w:leader="none" w:pos="1086" w:val="left"/>
        </w:tabs>
        <w:numPr>
          <w:ilvl w:val="1"/>
          <w:numId w:val="443"/>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866" w:firstLine="350"/>
        <w:spacing w:after="0" w:line="312" w:lineRule="auto"/>
        <w:tabs>
          <w:tab w:leader="none" w:pos="1404" w:val="left"/>
        </w:tabs>
        <w:numPr>
          <w:ilvl w:val="2"/>
          <w:numId w:val="443"/>
        </w:numPr>
        <w:rPr>
          <w:rFonts w:ascii="Arial" w:cs="Arial" w:eastAsia="Arial" w:hAnsi="Arial"/>
          <w:sz w:val="13"/>
          <w:szCs w:val="13"/>
          <w:color w:val="auto"/>
        </w:rPr>
      </w:pPr>
      <w:r>
        <w:rPr>
          <w:rFonts w:ascii="Arial" w:cs="Arial" w:eastAsia="Arial" w:hAnsi="Arial"/>
          <w:sz w:val="13"/>
          <w:szCs w:val="13"/>
          <w:color w:val="auto"/>
        </w:rPr>
        <w:t>If Landlord determines at any time that changes in the Final TI Working Drawings or in any other aspect of the Approved TI Plans relating to any item of Landlord’s TI Work are required as a result of applicable law or governmental requirements, or are required at the insistence of any other third party whose approval may be required with respect to the Tenant Improvements, or are required as a result of unanticipated conditions encountered in the course of construction, then Landlord shall promptly (A) advise Tenant of such circumstances and (B) at Tenant’s sole cost and expense, subject to Landlord’s payment of the Tenant Improvement Allowance and, to the extent requested by Tenant, the First Additional TI Allowance and Second Additional TI Allowance, cause revised Final TI Working Drawings to be prepared by the Architect and submitted to Tenant, for Tenant’s approval, which shall not be unreasonably withheld. Failure of Tenant to deliver to Landlord written notice of disapproval and specification of such required changes on or before any deadline reasonably specified by Landlord (which shall not be less than three (3) business days after delivery thereof to Tenant) shall constitute and be deemed to be a Tenant Delay to the extent Landlord is delayed in completing Landlord’s TI Work.</w:t>
      </w:r>
    </w:p>
    <w:p>
      <w:pPr>
        <w:spacing w:after="0" w:line="231" w:lineRule="exact"/>
        <w:rPr>
          <w:rFonts w:ascii="Arial" w:cs="Arial" w:eastAsia="Arial" w:hAnsi="Arial"/>
          <w:sz w:val="13"/>
          <w:szCs w:val="13"/>
          <w:color w:val="auto"/>
        </w:rPr>
      </w:pPr>
    </w:p>
    <w:p>
      <w:pPr>
        <w:ind w:left="866" w:right="20" w:firstLine="350"/>
        <w:spacing w:after="0" w:line="315" w:lineRule="auto"/>
        <w:tabs>
          <w:tab w:leader="none" w:pos="1447" w:val="left"/>
        </w:tabs>
        <w:numPr>
          <w:ilvl w:val="2"/>
          <w:numId w:val="443"/>
        </w:numPr>
        <w:rPr>
          <w:rFonts w:ascii="Arial" w:cs="Arial" w:eastAsia="Arial" w:hAnsi="Arial"/>
          <w:sz w:val="13"/>
          <w:szCs w:val="13"/>
          <w:color w:val="auto"/>
        </w:rPr>
      </w:pPr>
      <w:r>
        <w:rPr>
          <w:rFonts w:ascii="Arial" w:cs="Arial" w:eastAsia="Arial" w:hAnsi="Arial"/>
          <w:sz w:val="13"/>
          <w:szCs w:val="13"/>
          <w:color w:val="auto"/>
        </w:rPr>
        <w:t>If Tenant at any time desires any changes, alterations or additions to the Final TI Working Drawings, Tenant shall submit a detailed written request to Landlord specifying such changes, alterations or additions (a “</w:t>
      </w:r>
      <w:r>
        <w:rPr>
          <w:rFonts w:ascii="Arial" w:cs="Arial" w:eastAsia="Arial" w:hAnsi="Arial"/>
          <w:sz w:val="13"/>
          <w:szCs w:val="13"/>
          <w:b w:val="1"/>
          <w:bCs w:val="1"/>
          <w:color w:val="auto"/>
        </w:rPr>
        <w:t>Tenant Change Request</w:t>
      </w:r>
      <w:r>
        <w:rPr>
          <w:rFonts w:ascii="Arial" w:cs="Arial" w:eastAsia="Arial" w:hAnsi="Arial"/>
          <w:sz w:val="13"/>
          <w:szCs w:val="13"/>
          <w:color w:val="auto"/>
        </w:rPr>
        <w:t>”). Upon receipt of any such request, Landlord shall promptly notify Tenant of (A) whether the matters proposed in the Tenant Change Request are approved by Landlord (which approval shall not be unreasonably withheld, conditioned or delayed by Landlord), (B) Landlord’s estimate of the number of days of delay, if any, which shall be caused in the construction of the Tenant Improvements by such Tenant Change Request if implemented (including, without limitation, delays due to the need to obtain any revised plans or drawings and any governmental approvals), and (C) Landlord’s estimate of the increase, if any, which shall occur in the cost of design, permitting, project management and construction of the Tenant Improvements affected by such Tenant Change Request if such Tenant Change</w:t>
      </w:r>
    </w:p>
    <w:p>
      <w:pPr>
        <w:sectPr>
          <w:pgSz w:w="11900" w:h="16838" w:orient="portrait"/>
          <w:cols w:equalWidth="0" w:num="1">
            <w:col w:w="9626"/>
          </w:cols>
          <w:pgMar w:left="1134" w:top="256" w:right="1139" w:bottom="1440" w:gutter="0" w:footer="0" w:header="0"/>
        </w:sectPr>
      </w:pPr>
    </w:p>
    <w:bookmarkStart w:id="602" w:name="page603"/>
    <w:bookmarkEnd w:id="602"/>
    <w:p>
      <w:pPr>
        <w:ind w:left="560"/>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90105" cy="34290"/>
                    </a:xfrm>
                    <a:prstGeom prst="rect">
                      <a:avLst/>
                    </a:prstGeom>
                    <a:noFill/>
                  </pic:spPr>
                </pic:pic>
              </a:graphicData>
            </a:graphic>
          </wp:anchor>
        </w:drawing>
        <w:t>Request is implemented (including, but not limited to, any costs of compliance with laws or governmental regulations that become applicable because of the implementation of the Tenant Change Request). If Landlord approves the Tenant Change Request and Tenant notifies Landlord in writing, within three (3) business days after receipt of such notice from Landlord, of Tenant’s approval of the Tenant Change Request (including the estimated delays and cost increases, if any, described in Landlord’s notice), then Landlord shall cause such Tenant Change Request to be implemented and Tenant shall be responsible for all actual costs or cost increases resulting from or attributable to the implementation of the Tenant Change Request, and any delays resulting therefrom shall be deemed to be a Tenant Delay (subject to Landlord’s payment of the Tenant Improvement Allowance and, to the extent requested by Tenant, the First Additional TI Allowance and Second Additional TI Allowance). If Tenant fails to notify Landlord in writing of Tenant’s approval of such Tenant Change Request within said three (3) business day period, then such Tenant Change Request shall be deemed to be withdrawn and shall be of no further effect.</w:t>
      </w:r>
    </w:p>
    <w:p>
      <w:pPr>
        <w:spacing w:after="0" w:line="159" w:lineRule="exact"/>
        <w:rPr>
          <w:sz w:val="20"/>
          <w:szCs w:val="20"/>
          <w:color w:val="auto"/>
        </w:rPr>
      </w:pPr>
    </w:p>
    <w:p>
      <w:pPr>
        <w:ind w:left="-300" w:firstLine="860"/>
        <w:spacing w:after="0" w:line="311" w:lineRule="auto"/>
        <w:tabs>
          <w:tab w:leader="none" w:pos="779" w:val="left"/>
        </w:tabs>
        <w:numPr>
          <w:ilvl w:val="1"/>
          <w:numId w:val="444"/>
        </w:numPr>
        <w:rPr>
          <w:rFonts w:ascii="Arial" w:cs="Arial" w:eastAsia="Arial" w:hAnsi="Arial"/>
          <w:sz w:val="13"/>
          <w:szCs w:val="13"/>
          <w:color w:val="auto"/>
        </w:rPr>
      </w:pPr>
      <w:r>
        <w:rPr>
          <w:rFonts w:ascii="Arial" w:cs="Arial" w:eastAsia="Arial" w:hAnsi="Arial"/>
          <w:sz w:val="13"/>
          <w:szCs w:val="13"/>
          <w:b w:val="1"/>
          <w:bCs w:val="1"/>
          <w:u w:val="single" w:color="auto"/>
          <w:color w:val="auto"/>
        </w:rPr>
        <w:t>Project Management</w:t>
      </w:r>
      <w:r>
        <w:rPr>
          <w:rFonts w:ascii="Arial" w:cs="Arial" w:eastAsia="Arial" w:hAnsi="Arial"/>
          <w:sz w:val="13"/>
          <w:szCs w:val="13"/>
          <w:color w:val="auto"/>
        </w:rPr>
        <w:t>. Unless and until revoked by Landlord by written notice delivered to Tenant, Landlord hereby (i) delegates to</w:t>
      </w:r>
      <w:r>
        <w:rPr>
          <w:rFonts w:ascii="Arial" w:cs="Arial" w:eastAsia="Arial" w:hAnsi="Arial"/>
          <w:sz w:val="13"/>
          <w:szCs w:val="13"/>
          <w:b w:val="1"/>
          <w:bCs w:val="1"/>
          <w:color w:val="auto"/>
        </w:rPr>
        <w:t xml:space="preserve"> </w:t>
      </w:r>
      <w:r>
        <w:rPr>
          <w:rFonts w:ascii="Arial" w:cs="Arial" w:eastAsia="Arial" w:hAnsi="Arial"/>
          <w:sz w:val="13"/>
          <w:szCs w:val="13"/>
          <w:color w:val="auto"/>
        </w:rPr>
        <w:t>Project Manager the authority to exercise all approval rights, supervisory rights and other rights or powers of Landlord under this Tenant Work Letter with respect to the design and construction of the Tenant Improvements, and (ii) requests that Tenant work with Project Manager with respect to any logistical or other coordination matters arising in the course of construction of the Tenant Improvements, including monitoring Tenant’s compliance with its obligations under this Tenant Work Letter and under the Lease with respect to the design and construction of the Tenant Improvements. Tenant acknowledges the foregoing delegation and request, and agrees to cooperate reasonably with Project Manager as Landlord’s representative pursuant to such delegation and request. Fees and charges of Project Manager for such services shall be at Tenant’s sole expense, subject to Landlord’s payment of the Tenant Improvement Allowance and, to the extent requested by Tenant, the First Additional TI Allowance and Second Additional TI Allowance. Such fees shall not exceed $3.71 per RSF of the Premises (i.e., $120,092.70); provided that in the event Tenant elects to utilize all or any portion of the First Additional TI Allowance or Second Additional TI Allowance pursuant to the terms of Sections 4(b) and 4(c) below, such fees to the Project Manager shall increase by an amount equal to the product of (A) 2.65% and (B) the amount of the First Additional TI Allowance and Second Additional TI Allowance and/or Tenant Funds which Tenant elects to utilize.</w:t>
      </w:r>
    </w:p>
    <w:p>
      <w:pPr>
        <w:spacing w:after="0" w:line="321" w:lineRule="exact"/>
        <w:rPr>
          <w:rFonts w:ascii="Arial" w:cs="Arial" w:eastAsia="Arial" w:hAnsi="Arial"/>
          <w:sz w:val="13"/>
          <w:szCs w:val="13"/>
          <w:color w:val="auto"/>
        </w:rPr>
      </w:pPr>
    </w:p>
    <w:p>
      <w:pPr>
        <w:ind w:left="240" w:hanging="162"/>
        <w:spacing w:after="0"/>
        <w:tabs>
          <w:tab w:leader="none" w:pos="240" w:val="left"/>
        </w:tabs>
        <w:numPr>
          <w:ilvl w:val="0"/>
          <w:numId w:val="445"/>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Completion</w:t>
      </w:r>
      <w:r>
        <w:rPr>
          <w:rFonts w:ascii="Arial" w:cs="Arial" w:eastAsia="Arial" w:hAnsi="Arial"/>
          <w:sz w:val="16"/>
          <w:szCs w:val="16"/>
          <w:color w:val="auto"/>
        </w:rPr>
        <w:t>.</w:t>
      </w:r>
    </w:p>
    <w:p>
      <w:pPr>
        <w:spacing w:after="0" w:line="197" w:lineRule="exact"/>
        <w:rPr>
          <w:rFonts w:ascii="Arial" w:cs="Arial" w:eastAsia="Arial" w:hAnsi="Arial"/>
          <w:sz w:val="16"/>
          <w:szCs w:val="16"/>
          <w:color w:val="auto"/>
        </w:rPr>
      </w:pPr>
    </w:p>
    <w:p>
      <w:pPr>
        <w:ind w:left="-300" w:right="20" w:firstLine="860"/>
        <w:spacing w:after="0" w:line="310" w:lineRule="auto"/>
        <w:tabs>
          <w:tab w:leader="none" w:pos="779" w:val="left"/>
        </w:tabs>
        <w:numPr>
          <w:ilvl w:val="1"/>
          <w:numId w:val="445"/>
        </w:numPr>
        <w:rPr>
          <w:rFonts w:ascii="Arial" w:cs="Arial" w:eastAsia="Arial" w:hAnsi="Arial"/>
          <w:sz w:val="13"/>
          <w:szCs w:val="13"/>
          <w:color w:val="auto"/>
        </w:rPr>
      </w:pPr>
      <w:r>
        <w:rPr>
          <w:rFonts w:ascii="Arial" w:cs="Arial" w:eastAsia="Arial" w:hAnsi="Arial"/>
          <w:sz w:val="13"/>
          <w:szCs w:val="13"/>
          <w:color w:val="auto"/>
        </w:rPr>
        <w:t xml:space="preserve">When Landlord receives written certification from Architect that construction of the Tenant Improvements and Landlord’s Work has been completed in accordance with the Approved TI Plans and </w:t>
      </w:r>
      <w:r>
        <w:rPr>
          <w:rFonts w:ascii="Arial" w:cs="Arial" w:eastAsia="Arial" w:hAnsi="Arial"/>
          <w:sz w:val="13"/>
          <w:szCs w:val="13"/>
          <w:u w:val="single" w:color="auto"/>
          <w:color w:val="auto"/>
        </w:rPr>
        <w:t>Section 3(e)</w:t>
      </w:r>
      <w:r>
        <w:rPr>
          <w:rFonts w:ascii="Arial" w:cs="Arial" w:eastAsia="Arial" w:hAnsi="Arial"/>
          <w:sz w:val="13"/>
          <w:szCs w:val="13"/>
          <w:color w:val="auto"/>
        </w:rPr>
        <w:t xml:space="preserve"> below (except for Punch List Work), Landlord shall prepare and deliver to Tenant a certificate (or separate certificates for the Tenant Improvements and Landlord’s Work) signed by Landlord, Architect and General Contractor (the “</w:t>
      </w:r>
      <w:r>
        <w:rPr>
          <w:rFonts w:ascii="Arial" w:cs="Arial" w:eastAsia="Arial" w:hAnsi="Arial"/>
          <w:sz w:val="13"/>
          <w:szCs w:val="13"/>
          <w:b w:val="1"/>
          <w:bCs w:val="1"/>
          <w:color w:val="auto"/>
        </w:rPr>
        <w:t>Substantial Completion Certificate</w:t>
      </w:r>
      <w:r>
        <w:rPr>
          <w:rFonts w:ascii="Arial" w:cs="Arial" w:eastAsia="Arial" w:hAnsi="Arial"/>
          <w:sz w:val="13"/>
          <w:szCs w:val="13"/>
          <w:color w:val="auto"/>
        </w:rPr>
        <w:t>”) (i) certifying that the construction of the Tenant Improvements and Landlord’s Work has been substantially completed in a good and workmanlike manner in accordance with the Approved TI Plans and Section 3(e) below in all material respects, subject only to completion of Punch List Work, and specifying the date of that completion, and (ii) certifying that the Tenant Improvements and Landlord’s Work comply in all material respects with all laws, rules, regulations, codes, ordinances, requirements, covenants, conditions and restrictions applicable thereto at the time of such delivery. Upon receipt by Tenant of the Substantial Completion Certificate and tender of possession of the Premises by Landlord to Tenant, and receipt of any certificate of occupancy or its legal equivalent, or other required sign-offs from any applicable governmental authority, allowing the legal occupancy of the Premises, the Tenant Improvements will be deemed delivered to Tenant and “Ready for Occupancy” for all purposes of the Lease (subject to Landlord’s continuing obligations with respect to any Punch List Work, and to any other express obligations of Landlord under the Lease or this Tenant Work Letter with respect to such Tenant Improvements).</w:t>
      </w:r>
    </w:p>
    <w:p>
      <w:pPr>
        <w:spacing w:after="0" w:line="328" w:lineRule="exact"/>
        <w:rPr>
          <w:rFonts w:ascii="Arial" w:cs="Arial" w:eastAsia="Arial" w:hAnsi="Arial"/>
          <w:sz w:val="13"/>
          <w:szCs w:val="13"/>
          <w:color w:val="auto"/>
        </w:rPr>
      </w:pPr>
    </w:p>
    <w:p>
      <w:pPr>
        <w:ind w:left="-300" w:right="40" w:firstLine="860"/>
        <w:spacing w:after="0" w:line="319" w:lineRule="auto"/>
        <w:tabs>
          <w:tab w:leader="none" w:pos="788" w:val="left"/>
        </w:tabs>
        <w:numPr>
          <w:ilvl w:val="1"/>
          <w:numId w:val="445"/>
        </w:numPr>
        <w:rPr>
          <w:rFonts w:ascii="Arial" w:cs="Arial" w:eastAsia="Arial" w:hAnsi="Arial"/>
          <w:sz w:val="13"/>
          <w:szCs w:val="13"/>
          <w:color w:val="auto"/>
        </w:rPr>
      </w:pPr>
      <w:r>
        <w:rPr>
          <w:rFonts w:ascii="Arial" w:cs="Arial" w:eastAsia="Arial" w:hAnsi="Arial"/>
          <w:sz w:val="13"/>
          <w:szCs w:val="13"/>
          <w:color w:val="auto"/>
        </w:rPr>
        <w:t>Immediately prior to delivery of the Substantial Completion Certificate for the Tenant Improvements, Project Manager or other representatives of Landlord shall conduct one or more “walkthroughs” of the Building with Tenant and Tenant’s representatives, to identify any items of Punch List Work that may require correction and to prepare a joint punch list reflecting any such items, following which Landlord shall diligently complete the Punch List Work reflected in such joint punch list. The Punch List Work shall be attached to the Substantial Completion Certificate, and shall not include damage caused by Tenant or any of Tenant’s agents in connection with any work performed by Tenant in the Premises, or required as a result of Tenant’s move-in to the Premises. At any time within thirty (30) days after delivery of such Substantial Completion Certificate, Tenant shall</w:t>
      </w:r>
    </w:p>
    <w:p>
      <w:pPr>
        <w:sectPr>
          <w:pgSz w:w="11900" w:h="16838" w:orient="portrait"/>
          <w:cols w:equalWidth="0" w:num="1">
            <w:col w:w="9300"/>
          </w:cols>
          <w:pgMar w:left="1440" w:top="256" w:right="1159" w:bottom="1440" w:gutter="0" w:footer="0" w:header="0"/>
        </w:sectPr>
      </w:pPr>
    </w:p>
    <w:bookmarkStart w:id="603" w:name="page604"/>
    <w:bookmarkEnd w:id="603"/>
    <w:p>
      <w:pPr>
        <w:ind w:right="12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be entitled to submit one or more lists to Landlord supplementing such joint punch list by specifying any additional items of Punch List Work to be performed on the applicable Tenant Improvements and Landlord’s Work, and upon receipt of such list(s), Landlord shall diligently complete such additional Punch List Work. Promptly after Landlord provides Tenant with the Substantial Completion Certificate and completes all applicable Punch List Work for the Building, Landlord shall cause the recordation of a Notice of Completion (as defined in the California Civil Code) with respect to the Tenant Improvements.</w:t>
      </w:r>
    </w:p>
    <w:p>
      <w:pPr>
        <w:spacing w:after="0" w:line="170" w:lineRule="exact"/>
        <w:rPr>
          <w:sz w:val="20"/>
          <w:szCs w:val="20"/>
          <w:color w:val="auto"/>
        </w:rPr>
      </w:pPr>
    </w:p>
    <w:p>
      <w:pPr>
        <w:ind w:firstLine="860"/>
        <w:spacing w:after="0" w:line="253" w:lineRule="auto"/>
        <w:tabs>
          <w:tab w:leader="none" w:pos="1079" w:val="left"/>
        </w:tabs>
        <w:numPr>
          <w:ilvl w:val="1"/>
          <w:numId w:val="446"/>
        </w:numPr>
        <w:rPr>
          <w:rFonts w:ascii="Arial" w:cs="Arial" w:eastAsia="Arial" w:hAnsi="Arial"/>
          <w:sz w:val="16"/>
          <w:szCs w:val="16"/>
          <w:color w:val="auto"/>
        </w:rPr>
      </w:pPr>
      <w:r>
        <w:rPr>
          <w:rFonts w:ascii="Arial" w:cs="Arial" w:eastAsia="Arial" w:hAnsi="Arial"/>
          <w:sz w:val="16"/>
          <w:szCs w:val="16"/>
          <w:color w:val="auto"/>
        </w:rPr>
        <w:t>All construction, product and equipment warranties and guaranties obtained by Landlord with respect to the Tenant Improvements and Landlord’s Work shall, to the extent reasonably obtainable, include a provision that such warranties and guaranties shall also run to the benefit of Tenant, and Landlord shall cooperate with Tenant in a commercially reasonable manner to assist in enforcing all such warranties and guaranties for the benefit of Tenant.</w:t>
      </w:r>
    </w:p>
    <w:p>
      <w:pPr>
        <w:spacing w:after="0" w:line="167" w:lineRule="exact"/>
        <w:rPr>
          <w:rFonts w:ascii="Arial" w:cs="Arial" w:eastAsia="Arial" w:hAnsi="Arial"/>
          <w:sz w:val="16"/>
          <w:szCs w:val="16"/>
          <w:color w:val="auto"/>
        </w:rPr>
      </w:pPr>
    </w:p>
    <w:p>
      <w:pPr>
        <w:jc w:val="both"/>
        <w:ind w:right="20" w:firstLine="860"/>
        <w:spacing w:after="0" w:line="275" w:lineRule="auto"/>
        <w:tabs>
          <w:tab w:leader="none" w:pos="1088" w:val="left"/>
        </w:tabs>
        <w:numPr>
          <w:ilvl w:val="1"/>
          <w:numId w:val="446"/>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provisions of this Tenant Work Letter or of the Lease, if Landlord is delayed in substantially completing any of the Tenant Improvements as a result of any Tenant Delay, and if the Lease Commencement Date is being determined under clause (i) of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of the Lease Summary, then notwithstanding any other provision of the Lease to the contrary, then the Premises shall be deemed to have been Ready for Occupancy on the date the Premises would have been Ready for Occupancy absent such Tenant Delay.</w:t>
      </w:r>
    </w:p>
    <w:p>
      <w:pPr>
        <w:spacing w:after="0" w:line="152" w:lineRule="exact"/>
        <w:rPr>
          <w:rFonts w:ascii="Arial" w:cs="Arial" w:eastAsia="Arial" w:hAnsi="Arial"/>
          <w:sz w:val="15"/>
          <w:szCs w:val="15"/>
          <w:color w:val="auto"/>
        </w:rPr>
      </w:pPr>
    </w:p>
    <w:p>
      <w:pPr>
        <w:ind w:right="20" w:firstLine="860"/>
        <w:spacing w:after="0" w:line="343" w:lineRule="auto"/>
        <w:tabs>
          <w:tab w:leader="none" w:pos="1079" w:val="left"/>
        </w:tabs>
        <w:numPr>
          <w:ilvl w:val="1"/>
          <w:numId w:val="446"/>
        </w:numPr>
        <w:rPr>
          <w:rFonts w:ascii="Arial" w:cs="Arial" w:eastAsia="Arial" w:hAnsi="Arial"/>
          <w:sz w:val="13"/>
          <w:szCs w:val="13"/>
          <w:color w:val="auto"/>
        </w:rPr>
      </w:pPr>
      <w:r>
        <w:rPr>
          <w:rFonts w:ascii="Arial" w:cs="Arial" w:eastAsia="Arial" w:hAnsi="Arial"/>
          <w:sz w:val="13"/>
          <w:szCs w:val="13"/>
          <w:color w:val="auto"/>
        </w:rPr>
        <w:t>Notwithstanding any other provisions of this Tenant Work Letter or of the Lease, Landlord shall be responsible, at Landlord’s sole cost and expense, and without deduction from the Tenant Improvement Allowance, to construct and deliver the Base Building and “Warm Shell” components of the Premises (“</w:t>
      </w:r>
      <w:r>
        <w:rPr>
          <w:rFonts w:ascii="Arial" w:cs="Arial" w:eastAsia="Arial" w:hAnsi="Arial"/>
          <w:sz w:val="13"/>
          <w:szCs w:val="13"/>
          <w:b w:val="1"/>
          <w:bCs w:val="1"/>
          <w:color w:val="auto"/>
        </w:rPr>
        <w:t>Landlord’s Work</w:t>
      </w:r>
      <w:r>
        <w:rPr>
          <w:rFonts w:ascii="Arial" w:cs="Arial" w:eastAsia="Arial" w:hAnsi="Arial"/>
          <w:sz w:val="13"/>
          <w:szCs w:val="13"/>
          <w:color w:val="auto"/>
        </w:rPr>
        <w:t xml:space="preserve">”), which shall consist of the items set forth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to this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Warm Shell Schedule</w:t>
      </w:r>
      <w:r>
        <w:rPr>
          <w:rFonts w:ascii="Arial" w:cs="Arial" w:eastAsia="Arial" w:hAnsi="Arial"/>
          <w:sz w:val="13"/>
          <w:szCs w:val="13"/>
          <w:color w:val="auto"/>
        </w:rPr>
        <w:t>”).</w:t>
      </w:r>
    </w:p>
    <w:p>
      <w:pPr>
        <w:spacing w:after="0" w:line="109" w:lineRule="exact"/>
        <w:rPr>
          <w:rFonts w:ascii="Arial" w:cs="Arial" w:eastAsia="Arial" w:hAnsi="Arial"/>
          <w:sz w:val="13"/>
          <w:szCs w:val="13"/>
          <w:color w:val="auto"/>
        </w:rPr>
      </w:pPr>
    </w:p>
    <w:p>
      <w:pPr>
        <w:ind w:firstLine="860"/>
        <w:spacing w:after="0" w:line="266" w:lineRule="auto"/>
        <w:tabs>
          <w:tab w:leader="none" w:pos="1062" w:val="left"/>
        </w:tabs>
        <w:numPr>
          <w:ilvl w:val="1"/>
          <w:numId w:val="446"/>
        </w:numPr>
        <w:rPr>
          <w:rFonts w:ascii="Arial" w:cs="Arial" w:eastAsia="Arial" w:hAnsi="Arial"/>
          <w:sz w:val="15"/>
          <w:szCs w:val="15"/>
          <w:color w:val="auto"/>
        </w:rPr>
      </w:pPr>
      <w:r>
        <w:rPr>
          <w:rFonts w:ascii="Arial" w:cs="Arial" w:eastAsia="Arial" w:hAnsi="Arial"/>
          <w:sz w:val="15"/>
          <w:szCs w:val="15"/>
          <w:b w:val="1"/>
          <w:bCs w:val="1"/>
          <w:u w:val="single" w:color="auto"/>
          <w:color w:val="auto"/>
        </w:rPr>
        <w:t>Construction of Additional Base Building Items</w:t>
      </w:r>
      <w:r>
        <w:rPr>
          <w:rFonts w:ascii="Arial" w:cs="Arial" w:eastAsia="Arial" w:hAnsi="Arial"/>
          <w:sz w:val="15"/>
          <w:szCs w:val="15"/>
          <w:color w:val="auto"/>
        </w:rPr>
        <w:t>. To the extent that the Final TI Working Drawings contain any structural items, or</w:t>
      </w:r>
      <w:r>
        <w:rPr>
          <w:rFonts w:ascii="Arial" w:cs="Arial" w:eastAsia="Arial" w:hAnsi="Arial"/>
          <w:sz w:val="15"/>
          <w:szCs w:val="15"/>
          <w:b w:val="1"/>
          <w:bCs w:val="1"/>
          <w:color w:val="auto"/>
        </w:rPr>
        <w:t xml:space="preserve"> </w:t>
      </w:r>
      <w:r>
        <w:rPr>
          <w:rFonts w:ascii="Arial" w:cs="Arial" w:eastAsia="Arial" w:hAnsi="Arial"/>
          <w:sz w:val="15"/>
          <w:szCs w:val="15"/>
          <w:color w:val="auto"/>
        </w:rPr>
        <w:t>items which would not reasonably be categorized as “normal tenant improvements” under applicable GAAP standards (the “</w:t>
      </w:r>
      <w:r>
        <w:rPr>
          <w:rFonts w:ascii="Arial" w:cs="Arial" w:eastAsia="Arial" w:hAnsi="Arial"/>
          <w:sz w:val="15"/>
          <w:szCs w:val="15"/>
          <w:b w:val="1"/>
          <w:bCs w:val="1"/>
          <w:color w:val="auto"/>
        </w:rPr>
        <w:t>Additional Base Building</w:t>
      </w:r>
      <w:r>
        <w:rPr>
          <w:rFonts w:ascii="Arial" w:cs="Arial" w:eastAsia="Arial" w:hAnsi="Arial"/>
          <w:sz w:val="15"/>
          <w:szCs w:val="15"/>
          <w:color w:val="auto"/>
        </w:rPr>
        <w:t xml:space="preserve"> </w:t>
      </w:r>
      <w:r>
        <w:rPr>
          <w:rFonts w:ascii="Arial" w:cs="Arial" w:eastAsia="Arial" w:hAnsi="Arial"/>
          <w:sz w:val="15"/>
          <w:szCs w:val="15"/>
          <w:b w:val="1"/>
          <w:bCs w:val="1"/>
          <w:color w:val="auto"/>
        </w:rPr>
        <w:t>Items</w:t>
      </w:r>
      <w:r>
        <w:rPr>
          <w:rFonts w:ascii="Arial" w:cs="Arial" w:eastAsia="Arial" w:hAnsi="Arial"/>
          <w:sz w:val="15"/>
          <w:szCs w:val="15"/>
          <w:color w:val="auto"/>
        </w:rPr>
        <w:t>”), then such Additional Base Building Items shall not be constructed as a part of the Landlord’s TI Work or the Tenant Improvements, but instead</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constructed by Landlord as a part of the Landlord’s Work. The cost of construction of the Additional Base Building Items (the “</w:t>
      </w:r>
      <w:r>
        <w:rPr>
          <w:rFonts w:ascii="Arial" w:cs="Arial" w:eastAsia="Arial" w:hAnsi="Arial"/>
          <w:sz w:val="15"/>
          <w:szCs w:val="15"/>
          <w:b w:val="1"/>
          <w:bCs w:val="1"/>
          <w:color w:val="auto"/>
        </w:rPr>
        <w:t>Additional Base</w:t>
      </w:r>
      <w:r>
        <w:rPr>
          <w:rFonts w:ascii="Arial" w:cs="Arial" w:eastAsia="Arial" w:hAnsi="Arial"/>
          <w:sz w:val="15"/>
          <w:szCs w:val="15"/>
          <w:color w:val="auto"/>
        </w:rPr>
        <w:t xml:space="preserve"> </w:t>
      </w:r>
      <w:r>
        <w:rPr>
          <w:rFonts w:ascii="Arial" w:cs="Arial" w:eastAsia="Arial" w:hAnsi="Arial"/>
          <w:sz w:val="15"/>
          <w:szCs w:val="15"/>
          <w:b w:val="1"/>
          <w:bCs w:val="1"/>
          <w:color w:val="auto"/>
        </w:rPr>
        <w:t>Building Costs</w:t>
      </w:r>
      <w:r>
        <w:rPr>
          <w:rFonts w:ascii="Arial" w:cs="Arial" w:eastAsia="Arial" w:hAnsi="Arial"/>
          <w:sz w:val="15"/>
          <w:szCs w:val="15"/>
          <w:color w:val="auto"/>
        </w:rPr>
        <w:t>”) shall be borne by Landlord. Before commencing construction thereof, Landlord shall obtain a reasonable, good faith bid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Base Building Items from the General Contractor, which bid shall take into account all reasonable factors, including, without limitation, reasonable contingencies in connection therewith, Landlord shall notify Tenant of the amount of such bid (the “</w:t>
      </w:r>
      <w:r>
        <w:rPr>
          <w:rFonts w:ascii="Arial" w:cs="Arial" w:eastAsia="Arial" w:hAnsi="Arial"/>
          <w:sz w:val="15"/>
          <w:szCs w:val="15"/>
          <w:b w:val="1"/>
          <w:bCs w:val="1"/>
          <w:color w:val="auto"/>
        </w:rPr>
        <w:t>Estimated Base Building Costs</w:t>
      </w:r>
      <w:r>
        <w:rPr>
          <w:rFonts w:ascii="Arial" w:cs="Arial" w:eastAsia="Arial" w:hAnsi="Arial"/>
          <w:sz w:val="15"/>
          <w:szCs w:val="15"/>
          <w:color w:val="auto"/>
        </w:rPr>
        <w:t>”), and the amount of the Tenant Improvement Allowance shall be reduced by the amount of the Estimated Base Building Costs. Landlord shall have the right to disapprove any aspect of the Final TI Working Drawing that would result in Additional Base Building Costs in excess of the then remaining Tenant Improvement Allowance, so that, while the Tenant Improvement Allowance may be reduced, under no circumstances would Tenant be required to pay for any Additional Base Building Items with its own funds.</w:t>
      </w:r>
    </w:p>
    <w:p>
      <w:pPr>
        <w:spacing w:after="0" w:line="160" w:lineRule="exact"/>
        <w:rPr>
          <w:rFonts w:ascii="Arial" w:cs="Arial" w:eastAsia="Arial" w:hAnsi="Arial"/>
          <w:sz w:val="15"/>
          <w:szCs w:val="15"/>
          <w:color w:val="auto"/>
        </w:rPr>
      </w:pPr>
    </w:p>
    <w:p>
      <w:pPr>
        <w:ind w:left="540" w:hanging="162"/>
        <w:spacing w:after="0"/>
        <w:tabs>
          <w:tab w:leader="none" w:pos="540" w:val="left"/>
        </w:tabs>
        <w:numPr>
          <w:ilvl w:val="0"/>
          <w:numId w:val="447"/>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Costs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firstLine="860"/>
        <w:spacing w:after="0" w:line="266" w:lineRule="auto"/>
        <w:tabs>
          <w:tab w:leader="none" w:pos="1079" w:val="left"/>
        </w:tabs>
        <w:numPr>
          <w:ilvl w:val="1"/>
          <w:numId w:val="447"/>
        </w:numPr>
        <w:rPr>
          <w:rFonts w:ascii="Arial" w:cs="Arial" w:eastAsia="Arial" w:hAnsi="Arial"/>
          <w:sz w:val="15"/>
          <w:szCs w:val="15"/>
          <w:color w:val="auto"/>
        </w:rPr>
      </w:pPr>
      <w:r>
        <w:rPr>
          <w:rFonts w:ascii="Arial" w:cs="Arial" w:eastAsia="Arial" w:hAnsi="Arial"/>
          <w:sz w:val="15"/>
          <w:szCs w:val="15"/>
          <w:b w:val="1"/>
          <w:bCs w:val="1"/>
          <w:u w:val="single" w:color="auto"/>
          <w:color w:val="auto"/>
        </w:rPr>
        <w:t>Tenant Improvement Allowance</w:t>
      </w:r>
      <w:r>
        <w:rPr>
          <w:rFonts w:ascii="Arial" w:cs="Arial" w:eastAsia="Arial" w:hAnsi="Arial"/>
          <w:sz w:val="15"/>
          <w:szCs w:val="15"/>
          <w:color w:val="auto"/>
        </w:rPr>
        <w:t>. Subject to any restrictions, conditions or limitations expressly set forth in this Tenant Work Letter or</w:t>
      </w:r>
      <w:r>
        <w:rPr>
          <w:rFonts w:ascii="Arial" w:cs="Arial" w:eastAsia="Arial" w:hAnsi="Arial"/>
          <w:sz w:val="15"/>
          <w:szCs w:val="15"/>
          <w:b w:val="1"/>
          <w:bCs w:val="1"/>
          <w:color w:val="auto"/>
        </w:rPr>
        <w:t xml:space="preserve"> </w:t>
      </w:r>
      <w:r>
        <w:rPr>
          <w:rFonts w:ascii="Arial" w:cs="Arial" w:eastAsia="Arial" w:hAnsi="Arial"/>
          <w:sz w:val="15"/>
          <w:szCs w:val="15"/>
          <w:color w:val="auto"/>
        </w:rPr>
        <w:t>in the Lease or as otherwise expressly provided by mutual written agreement of Landlord and Tenant, the cost of construction of the Tenant Improvements shall be paid or reimbursed by Landlord up to a maximum amount equal to $4,531,800.00 (the “</w:t>
      </w:r>
      <w:r>
        <w:rPr>
          <w:rFonts w:ascii="Arial" w:cs="Arial" w:eastAsia="Arial" w:hAnsi="Arial"/>
          <w:sz w:val="15"/>
          <w:szCs w:val="15"/>
          <w:b w:val="1"/>
          <w:bCs w:val="1"/>
          <w:color w:val="auto"/>
        </w:rPr>
        <w:t>Tenant Improvement Allowance</w:t>
      </w:r>
      <w:r>
        <w:rPr>
          <w:rFonts w:ascii="Arial" w:cs="Arial" w:eastAsia="Arial" w:hAnsi="Arial"/>
          <w:sz w:val="15"/>
          <w:szCs w:val="15"/>
          <w:color w:val="auto"/>
        </w:rPr>
        <w:t>”), which amount is being made available by Landlord to be applied towards the Cost of Improvements for the construction of the Tenant Improvements in the Premises. Tenant shall be responsible, at its sole cost and expense, for payment of the entire Cost of Improvements of the Tenant Improvements in excess of the Tenant Improvement Allowance, including (but not limited to) any costs or cost increases incurred as a result of delays (unless caused by Landlord), governmental requirements or unanticipated conditions (unless caused by Landlord), and for payment of any and all costs and expenses relating to any alterations, additions, improvements, furniture, furnishings, equipment, fixtures and personal property items which are not eligible for application of Tenant Improvement Allowance funds under the restrictions expressly set forth below in this paragraph, but Tenant shall be entitled to use or apply the entire Tenant Improvement Allowance toward the Cost of Improvements of the Tenant Improvements (subject to any applicable restrictions, conditions, limitations, reductions or charges set forth in the Lease or in this Tenant Work Letter) prior to being required to expend any of Tenant’s own funds for the Tenant Improvements. The funding of the Tenant</w:t>
      </w:r>
    </w:p>
    <w:p>
      <w:pPr>
        <w:sectPr>
          <w:pgSz w:w="11900" w:h="16838" w:orient="portrait"/>
          <w:cols w:equalWidth="0" w:num="1">
            <w:col w:w="9620"/>
          </w:cols>
          <w:pgMar w:left="1140" w:top="256" w:right="1139" w:bottom="1440" w:gutter="0" w:footer="0" w:header="0"/>
        </w:sectPr>
      </w:pPr>
    </w:p>
    <w:bookmarkStart w:id="604" w:name="page605"/>
    <w:bookmarkEnd w:id="604"/>
    <w:p>
      <w:pPr>
        <w:ind w:left="6"/>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55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90105" cy="35560"/>
                    </a:xfrm>
                    <a:prstGeom prst="rect">
                      <a:avLst/>
                    </a:prstGeom>
                    <a:noFill/>
                  </pic:spPr>
                </pic:pic>
              </a:graphicData>
            </a:graphic>
          </wp:anchor>
        </w:drawing>
        <w:t>Improvement Allowance shall be made on a monthly basis or at other convenient intervals mutually approved by Landlord and Tenant and in all other respects shall be based on such commercially reasonable disbursement conditions and procedures as Landlord, Project Manager and Landlord’s lender (if any) may reasonably prescribe. Notwithstanding the foregoing provisions, under no circumstances shall the Tenant Improvement Allowance or any portion thereof be used or useable by Tenant for any moving or relocation expenses of Tenant, or for any Cost of Improvement (or any other cost or expense) associated with any moveable furniture or trade fixtures, personal property or any other item or element which, under the applicable provisions of the Lease, will not become Landlord’s property and remain with the Building upon expiration or termination of the Lease; provided, however, Tenant shall be permitted to use the Tenant Improvement Allowance, First Additional TI Allowance and Second Additional TI Allowance toward the purchase of a cagewash, autoclave and glasswash (which shall become Landlord’s property upon expiration of the Lease). Notwithstanding anything to the contrary herein, the Tenant Improvements shall not include (and Landlord shall be solely responsible for and the Tenant Improvement Allowance shall not be used for) the following: (a) costs incurred due to the presence of any Hazardous Materials in the Premises, if any, but with respect to removal and remediation of any such Hazardous Materials, only to the extent such removal or remediation is required by Applicable Laws enforced as of the date of this Lease for improvements in the Premises generally (as opposed to the specific Tenant Improvements) and to the extent the same required in order to allow Tenant to obtain a certificate of occupancy or its legal equivalent, for the Premises for the Permitted Use assuming a normal and customary occupancy density; (b) costs to bring the Project into compliance with Applicable Laws to the extent required in order to allow Tenant to obtain a certificate of occupancy or its legal equivalent, for the Premises for the Permitted Use assuming a normal and customary office occupancy density;</w:t>
      </w:r>
    </w:p>
    <w:p>
      <w:pPr>
        <w:spacing w:after="0" w:line="155" w:lineRule="exact"/>
        <w:rPr>
          <w:sz w:val="20"/>
          <w:szCs w:val="20"/>
          <w:color w:val="auto"/>
        </w:rPr>
      </w:pPr>
    </w:p>
    <w:p>
      <w:pPr>
        <w:ind w:left="6" w:right="20" w:hanging="6"/>
        <w:spacing w:after="0" w:line="266" w:lineRule="auto"/>
        <w:tabs>
          <w:tab w:leader="none" w:pos="220" w:val="left"/>
        </w:tabs>
        <w:numPr>
          <w:ilvl w:val="0"/>
          <w:numId w:val="448"/>
        </w:numPr>
        <w:rPr>
          <w:rFonts w:ascii="Arial" w:cs="Arial" w:eastAsia="Arial" w:hAnsi="Arial"/>
          <w:sz w:val="15"/>
          <w:szCs w:val="15"/>
          <w:color w:val="auto"/>
        </w:rPr>
      </w:pPr>
      <w:r>
        <w:rPr>
          <w:rFonts w:ascii="Arial" w:cs="Arial" w:eastAsia="Arial" w:hAnsi="Arial"/>
          <w:sz w:val="15"/>
          <w:szCs w:val="15"/>
          <w:color w:val="auto"/>
        </w:rPr>
        <w:t>construction costs in excess of the contract amount stated in the contract with the General Contractor, as approved by Tenant (not to be unreasonably withheld), except for increases set forth in change orders approved by Tenant; (d) wages, labor and overhead for overtime and premium time unless approved by Tenant (which approval shall not be unreasonably withheld, conditioned or delayed); (e) attorneys’ fees incurred in connection with negotiation of construction contracts, and attorneys’ fees, experts’ fees and other costs in connection with disputes with third parties; (f) interest and other costs of financing construction costs; (g) costs incurred as a consequence construction defects or default by a contractor; (h) costs as a consequence of casualties; (i) penalties and late charges attributable to Landlord’s failure to pay construction costs, and (j) costs due to compliance with the soil management plan for the Project or its appendices.</w:t>
      </w:r>
    </w:p>
    <w:p>
      <w:pPr>
        <w:spacing w:after="0" w:line="155" w:lineRule="exact"/>
        <w:rPr>
          <w:rFonts w:ascii="Arial" w:cs="Arial" w:eastAsia="Arial" w:hAnsi="Arial"/>
          <w:sz w:val="15"/>
          <w:szCs w:val="15"/>
          <w:color w:val="auto"/>
        </w:rPr>
      </w:pPr>
    </w:p>
    <w:p>
      <w:pPr>
        <w:ind w:left="6" w:firstLine="860"/>
        <w:spacing w:after="0" w:line="312" w:lineRule="auto"/>
        <w:tabs>
          <w:tab w:leader="none" w:pos="1094" w:val="left"/>
        </w:tabs>
        <w:numPr>
          <w:ilvl w:val="1"/>
          <w:numId w:val="448"/>
        </w:numPr>
        <w:rPr>
          <w:rFonts w:ascii="Arial" w:cs="Arial" w:eastAsia="Arial" w:hAnsi="Arial"/>
          <w:sz w:val="13"/>
          <w:szCs w:val="13"/>
          <w:color w:val="auto"/>
        </w:rPr>
      </w:pPr>
      <w:r>
        <w:rPr>
          <w:rFonts w:ascii="Arial" w:cs="Arial" w:eastAsia="Arial" w:hAnsi="Arial"/>
          <w:sz w:val="13"/>
          <w:szCs w:val="13"/>
          <w:b w:val="1"/>
          <w:bCs w:val="1"/>
          <w:u w:val="single" w:color="auto"/>
          <w:color w:val="auto"/>
        </w:rPr>
        <w:t>First Additional TI Allowance</w:t>
      </w:r>
      <w:r>
        <w:rPr>
          <w:rFonts w:ascii="Arial" w:cs="Arial" w:eastAsia="Arial" w:hAnsi="Arial"/>
          <w:sz w:val="13"/>
          <w:szCs w:val="13"/>
          <w:color w:val="auto"/>
        </w:rPr>
        <w:t>. In addition to the Tenant Improvement Allowance, Tenant shall have the right, by written notice to</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given on or before the Lease Commencement Date, to use up to $20.00 per RSF of the Premises (i.e., up to $647,400.00) (the “</w:t>
      </w:r>
      <w:r>
        <w:rPr>
          <w:rFonts w:ascii="Arial" w:cs="Arial" w:eastAsia="Arial" w:hAnsi="Arial"/>
          <w:sz w:val="13"/>
          <w:szCs w:val="13"/>
          <w:b w:val="1"/>
          <w:bCs w:val="1"/>
          <w:color w:val="auto"/>
        </w:rPr>
        <w:t>First</w:t>
      </w:r>
      <w:r>
        <w:rPr>
          <w:rFonts w:ascii="Arial" w:cs="Arial" w:eastAsia="Arial" w:hAnsi="Arial"/>
          <w:sz w:val="13"/>
          <w:szCs w:val="13"/>
          <w:color w:val="auto"/>
        </w:rPr>
        <w:t xml:space="preserve"> </w:t>
      </w:r>
      <w:r>
        <w:rPr>
          <w:rFonts w:ascii="Arial" w:cs="Arial" w:eastAsia="Arial" w:hAnsi="Arial"/>
          <w:sz w:val="13"/>
          <w:szCs w:val="13"/>
          <w:b w:val="1"/>
          <w:bCs w:val="1"/>
          <w:color w:val="auto"/>
        </w:rPr>
        <w:t>Additional TI Allowance</w:t>
      </w:r>
      <w:r>
        <w:rPr>
          <w:rFonts w:ascii="Arial" w:cs="Arial" w:eastAsia="Arial" w:hAnsi="Arial"/>
          <w:sz w:val="13"/>
          <w:szCs w:val="13"/>
          <w:color w:val="auto"/>
        </w:rPr>
        <w:t>”) towards the payment of the costs of the Tenant Improvement Allowance Items. In the event Tenant exercises its right to use</w:t>
      </w:r>
      <w:r>
        <w:rPr>
          <w:rFonts w:ascii="Arial" w:cs="Arial" w:eastAsia="Arial" w:hAnsi="Arial"/>
          <w:sz w:val="13"/>
          <w:szCs w:val="13"/>
          <w:b w:val="1"/>
          <w:bCs w:val="1"/>
          <w:color w:val="auto"/>
        </w:rPr>
        <w:t xml:space="preserve"> </w:t>
      </w:r>
      <w:r>
        <w:rPr>
          <w:rFonts w:ascii="Arial" w:cs="Arial" w:eastAsia="Arial" w:hAnsi="Arial"/>
          <w:sz w:val="13"/>
          <w:szCs w:val="13"/>
          <w:color w:val="auto"/>
        </w:rPr>
        <w:t>all or any portion of the First Additional TI Allowance, Tenant shall be required to pay Landlord, commencing on the date the Tenant Improvements are completed (the “</w:t>
      </w:r>
      <w:r>
        <w:rPr>
          <w:rFonts w:ascii="Arial" w:cs="Arial" w:eastAsia="Arial" w:hAnsi="Arial"/>
          <w:sz w:val="13"/>
          <w:szCs w:val="13"/>
          <w:b w:val="1"/>
          <w:bCs w:val="1"/>
          <w:color w:val="auto"/>
        </w:rPr>
        <w:t>Additional Payment Commencement Date</w:t>
      </w:r>
      <w:r>
        <w:rPr>
          <w:rFonts w:ascii="Arial" w:cs="Arial" w:eastAsia="Arial" w:hAnsi="Arial"/>
          <w:sz w:val="13"/>
          <w:szCs w:val="13"/>
          <w:color w:val="auto"/>
        </w:rPr>
        <w:t>”), the “First Additional TI Allowance Payment,” as that term is defined below, in consideration of Landlord provision of the First Additional TI Allowance. The “</w:t>
      </w:r>
      <w:r>
        <w:rPr>
          <w:rFonts w:ascii="Arial" w:cs="Arial" w:eastAsia="Arial" w:hAnsi="Arial"/>
          <w:sz w:val="13"/>
          <w:szCs w:val="13"/>
          <w:b w:val="1"/>
          <w:bCs w:val="1"/>
          <w:color w:val="auto"/>
        </w:rPr>
        <w:t>First Additional TI Allowance Payment</w:t>
      </w:r>
      <w:r>
        <w:rPr>
          <w:rFonts w:ascii="Arial" w:cs="Arial" w:eastAsia="Arial" w:hAnsi="Arial"/>
          <w:sz w:val="13"/>
          <w:szCs w:val="13"/>
          <w:color w:val="auto"/>
        </w:rPr>
        <w:t xml:space="preserve">” shall be determined as the missing component of an annuity, which annuity shall have (i) the amount of the First Additional TI Allowance utilized by Tenant as the present value amount, (ii) a number equal to the number of full calendar months then remaining in the Lease Term as the number of payments, (iii) a monthly interest factor equal to eighty-three one-hundredths percent (0.83%), which is equal to ten percent (10%) divided by twelve (12) months per year, and (iv) the First Additional TI Allowance Payment as the missing component of the annuity. Following the calculation of the First Additional TI Allowance Payment, Landlord and Tenant will enter into a lease amendment in the form of </w:t>
      </w:r>
      <w:r>
        <w:rPr>
          <w:rFonts w:ascii="Arial" w:cs="Arial" w:eastAsia="Arial" w:hAnsi="Arial"/>
          <w:sz w:val="13"/>
          <w:szCs w:val="13"/>
          <w:b w:val="1"/>
          <w:bCs w:val="1"/>
          <w:u w:val="single" w:color="auto"/>
          <w:color w:val="auto"/>
        </w:rPr>
        <w:t>Exhibit G</w:t>
      </w:r>
      <w:r>
        <w:rPr>
          <w:rFonts w:ascii="Arial" w:cs="Arial" w:eastAsia="Arial" w:hAnsi="Arial"/>
          <w:sz w:val="13"/>
          <w:szCs w:val="13"/>
          <w:color w:val="auto"/>
        </w:rPr>
        <w:t xml:space="preserve"> attached hereto, to confirm the amount thereof.</w:t>
      </w:r>
    </w:p>
    <w:p>
      <w:pPr>
        <w:spacing w:after="0" w:line="320" w:lineRule="exact"/>
        <w:rPr>
          <w:rFonts w:ascii="Arial" w:cs="Arial" w:eastAsia="Arial" w:hAnsi="Arial"/>
          <w:sz w:val="13"/>
          <w:szCs w:val="13"/>
          <w:color w:val="auto"/>
        </w:rPr>
      </w:pPr>
    </w:p>
    <w:p>
      <w:pPr>
        <w:ind w:left="6" w:firstLine="860"/>
        <w:spacing w:after="0" w:line="267" w:lineRule="auto"/>
        <w:tabs>
          <w:tab w:leader="none" w:pos="1085" w:val="left"/>
        </w:tabs>
        <w:numPr>
          <w:ilvl w:val="1"/>
          <w:numId w:val="448"/>
        </w:numPr>
        <w:rPr>
          <w:rFonts w:ascii="Arial" w:cs="Arial" w:eastAsia="Arial" w:hAnsi="Arial"/>
          <w:sz w:val="15"/>
          <w:szCs w:val="15"/>
          <w:color w:val="auto"/>
        </w:rPr>
      </w:pPr>
      <w:r>
        <w:rPr>
          <w:rFonts w:ascii="Arial" w:cs="Arial" w:eastAsia="Arial" w:hAnsi="Arial"/>
          <w:sz w:val="15"/>
          <w:szCs w:val="15"/>
          <w:b w:val="1"/>
          <w:bCs w:val="1"/>
          <w:u w:val="single" w:color="auto"/>
          <w:color w:val="auto"/>
        </w:rPr>
        <w:t>Second Additional TI Allowance</w:t>
      </w:r>
      <w:r>
        <w:rPr>
          <w:rFonts w:ascii="Arial" w:cs="Arial" w:eastAsia="Arial" w:hAnsi="Arial"/>
          <w:sz w:val="15"/>
          <w:szCs w:val="15"/>
          <w:color w:val="auto"/>
        </w:rPr>
        <w:t>. In addition to the Tenant Improvement Allowance, Tenant shall have the right, by written notice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given on or before the Lease Commencement Date, to use up to $20.00 per RSF of the Premises (i.e., up to $647,400.00) (the “</w:t>
      </w:r>
      <w:r>
        <w:rPr>
          <w:rFonts w:ascii="Arial" w:cs="Arial" w:eastAsia="Arial" w:hAnsi="Arial"/>
          <w:sz w:val="15"/>
          <w:szCs w:val="15"/>
          <w:b w:val="1"/>
          <w:bCs w:val="1"/>
          <w:color w:val="auto"/>
        </w:rPr>
        <w:t>Second</w:t>
      </w:r>
      <w:r>
        <w:rPr>
          <w:rFonts w:ascii="Arial" w:cs="Arial" w:eastAsia="Arial" w:hAnsi="Arial"/>
          <w:sz w:val="15"/>
          <w:szCs w:val="15"/>
          <w:color w:val="auto"/>
        </w:rPr>
        <w:t xml:space="preserve"> </w:t>
      </w:r>
      <w:r>
        <w:rPr>
          <w:rFonts w:ascii="Arial" w:cs="Arial" w:eastAsia="Arial" w:hAnsi="Arial"/>
          <w:sz w:val="15"/>
          <w:szCs w:val="15"/>
          <w:b w:val="1"/>
          <w:bCs w:val="1"/>
          <w:color w:val="auto"/>
        </w:rPr>
        <w:t>Additional TI Allowance</w:t>
      </w:r>
      <w:r>
        <w:rPr>
          <w:rFonts w:ascii="Arial" w:cs="Arial" w:eastAsia="Arial" w:hAnsi="Arial"/>
          <w:sz w:val="15"/>
          <w:szCs w:val="15"/>
          <w:color w:val="auto"/>
        </w:rPr>
        <w:t>”) towards the payment of the costs of the Tenant Improvement Allowance Items. In the event Tenant exercises its right to use</w:t>
      </w:r>
      <w:r>
        <w:rPr>
          <w:rFonts w:ascii="Arial" w:cs="Arial" w:eastAsia="Arial" w:hAnsi="Arial"/>
          <w:sz w:val="15"/>
          <w:szCs w:val="15"/>
          <w:b w:val="1"/>
          <w:bCs w:val="1"/>
          <w:color w:val="auto"/>
        </w:rPr>
        <w:t xml:space="preserve"> </w:t>
      </w:r>
      <w:r>
        <w:rPr>
          <w:rFonts w:ascii="Arial" w:cs="Arial" w:eastAsia="Arial" w:hAnsi="Arial"/>
          <w:sz w:val="15"/>
          <w:szCs w:val="15"/>
          <w:color w:val="auto"/>
        </w:rPr>
        <w:t>all or any portion of the Second Additional TI Allowance, Tenant shall be required to pay Landlord, commencing on the date the Tenant Improvements are completed (the “</w:t>
      </w:r>
      <w:r>
        <w:rPr>
          <w:rFonts w:ascii="Arial" w:cs="Arial" w:eastAsia="Arial" w:hAnsi="Arial"/>
          <w:sz w:val="15"/>
          <w:szCs w:val="15"/>
          <w:b w:val="1"/>
          <w:bCs w:val="1"/>
          <w:color w:val="auto"/>
        </w:rPr>
        <w:t>Additional Payment Commencement Date</w:t>
      </w:r>
      <w:r>
        <w:rPr>
          <w:rFonts w:ascii="Arial" w:cs="Arial" w:eastAsia="Arial" w:hAnsi="Arial"/>
          <w:sz w:val="15"/>
          <w:szCs w:val="15"/>
          <w:color w:val="auto"/>
        </w:rPr>
        <w:t>”), the “Second Additional TI Allowance Payment,” as that term is defined below, in consideration of Landlord provision of the Second Additional TI Allowance. The “</w:t>
      </w:r>
      <w:r>
        <w:rPr>
          <w:rFonts w:ascii="Arial" w:cs="Arial" w:eastAsia="Arial" w:hAnsi="Arial"/>
          <w:sz w:val="15"/>
          <w:szCs w:val="15"/>
          <w:b w:val="1"/>
          <w:bCs w:val="1"/>
          <w:color w:val="auto"/>
        </w:rPr>
        <w:t>Second Additional TI Allowance Payment</w:t>
      </w:r>
      <w:r>
        <w:rPr>
          <w:rFonts w:ascii="Arial" w:cs="Arial" w:eastAsia="Arial" w:hAnsi="Arial"/>
          <w:sz w:val="15"/>
          <w:szCs w:val="15"/>
          <w:color w:val="auto"/>
        </w:rPr>
        <w:t>” shall be determined as the missing component of an annuity, which annuity shall have (i) the amount of the Second Additional TI Allowance utilized by Tenant as the present value amount, (ii) a number equal to the number of full calendar months then remaining in the Lease Term as the number of payments, (iii) a monthly interest factor equal to ninety-two</w:t>
      </w:r>
    </w:p>
    <w:p>
      <w:pPr>
        <w:sectPr>
          <w:pgSz w:w="11900" w:h="16838" w:orient="portrait"/>
          <w:cols w:equalWidth="0" w:num="1">
            <w:col w:w="9586"/>
          </w:cols>
          <w:pgMar w:left="1134" w:top="257" w:right="1179" w:bottom="1440" w:gutter="0" w:footer="0" w:header="0"/>
        </w:sectPr>
      </w:pPr>
    </w:p>
    <w:bookmarkStart w:id="605" w:name="page606"/>
    <w:bookmarkEnd w:id="605"/>
    <w:p>
      <w:pPr>
        <w:ind w:left="6" w:right="6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one-hundredths percent (0.92%), which is equal to eleven percent (11%) divided by twelve (12) months per year, and (iv) the Second Additional TI Allowance Payment as the missing component of the annuity. Following the calculation of the Second Additional TI Allowance Payment, Landlord and Tenant will enter into a lease amendment in the form of </w:t>
      </w:r>
      <w:r>
        <w:rPr>
          <w:rFonts w:ascii="Arial" w:cs="Arial" w:eastAsia="Arial" w:hAnsi="Arial"/>
          <w:sz w:val="15"/>
          <w:szCs w:val="15"/>
          <w:b w:val="1"/>
          <w:bCs w:val="1"/>
          <w:u w:val="single" w:color="auto"/>
          <w:color w:val="auto"/>
        </w:rPr>
        <w:t>Exhibit G</w:t>
      </w:r>
      <w:r>
        <w:rPr>
          <w:rFonts w:ascii="Arial" w:cs="Arial" w:eastAsia="Arial" w:hAnsi="Arial"/>
          <w:sz w:val="15"/>
          <w:szCs w:val="15"/>
          <w:color w:val="auto"/>
        </w:rPr>
        <w:t xml:space="preserve"> attached hereto, to confirm the amount thereof.</w:t>
      </w:r>
    </w:p>
    <w:p>
      <w:pPr>
        <w:spacing w:after="0" w:line="145" w:lineRule="exact"/>
        <w:rPr>
          <w:sz w:val="20"/>
          <w:szCs w:val="20"/>
          <w:color w:val="auto"/>
        </w:rPr>
      </w:pPr>
    </w:p>
    <w:p>
      <w:pPr>
        <w:ind w:left="6" w:firstLine="860"/>
        <w:spacing w:after="0" w:line="313" w:lineRule="auto"/>
        <w:tabs>
          <w:tab w:leader="none" w:pos="1094" w:val="left"/>
        </w:tabs>
        <w:numPr>
          <w:ilvl w:val="2"/>
          <w:numId w:val="449"/>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Funds</w:t>
      </w:r>
      <w:r>
        <w:rPr>
          <w:rFonts w:ascii="Arial" w:cs="Arial" w:eastAsia="Arial" w:hAnsi="Arial"/>
          <w:sz w:val="13"/>
          <w:szCs w:val="13"/>
          <w:color w:val="auto"/>
        </w:rPr>
        <w:t>. For additional funds required to complete the cost of the work, that are in excess of or elected by the Tenant to be used</w:t>
      </w:r>
      <w:r>
        <w:rPr>
          <w:rFonts w:ascii="Arial" w:cs="Arial" w:eastAsia="Arial" w:hAnsi="Arial"/>
          <w:sz w:val="13"/>
          <w:szCs w:val="13"/>
          <w:b w:val="1"/>
          <w:bCs w:val="1"/>
          <w:color w:val="auto"/>
        </w:rPr>
        <w:t xml:space="preserve"> </w:t>
      </w:r>
      <w:r>
        <w:rPr>
          <w:rFonts w:ascii="Arial" w:cs="Arial" w:eastAsia="Arial" w:hAnsi="Arial"/>
          <w:sz w:val="13"/>
          <w:szCs w:val="13"/>
          <w:color w:val="auto"/>
        </w:rPr>
        <w:t>in place of the Tenant Improvement Allowance, the First Additional TI Allowance, and the Second Additional TI Allowance, these shall be considered “</w:t>
      </w:r>
      <w:r>
        <w:rPr>
          <w:rFonts w:ascii="Arial" w:cs="Arial" w:eastAsia="Arial" w:hAnsi="Arial"/>
          <w:sz w:val="13"/>
          <w:szCs w:val="13"/>
          <w:b w:val="1"/>
          <w:bCs w:val="1"/>
          <w:color w:val="auto"/>
        </w:rPr>
        <w:t>Tenant Funds</w:t>
      </w:r>
      <w:r>
        <w:rPr>
          <w:rFonts w:ascii="Arial" w:cs="Arial" w:eastAsia="Arial" w:hAnsi="Arial"/>
          <w:sz w:val="13"/>
          <w:szCs w:val="13"/>
          <w:color w:val="auto"/>
        </w:rPr>
        <w:t>.” The total cost to construct the Tenant Improvements as managed by Landlord and the Project Manager under this Work Letter shall be the “</w:t>
      </w:r>
      <w:r>
        <w:rPr>
          <w:rFonts w:ascii="Arial" w:cs="Arial" w:eastAsia="Arial" w:hAnsi="Arial"/>
          <w:sz w:val="13"/>
          <w:szCs w:val="13"/>
          <w:b w:val="1"/>
          <w:bCs w:val="1"/>
          <w:color w:val="auto"/>
        </w:rPr>
        <w:t>Project Budget</w:t>
      </w:r>
      <w:r>
        <w:rPr>
          <w:rFonts w:ascii="Arial" w:cs="Arial" w:eastAsia="Arial" w:hAnsi="Arial"/>
          <w:sz w:val="13"/>
          <w:szCs w:val="13"/>
          <w:color w:val="auto"/>
        </w:rPr>
        <w:t>.” The Landlord understands that at the time of the agreed upon Guaranteed Maximum Price (GMP), the Tenant Funds amount is an estimate and exact costs will not be known until project closeout. The Tenant is required, at the time of agreement of the GMP, to provide a purchase order to the Landlord for the full estimated amount of the Tenant Funds. In the event the Tenant Funds at project closeout are less than the amount agreed upon within the Project Budget, the Landlord will only bill the Tenant for the Tenant Funds that have been utilized. In the event the Tenant Funds exceed the amount agreed upon within the Project Budget, through added scope changes, the Tenant shall provide additional purchases orders to the Landlord, which will be included in the Tenant Change Request process that the Landlord’s representative administers.</w:t>
      </w:r>
    </w:p>
    <w:p>
      <w:pPr>
        <w:spacing w:after="0" w:line="131" w:lineRule="exact"/>
        <w:rPr>
          <w:rFonts w:ascii="Arial" w:cs="Arial" w:eastAsia="Arial" w:hAnsi="Arial"/>
          <w:sz w:val="13"/>
          <w:szCs w:val="13"/>
          <w:color w:val="auto"/>
        </w:rPr>
      </w:pPr>
    </w:p>
    <w:p>
      <w:pPr>
        <w:ind w:left="546" w:hanging="162"/>
        <w:spacing w:after="0"/>
        <w:tabs>
          <w:tab w:leader="none" w:pos="546" w:val="left"/>
        </w:tabs>
        <w:numPr>
          <w:ilvl w:val="1"/>
          <w:numId w:val="450"/>
        </w:numPr>
        <w:rPr>
          <w:rFonts w:ascii="Arial" w:cs="Arial" w:eastAsia="Arial" w:hAnsi="Arial"/>
          <w:sz w:val="16"/>
          <w:szCs w:val="16"/>
          <w:color w:val="auto"/>
        </w:rPr>
      </w:pPr>
      <w:r>
        <w:rPr>
          <w:rFonts w:ascii="Arial" w:cs="Arial" w:eastAsia="Arial" w:hAnsi="Arial"/>
          <w:sz w:val="16"/>
          <w:szCs w:val="16"/>
          <w:b w:val="1"/>
          <w:bCs w:val="1"/>
          <w:u w:val="single" w:color="auto"/>
          <w:color w:val="auto"/>
        </w:rPr>
        <w:t>No Agency</w:t>
      </w:r>
      <w:r>
        <w:rPr>
          <w:rFonts w:ascii="Arial" w:cs="Arial" w:eastAsia="Arial" w:hAnsi="Arial"/>
          <w:sz w:val="16"/>
          <w:szCs w:val="16"/>
          <w:color w:val="auto"/>
        </w:rPr>
        <w:t>. Nothing contained in this Tenant Work Letter shall make or constitute Tenant as the agent of Landlord.</w:t>
      </w:r>
    </w:p>
    <w:p>
      <w:pPr>
        <w:spacing w:after="0" w:line="193" w:lineRule="exact"/>
        <w:rPr>
          <w:rFonts w:ascii="Arial" w:cs="Arial" w:eastAsia="Arial" w:hAnsi="Arial"/>
          <w:sz w:val="16"/>
          <w:szCs w:val="16"/>
          <w:color w:val="auto"/>
        </w:rPr>
      </w:pPr>
    </w:p>
    <w:p>
      <w:pPr>
        <w:jc w:val="both"/>
        <w:ind w:left="6" w:right="180" w:firstLine="378"/>
        <w:spacing w:after="0" w:line="315" w:lineRule="auto"/>
        <w:tabs>
          <w:tab w:leader="none" w:pos="548" w:val="left"/>
        </w:tabs>
        <w:numPr>
          <w:ilvl w:val="1"/>
          <w:numId w:val="450"/>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Access</w:t>
      </w:r>
      <w:r>
        <w:rPr>
          <w:rFonts w:ascii="Arial" w:cs="Arial" w:eastAsia="Arial" w:hAnsi="Arial"/>
          <w:sz w:val="13"/>
          <w:szCs w:val="13"/>
          <w:color w:val="auto"/>
        </w:rPr>
        <w:t>. Provided that Tenant and its agents do not interfere with Contactor’s work in the Building and the Premises (including by the</w:t>
      </w:r>
      <w:r>
        <w:rPr>
          <w:rFonts w:ascii="Arial" w:cs="Arial" w:eastAsia="Arial" w:hAnsi="Arial"/>
          <w:sz w:val="13"/>
          <w:szCs w:val="13"/>
          <w:b w:val="1"/>
          <w:bCs w:val="1"/>
          <w:color w:val="auto"/>
        </w:rPr>
        <w:t xml:space="preserve"> </w:t>
      </w:r>
      <w:r>
        <w:rPr>
          <w:rFonts w:ascii="Arial" w:cs="Arial" w:eastAsia="Arial" w:hAnsi="Arial"/>
          <w:sz w:val="13"/>
          <w:szCs w:val="13"/>
          <w:color w:val="auto"/>
        </w:rPr>
        <w:t>use of non-union vendors without prior coordination with Landlord), Contractor and Landlord shall allow Tenant access to the Premises at least thirty</w:t>
      </w:r>
    </w:p>
    <w:p>
      <w:pPr>
        <w:ind w:left="6" w:right="20" w:hanging="6"/>
        <w:spacing w:after="0" w:line="318" w:lineRule="auto"/>
        <w:tabs>
          <w:tab w:leader="none" w:pos="307" w:val="left"/>
        </w:tabs>
        <w:numPr>
          <w:ilvl w:val="0"/>
          <w:numId w:val="451"/>
        </w:numPr>
        <w:rPr>
          <w:rFonts w:ascii="Arial" w:cs="Arial" w:eastAsia="Arial" w:hAnsi="Arial"/>
          <w:sz w:val="13"/>
          <w:szCs w:val="13"/>
          <w:color w:val="auto"/>
        </w:rPr>
      </w:pPr>
      <w:r>
        <w:rPr>
          <w:rFonts w:ascii="Arial" w:cs="Arial" w:eastAsia="Arial" w:hAnsi="Arial"/>
          <w:sz w:val="13"/>
          <w:szCs w:val="13"/>
          <w:color w:val="auto"/>
        </w:rPr>
        <w:t xml:space="preserve">days prior to the Substantial Completion of the Landlord’s TI Work without payment of Rent for the purpose of Tenant installing equipment or fixtures (including Tenant’s data and telephone equipment) in the Premises and preparing the Premises for occupancy. Prior to Tenant’s entry into the Premises as permitted by the terms of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6, Tenant shall submit a schedule to Landlord and Contractor, for their approval, which schedule shall detail the timing and purpose of Tenant’s entry. Tenant shall hold Landlord harmless from and indemnify, protect and defend Landlord against any loss or damage to the Building or Premises and against injury to any persons caused by Tenant’s actions pursuant to this </w:t>
      </w:r>
      <w:r>
        <w:rPr>
          <w:rFonts w:ascii="Arial" w:cs="Arial" w:eastAsia="Arial" w:hAnsi="Arial"/>
          <w:sz w:val="13"/>
          <w:szCs w:val="13"/>
          <w:u w:val="single" w:color="auto"/>
          <w:color w:val="auto"/>
        </w:rPr>
        <w:t>Section 6</w:t>
      </w:r>
      <w:r>
        <w:rPr>
          <w:rFonts w:ascii="Arial" w:cs="Arial" w:eastAsia="Arial" w:hAnsi="Arial"/>
          <w:sz w:val="13"/>
          <w:szCs w:val="13"/>
          <w:color w:val="auto"/>
        </w:rPr>
        <w:t>.</w:t>
      </w:r>
    </w:p>
    <w:p>
      <w:pPr>
        <w:spacing w:after="0" w:line="126" w:lineRule="exact"/>
        <w:rPr>
          <w:rFonts w:ascii="Arial" w:cs="Arial" w:eastAsia="Arial" w:hAnsi="Arial"/>
          <w:sz w:val="13"/>
          <w:szCs w:val="13"/>
          <w:color w:val="auto"/>
        </w:rPr>
      </w:pPr>
    </w:p>
    <w:p>
      <w:pPr>
        <w:ind w:left="6" w:firstLine="378"/>
        <w:spacing w:after="0" w:line="316" w:lineRule="auto"/>
        <w:tabs>
          <w:tab w:leader="none" w:pos="548" w:val="left"/>
        </w:tabs>
        <w:numPr>
          <w:ilvl w:val="1"/>
          <w:numId w:val="451"/>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 All references in this Tenant Work Letter to a number of days shall be construed to refer to calendar days, unless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specified herein. In all instances where Landlord’s or Tenant’s approval is required, if no written notice of disapproval is given within the applicable time period, at the end of that period Landlord or Tenant shall be deemed to have given approval (unless the provision requiring Landlord’s or Tenant’s approval expressly states that non-response is deemed to be a disapproval or withdrawal of the pending action or request, in which event such express statement shall be controlling over the general statement set forth in this sentence) and the next succeeding time period shall commence. If any item requiring approval is disapproved by Landlord or Tenant (as applicable) in a timely manner, the procedure for preparation of that item and approval shall be repeated. Landlord hereby acknowledges that Tenant shall not be required to restore the initial Tenant Improvements constructed in the Premises pursuant to the terms of this Tenant Work Letter upon the termination of the Lease.</w:t>
      </w:r>
    </w:p>
    <w:p>
      <w:pPr>
        <w:spacing w:after="0" w:line="319" w:lineRule="exact"/>
        <w:rPr>
          <w:rFonts w:ascii="Arial" w:cs="Arial" w:eastAsia="Arial" w:hAnsi="Arial"/>
          <w:sz w:val="13"/>
          <w:szCs w:val="13"/>
          <w:color w:val="auto"/>
        </w:rPr>
      </w:pPr>
    </w:p>
    <w:p>
      <w:pPr>
        <w:ind w:left="6" w:right="220" w:firstLine="378"/>
        <w:spacing w:after="0" w:line="273" w:lineRule="auto"/>
        <w:tabs>
          <w:tab w:leader="none" w:pos="548" w:val="left"/>
        </w:tabs>
        <w:numPr>
          <w:ilvl w:val="1"/>
          <w:numId w:val="451"/>
        </w:numPr>
        <w:rPr>
          <w:rFonts w:ascii="Arial" w:cs="Arial" w:eastAsia="Arial" w:hAnsi="Arial"/>
          <w:sz w:val="15"/>
          <w:szCs w:val="15"/>
          <w:color w:val="auto"/>
        </w:rPr>
      </w:pPr>
      <w:r>
        <w:rPr>
          <w:rFonts w:ascii="Arial" w:cs="Arial" w:eastAsia="Arial" w:hAnsi="Arial"/>
          <w:sz w:val="15"/>
          <w:szCs w:val="15"/>
          <w:b w:val="1"/>
          <w:bCs w:val="1"/>
          <w:u w:val="single" w:color="auto"/>
          <w:color w:val="auto"/>
        </w:rPr>
        <w:t>Time Deadlines</w:t>
      </w:r>
      <w:r>
        <w:rPr>
          <w:rFonts w:ascii="Arial" w:cs="Arial" w:eastAsia="Arial" w:hAnsi="Arial"/>
          <w:sz w:val="15"/>
          <w:szCs w:val="15"/>
          <w:color w:val="auto"/>
        </w:rPr>
        <w:t>. Tenant shall use commercially reasonable, good faith, efforts and all due diligence to cooperate with the Architect, General</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Contractor and Landlord to complete all phases of the construction drawings set forth in this Tenant Work Letter and the permitting process and to receive the permits as soon as possible after the execution of the. The applicable dates for approval of items, plans and drawings as described in this Tenant Work Letter are set forth and further elaborated upon in Schedule 3 to this Exhibit B attached hereto (the “</w:t>
      </w:r>
      <w:r>
        <w:rPr>
          <w:rFonts w:ascii="Arial" w:cs="Arial" w:eastAsia="Arial" w:hAnsi="Arial"/>
          <w:sz w:val="15"/>
          <w:szCs w:val="15"/>
          <w:b w:val="1"/>
          <w:bCs w:val="1"/>
          <w:color w:val="auto"/>
        </w:rPr>
        <w:t>Time Deadlines</w:t>
      </w:r>
      <w:r>
        <w:rPr>
          <w:rFonts w:ascii="Arial" w:cs="Arial" w:eastAsia="Arial" w:hAnsi="Arial"/>
          <w:sz w:val="15"/>
          <w:szCs w:val="15"/>
          <w:color w:val="auto"/>
        </w:rPr>
        <w:t>”), attached hereto. Tenant agrees to utilize commercially reasonable efforts to comply with the Time Deadlines.</w:t>
      </w:r>
    </w:p>
    <w:p>
      <w:pPr>
        <w:spacing w:after="0" w:line="150" w:lineRule="exact"/>
        <w:rPr>
          <w:rFonts w:ascii="Arial" w:cs="Arial" w:eastAsia="Arial" w:hAnsi="Arial"/>
          <w:sz w:val="15"/>
          <w:szCs w:val="15"/>
          <w:color w:val="auto"/>
        </w:rPr>
      </w:pPr>
    </w:p>
    <w:p>
      <w:pPr>
        <w:ind w:left="6" w:right="360" w:firstLine="378"/>
        <w:spacing w:after="0" w:line="284" w:lineRule="auto"/>
        <w:tabs>
          <w:tab w:leader="none" w:pos="548" w:val="left"/>
        </w:tabs>
        <w:numPr>
          <w:ilvl w:val="1"/>
          <w:numId w:val="451"/>
        </w:numPr>
        <w:rPr>
          <w:rFonts w:ascii="Arial" w:cs="Arial" w:eastAsia="Arial" w:hAnsi="Arial"/>
          <w:sz w:val="15"/>
          <w:szCs w:val="15"/>
          <w:color w:val="auto"/>
        </w:rPr>
      </w:pPr>
      <w:r>
        <w:rPr>
          <w:rFonts w:ascii="Arial" w:cs="Arial" w:eastAsia="Arial" w:hAnsi="Arial"/>
          <w:sz w:val="15"/>
          <w:szCs w:val="15"/>
          <w:b w:val="1"/>
          <w:bCs w:val="1"/>
          <w:u w:val="single" w:color="auto"/>
          <w:color w:val="auto"/>
        </w:rPr>
        <w:t>Rooftop Space</w:t>
      </w:r>
      <w:r>
        <w:rPr>
          <w:rFonts w:ascii="Arial" w:cs="Arial" w:eastAsia="Arial" w:hAnsi="Arial"/>
          <w:sz w:val="15"/>
          <w:szCs w:val="15"/>
          <w:color w:val="auto"/>
        </w:rPr>
        <w:t>. Tenant hereby acknowledges that to the extent either (i) any portion of the Tenant Improvements, or (ii) any of Tenant’s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equipment installed in the Premises, requires a portion of the roof to be utilized by Tenant, that Tenant shall only be permitted to utilize that certain portion of the roof designated as “Zone 3” on </w:t>
      </w:r>
      <w:r>
        <w:rPr>
          <w:rFonts w:ascii="Arial" w:cs="Arial" w:eastAsia="Arial" w:hAnsi="Arial"/>
          <w:sz w:val="15"/>
          <w:szCs w:val="15"/>
          <w:u w:val="single" w:color="auto"/>
          <w:color w:val="auto"/>
        </w:rPr>
        <w:t>Schedule 4</w:t>
      </w:r>
      <w:r>
        <w:rPr>
          <w:rFonts w:ascii="Arial" w:cs="Arial" w:eastAsia="Arial" w:hAnsi="Arial"/>
          <w:sz w:val="15"/>
          <w:szCs w:val="15"/>
          <w:color w:val="auto"/>
        </w:rPr>
        <w:t xml:space="preserve"> to this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w:t>
      </w:r>
      <w:r>
        <w:rPr>
          <w:rFonts w:ascii="Arial" w:cs="Arial" w:eastAsia="Arial" w:hAnsi="Arial"/>
          <w:sz w:val="15"/>
          <w:szCs w:val="15"/>
          <w:b w:val="1"/>
          <w:bCs w:val="1"/>
          <w:color w:val="auto"/>
        </w:rPr>
        <w:t>Rooftop Space</w:t>
      </w:r>
      <w:r>
        <w:rPr>
          <w:rFonts w:ascii="Arial" w:cs="Arial" w:eastAsia="Arial" w:hAnsi="Arial"/>
          <w:sz w:val="15"/>
          <w:szCs w:val="15"/>
          <w:color w:val="auto"/>
        </w:rPr>
        <w:t>”).</w:t>
      </w:r>
    </w:p>
    <w:p>
      <w:pPr>
        <w:spacing w:after="0" w:line="142" w:lineRule="exact"/>
        <w:rPr>
          <w:rFonts w:ascii="Arial" w:cs="Arial" w:eastAsia="Arial" w:hAnsi="Arial"/>
          <w:sz w:val="15"/>
          <w:szCs w:val="15"/>
          <w:color w:val="auto"/>
        </w:rPr>
      </w:pPr>
    </w:p>
    <w:p>
      <w:pPr>
        <w:ind w:left="6" w:right="420" w:firstLine="378"/>
        <w:spacing w:after="0" w:line="272" w:lineRule="auto"/>
        <w:tabs>
          <w:tab w:leader="none" w:pos="626" w:val="left"/>
        </w:tabs>
        <w:numPr>
          <w:ilvl w:val="1"/>
          <w:numId w:val="451"/>
        </w:numPr>
        <w:rPr>
          <w:rFonts w:ascii="Arial" w:cs="Arial" w:eastAsia="Arial" w:hAnsi="Arial"/>
          <w:sz w:val="16"/>
          <w:szCs w:val="16"/>
          <w:color w:val="auto"/>
        </w:rPr>
      </w:pPr>
      <w:r>
        <w:rPr>
          <w:rFonts w:ascii="Arial" w:cs="Arial" w:eastAsia="Arial" w:hAnsi="Arial"/>
          <w:sz w:val="16"/>
          <w:szCs w:val="16"/>
          <w:b w:val="1"/>
          <w:bCs w:val="1"/>
          <w:u w:val="single" w:color="auto"/>
          <w:color w:val="auto"/>
        </w:rPr>
        <w:t>Standard Tenant Improvement Package Specifications</w:t>
      </w:r>
      <w:r>
        <w:rPr>
          <w:rFonts w:ascii="Arial" w:cs="Arial" w:eastAsia="Arial" w:hAnsi="Arial"/>
          <w:sz w:val="16"/>
          <w:szCs w:val="16"/>
          <w:color w:val="auto"/>
        </w:rPr>
        <w:t>. Tenant hereby acknowledges that the Tenant Improvements are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specifications set forth on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to this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w:t>
      </w:r>
    </w:p>
    <w:p>
      <w:pPr>
        <w:sectPr>
          <w:pgSz w:w="11900" w:h="16838" w:orient="portrait"/>
          <w:cols w:equalWidth="0" w:num="1">
            <w:col w:w="9606"/>
          </w:cols>
          <w:pgMar w:left="1134" w:top="257" w:right="1159" w:bottom="1440" w:gutter="0" w:footer="0" w:header="0"/>
        </w:sectPr>
      </w:pPr>
    </w:p>
    <w:bookmarkStart w:id="606" w:name="page607"/>
    <w:bookmarkEnd w:id="606"/>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90105" cy="34290"/>
                    </a:xfrm>
                    <a:prstGeom prst="rect">
                      <a:avLst/>
                    </a:prstGeom>
                    <a:noFill/>
                  </pic:spPr>
                </pic:pic>
              </a:graphicData>
            </a:graphic>
          </wp:anchor>
        </w:drawing>
        <w:t>SCHEDULE 1 TO 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BASE BUILDING “WARM SHELL” DELIVERY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SITEWORK</w:t>
      </w:r>
    </w:p>
    <w:p>
      <w:pPr>
        <w:spacing w:after="0" w:line="15" w:lineRule="exact"/>
        <w:rPr>
          <w:sz w:val="20"/>
          <w:szCs w:val="20"/>
          <w:color w:val="auto"/>
        </w:rPr>
      </w:pPr>
    </w:p>
    <w:p>
      <w:pPr>
        <w:ind w:left="620" w:right="160" w:hanging="312"/>
        <w:spacing w:after="0" w:line="246" w:lineRule="auto"/>
        <w:tabs>
          <w:tab w:leader="none" w:pos="612" w:val="left"/>
        </w:tabs>
        <w:numPr>
          <w:ilvl w:val="0"/>
          <w:numId w:val="452"/>
        </w:numPr>
        <w:rPr>
          <w:rFonts w:ascii="Arial" w:cs="Arial" w:eastAsia="Arial" w:hAnsi="Arial"/>
          <w:sz w:val="16"/>
          <w:szCs w:val="16"/>
          <w:color w:val="auto"/>
        </w:rPr>
      </w:pPr>
      <w:r>
        <w:rPr>
          <w:rFonts w:ascii="Arial" w:cs="Arial" w:eastAsia="Arial" w:hAnsi="Arial"/>
          <w:sz w:val="16"/>
          <w:szCs w:val="16"/>
          <w:color w:val="auto"/>
        </w:rPr>
        <w:t>Exterior hardscape and landscape, including site lighting, perimeter sidewalks, street curbs, miscellaneous site furnishings, and bio-retention basins</w:t>
      </w:r>
    </w:p>
    <w:p>
      <w:pPr>
        <w:ind w:left="620" w:hanging="312"/>
        <w:spacing w:after="0"/>
        <w:tabs>
          <w:tab w:leader="none" w:pos="6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Surface parking lot</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Bike racks in exterior parking lot and bike lockers in podium parking garage for pro rata allocation amongst Tenants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Campus electrical vehicle charging stations for pro rata allocation amongst Tenants</w:t>
      </w:r>
    </w:p>
    <w:p>
      <w:pPr>
        <w:spacing w:after="0" w:line="4" w:lineRule="exact"/>
        <w:rPr>
          <w:rFonts w:ascii="Arial" w:cs="Arial" w:eastAsia="Arial" w:hAnsi="Arial"/>
          <w:sz w:val="16"/>
          <w:szCs w:val="16"/>
          <w:color w:val="auto"/>
        </w:rPr>
      </w:pPr>
    </w:p>
    <w:p>
      <w:pPr>
        <w:ind w:left="620" w:right="320" w:hanging="312"/>
        <w:spacing w:after="0" w:line="246" w:lineRule="auto"/>
        <w:tabs>
          <w:tab w:leader="none" w:pos="612" w:val="left"/>
        </w:tabs>
        <w:numPr>
          <w:ilvl w:val="0"/>
          <w:numId w:val="452"/>
        </w:numPr>
        <w:rPr>
          <w:rFonts w:ascii="Arial" w:cs="Arial" w:eastAsia="Arial" w:hAnsi="Arial"/>
          <w:sz w:val="16"/>
          <w:szCs w:val="16"/>
          <w:color w:val="auto"/>
        </w:rPr>
      </w:pPr>
      <w:r>
        <w:rPr>
          <w:rFonts w:ascii="Arial" w:cs="Arial" w:eastAsia="Arial" w:hAnsi="Arial"/>
          <w:sz w:val="16"/>
          <w:szCs w:val="16"/>
          <w:color w:val="auto"/>
        </w:rPr>
        <w:t>Exterior amenities space including all hardscape and landscape, lighting, and recreational infrastructure (volleyball/basketball sport court, bocce ball, trellis)</w:t>
      </w:r>
    </w:p>
    <w:p>
      <w:pPr>
        <w:ind w:left="620" w:hanging="312"/>
        <w:spacing w:after="0"/>
        <w:tabs>
          <w:tab w:leader="none" w:pos="6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Bus stop wind screens for local commuter shuttle service</w:t>
      </w:r>
    </w:p>
    <w:p>
      <w:pPr>
        <w:spacing w:after="0" w:line="4" w:lineRule="exact"/>
        <w:rPr>
          <w:rFonts w:ascii="Arial" w:cs="Arial" w:eastAsia="Arial" w:hAnsi="Arial"/>
          <w:sz w:val="16"/>
          <w:szCs w:val="16"/>
          <w:color w:val="auto"/>
        </w:rPr>
      </w:pPr>
    </w:p>
    <w:p>
      <w:pPr>
        <w:ind w:left="620" w:hanging="312"/>
        <w:spacing w:after="0" w:line="246" w:lineRule="auto"/>
        <w:tabs>
          <w:tab w:leader="none" w:pos="612" w:val="left"/>
        </w:tabs>
        <w:numPr>
          <w:ilvl w:val="0"/>
          <w:numId w:val="452"/>
        </w:numPr>
        <w:rPr>
          <w:rFonts w:ascii="Arial" w:cs="Arial" w:eastAsia="Arial" w:hAnsi="Arial"/>
          <w:sz w:val="16"/>
          <w:szCs w:val="16"/>
          <w:color w:val="auto"/>
        </w:rPr>
      </w:pPr>
      <w:r>
        <w:rPr>
          <w:rFonts w:ascii="Arial" w:cs="Arial" w:eastAsia="Arial" w:hAnsi="Arial"/>
          <w:sz w:val="16"/>
          <w:szCs w:val="16"/>
          <w:color w:val="auto"/>
        </w:rPr>
        <w:t>Service yard foundation, structure, covered enclosure, and waterproofing for trash containers and dedicated nitrogen storage area for allocation amongst tenants per lease agreement</w:t>
      </w:r>
    </w:p>
    <w:p>
      <w:pPr>
        <w:ind w:left="620" w:hanging="312"/>
        <w:spacing w:after="0"/>
        <w:tabs>
          <w:tab w:leader="none" w:pos="6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Foundation and enclosure for Landlord provided diesel powered emergency generator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Loading dock with at-grade shipping/receiving area with (2) hydraulic scissor lifts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STRUCTURE</w:t>
      </w:r>
    </w:p>
    <w:p>
      <w:pPr>
        <w:spacing w:after="0" w:line="20" w:lineRule="exact"/>
        <w:rPr>
          <w:sz w:val="20"/>
          <w:szCs w:val="20"/>
          <w:color w:val="auto"/>
        </w:rPr>
      </w:pPr>
    </w:p>
    <w:p>
      <w:pPr>
        <w:ind w:left="620" w:right="280" w:hanging="312"/>
        <w:spacing w:after="0" w:line="246" w:lineRule="auto"/>
        <w:tabs>
          <w:tab w:leader="none" w:pos="61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Pile supported structural slab-on-grade foundation system consisting of steel-reinforced concrete auger-cast piles, pile caps, and horizontal grade beams</w:t>
      </w:r>
    </w:p>
    <w:p>
      <w:pPr>
        <w:ind w:left="620" w:right="40" w:hanging="312"/>
        <w:spacing w:after="0" w:line="246" w:lineRule="auto"/>
        <w:tabs>
          <w:tab w:leader="none" w:pos="61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Steel superstructure consisting of steel columns, girders, beams, and concrete slab on composite metal deck, with live load capacity of 125 psf (reducible)</w:t>
      </w:r>
    </w:p>
    <w:p>
      <w:pPr>
        <w:ind w:left="620" w:hanging="312"/>
        <w:spacing w:after="0"/>
        <w:tabs>
          <w:tab w:leader="none" w:pos="6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Type II A construction, code required primary structural fireproofing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Slab edge fire safing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Lateral seismic system utilizing buckling-restrained braced frames. Importance factor is 1.0</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Roof deck framing with live load capacity of 20 psf</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Mechanical platform and roof penthouse with live load capacity of 75 psf</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Roof screen</w:t>
      </w:r>
    </w:p>
    <w:p>
      <w:pPr>
        <w:sectPr>
          <w:pgSz w:w="11900" w:h="16838" w:orient="portrait"/>
          <w:cols w:equalWidth="0" w:num="1">
            <w:col w:w="9600"/>
          </w:cols>
          <w:pgMar w:left="1140" w:top="251" w:right="1159" w:bottom="1440" w:gutter="0" w:footer="0" w:header="0"/>
        </w:sectPr>
      </w:pPr>
    </w:p>
    <w:bookmarkStart w:id="607" w:name="page608"/>
    <w:bookmarkEnd w:id="607"/>
    <w:p>
      <w:pPr>
        <w:jc w:val="center"/>
        <w:ind w:right="-2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20" w:hanging="312"/>
        <w:spacing w:after="0"/>
        <w:tabs>
          <w:tab w:leader="none" w:pos="6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Floor to floor height of 17’, all floors (podium at 14’)</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Framed openings for Base Building utility risers</w:t>
      </w:r>
    </w:p>
    <w:p>
      <w:pPr>
        <w:spacing w:after="0" w:line="4" w:lineRule="exact"/>
        <w:rPr>
          <w:rFonts w:ascii="Arial" w:cs="Arial" w:eastAsia="Arial" w:hAnsi="Arial"/>
          <w:sz w:val="16"/>
          <w:szCs w:val="16"/>
          <w:color w:val="auto"/>
        </w:rPr>
      </w:pPr>
    </w:p>
    <w:p>
      <w:pPr>
        <w:ind w:left="620" w:right="40" w:hanging="312"/>
        <w:spacing w:after="0" w:line="246" w:lineRule="auto"/>
        <w:tabs>
          <w:tab w:leader="none" w:pos="60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Stairs and stair enclosures per code requirements, including enclosure doors, handrails, and guardrails. Roof penthouse access for (1) set of stairs</w:t>
      </w:r>
    </w:p>
    <w:p>
      <w:pPr>
        <w:ind w:left="620" w:hanging="312"/>
        <w:spacing w:after="0"/>
        <w:tabs>
          <w:tab w:leader="none" w:pos="6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Window washing davit bases and arms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Miscellaneous metals items and/or concrete pads for Base Building equipment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ROOFING</w:t>
      </w:r>
    </w:p>
    <w:p>
      <w:pPr>
        <w:spacing w:after="0" w:line="20" w:lineRule="exact"/>
        <w:rPr>
          <w:sz w:val="20"/>
          <w:szCs w:val="20"/>
          <w:color w:val="auto"/>
        </w:rPr>
      </w:pPr>
    </w:p>
    <w:p>
      <w:pPr>
        <w:ind w:left="620" w:hanging="312"/>
        <w:spacing w:after="0"/>
        <w:tabs>
          <w:tab w:leader="none" w:pos="62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60 MIL single-ply thermoplastic polyolefin (TPO) white or gray roof membrane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Rigid insulation, flashing, and sealants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Roofing penetrations for Base Building equipment/systems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Walkway pads along roof perimeter, outside of screened area</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EXTERIOR</w:t>
      </w:r>
    </w:p>
    <w:p>
      <w:pPr>
        <w:spacing w:after="0" w:line="20" w:lineRule="exact"/>
        <w:rPr>
          <w:sz w:val="20"/>
          <w:szCs w:val="20"/>
          <w:color w:val="auto"/>
        </w:rPr>
      </w:pPr>
    </w:p>
    <w:p>
      <w:pPr>
        <w:ind w:left="620" w:hanging="312"/>
        <w:spacing w:after="0"/>
        <w:tabs>
          <w:tab w:leader="none" w:pos="6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Non load-bearing glazed aluminum curtain wall and glass fiber reinforced concrete (GFRC) panel building enclosure system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Building entrances and openings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Opening for freight elevator access in Service Yard</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Service Yard overhead door, serving Base Building 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Service Yard rolling green screen gate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AREAS</w:t>
      </w:r>
    </w:p>
    <w:p>
      <w:pPr>
        <w:spacing w:after="0" w:line="20" w:lineRule="exact"/>
        <w:rPr>
          <w:sz w:val="20"/>
          <w:szCs w:val="20"/>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Podium parking area with card reader controlled lift gate and roll-up doors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Build-out of Main Lobby</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Stair enclosures painted at all building levels</w:t>
      </w:r>
    </w:p>
    <w:p>
      <w:pPr>
        <w:spacing w:after="0" w:line="4" w:lineRule="exact"/>
        <w:rPr>
          <w:rFonts w:ascii="Arial" w:cs="Arial" w:eastAsia="Arial" w:hAnsi="Arial"/>
          <w:sz w:val="16"/>
          <w:szCs w:val="16"/>
          <w:color w:val="auto"/>
        </w:rPr>
      </w:pPr>
    </w:p>
    <w:p>
      <w:pPr>
        <w:ind w:left="620" w:hanging="312"/>
        <w:spacing w:after="0" w:line="246" w:lineRule="auto"/>
        <w:tabs>
          <w:tab w:leader="none" w:pos="609"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Two (2) B-Occupancy Chemical Storage Rooms with 1-hour fire rated assembly, depressed pit (18”), and 100% outside air ventilation (900 cfm/room) for allocation amongst tenants per lease agreement.</w:t>
      </w: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Emergency 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Domestic Pump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Fire Booster Pump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Elevator Control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Telecommunications Main Point of Entry (MPOE) Room</w:t>
      </w:r>
    </w:p>
    <w:p>
      <w:pPr>
        <w:sectPr>
          <w:pgSz w:w="11900" w:h="16838" w:orient="portrait"/>
          <w:cols w:equalWidth="0" w:num="1">
            <w:col w:w="9380"/>
          </w:cols>
          <w:pgMar w:left="1140" w:top="248" w:right="1379" w:bottom="1440" w:gutter="0" w:footer="0" w:header="0"/>
        </w:sectPr>
      </w:pPr>
    </w:p>
    <w:bookmarkStart w:id="608" w:name="page609"/>
    <w:bookmarkEnd w:id="608"/>
    <w:p>
      <w:pPr>
        <w:jc w:val="center"/>
        <w:ind w:right="-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00" w:hanging="292"/>
        <w:spacing w:after="0"/>
        <w:tabs>
          <w:tab w:leader="none" w:pos="60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Service Yard/Loading Dock Area, including space for trash enclosure, nitrogen storage, and generator enclosure</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Usage of Amenities Space including food service, fitness center, and recreational area (located in Building 3)</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ELEVATORS</w:t>
      </w:r>
    </w:p>
    <w:p>
      <w:pPr>
        <w:spacing w:after="0" w:line="20" w:lineRule="exact"/>
        <w:rPr>
          <w:sz w:val="20"/>
          <w:szCs w:val="20"/>
          <w:color w:val="auto"/>
        </w:rPr>
      </w:pPr>
    </w:p>
    <w:p>
      <w:pPr>
        <w:ind w:left="620" w:hanging="312"/>
        <w:spacing w:after="0"/>
        <w:tabs>
          <w:tab w:leader="none" w:pos="62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Two (2) passenger elevators; 3,500 lbs., 350 fpm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One (1) freight elevator; 5,000 lbs., 200 fpm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Recessed elevator pits for three (3) elevators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 AREAS</w:t>
      </w:r>
    </w:p>
    <w:p>
      <w:pPr>
        <w:spacing w:after="0" w:line="20" w:lineRule="exact"/>
        <w:rPr>
          <w:sz w:val="20"/>
          <w:szCs w:val="20"/>
          <w:color w:val="auto"/>
        </w:rPr>
      </w:pPr>
    </w:p>
    <w:p>
      <w:pPr>
        <w:ind w:left="620" w:hanging="312"/>
        <w:spacing w:after="0" w:line="246" w:lineRule="auto"/>
        <w:tabs>
          <w:tab w:leader="none" w:pos="61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Restroom Cores: one (1) set per floor including Men’s and Women’s Restrooms with (1) ADA shower each with bench and lockers, ceramic tile floors and wet walls, solid surface countertops, floor mounted metal partitions, hard lid ceiling, down lights and ADA low-flow plumbing fixtures</w:t>
      </w:r>
    </w:p>
    <w:p>
      <w:pPr>
        <w:ind w:left="620" w:hanging="312"/>
        <w:spacing w:after="0"/>
        <w:tabs>
          <w:tab w:leader="none" w:pos="6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Janitor Closet – one (1) per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Stud wall framing at restroom core to underside of slab</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Fire-rated assembly at restroom core to 6” above ceiling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Electrical Room – one (1) per floor consisting of concrete floor, unfinished drywall and taped walls, no ceiling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0"/>
        </w:numPr>
        <w:rPr>
          <w:rFonts w:ascii="Arial" w:cs="Arial" w:eastAsia="Arial" w:hAnsi="Arial"/>
          <w:sz w:val="13"/>
          <w:szCs w:val="13"/>
          <w:color w:val="auto"/>
        </w:rPr>
      </w:pPr>
      <w:r>
        <w:rPr>
          <w:rFonts w:ascii="Arial" w:cs="Arial" w:eastAsia="Arial" w:hAnsi="Arial"/>
          <w:sz w:val="13"/>
          <w:szCs w:val="13"/>
          <w:color w:val="auto"/>
        </w:rPr>
        <w:t>Intermediate Distribution Frame (IDF) Room – one (1) per floor consisting of concrete floor, unfinished drywall and taped walls, no ceiling</w:t>
      </w:r>
    </w:p>
    <w:p>
      <w:pPr>
        <w:spacing w:after="0" w:line="39" w:lineRule="exact"/>
        <w:rPr>
          <w:rFonts w:ascii="Arial" w:cs="Arial" w:eastAsia="Arial" w:hAnsi="Arial"/>
          <w:sz w:val="13"/>
          <w:szCs w:val="13"/>
          <w:color w:val="auto"/>
        </w:rPr>
      </w:pPr>
    </w:p>
    <w:p>
      <w:pPr>
        <w:ind w:left="600" w:hanging="292"/>
        <w:spacing w:after="0"/>
        <w:tabs>
          <w:tab w:leader="none" w:pos="60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Accessible “Patio” – Fifth Floor only. Landlord-maintained retractable davit arms stored in enclosure on Tenant patio.</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Finishes at common corridors on floors with multiple Tenants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Shaft enclosures for Base Building system risers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FIRE PROTECTION</w:t>
      </w:r>
    </w:p>
    <w:p>
      <w:pPr>
        <w:spacing w:after="0" w:line="20" w:lineRule="exact"/>
        <w:rPr>
          <w:sz w:val="20"/>
          <w:szCs w:val="20"/>
          <w:color w:val="auto"/>
        </w:rPr>
      </w:pPr>
    </w:p>
    <w:p>
      <w:pPr>
        <w:ind w:left="620" w:hanging="312"/>
        <w:spacing w:after="0"/>
        <w:tabs>
          <w:tab w:leader="none" w:pos="6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Fire booster pump room including fire department connection, alarm valve, and fire sprinkler booster pump</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Wet fire protection system (risers, Core area risers, distribution piping, and sprinkler heads)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Stair risers, distribution piping, and sprinkler heads for core and shell coverage</w:t>
      </w:r>
    </w:p>
    <w:p>
      <w:pPr>
        <w:sectPr>
          <w:pgSz w:w="11900" w:h="16838" w:orient="portrait"/>
          <w:cols w:equalWidth="0" w:num="1">
            <w:col w:w="9520"/>
          </w:cols>
          <w:pgMar w:left="1140" w:top="249" w:right="1239" w:bottom="1440" w:gutter="0" w:footer="0" w:header="0"/>
        </w:sectPr>
      </w:pPr>
    </w:p>
    <w:bookmarkStart w:id="609" w:name="page610"/>
    <w:bookmarkEnd w:id="60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20" w:hanging="312"/>
        <w:spacing w:after="0"/>
        <w:tabs>
          <w:tab w:leader="none" w:pos="62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Primary distribution and sprinkler heads adequate for “Ordinary Hazard, Group 2” for core and shell coverage</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Fire extinguisher cabinets at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Fire safing at Base Building vertical penetrations, including penetrations for mechanical, electrical, and plumbing systems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PLUMBING</w:t>
      </w:r>
    </w:p>
    <w:p>
      <w:pPr>
        <w:spacing w:after="0" w:line="20" w:lineRule="exact"/>
        <w:rPr>
          <w:sz w:val="20"/>
          <w:szCs w:val="20"/>
          <w:color w:val="auto"/>
        </w:rPr>
      </w:pPr>
    </w:p>
    <w:p>
      <w:pPr>
        <w:ind w:left="620" w:hanging="312"/>
        <w:spacing w:after="0"/>
        <w:tabs>
          <w:tab w:leader="none" w:pos="620" w:val="left"/>
        </w:tabs>
        <w:numPr>
          <w:ilvl w:val="0"/>
          <w:numId w:val="463"/>
        </w:numPr>
        <w:rPr>
          <w:rFonts w:ascii="Arial" w:cs="Arial" w:eastAsia="Arial" w:hAnsi="Arial"/>
          <w:sz w:val="15"/>
          <w:szCs w:val="15"/>
          <w:color w:val="auto"/>
        </w:rPr>
      </w:pPr>
      <w:r>
        <w:rPr>
          <w:rFonts w:ascii="Arial" w:cs="Arial" w:eastAsia="Arial" w:hAnsi="Arial"/>
          <w:sz w:val="15"/>
          <w:szCs w:val="15"/>
          <w:color w:val="auto"/>
        </w:rPr>
        <w:t>Building storm and overflow drainage system, including site underground storm sewer system and connection to storm sewer mains</w:t>
      </w:r>
    </w:p>
    <w:p>
      <w:pPr>
        <w:spacing w:after="0" w:line="16" w:lineRule="exact"/>
        <w:rPr>
          <w:rFonts w:ascii="Arial" w:cs="Arial" w:eastAsia="Arial" w:hAnsi="Arial"/>
          <w:sz w:val="15"/>
          <w:szCs w:val="15"/>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Sand/Oil separator with connection to street</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Domestic water service with backflow prevention and Base Building risers to Tenant spaces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Domestic water booster pump</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Building lab waste consisting of underslab piping under podium parking, risers, and stubs in Tenant space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Lab waste connection to sanitary sewer, lab waste sampling port at connection</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Building sanitary sewer service with piping distribution to restroom cores and risers stubbed in Tenant space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Domestic sanitary sewer connection to street</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Main water meter and irrigation meter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One (1) roof mounted electric water heater serving all Restrooms</w:t>
      </w:r>
    </w:p>
    <w:p>
      <w:pPr>
        <w:spacing w:after="0" w:line="4" w:lineRule="exact"/>
        <w:rPr>
          <w:rFonts w:ascii="Arial" w:cs="Arial" w:eastAsia="Arial" w:hAnsi="Arial"/>
          <w:sz w:val="16"/>
          <w:szCs w:val="16"/>
          <w:color w:val="auto"/>
        </w:rPr>
      </w:pPr>
    </w:p>
    <w:p>
      <w:pPr>
        <w:ind w:left="600" w:hanging="292"/>
        <w:spacing w:after="0"/>
        <w:tabs>
          <w:tab w:leader="none" w:pos="60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Core restroom plumbing fixtures compliant with accessibility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w:t>
      </w:r>
    </w:p>
    <w:p>
      <w:pPr>
        <w:spacing w:after="0" w:line="20" w:lineRule="exact"/>
        <w:rPr>
          <w:sz w:val="20"/>
          <w:szCs w:val="20"/>
          <w:color w:val="auto"/>
        </w:rPr>
      </w:pPr>
    </w:p>
    <w:p>
      <w:pPr>
        <w:ind w:left="620" w:hanging="312"/>
        <w:spacing w:after="0"/>
        <w:tabs>
          <w:tab w:leader="none" w:pos="6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Medium pressure natural gas service to Building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Natural gas riser to the roof and service to Base Building boilers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Natural gas riser to the roof capped for future use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HEATING, VENTILATION, AIR CONDITIONING</w:t>
      </w:r>
    </w:p>
    <w:p>
      <w:pPr>
        <w:spacing w:after="0" w:line="20" w:lineRule="exact"/>
        <w:rPr>
          <w:sz w:val="20"/>
          <w:szCs w:val="20"/>
          <w:color w:val="auto"/>
        </w:rPr>
      </w:pPr>
    </w:p>
    <w:p>
      <w:pPr>
        <w:ind w:left="620" w:hanging="312"/>
        <w:spacing w:after="0" w:line="246" w:lineRule="auto"/>
        <w:tabs>
          <w:tab w:leader="none" w:pos="609"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Two (2) 90,000 cfm 100% outside air roof mounted air handlers serving Tenant lab spaces, allocation to Tenant space: standard 22,500 cfm per unit per floor (connected to standby power)</w:t>
      </w:r>
    </w:p>
    <w:p>
      <w:pPr>
        <w:ind w:left="620" w:right="40" w:hanging="312"/>
        <w:spacing w:after="0" w:line="246" w:lineRule="auto"/>
        <w:tabs>
          <w:tab w:leader="none" w:pos="609"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Two (2) 40,000 cfm supply/return roof mounted air handlers serving Tenant office spaces, allocation to Tenant space: standard 10,000 cfm per unit per floor</w:t>
      </w:r>
    </w:p>
    <w:p>
      <w:pPr>
        <w:ind w:left="620" w:hanging="312"/>
        <w:spacing w:after="0"/>
        <w:tabs>
          <w:tab w:leader="none" w:pos="62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Two (2) 5,000 MBH input gas fired hot water boilers (connected to standby power)</w:t>
      </w:r>
    </w:p>
    <w:p>
      <w:pPr>
        <w:sectPr>
          <w:pgSz w:w="11900" w:h="16838" w:orient="portrait"/>
          <w:cols w:equalWidth="0" w:num="1">
            <w:col w:w="9600"/>
          </w:cols>
          <w:pgMar w:left="1140" w:top="249" w:right="1159" w:bottom="1440" w:gutter="0" w:footer="0" w:header="0"/>
        </w:sectPr>
      </w:pPr>
    </w:p>
    <w:bookmarkStart w:id="610" w:name="page611"/>
    <w:bookmarkEnd w:id="610"/>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Two (2) 500 ton centrifugal chillers</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Two (2) 500 ton cooling towers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3"/>
          <w:szCs w:val="13"/>
          <w:color w:val="auto"/>
        </w:rPr>
      </w:pPr>
      <w:r>
        <w:rPr>
          <w:rFonts w:ascii="Arial" w:cs="Arial" w:eastAsia="Arial" w:hAnsi="Arial"/>
          <w:sz w:val="13"/>
          <w:szCs w:val="13"/>
          <w:color w:val="auto"/>
        </w:rPr>
        <w:t>Secondary mechanical equipment, including pumps, roof ducting, piping, valves, manifolds, etc. to support Base Building mechanical systems</w:t>
      </w:r>
    </w:p>
    <w:p>
      <w:pPr>
        <w:spacing w:after="0" w:line="39" w:lineRule="exact"/>
        <w:rPr>
          <w:rFonts w:ascii="Arial" w:cs="Arial" w:eastAsia="Arial" w:hAnsi="Arial"/>
          <w:sz w:val="13"/>
          <w:szCs w:val="13"/>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Hot water pipe risers, stubbed in Tenant space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Reheat coils within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Vertical supply air duct risers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Vertical return air duct risers</w:t>
      </w:r>
    </w:p>
    <w:p>
      <w:pPr>
        <w:spacing w:after="0" w:line="4" w:lineRule="exact"/>
        <w:rPr>
          <w:rFonts w:ascii="Arial" w:cs="Arial" w:eastAsia="Arial" w:hAnsi="Arial"/>
          <w:sz w:val="16"/>
          <w:szCs w:val="16"/>
          <w:color w:val="auto"/>
        </w:rPr>
      </w:pPr>
    </w:p>
    <w:p>
      <w:pPr>
        <w:ind w:left="600" w:hanging="292"/>
        <w:spacing w:after="0"/>
        <w:tabs>
          <w:tab w:leader="none" w:pos="600" w:val="left"/>
        </w:tabs>
        <w:numPr>
          <w:ilvl w:val="0"/>
          <w:numId w:val="466"/>
        </w:numPr>
        <w:rPr>
          <w:rFonts w:ascii="Arial" w:cs="Arial" w:eastAsia="Arial" w:hAnsi="Arial"/>
          <w:sz w:val="15"/>
          <w:szCs w:val="15"/>
          <w:color w:val="auto"/>
        </w:rPr>
      </w:pPr>
      <w:r>
        <w:rPr>
          <w:rFonts w:ascii="Arial" w:cs="Arial" w:eastAsia="Arial" w:hAnsi="Arial"/>
          <w:sz w:val="15"/>
          <w:szCs w:val="15"/>
          <w:color w:val="auto"/>
        </w:rPr>
        <w:t>Supply air duct distribution, VAV terminals, equipment connections, insulation, air terminals, dampers, hangers, etc. within core areas</w:t>
      </w:r>
    </w:p>
    <w:p>
      <w:pPr>
        <w:spacing w:after="0" w:line="16" w:lineRule="exact"/>
        <w:rPr>
          <w:rFonts w:ascii="Arial" w:cs="Arial" w:eastAsia="Arial" w:hAnsi="Arial"/>
          <w:sz w:val="15"/>
          <w:szCs w:val="15"/>
          <w:color w:val="auto"/>
        </w:rPr>
      </w:pPr>
    </w:p>
    <w:p>
      <w:pPr>
        <w:ind w:left="620" w:right="240" w:hanging="312"/>
        <w:spacing w:after="0" w:line="246" w:lineRule="auto"/>
        <w:tabs>
          <w:tab w:leader="none" w:pos="609"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Two (2) roof mounted dilution lab exhaust fan systems with 94,000 cfm capacity each, allocation to Tenant space: standard 23,500 cfm per system per floor (connected to standby power)</w:t>
      </w:r>
    </w:p>
    <w:p>
      <w:pPr>
        <w:ind w:left="620" w:hanging="312"/>
        <w:spacing w:after="0"/>
        <w:tabs>
          <w:tab w:leader="none" w:pos="620" w:val="left"/>
        </w:tabs>
        <w:numPr>
          <w:ilvl w:val="0"/>
          <w:numId w:val="466"/>
        </w:numPr>
        <w:rPr>
          <w:rFonts w:ascii="Arial" w:cs="Arial" w:eastAsia="Arial" w:hAnsi="Arial"/>
          <w:sz w:val="13"/>
          <w:szCs w:val="13"/>
          <w:color w:val="auto"/>
        </w:rPr>
      </w:pPr>
      <w:r>
        <w:rPr>
          <w:rFonts w:ascii="Arial" w:cs="Arial" w:eastAsia="Arial" w:hAnsi="Arial"/>
          <w:sz w:val="13"/>
          <w:szCs w:val="13"/>
          <w:color w:val="auto"/>
        </w:rPr>
        <w:t>Exhaust air duct distribution, exhaust air valves, equipment connections, insulation, air terminals, dampers, hangers, etc. within core areas</w:t>
      </w:r>
    </w:p>
    <w:p>
      <w:pPr>
        <w:spacing w:after="0" w:line="39" w:lineRule="exact"/>
        <w:rPr>
          <w:rFonts w:ascii="Arial" w:cs="Arial" w:eastAsia="Arial" w:hAnsi="Arial"/>
          <w:sz w:val="13"/>
          <w:szCs w:val="13"/>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Restroom exhaust for Base Building restrooms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Ventilation system for Base Building 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Exhaust fan, side wall grille supply, and fire smoke dampers for ventilation of Base Building Electrical Rooms on each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Building Management System (BMS) for core area and Landlord infrastructure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ELECTRICAL</w:t>
      </w:r>
    </w:p>
    <w:p>
      <w:pPr>
        <w:spacing w:after="0" w:line="20" w:lineRule="exact"/>
        <w:rPr>
          <w:sz w:val="20"/>
          <w:szCs w:val="20"/>
          <w:color w:val="auto"/>
        </w:rPr>
      </w:pPr>
    </w:p>
    <w:p>
      <w:pPr>
        <w:ind w:left="620" w:hanging="312"/>
        <w:spacing w:after="0"/>
        <w:tabs>
          <w:tab w:leader="none" w:pos="6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Site campus medium voltage distribution system with connection to PG&amp;E grid</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5,000 amp 480/277V Base Building substation with underground primary feeder to campus main switchgear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Standard power bus duct risers providing 400 amps per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One (1) 1500 kW diesel standby power generator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Standby power bus duct risers providing 188 kW per floor</w:t>
      </w:r>
    </w:p>
    <w:p>
      <w:pPr>
        <w:spacing w:after="0" w:line="4" w:lineRule="exact"/>
        <w:rPr>
          <w:rFonts w:ascii="Arial" w:cs="Arial" w:eastAsia="Arial" w:hAnsi="Arial"/>
          <w:sz w:val="16"/>
          <w:szCs w:val="16"/>
          <w:color w:val="auto"/>
        </w:rPr>
      </w:pPr>
    </w:p>
    <w:p>
      <w:pPr>
        <w:ind w:left="600" w:hanging="292"/>
        <w:spacing w:after="0"/>
        <w:tabs>
          <w:tab w:leader="none" w:pos="60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Automatic transfer switch for Tenant load</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Lighting and power distribution for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Base Building common area life safety emergency lighting/signage</w:t>
      </w:r>
    </w:p>
    <w:p>
      <w:pPr>
        <w:spacing w:after="0" w:line="4" w:lineRule="exact"/>
        <w:rPr>
          <w:rFonts w:ascii="Arial" w:cs="Arial" w:eastAsia="Arial" w:hAnsi="Arial"/>
          <w:sz w:val="16"/>
          <w:szCs w:val="16"/>
          <w:color w:val="auto"/>
        </w:rPr>
      </w:pPr>
    </w:p>
    <w:p>
      <w:pPr>
        <w:ind w:left="620" w:right="180" w:hanging="312"/>
        <w:spacing w:after="0" w:line="252" w:lineRule="auto"/>
        <w:tabs>
          <w:tab w:leader="none" w:pos="612" w:val="left"/>
        </w:tabs>
        <w:numPr>
          <w:ilvl w:val="0"/>
          <w:numId w:val="467"/>
        </w:numPr>
        <w:rPr>
          <w:rFonts w:ascii="Arial" w:cs="Arial" w:eastAsia="Arial" w:hAnsi="Arial"/>
          <w:sz w:val="16"/>
          <w:szCs w:val="16"/>
          <w:color w:val="auto"/>
        </w:rPr>
      </w:pPr>
      <w:r>
        <w:rPr>
          <w:rFonts w:ascii="Arial" w:cs="Arial" w:eastAsia="Arial" w:hAnsi="Arial"/>
          <w:sz w:val="16"/>
          <w:szCs w:val="16"/>
          <w:color w:val="auto"/>
        </w:rPr>
        <w:t>Distributed Antenna System (DAS) consisting of head-end system, roof-mounted antenna, and 2” conduit risers in stair shafts. No coverage within Tenant premises.</w:t>
      </w:r>
    </w:p>
    <w:p>
      <w:pPr>
        <w:sectPr>
          <w:pgSz w:w="11900" w:h="16838" w:orient="portrait"/>
          <w:cols w:equalWidth="0" w:num="1">
            <w:col w:w="9580"/>
          </w:cols>
          <w:pgMar w:left="1140" w:top="249" w:right="1179" w:bottom="1440" w:gutter="0" w:footer="0" w:header="0"/>
        </w:sectPr>
      </w:pPr>
    </w:p>
    <w:bookmarkStart w:id="611" w:name="page612"/>
    <w:bookmarkEnd w:id="611"/>
    <w:p>
      <w:pPr>
        <w:jc w:val="center"/>
        <w:ind w:right="-2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FIRE ALARM</w:t>
      </w:r>
    </w:p>
    <w:p>
      <w:pPr>
        <w:spacing w:after="0" w:line="15" w:lineRule="exact"/>
        <w:rPr>
          <w:sz w:val="20"/>
          <w:szCs w:val="20"/>
          <w:color w:val="auto"/>
        </w:rPr>
      </w:pPr>
    </w:p>
    <w:p>
      <w:pPr>
        <w:ind w:left="620" w:hanging="312"/>
        <w:spacing w:after="0"/>
        <w:tabs>
          <w:tab w:leader="none" w:pos="62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Base Building fire alarm system with devices in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Fire Alarm Termination Cabinet (FATC) within each Electrical Room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TELEPHONE/DATA</w:t>
      </w:r>
    </w:p>
    <w:p>
      <w:pPr>
        <w:spacing w:after="0" w:line="20" w:lineRule="exact"/>
        <w:rPr>
          <w:sz w:val="20"/>
          <w:szCs w:val="20"/>
          <w:color w:val="auto"/>
        </w:rPr>
      </w:pPr>
    </w:p>
    <w:p>
      <w:pPr>
        <w:ind w:left="620" w:hanging="312"/>
        <w:spacing w:after="0"/>
        <w:tabs>
          <w:tab w:leader="none" w:pos="6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Underground local fiber optic &amp; telephone conduit only to MPOE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Two (2) 4” conduit risers from MPOE to Intermediate Distribution Frame (IDF) Room on each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Sleeves for future conduit riser from IDF Rooms to the roof; Landlord approval required for use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9"/>
        </w:numPr>
        <w:rPr>
          <w:rFonts w:ascii="Arial" w:cs="Arial" w:eastAsia="Arial" w:hAnsi="Arial"/>
          <w:sz w:val="13"/>
          <w:szCs w:val="13"/>
          <w:color w:val="auto"/>
        </w:rPr>
      </w:pPr>
      <w:r>
        <w:rPr>
          <w:rFonts w:ascii="Arial" w:cs="Arial" w:eastAsia="Arial" w:hAnsi="Arial"/>
          <w:sz w:val="13"/>
          <w:szCs w:val="13"/>
          <w:color w:val="auto"/>
        </w:rPr>
        <w:t>Campus telecommunications loop consisting of two (2) 4” conduits, linking existing and future buildings on campus</w:t>
      </w:r>
    </w:p>
    <w:p>
      <w:pPr>
        <w:spacing w:after="0" w:line="39" w:lineRule="exact"/>
        <w:rPr>
          <w:rFonts w:ascii="Arial" w:cs="Arial" w:eastAsia="Arial" w:hAnsi="Arial"/>
          <w:sz w:val="13"/>
          <w:szCs w:val="13"/>
          <w:color w:val="auto"/>
        </w:rPr>
      </w:pPr>
    </w:p>
    <w:p>
      <w:pPr>
        <w:ind w:left="620" w:hanging="312"/>
        <w:spacing w:after="0"/>
        <w:tabs>
          <w:tab w:leader="none" w:pos="6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One (1) 4” conduit security communications loop</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Two (2) 4” conduits connecting Building 3 MPOE Room with Building 4 MPOE Room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w:t>
      </w:r>
    </w:p>
    <w:p>
      <w:pPr>
        <w:spacing w:after="0" w:line="20" w:lineRule="exact"/>
        <w:rPr>
          <w:sz w:val="20"/>
          <w:szCs w:val="20"/>
          <w:color w:val="auto"/>
        </w:rPr>
      </w:pPr>
    </w:p>
    <w:p>
      <w:pPr>
        <w:ind w:left="620" w:hanging="312"/>
        <w:spacing w:after="0"/>
        <w:tabs>
          <w:tab w:leader="none" w:pos="62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Card access at Building entries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Video surveillance and intercom system at entrance and receiving doors of the Building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Main Lobby desk for future security operations. Security guard scope TBD</w:t>
      </w:r>
    </w:p>
    <w:p>
      <w:pPr>
        <w:sectPr>
          <w:pgSz w:w="11900" w:h="16838" w:orient="portrait"/>
          <w:cols w:equalWidth="0" w:num="1">
            <w:col w:w="9319"/>
          </w:cols>
          <w:pgMar w:left="1140" w:top="249" w:right="1440" w:bottom="1440" w:gutter="0" w:footer="0" w:header="0"/>
        </w:sectPr>
      </w:pPr>
    </w:p>
    <w:bookmarkStart w:id="612" w:name="page613"/>
    <w:bookmarkEnd w:id="612"/>
    <w:p>
      <w:pPr>
        <w:jc w:val="center"/>
        <w:ind w:right="-25"/>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SCHEDULE 2 TO EXHIBIT B</w:t>
      </w:r>
    </w:p>
    <w:p>
      <w:pPr>
        <w:spacing w:after="0" w:line="193"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u w:val="single" w:color="auto"/>
          <w:color w:val="auto"/>
        </w:rPr>
        <w:t>LEED REQUIREMENTS</w:t>
      </w:r>
    </w:p>
    <w:p>
      <w:pPr>
        <w:spacing w:after="0" w:line="197" w:lineRule="exact"/>
        <w:rPr>
          <w:sz w:val="20"/>
          <w:szCs w:val="20"/>
          <w:color w:val="auto"/>
        </w:rPr>
      </w:pPr>
    </w:p>
    <w:p>
      <w:pPr>
        <w:ind w:left="6" w:right="300"/>
        <w:spacing w:after="0" w:line="383" w:lineRule="auto"/>
        <w:rPr>
          <w:sz w:val="20"/>
          <w:szCs w:val="20"/>
          <w:color w:val="auto"/>
        </w:rPr>
      </w:pPr>
      <w:r>
        <w:rPr>
          <w:rFonts w:ascii="Arial" w:cs="Arial" w:eastAsia="Arial" w:hAnsi="Arial"/>
          <w:sz w:val="13"/>
          <w:szCs w:val="13"/>
          <w:color w:val="auto"/>
        </w:rPr>
        <w:t>The following is a list of LEED prerequisites and credits that all tenants are required to meet compliance for their associated tenant-occupied spaces beyond the current Core &amp; Shell project scope. By signing this lease, tenants are agreeing to comply with all of the outlined requirements.</w:t>
      </w:r>
    </w:p>
    <w:p>
      <w:pPr>
        <w:spacing w:after="0" w:line="89"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-Water Efficiency Prerequisite 1 and Credit 3, Water Use Reduction</w:t>
      </w:r>
    </w:p>
    <w:p>
      <w:pPr>
        <w:spacing w:after="0" w:line="111" w:lineRule="exact"/>
        <w:rPr>
          <w:sz w:val="20"/>
          <w:szCs w:val="20"/>
          <w:color w:val="auto"/>
        </w:rPr>
      </w:pPr>
    </w:p>
    <w:p>
      <w:pPr>
        <w:ind w:left="846" w:right="120" w:hanging="375"/>
        <w:spacing w:after="0" w:line="266" w:lineRule="auto"/>
        <w:tabs>
          <w:tab w:leader="none" w:pos="84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All toilets in the core or those that are tenant-installed shall be dual-flush toilets or “high-efficiency,” using 1.28 gallons per flush (gpf) or less.</w:t>
      </w:r>
    </w:p>
    <w:p>
      <w:pPr>
        <w:spacing w:after="0" w:line="75" w:lineRule="exact"/>
        <w:rPr>
          <w:rFonts w:ascii="Arial" w:cs="Arial" w:eastAsia="Arial" w:hAnsi="Arial"/>
          <w:sz w:val="16"/>
          <w:szCs w:val="16"/>
          <w:color w:val="auto"/>
        </w:rPr>
      </w:pPr>
    </w:p>
    <w:p>
      <w:pPr>
        <w:ind w:left="846" w:hanging="375"/>
        <w:spacing w:after="0"/>
        <w:tabs>
          <w:tab w:leader="none" w:pos="84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All urinals shall be waterless or ultra low-flow e.g., 0.125gpf or less.</w:t>
      </w:r>
    </w:p>
    <w:p>
      <w:pPr>
        <w:spacing w:after="0" w:line="110" w:lineRule="exact"/>
        <w:rPr>
          <w:rFonts w:ascii="Arial" w:cs="Arial" w:eastAsia="Arial" w:hAnsi="Arial"/>
          <w:sz w:val="16"/>
          <w:szCs w:val="16"/>
          <w:color w:val="auto"/>
        </w:rPr>
      </w:pPr>
    </w:p>
    <w:p>
      <w:pPr>
        <w:ind w:left="846" w:right="340" w:hanging="375"/>
        <w:spacing w:after="0" w:line="266" w:lineRule="auto"/>
        <w:tabs>
          <w:tab w:leader="none" w:pos="84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Bathroom faucets are required to have flow restrictors limiting flow to .5 gallons per minute (gpm). Kitchen and breakroom faucets to allow 2.0 gpm.</w:t>
      </w:r>
    </w:p>
    <w:p>
      <w:pPr>
        <w:spacing w:after="0" w:line="158" w:lineRule="exact"/>
        <w:rPr>
          <w:rFonts w:ascii="Arial" w:cs="Arial" w:eastAsia="Arial" w:hAnsi="Arial"/>
          <w:sz w:val="16"/>
          <w:szCs w:val="16"/>
          <w:color w:val="auto"/>
        </w:rPr>
      </w:pPr>
    </w:p>
    <w:p>
      <w:pPr>
        <w:ind w:left="86" w:hanging="86"/>
        <w:spacing w:after="0"/>
        <w:tabs>
          <w:tab w:leader="none" w:pos="86" w:val="left"/>
        </w:tabs>
        <w:numPr>
          <w:ilvl w:val="0"/>
          <w:numId w:val="47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Energy and Atmosphere Prerequisite 2, Minimum Energy Performance, and Credit 1, Optimize Energy Performance</w:t>
      </w:r>
    </w:p>
    <w:p>
      <w:pPr>
        <w:spacing w:after="0" w:line="110" w:lineRule="exact"/>
        <w:rPr>
          <w:rFonts w:ascii="Arial" w:cs="Arial" w:eastAsia="Arial" w:hAnsi="Arial"/>
          <w:sz w:val="16"/>
          <w:szCs w:val="16"/>
          <w:u w:val="single" w:color="auto"/>
          <w:color w:val="auto"/>
        </w:rPr>
      </w:pPr>
    </w:p>
    <w:p>
      <w:pPr>
        <w:ind w:left="846" w:hanging="375"/>
        <w:spacing w:after="0"/>
        <w:tabs>
          <w:tab w:leader="none" w:pos="84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Envelope must meet the following requirements: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Walls: U = 0.082</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Roof: U = 0.039</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Curtain Glazing: U = 0.27, SHGC = 0.29 (Viracon)</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Mechanical (Based on B3) systems must comply with the following:</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Chiller Efficiency: 0.549 kw/ton</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Boiler Efficiency: 93%</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Plumbing (Based on B3) must comply with the following:</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Water heater efficiency: 96%</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1"/>
          <w:numId w:val="471"/>
        </w:numPr>
        <w:rPr>
          <w:rFonts w:ascii="Arial" w:cs="Arial" w:eastAsia="Arial" w:hAnsi="Arial"/>
          <w:sz w:val="16"/>
          <w:szCs w:val="16"/>
          <w:color w:val="auto"/>
        </w:rPr>
      </w:pPr>
      <w:r>
        <w:rPr>
          <w:rFonts w:ascii="Arial" w:cs="Arial" w:eastAsia="Arial" w:hAnsi="Arial"/>
          <w:sz w:val="16"/>
          <w:szCs w:val="16"/>
          <w:color w:val="auto"/>
        </w:rPr>
        <w:t>Lighting requirements are as follows: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Office Spaces &gt; 250 ft</w:t>
      </w:r>
      <w:r>
        <w:rPr>
          <w:rFonts w:ascii="Arial" w:cs="Arial" w:eastAsia="Arial" w:hAnsi="Arial"/>
          <w:sz w:val="13"/>
          <w:szCs w:val="13"/>
          <w:color w:val="auto"/>
        </w:rPr>
        <w:t>2</w:t>
      </w:r>
      <w:r>
        <w:rPr>
          <w:rFonts w:ascii="Arial" w:cs="Arial" w:eastAsia="Arial" w:hAnsi="Arial"/>
          <w:sz w:val="16"/>
          <w:szCs w:val="16"/>
          <w:color w:val="auto"/>
        </w:rPr>
        <w:t>: 0.75 w/sf</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Office Spaces &lt;= 250 ft</w:t>
      </w:r>
      <w:r>
        <w:rPr>
          <w:rFonts w:ascii="Arial" w:cs="Arial" w:eastAsia="Arial" w:hAnsi="Arial"/>
          <w:sz w:val="13"/>
          <w:szCs w:val="13"/>
          <w:color w:val="auto"/>
        </w:rPr>
        <w:t>2</w:t>
      </w:r>
      <w:r>
        <w:rPr>
          <w:rFonts w:ascii="Arial" w:cs="Arial" w:eastAsia="Arial" w:hAnsi="Arial"/>
          <w:sz w:val="16"/>
          <w:szCs w:val="16"/>
          <w:color w:val="auto"/>
        </w:rPr>
        <w:t>: 1.0 w/sf</w:t>
      </w:r>
    </w:p>
    <w:p>
      <w:pPr>
        <w:spacing w:after="0" w:line="111" w:lineRule="exact"/>
        <w:rPr>
          <w:rFonts w:ascii="Arial" w:cs="Arial" w:eastAsia="Arial" w:hAnsi="Arial"/>
          <w:sz w:val="16"/>
          <w:szCs w:val="16"/>
          <w:color w:val="auto"/>
        </w:rPr>
      </w:pPr>
    </w:p>
    <w:p>
      <w:pPr>
        <w:ind w:left="1246" w:hanging="291"/>
        <w:spacing w:after="0"/>
        <w:tabs>
          <w:tab w:leader="none" w:pos="1246" w:val="left"/>
        </w:tabs>
        <w:numPr>
          <w:ilvl w:val="2"/>
          <w:numId w:val="471"/>
        </w:numPr>
        <w:rPr>
          <w:rFonts w:ascii="Arial" w:cs="Arial" w:eastAsia="Arial" w:hAnsi="Arial"/>
          <w:sz w:val="16"/>
          <w:szCs w:val="16"/>
          <w:color w:val="auto"/>
        </w:rPr>
      </w:pPr>
      <w:r>
        <w:rPr>
          <w:rFonts w:ascii="Arial" w:cs="Arial" w:eastAsia="Arial" w:hAnsi="Arial"/>
          <w:sz w:val="16"/>
          <w:szCs w:val="16"/>
          <w:color w:val="auto"/>
        </w:rPr>
        <w:t>Lab Spaces: 1.4 w/sf</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-Energy and Atmosphere Credit 4, Enhanced Refrigerant Management</w:t>
      </w:r>
    </w:p>
    <w:p>
      <w:pPr>
        <w:spacing w:after="0" w:line="111" w:lineRule="exact"/>
        <w:rPr>
          <w:sz w:val="20"/>
          <w:szCs w:val="20"/>
          <w:color w:val="auto"/>
        </w:rPr>
      </w:pPr>
    </w:p>
    <w:p>
      <w:pPr>
        <w:ind w:left="846" w:right="20" w:hanging="375"/>
        <w:spacing w:after="0" w:line="266" w:lineRule="auto"/>
        <w:tabs>
          <w:tab w:leader="none" w:pos="846"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Tenants should specify HVAC systems that minimize refrigerant impact by avoiding refrigerants entirely or using systems that reduce their harmful impacts.</w:t>
      </w:r>
    </w:p>
    <w:p>
      <w:pPr>
        <w:spacing w:after="0" w:line="75" w:lineRule="exact"/>
        <w:rPr>
          <w:rFonts w:ascii="Arial" w:cs="Arial" w:eastAsia="Arial" w:hAnsi="Arial"/>
          <w:sz w:val="16"/>
          <w:szCs w:val="16"/>
          <w:color w:val="auto"/>
        </w:rPr>
      </w:pPr>
    </w:p>
    <w:p>
      <w:pPr>
        <w:ind w:left="846" w:hanging="375"/>
        <w:spacing w:after="0"/>
        <w:tabs>
          <w:tab w:leader="none" w:pos="846"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Tenants should not install or retain fire suppression systems with CFCs, HCFCs, or halons.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-Energy and Atmosphere Credit 5, Measurement &amp; Verification</w:t>
      </w:r>
    </w:p>
    <w:p>
      <w:pPr>
        <w:spacing w:after="0" w:line="111" w:lineRule="exact"/>
        <w:rPr>
          <w:sz w:val="20"/>
          <w:szCs w:val="20"/>
          <w:color w:val="auto"/>
        </w:rPr>
      </w:pPr>
    </w:p>
    <w:p>
      <w:pPr>
        <w:ind w:left="846" w:hanging="375"/>
        <w:spacing w:after="0"/>
        <w:tabs>
          <w:tab w:leader="none" w:pos="846"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Tenants will be required to submeter</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-Indoor Environmental Quality Prerequisite 1, Minimum Indoor Air Quality (IAQ) Performance</w:t>
      </w:r>
    </w:p>
    <w:p>
      <w:pPr>
        <w:spacing w:after="0" w:line="111" w:lineRule="exact"/>
        <w:rPr>
          <w:sz w:val="20"/>
          <w:szCs w:val="20"/>
          <w:color w:val="auto"/>
        </w:rPr>
      </w:pPr>
    </w:p>
    <w:p>
      <w:pPr>
        <w:ind w:left="846" w:hanging="375"/>
        <w:spacing w:after="0"/>
        <w:tabs>
          <w:tab w:leader="none" w:pos="846"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Tenant-installed mechanical ventilation systems must meet the requirements of ASHRAE 62.1-2007 sections 4-7.</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-Indoor Environmental Quality Credit 1, Outdoor Air Delivery Monitoring</w:t>
      </w:r>
    </w:p>
    <w:p>
      <w:pPr>
        <w:spacing w:after="0" w:line="111" w:lineRule="exact"/>
        <w:rPr>
          <w:sz w:val="20"/>
          <w:szCs w:val="20"/>
          <w:color w:val="auto"/>
        </w:rPr>
      </w:pPr>
    </w:p>
    <w:p>
      <w:pPr>
        <w:ind w:left="846" w:hanging="375"/>
        <w:spacing w:after="0" w:line="300" w:lineRule="auto"/>
        <w:tabs>
          <w:tab w:leader="none" w:pos="846" w:val="left"/>
        </w:tabs>
        <w:numPr>
          <w:ilvl w:val="0"/>
          <w:numId w:val="475"/>
        </w:numPr>
        <w:rPr>
          <w:rFonts w:ascii="Arial" w:cs="Arial" w:eastAsia="Arial" w:hAnsi="Arial"/>
          <w:sz w:val="15"/>
          <w:szCs w:val="15"/>
          <w:color w:val="auto"/>
        </w:rPr>
      </w:pPr>
      <w:r>
        <w:rPr>
          <w:rFonts w:ascii="Arial" w:cs="Arial" w:eastAsia="Arial" w:hAnsi="Arial"/>
          <w:sz w:val="15"/>
          <w:szCs w:val="15"/>
          <w:color w:val="auto"/>
        </w:rPr>
        <w:t>For mechanical ventilation systems that predominantly serve densely occupied spaces (those with a design occupant density greater than or equal to 25 people per 1000 sq. ft), tenants shall install a CO2 sensor within each densely occupied space.</w:t>
      </w:r>
    </w:p>
    <w:p>
      <w:pPr>
        <w:spacing w:after="0" w:line="52" w:lineRule="exact"/>
        <w:rPr>
          <w:rFonts w:ascii="Arial" w:cs="Arial" w:eastAsia="Arial" w:hAnsi="Arial"/>
          <w:sz w:val="15"/>
          <w:szCs w:val="15"/>
          <w:color w:val="auto"/>
        </w:rPr>
      </w:pPr>
    </w:p>
    <w:p>
      <w:pPr>
        <w:ind w:left="846" w:right="100" w:hanging="375"/>
        <w:spacing w:after="0" w:line="300" w:lineRule="auto"/>
        <w:tabs>
          <w:tab w:leader="none" w:pos="846" w:val="left"/>
        </w:tabs>
        <w:numPr>
          <w:ilvl w:val="0"/>
          <w:numId w:val="475"/>
        </w:numPr>
        <w:rPr>
          <w:rFonts w:ascii="Arial" w:cs="Arial" w:eastAsia="Arial" w:hAnsi="Arial"/>
          <w:sz w:val="15"/>
          <w:szCs w:val="15"/>
          <w:color w:val="auto"/>
        </w:rPr>
      </w:pPr>
      <w:r>
        <w:rPr>
          <w:rFonts w:ascii="Arial" w:cs="Arial" w:eastAsia="Arial" w:hAnsi="Arial"/>
          <w:sz w:val="15"/>
          <w:szCs w:val="15"/>
          <w:color w:val="auto"/>
        </w:rPr>
        <w:t>For all other mechanical ventilation systems, provide an outdoor airflow measurement device capable of measuring the minimum outdoor airflow rate at all expected system operating conditions within 15 percent of the design minimum outdoor air rate.</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-Indoor Environmental Quality Credit 5, Indoor Chemical and Pollutant Source Control</w:t>
      </w:r>
    </w:p>
    <w:p>
      <w:pPr>
        <w:spacing w:after="0" w:line="111" w:lineRule="exact"/>
        <w:rPr>
          <w:sz w:val="20"/>
          <w:szCs w:val="20"/>
          <w:color w:val="auto"/>
        </w:rPr>
      </w:pPr>
    </w:p>
    <w:p>
      <w:pPr>
        <w:ind w:left="846" w:hanging="375"/>
        <w:spacing w:after="0"/>
        <w:tabs>
          <w:tab w:leader="none" w:pos="846" w:val="left"/>
        </w:tabs>
        <w:numPr>
          <w:ilvl w:val="0"/>
          <w:numId w:val="476"/>
        </w:numPr>
        <w:rPr>
          <w:rFonts w:ascii="Arial" w:cs="Arial" w:eastAsia="Arial" w:hAnsi="Arial"/>
          <w:sz w:val="16"/>
          <w:szCs w:val="16"/>
          <w:color w:val="auto"/>
        </w:rPr>
      </w:pPr>
      <w:r>
        <w:rPr>
          <w:rFonts w:ascii="Arial" w:cs="Arial" w:eastAsia="Arial" w:hAnsi="Arial"/>
          <w:sz w:val="16"/>
          <w:szCs w:val="16"/>
          <w:color w:val="auto"/>
        </w:rPr>
        <w:t>Walk off mats are installed at all building main entrances as part of the core and shell scope.</w:t>
      </w:r>
    </w:p>
    <w:p>
      <w:pPr>
        <w:sectPr>
          <w:pgSz w:w="11900" w:h="16838" w:orient="portrait"/>
          <w:cols w:equalWidth="0" w:num="1">
            <w:col w:w="9606"/>
          </w:cols>
          <w:pgMar w:left="1134" w:top="252" w:right="1159" w:bottom="1440" w:gutter="0" w:footer="0" w:header="0"/>
        </w:sectPr>
      </w:pPr>
    </w:p>
    <w:bookmarkStart w:id="613" w:name="page614"/>
    <w:bookmarkEnd w:id="613"/>
    <w:p>
      <w:pPr>
        <w:jc w:val="both"/>
        <w:ind w:left="840" w:right="480" w:hanging="375"/>
        <w:spacing w:after="0" w:line="256" w:lineRule="auto"/>
        <w:tabs>
          <w:tab w:leader="none" w:pos="840" w:val="left"/>
        </w:tabs>
        <w:numPr>
          <w:ilvl w:val="0"/>
          <w:numId w:val="4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All rooms that contain chemicals or pollutants (such as copy rooms, photo labs, laundry, and janitorial rooms) must be built with deck-to-deck full-height walls and self-closing doors, separate ventilation systems with minimum .50 cfm/sqft exhaust fans, and containment drains for appropriate disposal of hazardous liquids</w:t>
      </w:r>
    </w:p>
    <w:p>
      <w:pPr>
        <w:spacing w:after="0" w:line="83" w:lineRule="exact"/>
        <w:rPr>
          <w:rFonts w:ascii="Arial" w:cs="Arial" w:eastAsia="Arial" w:hAnsi="Arial"/>
          <w:sz w:val="16"/>
          <w:szCs w:val="16"/>
          <w:color w:val="auto"/>
        </w:rPr>
      </w:pPr>
    </w:p>
    <w:p>
      <w:pPr>
        <w:ind w:left="840" w:hanging="375"/>
        <w:spacing w:after="0"/>
        <w:tabs>
          <w:tab w:leader="none" w:pos="840" w:val="left"/>
        </w:tabs>
        <w:numPr>
          <w:ilvl w:val="0"/>
          <w:numId w:val="477"/>
        </w:numPr>
        <w:rPr>
          <w:rFonts w:ascii="Arial" w:cs="Arial" w:eastAsia="Arial" w:hAnsi="Arial"/>
          <w:sz w:val="13"/>
          <w:szCs w:val="13"/>
          <w:color w:val="auto"/>
        </w:rPr>
      </w:pPr>
      <w:r>
        <w:rPr>
          <w:rFonts w:ascii="Arial" w:cs="Arial" w:eastAsia="Arial" w:hAnsi="Arial"/>
          <w:sz w:val="13"/>
          <w:szCs w:val="13"/>
          <w:color w:val="auto"/>
        </w:rPr>
        <w:t>Tenants must also install MERV – 13 filters for all return and outside air intakes in regularly occupied mechanically ventilated spaces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-Indoor Environmental Quality Credit 6, Controllability of Systems - Thermal Comfort</w:t>
      </w:r>
    </w:p>
    <w:p>
      <w:pPr>
        <w:spacing w:after="0" w:line="111" w:lineRule="exact"/>
        <w:rPr>
          <w:sz w:val="20"/>
          <w:szCs w:val="20"/>
          <w:color w:val="auto"/>
        </w:rPr>
      </w:pPr>
    </w:p>
    <w:p>
      <w:pPr>
        <w:ind w:left="840" w:hanging="375"/>
        <w:spacing w:after="0"/>
        <w:tabs>
          <w:tab w:leader="none" w:pos="84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Tenants shall provide thermal and ventilation controls for:</w:t>
      </w:r>
    </w:p>
    <w:p>
      <w:pPr>
        <w:spacing w:after="0" w:line="110" w:lineRule="exact"/>
        <w:rPr>
          <w:rFonts w:ascii="Arial" w:cs="Arial" w:eastAsia="Arial" w:hAnsi="Arial"/>
          <w:sz w:val="16"/>
          <w:szCs w:val="16"/>
          <w:color w:val="auto"/>
        </w:rPr>
      </w:pPr>
    </w:p>
    <w:p>
      <w:pPr>
        <w:ind w:left="1240" w:right="140" w:hanging="291"/>
        <w:spacing w:after="0" w:line="266" w:lineRule="auto"/>
        <w:tabs>
          <w:tab w:leader="none" w:pos="1240" w:val="left"/>
        </w:tabs>
        <w:numPr>
          <w:ilvl w:val="1"/>
          <w:numId w:val="478"/>
        </w:numPr>
        <w:rPr>
          <w:rFonts w:ascii="Arial" w:cs="Arial" w:eastAsia="Arial" w:hAnsi="Arial"/>
          <w:sz w:val="16"/>
          <w:szCs w:val="16"/>
          <w:color w:val="auto"/>
        </w:rPr>
      </w:pPr>
      <w:r>
        <w:rPr>
          <w:rFonts w:ascii="Arial" w:cs="Arial" w:eastAsia="Arial" w:hAnsi="Arial"/>
          <w:sz w:val="16"/>
          <w:szCs w:val="16"/>
          <w:color w:val="auto"/>
        </w:rPr>
        <w:t>At least 50 percent of the occupants that enable adjustment to suit individual needs and preferences &amp; all shared multi-occupant spaces where transient groups must share controls.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-Indoor Environmental Quality Credit 7, Thermal Comfort - Design</w:t>
      </w:r>
    </w:p>
    <w:p>
      <w:pPr>
        <w:spacing w:after="0" w:line="111" w:lineRule="exact"/>
        <w:rPr>
          <w:sz w:val="20"/>
          <w:szCs w:val="20"/>
          <w:color w:val="auto"/>
        </w:rPr>
      </w:pPr>
    </w:p>
    <w:p>
      <w:pPr>
        <w:ind w:left="840" w:hanging="375"/>
        <w:spacing w:after="0" w:line="266" w:lineRule="auto"/>
        <w:tabs>
          <w:tab w:leader="none" w:pos="84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HVAC design must meet requirements of ASHRAE 55-2004, specifically in reference to air temperature, radiant temperature, humidity, and air speed</w:t>
      </w:r>
    </w:p>
    <w:p>
      <w:pPr>
        <w:sectPr>
          <w:pgSz w:w="11900" w:h="16838" w:orient="portrait"/>
          <w:cols w:equalWidth="0" w:num="1">
            <w:col w:w="9400"/>
          </w:cols>
          <w:pgMar w:left="1140" w:top="257" w:right="1359" w:bottom="1440" w:gutter="0" w:footer="0" w:header="0"/>
        </w:sectPr>
      </w:pPr>
    </w:p>
    <w:bookmarkStart w:id="614" w:name="page615"/>
    <w:bookmarkEnd w:id="614"/>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3 TO EXHIBIT B</w:t>
      </w:r>
    </w:p>
    <w:p>
      <w:pPr>
        <w:sectPr>
          <w:pgSz w:w="11900" w:h="16838" w:orient="portrait"/>
          <w:cols w:equalWidth="0" w:num="1">
            <w:col w:w="9019"/>
          </w:cols>
          <w:pgMar w:left="1440" w:top="252" w:right="1440"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TIME DEADLINES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147955</wp:posOffset>
            </wp:positionV>
            <wp:extent cx="4903470" cy="291973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4903470" cy="291973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type w:val="continuous"/>
        </w:sectPr>
      </w:pPr>
    </w:p>
    <w:bookmarkStart w:id="615" w:name="page616"/>
    <w:bookmarkEnd w:id="615"/>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4 TO EXHIBIT B</w:t>
      </w:r>
    </w:p>
    <w:p>
      <w:pPr>
        <w:sectPr>
          <w:pgSz w:w="11900" w:h="16838" w:orient="portrait"/>
          <w:cols w:equalWidth="0" w:num="1">
            <w:col w:w="9019"/>
          </w:cols>
          <w:pgMar w:left="1440" w:top="252"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ROOFTOP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155575</wp:posOffset>
            </wp:positionV>
            <wp:extent cx="5367655" cy="476123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367655" cy="476123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type w:val="continuous"/>
        </w:sectPr>
      </w:pPr>
    </w:p>
    <w:bookmarkStart w:id="616" w:name="page617"/>
    <w:bookmarkEnd w:id="616"/>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5 TO EXHIBIT B</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STANDARD TENANT IMPROVEMENT PACKAGE SPECIFICATIONS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[[ATTACHED]]</w:t>
      </w:r>
    </w:p>
    <w:p>
      <w:pPr>
        <w:sectPr>
          <w:pgSz w:w="11900" w:h="16838" w:orient="portrait"/>
          <w:cols w:equalWidth="0" w:num="1">
            <w:col w:w="9019"/>
          </w:cols>
          <w:pgMar w:left="1440" w:top="252" w:right="1440" w:bottom="1440" w:gutter="0" w:footer="0" w:header="0"/>
        </w:sectPr>
      </w:pPr>
    </w:p>
    <w:bookmarkStart w:id="617" w:name="page618"/>
    <w:bookmarkEnd w:id="61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556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90105" cy="35560"/>
                    </a:xfrm>
                    <a:prstGeom prst="rect">
                      <a:avLst/>
                    </a:prstGeom>
                    <a:noFill/>
                  </pic:spPr>
                </pic:pic>
              </a:graphicData>
            </a:graphic>
          </wp:anchor>
        </w:drawing>
        <w:t>TENANT IMPROVEMENT CONSTRUCTION MANUAL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TI CONSTRUCTION RULES, REQUIREMENTS, AND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145415</wp:posOffset>
            </wp:positionV>
            <wp:extent cx="5367655" cy="40951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367655" cy="409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COVE AT OYSTER POINT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 OYSTER POINT BOULEVARD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w:t>
      </w:r>
    </w:p>
    <w:p>
      <w:pPr>
        <w:sectPr>
          <w:pgSz w:w="11900" w:h="16838" w:orient="portrait"/>
          <w:cols w:equalWidth="0" w:num="1">
            <w:col w:w="9019"/>
          </w:cols>
          <w:pgMar w:left="1440" w:top="253" w:right="1440" w:bottom="1440" w:gutter="0" w:footer="0" w:header="0"/>
        </w:sectPr>
      </w:pPr>
    </w:p>
    <w:bookmarkStart w:id="618" w:name="page619"/>
    <w:bookmarkEnd w:id="618"/>
    <w:tbl>
      <w:tblPr>
        <w:tblLayout w:type="fixed"/>
        <w:tblInd w:w="0" w:type="dxa"/>
        <w:tblCellMar>
          <w:top w:w="0" w:type="dxa"/>
          <w:left w:w="0" w:type="dxa"/>
          <w:bottom w:w="0" w:type="dxa"/>
          <w:right w:w="0" w:type="dxa"/>
        </w:tblCellMar>
      </w:tblPr>
      <w:tr>
        <w:trPr>
          <w:trHeight w:val="204"/>
        </w:trPr>
        <w:tc>
          <w:tcPr>
            <w:tcW w:w="7220" w:type="dxa"/>
            <w:vAlign w:val="bottom"/>
          </w:tcPr>
          <w:p>
            <w:pPr>
              <w:ind w:left="3960"/>
              <w:spacing w:after="0"/>
              <w:rPr>
                <w:sz w:val="20"/>
                <w:szCs w:val="20"/>
                <w:color w:val="auto"/>
              </w:rPr>
            </w:pPr>
            <w:r>
              <w:rPr>
                <w:rFonts w:ascii="Arial" w:cs="Arial" w:eastAsia="Arial" w:hAnsi="Arial"/>
                <w:sz w:val="16"/>
                <w:szCs w:val="16"/>
                <w:b w:val="1"/>
                <w:bCs w:val="1"/>
                <w:color w:val="auto"/>
              </w:rPr>
              <w:t>TABLE OF CONTENTS</w:t>
            </w:r>
          </w:p>
        </w:tc>
        <w:tc>
          <w:tcPr>
            <w:tcW w:w="2340" w:type="dxa"/>
            <w:vAlign w:val="bottom"/>
          </w:tcPr>
          <w:p>
            <w:pPr>
              <w:spacing w:after="0"/>
              <w:rPr>
                <w:sz w:val="17"/>
                <w:szCs w:val="17"/>
                <w:color w:val="auto"/>
              </w:rPr>
            </w:pPr>
          </w:p>
        </w:tc>
      </w:tr>
      <w:tr>
        <w:trPr>
          <w:trHeight w:val="389"/>
        </w:trPr>
        <w:tc>
          <w:tcPr>
            <w:tcW w:w="7220" w:type="dxa"/>
            <w:vAlign w:val="bottom"/>
          </w:tcPr>
          <w:p>
            <w:pPr>
              <w:spacing w:after="0"/>
              <w:rPr>
                <w:sz w:val="20"/>
                <w:szCs w:val="20"/>
                <w:color w:val="auto"/>
              </w:rPr>
            </w:pPr>
            <w:r>
              <w:rPr>
                <w:rFonts w:ascii="Arial" w:cs="Arial" w:eastAsia="Arial" w:hAnsi="Arial"/>
                <w:sz w:val="16"/>
                <w:szCs w:val="16"/>
                <w:color w:val="auto"/>
              </w:rPr>
              <w:t>Tenant Improvement Construction Manual Overview</w:t>
            </w:r>
          </w:p>
        </w:tc>
        <w:tc>
          <w:tcPr>
            <w:tcW w:w="2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Warm Shell Delivery Condition</w:t>
            </w:r>
          </w:p>
        </w:tc>
        <w:tc>
          <w:tcPr>
            <w:tcW w:w="2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Tenant Improvement Construction Logistics &amp; Coordination</w:t>
            </w:r>
          </w:p>
        </w:tc>
        <w:tc>
          <w:tcPr>
            <w:tcW w:w="2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Design References</w:t>
            </w:r>
          </w:p>
        </w:tc>
        <w:tc>
          <w:tcPr>
            <w:tcW w:w="23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Interior Finishes</w:t>
            </w:r>
          </w:p>
        </w:tc>
        <w:tc>
          <w:tcPr>
            <w:tcW w:w="2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Window Treatments</w:t>
            </w:r>
          </w:p>
        </w:tc>
        <w:tc>
          <w:tcPr>
            <w:tcW w:w="2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Lighting Temperature</w:t>
            </w:r>
          </w:p>
        </w:tc>
        <w:tc>
          <w:tcPr>
            <w:tcW w:w="2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Paint Color</w:t>
            </w:r>
          </w:p>
        </w:tc>
        <w:tc>
          <w:tcPr>
            <w:tcW w:w="2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Emergency Evacuation Signage</w:t>
            </w:r>
          </w:p>
        </w:tc>
        <w:tc>
          <w:tcPr>
            <w:tcW w:w="2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Systems &amp; Conditions</w:t>
            </w:r>
          </w:p>
        </w:tc>
        <w:tc>
          <w:tcPr>
            <w:tcW w:w="2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Alterations</w:t>
            </w:r>
          </w:p>
        </w:tc>
        <w:tc>
          <w:tcPr>
            <w:tcW w:w="2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Systems Access</w:t>
            </w:r>
          </w:p>
        </w:tc>
        <w:tc>
          <w:tcPr>
            <w:tcW w:w="2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Tenant Sub-Metering</w:t>
            </w:r>
          </w:p>
        </w:tc>
        <w:tc>
          <w:tcPr>
            <w:tcW w:w="2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Building Management System (BMS)</w:t>
            </w:r>
          </w:p>
        </w:tc>
        <w:tc>
          <w:tcPr>
            <w:tcW w:w="23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Emergency Systems</w:t>
            </w:r>
          </w:p>
        </w:tc>
        <w:tc>
          <w:tcPr>
            <w:tcW w:w="23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Laboratory Waste</w:t>
            </w:r>
          </w:p>
        </w:tc>
        <w:tc>
          <w:tcPr>
            <w:tcW w:w="23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Security Systems</w:t>
            </w:r>
          </w:p>
        </w:tc>
        <w:tc>
          <w:tcPr>
            <w:tcW w:w="23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IDF &amp; Utilities</w:t>
            </w:r>
          </w:p>
        </w:tc>
        <w:tc>
          <w:tcPr>
            <w:tcW w:w="23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Leadership in Energy and Environmental Design (LEED)</w:t>
            </w:r>
          </w:p>
        </w:tc>
        <w:tc>
          <w:tcPr>
            <w:tcW w:w="23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Climate Action Plan</w:t>
            </w:r>
          </w:p>
        </w:tc>
        <w:tc>
          <w:tcPr>
            <w:tcW w:w="23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0"/>
        </w:trPr>
        <w:tc>
          <w:tcPr>
            <w:tcW w:w="7220" w:type="dxa"/>
            <w:vAlign w:val="bottom"/>
          </w:tcPr>
          <w:p>
            <w:pPr>
              <w:spacing w:after="0"/>
              <w:rPr>
                <w:sz w:val="20"/>
                <w:szCs w:val="20"/>
                <w:color w:val="auto"/>
              </w:rPr>
            </w:pPr>
            <w:r>
              <w:rPr>
                <w:rFonts w:ascii="Arial" w:cs="Arial" w:eastAsia="Arial" w:hAnsi="Arial"/>
                <w:sz w:val="16"/>
                <w:szCs w:val="16"/>
                <w:color w:val="auto"/>
              </w:rPr>
              <w:t>Identification Signage</w:t>
            </w:r>
          </w:p>
        </w:tc>
        <w:tc>
          <w:tcPr>
            <w:tcW w:w="23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66"/>
        </w:trPr>
        <w:tc>
          <w:tcPr>
            <w:tcW w:w="7220" w:type="dxa"/>
            <w:vAlign w:val="bottom"/>
          </w:tcPr>
          <w:p>
            <w:pPr>
              <w:ind w:left="3820"/>
              <w:spacing w:after="0"/>
              <w:rPr>
                <w:sz w:val="20"/>
                <w:szCs w:val="20"/>
                <w:color w:val="auto"/>
              </w:rPr>
            </w:pPr>
            <w:r>
              <w:rPr>
                <w:rFonts w:ascii="Arial" w:cs="Arial" w:eastAsia="Arial" w:hAnsi="Arial"/>
                <w:sz w:val="16"/>
                <w:szCs w:val="16"/>
                <w:b w:val="1"/>
                <w:bCs w:val="1"/>
                <w:color w:val="auto"/>
              </w:rPr>
              <w:t>APPENDICES</w:t>
            </w:r>
          </w:p>
        </w:tc>
        <w:tc>
          <w:tcPr>
            <w:tcW w:w="2340" w:type="dxa"/>
            <w:vAlign w:val="bottom"/>
          </w:tcPr>
          <w:p>
            <w:pPr>
              <w:spacing w:after="0"/>
              <w:rPr>
                <w:sz w:val="24"/>
                <w:szCs w:val="24"/>
                <w:color w:val="auto"/>
              </w:rPr>
            </w:pP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The Cove Master Campus Site Plan</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A</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Warm Shell Delivery Condition: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B</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Evacuation Signage Details: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C</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Roof Zone Designations: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D</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Exterior Façade Signage Installation Details: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E</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Generator &amp; Automatic Transfer Switch Description: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F</w:t>
            </w:r>
          </w:p>
        </w:tc>
      </w:tr>
      <w:tr>
        <w:trPr>
          <w:trHeight w:val="200"/>
        </w:trPr>
        <w:tc>
          <w:tcPr>
            <w:tcW w:w="7220" w:type="dxa"/>
            <w:vAlign w:val="bottom"/>
          </w:tcPr>
          <w:p>
            <w:pPr>
              <w:spacing w:after="0"/>
              <w:rPr>
                <w:sz w:val="20"/>
                <w:szCs w:val="20"/>
                <w:color w:val="auto"/>
              </w:rPr>
            </w:pPr>
            <w:r>
              <w:rPr>
                <w:rFonts w:ascii="Arial" w:cs="Arial" w:eastAsia="Arial" w:hAnsi="Arial"/>
                <w:sz w:val="16"/>
                <w:szCs w:val="16"/>
                <w:color w:val="auto"/>
              </w:rPr>
              <w:t>Project Directory: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G</w:t>
            </w:r>
          </w:p>
        </w:tc>
      </w:tr>
    </w:tbl>
    <w:p>
      <w:pPr>
        <w:jc w:val="right"/>
        <w:spacing w:after="0"/>
        <w:rPr>
          <w:sz w:val="20"/>
          <w:szCs w:val="20"/>
          <w:color w:val="auto"/>
        </w:rPr>
        <w:sectPr>
          <w:pgSz w:w="11900" w:h="16838" w:orient="portrait"/>
          <w:cols w:equalWidth="0" w:num="1">
            <w:col w:w="9560"/>
          </w:cols>
          <w:pgMar w:left="1140" w:top="253" w:right="119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bookmarkStart w:id="619" w:name="page620"/>
    <w:bookmarkEnd w:id="619"/>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IMPROVEMENT CONSTRUCTION MANUAL OVERVIEW</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Tenant Improvement (TI) Construction Manual is intended to provide direction to new Tenants and Tenants’ Contractors and Consultants during TI construction at The Cove. It serves as an instructive guide on common building systems, procedures, finishes, and campus design and construction requirements.</w:t>
      </w:r>
    </w:p>
    <w:p>
      <w:pPr>
        <w:spacing w:after="0" w:line="166" w:lineRule="exact"/>
        <w:rPr>
          <w:sz w:val="20"/>
          <w:szCs w:val="20"/>
          <w:color w:val="auto"/>
        </w:rPr>
      </w:pPr>
    </w:p>
    <w:p>
      <w:pPr>
        <w:jc w:val="both"/>
        <w:ind w:right="280"/>
        <w:spacing w:after="0" w:line="256" w:lineRule="auto"/>
        <w:rPr>
          <w:sz w:val="20"/>
          <w:szCs w:val="20"/>
          <w:color w:val="auto"/>
        </w:rPr>
      </w:pPr>
      <w:r>
        <w:rPr>
          <w:rFonts w:ascii="Arial" w:cs="Arial" w:eastAsia="Arial" w:hAnsi="Arial"/>
          <w:sz w:val="16"/>
          <w:szCs w:val="16"/>
          <w:color w:val="auto"/>
        </w:rPr>
        <w:t>While every reasonable care has been taken in preparing the information contained in this guide, neither HCP, Inc. nor its appointed consultants are responsible for any inaccuracy or change and any loss or damage (whether direct or consequential) arising therefrom. All information is subject to change as may be approved or required by relevant jurisdictional authorities.</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If there are conflicts between the Lease and its other Exhibits, including the Workletter, and the TI Manual, the Lease and its other Exhibits supersede the TI Manual in all cases.</w:t>
      </w:r>
    </w:p>
    <w:p>
      <w:pPr>
        <w:sectPr>
          <w:pgSz w:w="11900" w:h="16838" w:orient="portrait"/>
          <w:cols w:equalWidth="0" w:num="1">
            <w:col w:w="9540"/>
          </w:cols>
          <w:pgMar w:left="1140" w:top="253" w:right="1219" w:bottom="1440" w:gutter="0" w:footer="0" w:header="0"/>
        </w:sectPr>
      </w:pPr>
    </w:p>
    <w:bookmarkStart w:id="620" w:name="page621"/>
    <w:bookmarkEnd w:id="620"/>
    <w:p>
      <w:pPr>
        <w:ind w:left="2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BASE BUILDING WARM SHELL DELIVERY CONDITION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Refer to Appendix B for Landlord delivery conditions and Tenant responsibilities.</w:t>
      </w:r>
    </w:p>
    <w:p>
      <w:pPr>
        <w:sectPr>
          <w:pgSz w:w="11900" w:h="16838" w:orient="portrait"/>
          <w:cols w:equalWidth="0" w:num="1">
            <w:col w:w="9319"/>
          </w:cols>
          <w:pgMar w:left="1140" w:top="253" w:right="1440" w:bottom="1440" w:gutter="0" w:footer="0" w:header="0"/>
        </w:sectPr>
      </w:pPr>
    </w:p>
    <w:bookmarkStart w:id="621" w:name="page622"/>
    <w:bookmarkEnd w:id="621"/>
    <w:p>
      <w:pPr>
        <w:jc w:val="center"/>
        <w:ind w:right="-1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90170</wp:posOffset>
            </wp:positionV>
            <wp:extent cx="7190105" cy="3492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IMPROVEMENT CONSTRUCTION LOGISTICS &amp; COORDINATION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 LABOR REQUIREMENTS</w:t>
      </w:r>
    </w:p>
    <w:p>
      <w:pPr>
        <w:spacing w:after="0" w:line="99" w:lineRule="exact"/>
        <w:rPr>
          <w:sz w:val="20"/>
          <w:szCs w:val="20"/>
          <w:color w:val="auto"/>
        </w:rPr>
      </w:pPr>
    </w:p>
    <w:p>
      <w:pPr>
        <w:ind w:left="380" w:right="100"/>
        <w:spacing w:after="0" w:line="266" w:lineRule="auto"/>
        <w:rPr>
          <w:sz w:val="20"/>
          <w:szCs w:val="20"/>
          <w:color w:val="auto"/>
        </w:rPr>
      </w:pPr>
      <w:r>
        <w:rPr>
          <w:rFonts w:ascii="Arial" w:cs="Arial" w:eastAsia="Arial" w:hAnsi="Arial"/>
          <w:sz w:val="16"/>
          <w:szCs w:val="16"/>
          <w:color w:val="auto"/>
        </w:rPr>
        <w:t>All labor working on TI projects at The Cove must be unionized. Contracts with non-union labor forces will not be permitted during any active Landlord construction of any portion of the campus.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 CONSTRUCTION SITE SAFETY</w:t>
      </w:r>
    </w:p>
    <w:p>
      <w:pPr>
        <w:spacing w:after="0" w:line="99" w:lineRule="exact"/>
        <w:rPr>
          <w:sz w:val="20"/>
          <w:szCs w:val="20"/>
          <w:color w:val="auto"/>
        </w:rPr>
      </w:pPr>
    </w:p>
    <w:p>
      <w:pPr>
        <w:ind w:left="380"/>
        <w:spacing w:after="0" w:line="266" w:lineRule="auto"/>
        <w:rPr>
          <w:sz w:val="20"/>
          <w:szCs w:val="20"/>
          <w:color w:val="auto"/>
        </w:rPr>
      </w:pPr>
      <w:r>
        <w:rPr>
          <w:rFonts w:ascii="Arial" w:cs="Arial" w:eastAsia="Arial" w:hAnsi="Arial"/>
          <w:sz w:val="16"/>
          <w:szCs w:val="16"/>
          <w:color w:val="auto"/>
        </w:rPr>
        <w:t>All TI construction personnel are required to take a base building and site safety orientation through the base building General Contractor during any active Landlord construction of any portion of the campus.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 CONSTRUCTION LOGISTICS</w:t>
      </w:r>
    </w:p>
    <w:p>
      <w:pPr>
        <w:spacing w:after="0" w:line="99" w:lineRule="exact"/>
        <w:rPr>
          <w:sz w:val="20"/>
          <w:szCs w:val="20"/>
          <w:color w:val="auto"/>
        </w:rPr>
      </w:pPr>
    </w:p>
    <w:p>
      <w:pPr>
        <w:ind w:left="380" w:right="60"/>
        <w:spacing w:after="0" w:line="281" w:lineRule="auto"/>
        <w:rPr>
          <w:sz w:val="20"/>
          <w:szCs w:val="20"/>
          <w:color w:val="auto"/>
        </w:rPr>
      </w:pPr>
      <w:r>
        <w:rPr>
          <w:rFonts w:ascii="Arial" w:cs="Arial" w:eastAsia="Arial" w:hAnsi="Arial"/>
          <w:sz w:val="15"/>
          <w:szCs w:val="15"/>
          <w:color w:val="auto"/>
        </w:rPr>
        <w:t>If any portion of TI construction coincides with any portion of the base building construction, the TI Contractor shall coordinate with the base building Contractor regarding construction logistics, including but not limited to: use of elevator, use of man lift and operator during concurrent building construction, parking, removal of debris, insurance requirements, TCRs, and site safety.</w:t>
      </w:r>
    </w:p>
    <w:p>
      <w:pPr>
        <w:sectPr>
          <w:pgSz w:w="11900" w:h="16838" w:orient="portrait"/>
          <w:cols w:equalWidth="0" w:num="1">
            <w:col w:w="9480"/>
          </w:cols>
          <w:pgMar w:left="1140" w:top="253" w:right="1279" w:bottom="1440" w:gutter="0" w:footer="0" w:header="0"/>
        </w:sectPr>
      </w:pPr>
    </w:p>
    <w:bookmarkStart w:id="622" w:name="page623"/>
    <w:bookmarkEnd w:id="622"/>
    <w:p>
      <w:pPr>
        <w:jc w:val="center"/>
        <w:ind w:right="-2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DESIGN REFERENCES</w:t>
      </w:r>
    </w:p>
    <w:p>
      <w:pPr>
        <w:spacing w:after="0" w:line="197" w:lineRule="exact"/>
        <w:rPr>
          <w:sz w:val="20"/>
          <w:szCs w:val="20"/>
          <w:color w:val="auto"/>
        </w:rPr>
      </w:pPr>
    </w:p>
    <w:p>
      <w:pPr>
        <w:ind w:left="6" w:right="6320" w:hanging="6"/>
        <w:spacing w:after="0" w:line="369" w:lineRule="auto"/>
        <w:tabs>
          <w:tab w:leader="none" w:pos="163" w:val="left"/>
        </w:tabs>
        <w:numPr>
          <w:ilvl w:val="0"/>
          <w:numId w:val="48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AS-BUILT DRAWINGS AND 3D BIM MODEL </w:t>
      </w:r>
      <w:r>
        <w:rPr>
          <w:rFonts w:ascii="Arial" w:cs="Arial" w:eastAsia="Arial" w:hAnsi="Arial"/>
          <w:sz w:val="16"/>
          <w:szCs w:val="16"/>
          <w:color w:val="auto"/>
        </w:rPr>
        <w:t>Resources:</w:t>
      </w:r>
    </w:p>
    <w:p>
      <w:pPr>
        <w:ind w:left="6"/>
        <w:spacing w:after="0" w:line="256" w:lineRule="auto"/>
        <w:rPr>
          <w:sz w:val="20"/>
          <w:szCs w:val="20"/>
          <w:color w:val="auto"/>
        </w:rPr>
      </w:pPr>
      <w:r>
        <w:rPr>
          <w:rFonts w:ascii="Arial" w:cs="Arial" w:eastAsia="Arial" w:hAnsi="Arial"/>
          <w:sz w:val="16"/>
          <w:szCs w:val="16"/>
          <w:color w:val="auto"/>
        </w:rPr>
        <w:t>As-built drawings and a 3D BIM model of the base building will be provided by the Landlord. The as-built drawings consist of Architectural, Structural, Mechanical, Electrical, Plumbing, and Civil Drawings for the shell. In situations where there is a conflict between 2D Drawings and the 3D model, the 3D model governs.</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List of Reference Documents:</w:t>
      </w:r>
    </w:p>
    <w:p>
      <w:pPr>
        <w:spacing w:after="0" w:line="111" w:lineRule="exact"/>
        <w:rPr>
          <w:sz w:val="20"/>
          <w:szCs w:val="20"/>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General Information</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Architectural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Structural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Mechanical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Electrical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Plumbing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Building Maintenance Drawings (EBM)</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Civil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Corrosion Control</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Landscape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Security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Project Manual</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Basis of Design (BOD) for Shell Mechanical, Electrical, Plumbing, and Fire Protection</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Master Signage Program</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Base Building ERRCS (DAS) Drawings</w:t>
      </w:r>
    </w:p>
    <w:p>
      <w:pPr>
        <w:sectPr>
          <w:pgSz w:w="11900" w:h="16838" w:orient="portrait"/>
          <w:cols w:equalWidth="0" w:num="1">
            <w:col w:w="9606"/>
          </w:cols>
          <w:pgMar w:left="1134" w:top="252" w:right="1159" w:bottom="1440" w:gutter="0" w:footer="0" w:header="0"/>
        </w:sectPr>
      </w:pPr>
    </w:p>
    <w:bookmarkStart w:id="623" w:name="page624"/>
    <w:bookmarkEnd w:id="623"/>
    <w:p>
      <w:pPr>
        <w:jc w:val="center"/>
        <w:ind w:right="-14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INTERIOR FINISHES</w:t>
      </w:r>
    </w:p>
    <w:p>
      <w:pPr>
        <w:spacing w:after="0" w:line="197" w:lineRule="exact"/>
        <w:rPr>
          <w:sz w:val="20"/>
          <w:szCs w:val="20"/>
          <w:color w:val="auto"/>
        </w:rPr>
      </w:pPr>
    </w:p>
    <w:p>
      <w:pPr>
        <w:ind w:left="6" w:right="7560" w:hanging="6"/>
        <w:spacing w:after="0" w:line="393" w:lineRule="auto"/>
        <w:tabs>
          <w:tab w:leader="none" w:pos="163" w:val="left"/>
        </w:tabs>
        <w:numPr>
          <w:ilvl w:val="0"/>
          <w:numId w:val="48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WINDOW TREATMENTS </w:t>
      </w:r>
      <w:r>
        <w:rPr>
          <w:rFonts w:ascii="Arial" w:cs="Arial" w:eastAsia="Arial" w:hAnsi="Arial"/>
          <w:sz w:val="15"/>
          <w:szCs w:val="15"/>
          <w:color w:val="auto"/>
        </w:rPr>
        <w:t>1a. Window Shades</w:t>
      </w:r>
    </w:p>
    <w:p>
      <w:pPr>
        <w:spacing w:after="0" w:line="1"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Window shades shall be chain operated and consist of a roller, brackets to support the roller, a flexible fabric carried by the roller, a means of attaching the material to the roller, a bottom bar, and a chain operator to lift and lower the shade. Refer to Appendix G for the window shade manufacturer’s contact information.</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Window shade and associated soffit suspension details are provided in Figures 1-4 below:</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Fig. 1: Condition 1a: TI ceiling elevation matches exterior window mullion elevation – Single Shade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145415</wp:posOffset>
            </wp:positionV>
            <wp:extent cx="4065270" cy="29419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065270" cy="2941955"/>
                    </a:xfrm>
                    <a:prstGeom prst="rect">
                      <a:avLst/>
                    </a:prstGeom>
                    <a:noFill/>
                  </pic:spPr>
                </pic:pic>
              </a:graphicData>
            </a:graphic>
          </wp:anchor>
        </w:drawing>
      </w:r>
    </w:p>
    <w:p>
      <w:pPr>
        <w:sectPr>
          <w:pgSz w:w="11900" w:h="16838" w:orient="portrait"/>
          <w:cols w:equalWidth="0" w:num="1">
            <w:col w:w="9466"/>
          </w:cols>
          <w:pgMar w:left="1134" w:top="252" w:right="1299" w:bottom="1440" w:gutter="0" w:footer="0" w:header="0"/>
        </w:sectPr>
      </w:pPr>
    </w:p>
    <w:bookmarkStart w:id="624" w:name="page625"/>
    <w:bookmarkEnd w:id="624"/>
    <w:p>
      <w:pPr>
        <w:ind w:left="8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Fig. 2: Condition 1b: TI ceiling elevation matches exterior window mullion elevation – Double Shade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167640</wp:posOffset>
            </wp:positionV>
            <wp:extent cx="3997960" cy="28524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997960" cy="285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Fig. 3: Condition 2: TI ceiling elevation does not match exterior window mullion elevation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146050</wp:posOffset>
            </wp:positionV>
            <wp:extent cx="4132580" cy="26879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4132580" cy="268795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625" w:name="page626"/>
    <w:bookmarkEnd w:id="625"/>
    <w:p>
      <w:pPr>
        <w:ind w:left="8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90105" cy="34290"/>
                    </a:xfrm>
                    <a:prstGeom prst="rect">
                      <a:avLst/>
                    </a:prstGeom>
                    <a:noFill/>
                  </pic:spPr>
                </pic:pic>
              </a:graphicData>
            </a:graphic>
          </wp:anchor>
        </w:drawing>
        <w:t>Fig. 4: Soffit Suspension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145415</wp:posOffset>
            </wp:positionV>
            <wp:extent cx="4087495" cy="363093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087495" cy="363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Window Shade Specifications</w:t>
      </w:r>
    </w:p>
    <w:p>
      <w:pPr>
        <w:spacing w:after="0" w:line="111" w:lineRule="exact"/>
        <w:rPr>
          <w:sz w:val="20"/>
          <w:szCs w:val="20"/>
          <w:color w:val="auto"/>
        </w:rPr>
      </w:pPr>
    </w:p>
    <w:p>
      <w:pPr>
        <w:ind w:left="540" w:hanging="375"/>
        <w:spacing w:after="0"/>
        <w:tabs>
          <w:tab w:leader="none" w:pos="5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Screening Fabric – Sheer Weave 4903</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Style: SW 700</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Color: V28 Slate</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Material Openness Factor: 3%</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Material UV Blockage: 97%</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Please see attached details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color w:val="auto"/>
        </w:rPr>
        <w:t>Window Blackout Shade Specifications:</w:t>
      </w:r>
    </w:p>
    <w:p>
      <w:pPr>
        <w:spacing w:after="0" w:line="111" w:lineRule="exact"/>
        <w:rPr>
          <w:sz w:val="20"/>
          <w:szCs w:val="20"/>
          <w:color w:val="auto"/>
        </w:rPr>
      </w:pPr>
    </w:p>
    <w:p>
      <w:pPr>
        <w:ind w:left="540" w:hanging="375"/>
        <w:spacing w:after="0"/>
        <w:tabs>
          <w:tab w:leader="none" w:pos="54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Blackout Fabric – Sheer Weave 7000 pvc free</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Style: SW 700</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Colors: V40 Onyx (color side facing windows)</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Black Out outboard of sheer fabric</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color w:val="auto"/>
        </w:rPr>
        <w:t>1b. Window Film</w:t>
      </w:r>
    </w:p>
    <w:p>
      <w:pPr>
        <w:spacing w:after="0" w:line="99" w:lineRule="exact"/>
        <w:rPr>
          <w:sz w:val="20"/>
          <w:szCs w:val="20"/>
          <w:color w:val="auto"/>
        </w:rPr>
      </w:pPr>
    </w:p>
    <w:p>
      <w:pPr>
        <w:ind w:left="180"/>
        <w:spacing w:after="0" w:line="266" w:lineRule="auto"/>
        <w:rPr>
          <w:sz w:val="20"/>
          <w:szCs w:val="20"/>
          <w:color w:val="auto"/>
        </w:rPr>
      </w:pPr>
      <w:r>
        <w:rPr>
          <w:rFonts w:ascii="Arial" w:cs="Arial" w:eastAsia="Arial" w:hAnsi="Arial"/>
          <w:sz w:val="16"/>
          <w:szCs w:val="16"/>
          <w:color w:val="auto"/>
        </w:rPr>
        <w:t>Window film as specified below is required where any casework, fixed furniture, new walls, or other solid objects will be located against the window. Refer to Appendix G for the window film manufacturer’s contact information:</w:t>
      </w:r>
    </w:p>
    <w:p>
      <w:pPr>
        <w:sectPr>
          <w:pgSz w:w="11900" w:h="16838" w:orient="portrait"/>
          <w:cols w:equalWidth="0" w:num="1">
            <w:col w:w="9020"/>
          </w:cols>
          <w:pgMar w:left="1440" w:top="256" w:right="1439" w:bottom="1440" w:gutter="0" w:footer="0" w:header="0"/>
        </w:sectPr>
      </w:pPr>
    </w:p>
    <w:bookmarkStart w:id="626" w:name="page627"/>
    <w:bookmarkEnd w:id="626"/>
    <w:p>
      <w:pPr>
        <w:ind w:left="48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Window Film Specifications:</w:t>
      </w:r>
    </w:p>
    <w:p>
      <w:pPr>
        <w:spacing w:after="0" w:line="111" w:lineRule="exact"/>
        <w:rPr>
          <w:sz w:val="20"/>
          <w:szCs w:val="20"/>
          <w:color w:val="auto"/>
        </w:rPr>
      </w:pPr>
    </w:p>
    <w:p>
      <w:pPr>
        <w:ind w:left="1246" w:hanging="291"/>
        <w:spacing w:after="0"/>
        <w:tabs>
          <w:tab w:leader="none" w:pos="1246" w:val="left"/>
        </w:tabs>
        <w:numPr>
          <w:ilvl w:val="1"/>
          <w:numId w:val="485"/>
        </w:numPr>
        <w:rPr>
          <w:rFonts w:ascii="Arial" w:cs="Arial" w:eastAsia="Arial" w:hAnsi="Arial"/>
          <w:sz w:val="16"/>
          <w:szCs w:val="16"/>
          <w:color w:val="auto"/>
        </w:rPr>
      </w:pPr>
      <w:r>
        <w:rPr>
          <w:rFonts w:ascii="Arial" w:cs="Arial" w:eastAsia="Arial" w:hAnsi="Arial"/>
          <w:sz w:val="16"/>
          <w:szCs w:val="16"/>
          <w:color w:val="auto"/>
        </w:rPr>
        <w:t>Window Works Custom Film: The Gray Lady 03-631</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485"/>
        </w:numPr>
        <w:rPr>
          <w:rFonts w:ascii="Arial" w:cs="Arial" w:eastAsia="Arial" w:hAnsi="Arial"/>
          <w:sz w:val="16"/>
          <w:szCs w:val="16"/>
          <w:color w:val="auto"/>
        </w:rPr>
      </w:pPr>
      <w:r>
        <w:rPr>
          <w:rFonts w:ascii="Arial" w:cs="Arial" w:eastAsia="Arial" w:hAnsi="Arial"/>
          <w:sz w:val="16"/>
          <w:szCs w:val="16"/>
          <w:color w:val="auto"/>
        </w:rPr>
        <w:t>Underlay Custom Film with clear 4 mil Anti-Graffiti film</w:t>
      </w:r>
    </w:p>
    <w:p>
      <w:pPr>
        <w:spacing w:after="0" w:line="193" w:lineRule="exact"/>
        <w:rPr>
          <w:rFonts w:ascii="Arial" w:cs="Arial" w:eastAsia="Arial" w:hAnsi="Arial"/>
          <w:sz w:val="16"/>
          <w:szCs w:val="16"/>
          <w:color w:val="auto"/>
        </w:rPr>
      </w:pPr>
    </w:p>
    <w:p>
      <w:pPr>
        <w:ind w:left="166" w:hanging="166"/>
        <w:spacing w:after="0"/>
        <w:tabs>
          <w:tab w:leader="none" w:pos="166" w:val="left"/>
        </w:tabs>
        <w:numPr>
          <w:ilvl w:val="0"/>
          <w:numId w:val="48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LIGHTING TEMPERATURE</w:t>
      </w:r>
    </w:p>
    <w:p>
      <w:pPr>
        <w:spacing w:after="0" w:line="99" w:lineRule="exact"/>
        <w:rPr>
          <w:sz w:val="20"/>
          <w:szCs w:val="20"/>
          <w:color w:val="auto"/>
        </w:rPr>
      </w:pPr>
    </w:p>
    <w:p>
      <w:pPr>
        <w:ind w:left="386"/>
        <w:spacing w:after="0" w:line="266" w:lineRule="auto"/>
        <w:rPr>
          <w:sz w:val="20"/>
          <w:szCs w:val="20"/>
          <w:color w:val="auto"/>
        </w:rPr>
      </w:pPr>
      <w:r>
        <w:rPr>
          <w:rFonts w:ascii="Arial" w:cs="Arial" w:eastAsia="Arial" w:hAnsi="Arial"/>
          <w:sz w:val="16"/>
          <w:szCs w:val="16"/>
          <w:color w:val="auto"/>
        </w:rPr>
        <w:t>Lighting temperature shall remain between 3500 K and 4000 K for all interior Tenant spaces, unless alternate direction is given and/or approved by the Landlord.</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3. PAINT COLOR</w:t>
      </w:r>
    </w:p>
    <w:p>
      <w:pPr>
        <w:spacing w:after="0" w:line="99" w:lineRule="exact"/>
        <w:rPr>
          <w:sz w:val="20"/>
          <w:szCs w:val="20"/>
          <w:color w:val="auto"/>
        </w:rPr>
      </w:pPr>
    </w:p>
    <w:p>
      <w:pPr>
        <w:ind w:left="386" w:right="80"/>
        <w:spacing w:after="0" w:line="266" w:lineRule="auto"/>
        <w:rPr>
          <w:sz w:val="20"/>
          <w:szCs w:val="20"/>
          <w:color w:val="auto"/>
        </w:rPr>
      </w:pPr>
      <w:r>
        <w:rPr>
          <w:rFonts w:ascii="Arial" w:cs="Arial" w:eastAsia="Arial" w:hAnsi="Arial"/>
          <w:sz w:val="16"/>
          <w:szCs w:val="16"/>
          <w:color w:val="auto"/>
        </w:rPr>
        <w:t>All fixed Tenant improvements, including but not limited to braced frames, columns, partitions, etc., within 2 feet of exterior windows shall be painted Dunn Edwards DE6368 Walrus.</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4. EMERGENCY EVACUATION SIGNAGE</w:t>
      </w:r>
    </w:p>
    <w:p>
      <w:pPr>
        <w:spacing w:after="0" w:line="99" w:lineRule="exact"/>
        <w:rPr>
          <w:sz w:val="20"/>
          <w:szCs w:val="20"/>
          <w:color w:val="auto"/>
        </w:rPr>
      </w:pPr>
    </w:p>
    <w:p>
      <w:pPr>
        <w:ind w:left="386"/>
        <w:spacing w:after="0"/>
        <w:rPr>
          <w:sz w:val="20"/>
          <w:szCs w:val="20"/>
          <w:color w:val="auto"/>
        </w:rPr>
      </w:pPr>
      <w:r>
        <w:rPr>
          <w:rFonts w:ascii="Arial" w:cs="Arial" w:eastAsia="Arial" w:hAnsi="Arial"/>
          <w:sz w:val="16"/>
          <w:szCs w:val="16"/>
          <w:color w:val="auto"/>
        </w:rPr>
        <w:t>Emergency evacuation signs shall meet building standards. Refer to Appendix C for details.</w:t>
      </w:r>
    </w:p>
    <w:p>
      <w:pPr>
        <w:sectPr>
          <w:pgSz w:w="11900" w:h="16838" w:orient="portrait"/>
          <w:cols w:equalWidth="0" w:num="1">
            <w:col w:w="9446"/>
          </w:cols>
          <w:pgMar w:left="1134" w:top="256" w:right="1319" w:bottom="1440" w:gutter="0" w:footer="0" w:header="0"/>
        </w:sectPr>
      </w:pPr>
    </w:p>
    <w:bookmarkStart w:id="627" w:name="page628"/>
    <w:bookmarkEnd w:id="627"/>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BASE BUILDING SYSTEMS &amp; CONDITIONS</w:t>
      </w:r>
    </w:p>
    <w:p>
      <w:pPr>
        <w:spacing w:after="0" w:line="197" w:lineRule="exact"/>
        <w:rPr>
          <w:sz w:val="20"/>
          <w:szCs w:val="20"/>
          <w:color w:val="auto"/>
        </w:rPr>
      </w:pPr>
    </w:p>
    <w:p>
      <w:pPr>
        <w:ind w:left="166" w:hanging="166"/>
        <w:spacing w:after="0"/>
        <w:tabs>
          <w:tab w:leader="none" w:pos="166" w:val="left"/>
        </w:tabs>
        <w:numPr>
          <w:ilvl w:val="0"/>
          <w:numId w:val="48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BASE BUILDING ALTERATIONS</w:t>
      </w:r>
    </w:p>
    <w:p>
      <w:pPr>
        <w:spacing w:after="0" w:line="94" w:lineRule="exact"/>
        <w:rPr>
          <w:rFonts w:ascii="Arial" w:cs="Arial" w:eastAsia="Arial" w:hAnsi="Arial"/>
          <w:sz w:val="16"/>
          <w:szCs w:val="16"/>
          <w:u w:val="single" w:color="auto"/>
          <w:color w:val="auto"/>
        </w:rPr>
      </w:pPr>
    </w:p>
    <w:p>
      <w:pPr>
        <w:ind w:left="6"/>
        <w:spacing w:after="0"/>
        <w:rPr>
          <w:rFonts w:ascii="Arial" w:cs="Arial" w:eastAsia="Arial" w:hAnsi="Arial"/>
          <w:sz w:val="16"/>
          <w:szCs w:val="16"/>
          <w:u w:val="single" w:color="auto"/>
          <w:color w:val="auto"/>
        </w:rPr>
      </w:pPr>
      <w:r>
        <w:rPr>
          <w:rFonts w:ascii="Arial" w:cs="Arial" w:eastAsia="Arial" w:hAnsi="Arial"/>
          <w:sz w:val="16"/>
          <w:szCs w:val="16"/>
          <w:color w:val="auto"/>
        </w:rPr>
        <w:t>1a. Landlord Approval</w:t>
      </w:r>
      <w:r>
        <w:rPr>
          <w:rFonts w:ascii="Arial" w:cs="Arial" w:eastAsia="Arial" w:hAnsi="Arial"/>
          <w:sz w:val="16"/>
          <w:szCs w:val="16"/>
          <w:b w:val="1"/>
          <w:bCs w:val="1"/>
          <w:color w:val="auto"/>
        </w:rPr>
        <w:t>:</w:t>
      </w:r>
    </w:p>
    <w:p>
      <w:pPr>
        <w:spacing w:after="0" w:line="102" w:lineRule="exact"/>
        <w:rPr>
          <w:rFonts w:ascii="Arial" w:cs="Arial" w:eastAsia="Arial" w:hAnsi="Arial"/>
          <w:sz w:val="16"/>
          <w:szCs w:val="16"/>
          <w:u w:val="single" w:color="auto"/>
          <w:color w:val="auto"/>
        </w:rPr>
      </w:pPr>
    </w:p>
    <w:p>
      <w:pPr>
        <w:ind w:left="386"/>
        <w:spacing w:after="0"/>
        <w:rPr>
          <w:rFonts w:ascii="Arial" w:cs="Arial" w:eastAsia="Arial" w:hAnsi="Arial"/>
          <w:sz w:val="16"/>
          <w:szCs w:val="16"/>
          <w:u w:val="single" w:color="auto"/>
          <w:color w:val="auto"/>
        </w:rPr>
      </w:pPr>
      <w:r>
        <w:rPr>
          <w:rFonts w:ascii="Arial" w:cs="Arial" w:eastAsia="Arial" w:hAnsi="Arial"/>
          <w:sz w:val="16"/>
          <w:szCs w:val="16"/>
          <w:color w:val="auto"/>
        </w:rPr>
        <w:t>Any base building alterations resulting from TI design and construction require written Landlord approval.</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1b. Structural Modifications:</w:t>
      </w:r>
    </w:p>
    <w:p>
      <w:pPr>
        <w:spacing w:after="0" w:line="99" w:lineRule="exact"/>
        <w:rPr>
          <w:sz w:val="20"/>
          <w:szCs w:val="20"/>
          <w:color w:val="auto"/>
        </w:rPr>
      </w:pPr>
    </w:p>
    <w:p>
      <w:pPr>
        <w:ind w:left="386" w:right="160"/>
        <w:spacing w:after="0" w:line="266" w:lineRule="auto"/>
        <w:rPr>
          <w:sz w:val="20"/>
          <w:szCs w:val="20"/>
          <w:color w:val="auto"/>
        </w:rPr>
      </w:pPr>
      <w:r>
        <w:rPr>
          <w:rFonts w:ascii="Arial" w:cs="Arial" w:eastAsia="Arial" w:hAnsi="Arial"/>
          <w:sz w:val="16"/>
          <w:szCs w:val="16"/>
          <w:color w:val="auto"/>
        </w:rPr>
        <w:t>Any structural modifications to the base building are a Tenant cost and responsibility. Structural modifications to the base building are subject to review from the shell structural engineering team at the Tenant’s cost.</w:t>
      </w:r>
    </w:p>
    <w:p>
      <w:pPr>
        <w:spacing w:after="0" w:line="64" w:lineRule="exact"/>
        <w:rPr>
          <w:sz w:val="20"/>
          <w:szCs w:val="20"/>
          <w:color w:val="auto"/>
        </w:rPr>
      </w:pPr>
    </w:p>
    <w:p>
      <w:pPr>
        <w:ind w:left="386" w:right="160"/>
        <w:spacing w:after="0" w:line="266" w:lineRule="auto"/>
        <w:rPr>
          <w:sz w:val="20"/>
          <w:szCs w:val="20"/>
          <w:color w:val="auto"/>
        </w:rPr>
      </w:pPr>
      <w:r>
        <w:rPr>
          <w:rFonts w:ascii="Arial" w:cs="Arial" w:eastAsia="Arial" w:hAnsi="Arial"/>
          <w:sz w:val="16"/>
          <w:szCs w:val="16"/>
          <w:color w:val="auto"/>
        </w:rPr>
        <w:t>In the event that structural modifications to the base building are needed as part of the TI build-out, including but not limited to alterations to the slab and structural reinforcement, the following process will be observed:</w:t>
      </w:r>
    </w:p>
    <w:p>
      <w:pPr>
        <w:spacing w:after="0" w:line="76" w:lineRule="exact"/>
        <w:rPr>
          <w:sz w:val="20"/>
          <w:szCs w:val="20"/>
          <w:color w:val="auto"/>
        </w:rPr>
      </w:pPr>
    </w:p>
    <w:p>
      <w:pPr>
        <w:ind w:left="846" w:hanging="469"/>
        <w:spacing w:after="0"/>
        <w:tabs>
          <w:tab w:leader="none" w:pos="846"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TI Structural Engineer will propose design and modifications to existing structure.</w:t>
      </w:r>
    </w:p>
    <w:p>
      <w:pPr>
        <w:spacing w:after="0" w:line="110" w:lineRule="exact"/>
        <w:rPr>
          <w:rFonts w:ascii="Arial" w:cs="Arial" w:eastAsia="Arial" w:hAnsi="Arial"/>
          <w:sz w:val="16"/>
          <w:szCs w:val="16"/>
          <w:color w:val="auto"/>
        </w:rPr>
      </w:pPr>
    </w:p>
    <w:p>
      <w:pPr>
        <w:ind w:left="846" w:hanging="469"/>
        <w:spacing w:after="0"/>
        <w:tabs>
          <w:tab w:leader="none" w:pos="846" w:val="left"/>
        </w:tabs>
        <w:numPr>
          <w:ilvl w:val="0"/>
          <w:numId w:val="487"/>
        </w:numPr>
        <w:rPr>
          <w:rFonts w:ascii="Arial" w:cs="Arial" w:eastAsia="Arial" w:hAnsi="Arial"/>
          <w:sz w:val="15"/>
          <w:szCs w:val="15"/>
          <w:color w:val="auto"/>
        </w:rPr>
      </w:pPr>
      <w:r>
        <w:rPr>
          <w:rFonts w:ascii="Arial" w:cs="Arial" w:eastAsia="Arial" w:hAnsi="Arial"/>
          <w:sz w:val="15"/>
          <w:szCs w:val="15"/>
          <w:color w:val="auto"/>
        </w:rPr>
        <w:t>TI Structural Engineer will provide Landlord with all necessary signed and sealed drawings and calculations required for review.</w:t>
      </w:r>
    </w:p>
    <w:p>
      <w:pPr>
        <w:spacing w:after="0" w:line="122" w:lineRule="exact"/>
        <w:rPr>
          <w:rFonts w:ascii="Arial" w:cs="Arial" w:eastAsia="Arial" w:hAnsi="Arial"/>
          <w:sz w:val="15"/>
          <w:szCs w:val="15"/>
          <w:color w:val="auto"/>
        </w:rPr>
      </w:pPr>
    </w:p>
    <w:p>
      <w:pPr>
        <w:ind w:left="846" w:hanging="469"/>
        <w:spacing w:after="0"/>
        <w:tabs>
          <w:tab w:leader="none" w:pos="846"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TI Structural design and modifications will be sent to base building Structural Engineer for review and approval.</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487"/>
        </w:numPr>
        <w:rPr>
          <w:rFonts w:ascii="Arial" w:cs="Arial" w:eastAsia="Arial" w:hAnsi="Arial"/>
          <w:sz w:val="16"/>
          <w:szCs w:val="16"/>
          <w:color w:val="auto"/>
        </w:rPr>
      </w:pPr>
      <w:r>
        <w:rPr>
          <w:rFonts w:ascii="Arial" w:cs="Arial" w:eastAsia="Arial" w:hAnsi="Arial"/>
          <w:sz w:val="16"/>
          <w:szCs w:val="16"/>
          <w:color w:val="auto"/>
        </w:rPr>
        <w:t>Base building Structural Engineer review rates are as follows:</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487"/>
        </w:numPr>
        <w:rPr>
          <w:rFonts w:ascii="Arial" w:cs="Arial" w:eastAsia="Arial" w:hAnsi="Arial"/>
          <w:sz w:val="16"/>
          <w:szCs w:val="16"/>
          <w:color w:val="auto"/>
        </w:rPr>
      </w:pPr>
      <w:r>
        <w:rPr>
          <w:rFonts w:ascii="Arial" w:cs="Arial" w:eastAsia="Arial" w:hAnsi="Arial"/>
          <w:sz w:val="16"/>
          <w:szCs w:val="16"/>
          <w:color w:val="auto"/>
        </w:rPr>
        <w:t>Engineering time: $155-160/hr.</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487"/>
        </w:numPr>
        <w:rPr>
          <w:rFonts w:ascii="Arial" w:cs="Arial" w:eastAsia="Arial" w:hAnsi="Arial"/>
          <w:sz w:val="16"/>
          <w:szCs w:val="16"/>
          <w:color w:val="auto"/>
        </w:rPr>
      </w:pPr>
      <w:r>
        <w:rPr>
          <w:rFonts w:ascii="Arial" w:cs="Arial" w:eastAsia="Arial" w:hAnsi="Arial"/>
          <w:sz w:val="16"/>
          <w:szCs w:val="16"/>
          <w:color w:val="auto"/>
        </w:rPr>
        <w:t>Management time: $180/hr.</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487"/>
        </w:numPr>
        <w:rPr>
          <w:rFonts w:ascii="Arial" w:cs="Arial" w:eastAsia="Arial" w:hAnsi="Arial"/>
          <w:sz w:val="16"/>
          <w:szCs w:val="16"/>
          <w:color w:val="auto"/>
        </w:rPr>
      </w:pPr>
      <w:r>
        <w:rPr>
          <w:rFonts w:ascii="Arial" w:cs="Arial" w:eastAsia="Arial" w:hAnsi="Arial"/>
          <w:sz w:val="16"/>
          <w:szCs w:val="16"/>
          <w:color w:val="auto"/>
        </w:rPr>
        <w:t>Base building Structural Engineer review turnaround time will generally be one week.</w:t>
      </w:r>
    </w:p>
    <w:p>
      <w:pPr>
        <w:spacing w:after="0" w:line="110" w:lineRule="exact"/>
        <w:rPr>
          <w:rFonts w:ascii="Arial" w:cs="Arial" w:eastAsia="Arial" w:hAnsi="Arial"/>
          <w:sz w:val="16"/>
          <w:szCs w:val="16"/>
          <w:color w:val="auto"/>
        </w:rPr>
      </w:pPr>
    </w:p>
    <w:p>
      <w:pPr>
        <w:ind w:left="1246" w:hanging="291"/>
        <w:spacing w:after="0" w:line="266" w:lineRule="auto"/>
        <w:tabs>
          <w:tab w:leader="none" w:pos="1246" w:val="left"/>
        </w:tabs>
        <w:numPr>
          <w:ilvl w:val="1"/>
          <w:numId w:val="487"/>
        </w:numPr>
        <w:rPr>
          <w:rFonts w:ascii="Arial" w:cs="Arial" w:eastAsia="Arial" w:hAnsi="Arial"/>
          <w:sz w:val="16"/>
          <w:szCs w:val="16"/>
          <w:color w:val="auto"/>
        </w:rPr>
      </w:pPr>
      <w:r>
        <w:rPr>
          <w:rFonts w:ascii="Arial" w:cs="Arial" w:eastAsia="Arial" w:hAnsi="Arial"/>
          <w:sz w:val="16"/>
          <w:szCs w:val="16"/>
          <w:color w:val="auto"/>
        </w:rPr>
        <w:t>The base building Structural Engineer review rates and timeframe provided here are general estimates. Tenants are responsible for all costs associated with the TI.</w:t>
      </w:r>
    </w:p>
    <w:p>
      <w:pPr>
        <w:spacing w:after="0" w:line="75" w:lineRule="exact"/>
        <w:rPr>
          <w:rFonts w:ascii="Arial" w:cs="Arial" w:eastAsia="Arial" w:hAnsi="Arial"/>
          <w:sz w:val="16"/>
          <w:szCs w:val="16"/>
          <w:color w:val="auto"/>
        </w:rPr>
      </w:pPr>
    </w:p>
    <w:p>
      <w:pPr>
        <w:ind w:left="846" w:hanging="469"/>
        <w:spacing w:after="0"/>
        <w:tabs>
          <w:tab w:leader="none" w:pos="846" w:val="left"/>
        </w:tabs>
        <w:numPr>
          <w:ilvl w:val="0"/>
          <w:numId w:val="487"/>
        </w:numPr>
        <w:rPr>
          <w:rFonts w:ascii="Arial" w:cs="Arial" w:eastAsia="Arial" w:hAnsi="Arial"/>
          <w:sz w:val="16"/>
          <w:szCs w:val="16"/>
          <w:color w:val="auto"/>
        </w:rPr>
      </w:pPr>
      <w:r>
        <w:rPr>
          <w:rFonts w:ascii="Arial" w:cs="Arial" w:eastAsia="Arial" w:hAnsi="Arial"/>
          <w:sz w:val="16"/>
          <w:szCs w:val="16"/>
          <w:color w:val="auto"/>
        </w:rPr>
        <w:t>Upon completion of base building team review:</w:t>
      </w:r>
    </w:p>
    <w:p>
      <w:pPr>
        <w:spacing w:after="0" w:line="111" w:lineRule="exact"/>
        <w:rPr>
          <w:sz w:val="20"/>
          <w:szCs w:val="20"/>
          <w:color w:val="auto"/>
        </w:rPr>
      </w:pPr>
    </w:p>
    <w:p>
      <w:pPr>
        <w:ind w:left="1326" w:hanging="371"/>
        <w:spacing w:after="0"/>
        <w:tabs>
          <w:tab w:leader="none" w:pos="1326" w:val="left"/>
        </w:tabs>
        <w:numPr>
          <w:ilvl w:val="0"/>
          <w:numId w:val="488"/>
        </w:numPr>
        <w:rPr>
          <w:rFonts w:ascii="Arial" w:cs="Arial" w:eastAsia="Arial" w:hAnsi="Arial"/>
          <w:sz w:val="16"/>
          <w:szCs w:val="16"/>
          <w:color w:val="auto"/>
        </w:rPr>
      </w:pPr>
      <w:r>
        <w:rPr>
          <w:rFonts w:ascii="Arial" w:cs="Arial" w:eastAsia="Arial" w:hAnsi="Arial"/>
          <w:sz w:val="16"/>
          <w:szCs w:val="16"/>
          <w:color w:val="auto"/>
        </w:rPr>
        <w:t>If approved: No further action required, construction may proceed.</w:t>
      </w:r>
    </w:p>
    <w:p>
      <w:pPr>
        <w:spacing w:after="0" w:line="110" w:lineRule="exact"/>
        <w:rPr>
          <w:rFonts w:ascii="Arial" w:cs="Arial" w:eastAsia="Arial" w:hAnsi="Arial"/>
          <w:sz w:val="16"/>
          <w:szCs w:val="16"/>
          <w:color w:val="auto"/>
        </w:rPr>
      </w:pPr>
    </w:p>
    <w:p>
      <w:pPr>
        <w:ind w:left="1326" w:right="300" w:hanging="371"/>
        <w:spacing w:after="0" w:line="300" w:lineRule="auto"/>
        <w:tabs>
          <w:tab w:leader="none" w:pos="1326" w:val="left"/>
        </w:tabs>
        <w:numPr>
          <w:ilvl w:val="0"/>
          <w:numId w:val="488"/>
        </w:numPr>
        <w:rPr>
          <w:rFonts w:ascii="Arial" w:cs="Arial" w:eastAsia="Arial" w:hAnsi="Arial"/>
          <w:sz w:val="15"/>
          <w:szCs w:val="15"/>
          <w:color w:val="auto"/>
        </w:rPr>
      </w:pPr>
      <w:r>
        <w:rPr>
          <w:rFonts w:ascii="Arial" w:cs="Arial" w:eastAsia="Arial" w:hAnsi="Arial"/>
          <w:sz w:val="15"/>
          <w:szCs w:val="15"/>
          <w:color w:val="auto"/>
        </w:rPr>
        <w:t>If not approved: TI Structural Engineer shall address and respond to base building Structural Engineer comments. Construction may not proceed until both engineering parties have reviewed and approved of structural modifications.</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color w:val="auto"/>
        </w:rPr>
        <w:t>1c. Roofing Modifications:</w:t>
      </w:r>
    </w:p>
    <w:p>
      <w:pPr>
        <w:spacing w:after="0" w:line="99" w:lineRule="exact"/>
        <w:rPr>
          <w:sz w:val="20"/>
          <w:szCs w:val="20"/>
          <w:color w:val="auto"/>
        </w:rPr>
      </w:pPr>
    </w:p>
    <w:p>
      <w:pPr>
        <w:ind w:left="866" w:right="680"/>
        <w:spacing w:after="0" w:line="266" w:lineRule="auto"/>
        <w:rPr>
          <w:sz w:val="20"/>
          <w:szCs w:val="20"/>
          <w:color w:val="auto"/>
        </w:rPr>
      </w:pPr>
      <w:r>
        <w:rPr>
          <w:rFonts w:ascii="Arial" w:cs="Arial" w:eastAsia="Arial" w:hAnsi="Arial"/>
          <w:sz w:val="16"/>
          <w:szCs w:val="16"/>
          <w:color w:val="auto"/>
        </w:rPr>
        <w:t>Any and all roofing alterations must be completed by the base building Roofing Subcontractor—refer to Appendix G for contact information.</w:t>
      </w:r>
    </w:p>
    <w:p>
      <w:pPr>
        <w:spacing w:after="0" w:line="60" w:lineRule="exact"/>
        <w:rPr>
          <w:sz w:val="20"/>
          <w:szCs w:val="20"/>
          <w:color w:val="auto"/>
        </w:rPr>
      </w:pPr>
    </w:p>
    <w:p>
      <w:pPr>
        <w:ind w:left="866" w:right="800"/>
        <w:spacing w:after="0" w:line="272" w:lineRule="auto"/>
        <w:rPr>
          <w:sz w:val="20"/>
          <w:szCs w:val="20"/>
          <w:color w:val="auto"/>
        </w:rPr>
      </w:pPr>
      <w:r>
        <w:rPr>
          <w:rFonts w:ascii="Arial" w:cs="Arial" w:eastAsia="Arial" w:hAnsi="Arial"/>
          <w:sz w:val="16"/>
          <w:szCs w:val="16"/>
          <w:color w:val="auto"/>
        </w:rPr>
        <w:t xml:space="preserve">Modifications outside of Tenant’s designated roof zone shall require written Landlord approval. </w:t>
      </w:r>
      <w:r>
        <w:rPr>
          <w:rFonts w:ascii="Arial" w:cs="Arial" w:eastAsia="Arial" w:hAnsi="Arial"/>
          <w:sz w:val="16"/>
          <w:szCs w:val="16"/>
          <w:b w:val="1"/>
          <w:bCs w:val="1"/>
          <w:color w:val="auto"/>
        </w:rPr>
        <w:t>Under no circumstance shall</w:t>
      </w:r>
      <w:r>
        <w:rPr>
          <w:rFonts w:ascii="Arial" w:cs="Arial" w:eastAsia="Arial" w:hAnsi="Arial"/>
          <w:sz w:val="16"/>
          <w:szCs w:val="16"/>
          <w:color w:val="auto"/>
        </w:rPr>
        <w:t xml:space="preserve"> </w:t>
      </w:r>
      <w:r>
        <w:rPr>
          <w:rFonts w:ascii="Arial" w:cs="Arial" w:eastAsia="Arial" w:hAnsi="Arial"/>
          <w:sz w:val="16"/>
          <w:szCs w:val="16"/>
          <w:b w:val="1"/>
          <w:bCs w:val="1"/>
          <w:color w:val="auto"/>
        </w:rPr>
        <w:t>penetrations to the building’s penthouse roof be permitted.</w:t>
      </w:r>
    </w:p>
    <w:p>
      <w:pPr>
        <w:spacing w:after="0" w:line="59" w:lineRule="exact"/>
        <w:rPr>
          <w:sz w:val="20"/>
          <w:szCs w:val="20"/>
          <w:color w:val="auto"/>
        </w:rPr>
      </w:pPr>
    </w:p>
    <w:p>
      <w:pPr>
        <w:ind w:left="866" w:right="60"/>
        <w:spacing w:after="0" w:line="256" w:lineRule="auto"/>
        <w:rPr>
          <w:sz w:val="20"/>
          <w:szCs w:val="20"/>
          <w:color w:val="auto"/>
        </w:rPr>
      </w:pPr>
      <w:r>
        <w:rPr>
          <w:rFonts w:ascii="Arial" w:cs="Arial" w:eastAsia="Arial" w:hAnsi="Arial"/>
          <w:sz w:val="16"/>
          <w:szCs w:val="16"/>
          <w:color w:val="auto"/>
        </w:rPr>
        <w:t>Base building roof zone designations are shown in the attached Appendix D for reference. The depicted zones are designated areas for any Tenant-installed equipment serving the respective Tenant spaces. Spaces designated for Landlord use or a potential vivarium can be utilized as overflow for Tenant space allocations pending Landlord approval.</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1d. Temporary Opening of Building Envelope:</w:t>
      </w:r>
    </w:p>
    <w:p>
      <w:pPr>
        <w:spacing w:after="0" w:line="99" w:lineRule="exact"/>
        <w:rPr>
          <w:sz w:val="20"/>
          <w:szCs w:val="20"/>
          <w:color w:val="auto"/>
        </w:rPr>
      </w:pPr>
    </w:p>
    <w:p>
      <w:pPr>
        <w:ind w:left="866"/>
        <w:spacing w:after="0"/>
        <w:rPr>
          <w:sz w:val="20"/>
          <w:szCs w:val="20"/>
          <w:color w:val="auto"/>
        </w:rPr>
      </w:pPr>
      <w:r>
        <w:rPr>
          <w:rFonts w:ascii="Arial" w:cs="Arial" w:eastAsia="Arial" w:hAnsi="Arial"/>
          <w:sz w:val="16"/>
          <w:szCs w:val="16"/>
          <w:color w:val="auto"/>
        </w:rPr>
        <w:t>The building envelope can be opened to allow for access and material delivery as described below:</w:t>
      </w:r>
    </w:p>
    <w:p>
      <w:pPr>
        <w:sectPr>
          <w:pgSz w:w="11900" w:h="16838" w:orient="portrait"/>
          <w:cols w:equalWidth="0" w:num="1">
            <w:col w:w="9626"/>
          </w:cols>
          <w:pgMar w:left="1134" w:top="252" w:right="1139" w:bottom="1440" w:gutter="0" w:footer="0" w:header="0"/>
        </w:sectPr>
      </w:pPr>
    </w:p>
    <w:bookmarkStart w:id="628" w:name="page629"/>
    <w:bookmarkEnd w:id="628"/>
    <w:p>
      <w:pPr>
        <w:ind w:left="480" w:right="20"/>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Individual glass lites can be removed from the exterior for replacement glass in the event of breakage or to create a small opening for building access. Individual curtain wall units and perimeter caulking can be removed and re-installed if a larger opening is needed for hoist-bay access to deliver materials into the building, at the Tenant’s cost, pending the Landlord’s written approval. Any enclosure openings require Landlord approval and coordination with ongoing construction and campus operations. All building enclosure work must be performed by the base building envelope subcontractor; refer to Appendix G for contact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 BASE BUILDING SYSTEMS ACCESS</w:t>
      </w:r>
    </w:p>
    <w:p>
      <w:pPr>
        <w:spacing w:after="0" w:line="99" w:lineRule="exact"/>
        <w:rPr>
          <w:sz w:val="20"/>
          <w:szCs w:val="20"/>
          <w:color w:val="auto"/>
        </w:rPr>
      </w:pPr>
    </w:p>
    <w:p>
      <w:pPr>
        <w:ind w:left="380" w:right="520"/>
        <w:spacing w:after="0" w:line="266" w:lineRule="auto"/>
        <w:rPr>
          <w:sz w:val="20"/>
          <w:szCs w:val="20"/>
          <w:color w:val="auto"/>
        </w:rPr>
      </w:pPr>
      <w:r>
        <w:rPr>
          <w:rFonts w:ascii="Arial" w:cs="Arial" w:eastAsia="Arial" w:hAnsi="Arial"/>
          <w:sz w:val="16"/>
          <w:szCs w:val="16"/>
          <w:color w:val="auto"/>
        </w:rPr>
        <w:t>TI design and construction shall provide access to base building systems (ex. fire smoke damper) with Landlord approval for access point locations.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 TENANT SUB-METERING</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Tenants shall provide sub-metering for utilities as described below:</w:t>
      </w:r>
    </w:p>
    <w:p>
      <w:pPr>
        <w:spacing w:after="0" w:line="111" w:lineRule="exact"/>
        <w:rPr>
          <w:sz w:val="20"/>
          <w:szCs w:val="20"/>
          <w:color w:val="auto"/>
        </w:rPr>
      </w:pPr>
    </w:p>
    <w:p>
      <w:pPr>
        <w:ind w:left="840" w:hanging="375"/>
        <w:spacing w:after="0"/>
        <w:tabs>
          <w:tab w:leader="none" w:pos="84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BTU Meter: ONICON Model F-1200</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Every floor and/or Tenant is required to install a BTU meter for tracking usage of the heating water system.</w:t>
      </w:r>
    </w:p>
    <w:p>
      <w:pPr>
        <w:spacing w:after="0" w:line="111" w:lineRule="exact"/>
        <w:rPr>
          <w:sz w:val="20"/>
          <w:szCs w:val="20"/>
          <w:color w:val="auto"/>
        </w:rPr>
      </w:pPr>
    </w:p>
    <w:p>
      <w:pPr>
        <w:ind w:left="840" w:hanging="375"/>
        <w:spacing w:after="0"/>
        <w:tabs>
          <w:tab w:leader="none" w:pos="84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Natural Gas Meter: ONICON Model F5100</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Every Tenant requiring specific natural gas must install a meter to track their usage.</w:t>
      </w:r>
    </w:p>
    <w:p>
      <w:pPr>
        <w:spacing w:after="0" w:line="111" w:lineRule="exact"/>
        <w:rPr>
          <w:sz w:val="20"/>
          <w:szCs w:val="20"/>
          <w:color w:val="auto"/>
        </w:rPr>
      </w:pPr>
    </w:p>
    <w:p>
      <w:pPr>
        <w:ind w:left="840" w:hanging="375"/>
        <w:spacing w:after="0"/>
        <w:tabs>
          <w:tab w:leader="none" w:pos="84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Water Meter(s): ONICON Model F1200</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Every Tenant requiring water (domestic or industrial) must install a meter to track their usage.</w:t>
      </w:r>
    </w:p>
    <w:p>
      <w:pPr>
        <w:spacing w:after="0" w:line="111" w:lineRule="exact"/>
        <w:rPr>
          <w:sz w:val="20"/>
          <w:szCs w:val="20"/>
          <w:color w:val="auto"/>
        </w:rPr>
      </w:pPr>
    </w:p>
    <w:p>
      <w:pPr>
        <w:ind w:left="840" w:hanging="375"/>
        <w:spacing w:after="0"/>
        <w:tabs>
          <w:tab w:leader="none" w:pos="84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Electrical Meter (Standard &amp; Standby Power): Power Logic PM5000 series meter</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Every Tenant who requires electrical power must install a meter on each floor where they derive power at or near each buss tap (two</w:t>
      </w:r>
    </w:p>
    <w:p>
      <w:pPr>
        <w:spacing w:after="0" w:line="16" w:lineRule="exact"/>
        <w:rPr>
          <w:sz w:val="20"/>
          <w:szCs w:val="20"/>
          <w:color w:val="auto"/>
        </w:rPr>
      </w:pPr>
    </w:p>
    <w:p>
      <w:pPr>
        <w:ind w:left="1240" w:right="20" w:firstLine="4"/>
        <w:spacing w:after="0" w:line="323" w:lineRule="auto"/>
        <w:tabs>
          <w:tab w:leader="none" w:pos="1462" w:val="left"/>
        </w:tabs>
        <w:numPr>
          <w:ilvl w:val="0"/>
          <w:numId w:val="493"/>
        </w:numPr>
        <w:rPr>
          <w:rFonts w:ascii="Arial" w:cs="Arial" w:eastAsia="Arial" w:hAnsi="Arial"/>
          <w:sz w:val="13"/>
          <w:szCs w:val="13"/>
          <w:color w:val="auto"/>
        </w:rPr>
      </w:pPr>
      <w:r>
        <w:rPr>
          <w:rFonts w:ascii="Arial" w:cs="Arial" w:eastAsia="Arial" w:hAnsi="Arial"/>
          <w:sz w:val="13"/>
          <w:szCs w:val="13"/>
          <w:color w:val="auto"/>
        </w:rPr>
        <w:t>per floor for standard and standby power). Each meter will require an enclosure, CTs per phase, 120V power, and a network connection back to the head end system. Square D, who is furnishing the front end panel, will visit the site to program the system and add the Tenant onto the system. The TI Controls Contractor will be required to coordinate with the Square D representative to pull their points in and include them in the graphics. Refer to Appendix G for contact information for the supplier and for Square 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 sub-metering must tie into the base building BMS system.</w:t>
      </w:r>
    </w:p>
    <w:p>
      <w:pPr>
        <w:sectPr>
          <w:pgSz w:w="11900" w:h="16838" w:orient="portrait"/>
          <w:cols w:equalWidth="0" w:num="1">
            <w:col w:w="9560"/>
          </w:cols>
          <w:pgMar w:left="1140" w:top="256" w:right="1199" w:bottom="1440" w:gutter="0" w:footer="0" w:header="0"/>
        </w:sectPr>
      </w:pPr>
    </w:p>
    <w:bookmarkStart w:id="629" w:name="page630"/>
    <w:bookmarkEnd w:id="629"/>
    <w:p>
      <w:pPr>
        <w:ind w:left="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 BUILDING MANAGEMENT SYSTEM (BMS)</w:t>
      </w:r>
    </w:p>
    <w:p>
      <w:pPr>
        <w:spacing w:after="0" w:line="99" w:lineRule="exact"/>
        <w:rPr>
          <w:sz w:val="20"/>
          <w:szCs w:val="20"/>
          <w:color w:val="auto"/>
        </w:rPr>
      </w:pPr>
    </w:p>
    <w:p>
      <w:pPr>
        <w:ind w:left="386"/>
        <w:spacing w:after="0" w:line="253" w:lineRule="auto"/>
        <w:rPr>
          <w:sz w:val="20"/>
          <w:szCs w:val="20"/>
          <w:color w:val="auto"/>
        </w:rPr>
      </w:pPr>
      <w:r>
        <w:rPr>
          <w:rFonts w:ascii="Arial" w:cs="Arial" w:eastAsia="Arial" w:hAnsi="Arial"/>
          <w:sz w:val="16"/>
          <w:szCs w:val="16"/>
          <w:color w:val="auto"/>
        </w:rPr>
        <w:t>Each warm-shell delivered Cove building is equipped with a Controls Building Management System (BMS). Tenants may have their own systems, but must also connect to the base building system. The BMS system is Distech Controls. The TI Contractor must use Distech Controls on any build outs or upgrades to maintain proper connection to the system, ensure consistent programming, and simplify maintenance of the BMS control system. The communication protocol for the BMS is BACNet.</w:t>
      </w:r>
    </w:p>
    <w:p>
      <w:pPr>
        <w:spacing w:after="0" w:line="73" w:lineRule="exact"/>
        <w:rPr>
          <w:sz w:val="20"/>
          <w:szCs w:val="20"/>
          <w:color w:val="auto"/>
        </w:rPr>
      </w:pPr>
    </w:p>
    <w:p>
      <w:pPr>
        <w:ind w:left="386" w:right="400"/>
        <w:spacing w:after="0" w:line="256" w:lineRule="auto"/>
        <w:rPr>
          <w:sz w:val="20"/>
          <w:szCs w:val="20"/>
          <w:color w:val="auto"/>
        </w:rPr>
      </w:pPr>
      <w:r>
        <w:rPr>
          <w:rFonts w:ascii="Arial" w:cs="Arial" w:eastAsia="Arial" w:hAnsi="Arial"/>
          <w:sz w:val="16"/>
          <w:szCs w:val="16"/>
          <w:color w:val="auto"/>
        </w:rPr>
        <w:t>Distech uses Tridium-based ECnet-Ax software to use in a PC/Server Building Supervisor. The Ax software provides graphical interface, trending, alarms, and alarm notification, with storage and archiving on the PC/Supervisor. The Distech GFX programming plug-in is used in device level controllers for creating and modifying equipment control sequences.</w:t>
      </w:r>
    </w:p>
    <w:p>
      <w:pPr>
        <w:spacing w:after="0" w:line="71" w:lineRule="exact"/>
        <w:rPr>
          <w:sz w:val="20"/>
          <w:szCs w:val="20"/>
          <w:color w:val="auto"/>
        </w:rPr>
      </w:pPr>
    </w:p>
    <w:p>
      <w:pPr>
        <w:ind w:left="386"/>
        <w:spacing w:after="0"/>
        <w:rPr>
          <w:sz w:val="20"/>
          <w:szCs w:val="20"/>
          <w:color w:val="auto"/>
        </w:rPr>
      </w:pPr>
      <w:r>
        <w:rPr>
          <w:rFonts w:ascii="Arial" w:cs="Arial" w:eastAsia="Arial" w:hAnsi="Arial"/>
          <w:sz w:val="16"/>
          <w:szCs w:val="16"/>
          <w:color w:val="auto"/>
        </w:rPr>
        <w:t>Hardware Standards:</w:t>
      </w:r>
    </w:p>
    <w:p>
      <w:pPr>
        <w:spacing w:after="0" w:line="99" w:lineRule="exact"/>
        <w:rPr>
          <w:sz w:val="20"/>
          <w:szCs w:val="20"/>
          <w:color w:val="auto"/>
        </w:rPr>
      </w:pPr>
    </w:p>
    <w:p>
      <w:pPr>
        <w:ind w:left="1026" w:hanging="160"/>
        <w:spacing w:after="0"/>
        <w:tabs>
          <w:tab w:leader="none" w:pos="102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Supervisor Controller: JACE EC-BOS 6 (minimum size Tridium JACE with extended memory)</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VAV (Variable Air Volume): ECV-VAV Controller</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CV (Constant Volume): ECB-VAV Controller</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EV (Exhaust Valve): ECB-VAV Controller</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Reheat Valve: Bellimo valve with modulating actuator (2-10 vdc.)</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Thermostats</w:t>
      </w:r>
    </w:p>
    <w:p>
      <w:pPr>
        <w:spacing w:after="0" w:line="110" w:lineRule="exact"/>
        <w:rPr>
          <w:rFonts w:ascii="Arial" w:cs="Arial" w:eastAsia="Arial" w:hAnsi="Arial"/>
          <w:sz w:val="16"/>
          <w:szCs w:val="16"/>
          <w:color w:val="auto"/>
        </w:rPr>
      </w:pPr>
    </w:p>
    <w:p>
      <w:pPr>
        <w:ind w:left="1526" w:hanging="477"/>
        <w:spacing w:after="0"/>
        <w:tabs>
          <w:tab w:leader="none" w:pos="1526" w:val="left"/>
        </w:tabs>
        <w:numPr>
          <w:ilvl w:val="1"/>
          <w:numId w:val="494"/>
        </w:numPr>
        <w:rPr>
          <w:rFonts w:ascii="Arial" w:cs="Arial" w:eastAsia="Arial" w:hAnsi="Arial"/>
          <w:sz w:val="16"/>
          <w:szCs w:val="16"/>
          <w:color w:val="auto"/>
        </w:rPr>
      </w:pPr>
      <w:r>
        <w:rPr>
          <w:rFonts w:ascii="Arial" w:cs="Arial" w:eastAsia="Arial" w:hAnsi="Arial"/>
          <w:sz w:val="16"/>
          <w:szCs w:val="16"/>
          <w:color w:val="auto"/>
        </w:rPr>
        <w:t>Thermostat with display: Distech EC-Smart-Vue</w:t>
      </w:r>
    </w:p>
    <w:p>
      <w:pPr>
        <w:spacing w:after="0" w:line="110" w:lineRule="exact"/>
        <w:rPr>
          <w:rFonts w:ascii="Arial" w:cs="Arial" w:eastAsia="Arial" w:hAnsi="Arial"/>
          <w:sz w:val="16"/>
          <w:szCs w:val="16"/>
          <w:color w:val="auto"/>
        </w:rPr>
      </w:pPr>
    </w:p>
    <w:p>
      <w:pPr>
        <w:ind w:left="1526" w:hanging="477"/>
        <w:spacing w:after="0"/>
        <w:tabs>
          <w:tab w:leader="none" w:pos="1526" w:val="left"/>
        </w:tabs>
        <w:numPr>
          <w:ilvl w:val="1"/>
          <w:numId w:val="494"/>
        </w:numPr>
        <w:rPr>
          <w:rFonts w:ascii="Arial" w:cs="Arial" w:eastAsia="Arial" w:hAnsi="Arial"/>
          <w:sz w:val="16"/>
          <w:szCs w:val="16"/>
          <w:color w:val="auto"/>
        </w:rPr>
      </w:pPr>
      <w:r>
        <w:rPr>
          <w:rFonts w:ascii="Arial" w:cs="Arial" w:eastAsia="Arial" w:hAnsi="Arial"/>
          <w:sz w:val="16"/>
          <w:szCs w:val="16"/>
          <w:color w:val="auto"/>
        </w:rPr>
        <w:t>Thermostat with CO2 sensor (for high occupancy rooms): Distech EC-Smart-Vue-C</w:t>
      </w:r>
    </w:p>
    <w:p>
      <w:pPr>
        <w:spacing w:after="0" w:line="110" w:lineRule="exact"/>
        <w:rPr>
          <w:rFonts w:ascii="Arial" w:cs="Arial" w:eastAsia="Arial" w:hAnsi="Arial"/>
          <w:sz w:val="16"/>
          <w:szCs w:val="16"/>
          <w:color w:val="auto"/>
        </w:rPr>
      </w:pPr>
    </w:p>
    <w:p>
      <w:pPr>
        <w:ind w:left="1526" w:hanging="477"/>
        <w:spacing w:after="0"/>
        <w:tabs>
          <w:tab w:leader="none" w:pos="1526" w:val="left"/>
        </w:tabs>
        <w:numPr>
          <w:ilvl w:val="1"/>
          <w:numId w:val="494"/>
        </w:numPr>
        <w:rPr>
          <w:rFonts w:ascii="Arial" w:cs="Arial" w:eastAsia="Arial" w:hAnsi="Arial"/>
          <w:sz w:val="16"/>
          <w:szCs w:val="16"/>
          <w:color w:val="auto"/>
        </w:rPr>
      </w:pPr>
      <w:r>
        <w:rPr>
          <w:rFonts w:ascii="Arial" w:cs="Arial" w:eastAsia="Arial" w:hAnsi="Arial"/>
          <w:sz w:val="16"/>
          <w:szCs w:val="16"/>
          <w:color w:val="auto"/>
        </w:rPr>
        <w:t>Thermostat with motion sensor: Distech EC-Smart-Vue-M</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494"/>
        </w:numPr>
        <w:rPr>
          <w:rFonts w:ascii="Arial" w:cs="Arial" w:eastAsia="Arial" w:hAnsi="Arial"/>
          <w:sz w:val="16"/>
          <w:szCs w:val="16"/>
          <w:color w:val="auto"/>
        </w:rPr>
      </w:pPr>
      <w:r>
        <w:rPr>
          <w:rFonts w:ascii="Arial" w:cs="Arial" w:eastAsia="Arial" w:hAnsi="Arial"/>
          <w:sz w:val="16"/>
          <w:szCs w:val="16"/>
          <w:color w:val="auto"/>
        </w:rPr>
        <w:t>Temperature Sensors: BAPI 10K type 2 or equal</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Graphics to be Coordinated by TI Contractor:</w:t>
      </w:r>
    </w:p>
    <w:p>
      <w:pPr>
        <w:spacing w:after="0" w:line="111" w:lineRule="exact"/>
        <w:rPr>
          <w:sz w:val="20"/>
          <w:szCs w:val="20"/>
          <w:color w:val="auto"/>
        </w:rPr>
      </w:pPr>
    </w:p>
    <w:p>
      <w:pPr>
        <w:ind w:left="1246" w:right="60" w:hanging="386"/>
        <w:spacing w:after="0" w:line="266" w:lineRule="auto"/>
        <w:tabs>
          <w:tab w:leader="none" w:pos="1246" w:val="left"/>
        </w:tabs>
        <w:numPr>
          <w:ilvl w:val="1"/>
          <w:numId w:val="495"/>
        </w:numPr>
        <w:rPr>
          <w:rFonts w:ascii="Arial" w:cs="Arial" w:eastAsia="Arial" w:hAnsi="Arial"/>
          <w:sz w:val="16"/>
          <w:szCs w:val="16"/>
          <w:color w:val="auto"/>
        </w:rPr>
      </w:pPr>
      <w:r>
        <w:rPr>
          <w:rFonts w:ascii="Arial" w:cs="Arial" w:eastAsia="Arial" w:hAnsi="Arial"/>
          <w:sz w:val="16"/>
          <w:szCs w:val="16"/>
          <w:color w:val="auto"/>
        </w:rPr>
        <w:t>Graphics Pages: All new equipment to have its own graphics page; miscellaneous meters to have their own graphics pages; trending and alarming to have their own graphics pages.</w:t>
      </w:r>
    </w:p>
    <w:p>
      <w:pPr>
        <w:spacing w:after="0" w:line="75" w:lineRule="exact"/>
        <w:rPr>
          <w:rFonts w:ascii="Arial" w:cs="Arial" w:eastAsia="Arial" w:hAnsi="Arial"/>
          <w:sz w:val="16"/>
          <w:szCs w:val="16"/>
          <w:color w:val="auto"/>
        </w:rPr>
      </w:pPr>
    </w:p>
    <w:p>
      <w:pPr>
        <w:ind w:left="1246" w:right="80" w:hanging="386"/>
        <w:spacing w:after="0" w:line="266" w:lineRule="auto"/>
        <w:tabs>
          <w:tab w:leader="none" w:pos="1246" w:val="left"/>
        </w:tabs>
        <w:numPr>
          <w:ilvl w:val="1"/>
          <w:numId w:val="495"/>
        </w:numPr>
        <w:rPr>
          <w:rFonts w:ascii="Arial" w:cs="Arial" w:eastAsia="Arial" w:hAnsi="Arial"/>
          <w:sz w:val="16"/>
          <w:szCs w:val="16"/>
          <w:color w:val="auto"/>
        </w:rPr>
      </w:pPr>
      <w:r>
        <w:rPr>
          <w:rFonts w:ascii="Arial" w:cs="Arial" w:eastAsia="Arial" w:hAnsi="Arial"/>
          <w:sz w:val="16"/>
          <w:szCs w:val="16"/>
          <w:color w:val="auto"/>
        </w:rPr>
        <w:t>Zoning Plan: Each floor to have a color-coded zoning plan showing thermostat locations, space temperature/set point, zone number, and CO2 read outs.</w:t>
      </w:r>
    </w:p>
    <w:p>
      <w:pPr>
        <w:spacing w:after="0" w:line="158" w:lineRule="exact"/>
        <w:rPr>
          <w:rFonts w:ascii="Arial" w:cs="Arial" w:eastAsia="Arial" w:hAnsi="Arial"/>
          <w:sz w:val="16"/>
          <w:szCs w:val="16"/>
          <w:color w:val="auto"/>
        </w:rPr>
      </w:pPr>
    </w:p>
    <w:p>
      <w:pPr>
        <w:ind w:left="166" w:hanging="166"/>
        <w:spacing w:after="0"/>
        <w:tabs>
          <w:tab w:leader="none" w:pos="166" w:val="left"/>
        </w:tabs>
        <w:numPr>
          <w:ilvl w:val="0"/>
          <w:numId w:val="49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EMERGENCY SYSTEMS</w:t>
      </w:r>
    </w:p>
    <w:p>
      <w:pPr>
        <w:spacing w:after="0" w:line="111"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5a.</w:t>
      </w:r>
      <w:r>
        <w:rPr>
          <w:sz w:val="20"/>
          <w:szCs w:val="20"/>
          <w:color w:val="auto"/>
        </w:rPr>
        <w:tab/>
      </w:r>
      <w:r>
        <w:rPr>
          <w:rFonts w:ascii="Arial" w:cs="Arial" w:eastAsia="Arial" w:hAnsi="Arial"/>
          <w:sz w:val="16"/>
          <w:szCs w:val="16"/>
          <w:color w:val="auto"/>
        </w:rPr>
        <w:t>Fire Alarm System:</w:t>
      </w:r>
    </w:p>
    <w:p>
      <w:pPr>
        <w:spacing w:after="0" w:line="99" w:lineRule="exact"/>
        <w:rPr>
          <w:sz w:val="20"/>
          <w:szCs w:val="20"/>
          <w:color w:val="auto"/>
        </w:rPr>
      </w:pPr>
    </w:p>
    <w:p>
      <w:pPr>
        <w:ind w:left="866" w:right="180"/>
        <w:spacing w:after="0" w:line="256" w:lineRule="auto"/>
        <w:rPr>
          <w:sz w:val="20"/>
          <w:szCs w:val="20"/>
          <w:color w:val="auto"/>
        </w:rPr>
      </w:pPr>
      <w:r>
        <w:rPr>
          <w:rFonts w:ascii="Arial" w:cs="Arial" w:eastAsia="Arial" w:hAnsi="Arial"/>
          <w:sz w:val="16"/>
          <w:szCs w:val="16"/>
          <w:color w:val="auto"/>
        </w:rPr>
        <w:t>The fire alarm system manufacturer is Honeywell Fire-Lite. The Tenant is responsible for fire alarm installation in Tenant spaces and connection to the base building fire alarm system. Refer to Appendix G for the base building emergency system Subcontractor’s contact information.</w:t>
      </w:r>
    </w:p>
    <w:p>
      <w:pPr>
        <w:spacing w:after="0" w:line="71" w:lineRule="exact"/>
        <w:rPr>
          <w:sz w:val="20"/>
          <w:szCs w:val="20"/>
          <w:color w:val="auto"/>
        </w:rPr>
      </w:pPr>
    </w:p>
    <w:p>
      <w:pPr>
        <w:ind w:left="866" w:right="440"/>
        <w:spacing w:after="0" w:line="266" w:lineRule="auto"/>
        <w:rPr>
          <w:sz w:val="20"/>
          <w:szCs w:val="20"/>
          <w:color w:val="auto"/>
        </w:rPr>
      </w:pPr>
      <w:r>
        <w:rPr>
          <w:rFonts w:ascii="Arial" w:cs="Arial" w:eastAsia="Arial" w:hAnsi="Arial"/>
          <w:sz w:val="16"/>
          <w:szCs w:val="16"/>
          <w:color w:val="auto"/>
        </w:rPr>
        <w:t>The base building fire alarm system is for code-required life safety use only. Tenant use of system for non-life safety purposes is not permitted.</w:t>
      </w:r>
    </w:p>
    <w:p>
      <w:pPr>
        <w:spacing w:after="0" w:line="76"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5b.</w:t>
      </w:r>
      <w:r>
        <w:rPr>
          <w:sz w:val="20"/>
          <w:szCs w:val="20"/>
          <w:color w:val="auto"/>
        </w:rPr>
        <w:tab/>
      </w:r>
      <w:r>
        <w:rPr>
          <w:rFonts w:ascii="Arial" w:cs="Arial" w:eastAsia="Arial" w:hAnsi="Arial"/>
          <w:sz w:val="16"/>
          <w:szCs w:val="16"/>
          <w:color w:val="auto"/>
        </w:rPr>
        <w:t>Sprinkler System:</w:t>
      </w:r>
    </w:p>
    <w:p>
      <w:pPr>
        <w:spacing w:after="0" w:line="99" w:lineRule="exact"/>
        <w:rPr>
          <w:sz w:val="20"/>
          <w:szCs w:val="20"/>
          <w:color w:val="auto"/>
        </w:rPr>
      </w:pPr>
    </w:p>
    <w:p>
      <w:pPr>
        <w:ind w:left="866" w:right="60"/>
        <w:spacing w:after="0" w:line="266" w:lineRule="auto"/>
        <w:rPr>
          <w:sz w:val="20"/>
          <w:szCs w:val="20"/>
          <w:color w:val="auto"/>
        </w:rPr>
      </w:pPr>
      <w:r>
        <w:rPr>
          <w:rFonts w:ascii="Arial" w:cs="Arial" w:eastAsia="Arial" w:hAnsi="Arial"/>
          <w:sz w:val="16"/>
          <w:szCs w:val="16"/>
          <w:color w:val="auto"/>
        </w:rPr>
        <w:t>The base building includes an interior sprinkler system for shell coverage. The base building sprinkler system shall be signed off by South San Francisco Fire Department prior to TI tie-in.</w:t>
      </w:r>
    </w:p>
    <w:p>
      <w:pPr>
        <w:spacing w:after="0" w:line="64" w:lineRule="exact"/>
        <w:rPr>
          <w:sz w:val="20"/>
          <w:szCs w:val="20"/>
          <w:color w:val="auto"/>
        </w:rPr>
      </w:pPr>
    </w:p>
    <w:p>
      <w:pPr>
        <w:ind w:left="866" w:right="100"/>
        <w:spacing w:after="0" w:line="253" w:lineRule="auto"/>
        <w:rPr>
          <w:sz w:val="20"/>
          <w:szCs w:val="20"/>
          <w:color w:val="auto"/>
        </w:rPr>
      </w:pPr>
      <w:r>
        <w:rPr>
          <w:rFonts w:ascii="Arial" w:cs="Arial" w:eastAsia="Arial" w:hAnsi="Arial"/>
          <w:sz w:val="16"/>
          <w:szCs w:val="16"/>
          <w:color w:val="auto"/>
        </w:rPr>
        <w:t>The sprinkler systems shall be monitored by the fire alarm system by both waterflow switches and tamper switches on the control valves. Prior to connecting to the base building sprinkler system, the Tenant’s Contractor must notify the fire alarm company that the system will be out of service and back in service by the end of day. The Tenant’s Contractor must notify the fire alarm company prior to performing any filling of pipes, whether during the day, night, or weekend.</w:t>
      </w:r>
    </w:p>
    <w:p>
      <w:pPr>
        <w:sectPr>
          <w:pgSz w:w="11900" w:h="16838" w:orient="portrait"/>
          <w:cols w:equalWidth="0" w:num="1">
            <w:col w:w="9606"/>
          </w:cols>
          <w:pgMar w:left="1134" w:top="256" w:right="1159" w:bottom="1440" w:gutter="0" w:footer="0" w:header="0"/>
        </w:sectPr>
      </w:pPr>
    </w:p>
    <w:bookmarkStart w:id="630" w:name="page631"/>
    <w:bookmarkEnd w:id="630"/>
    <w:p>
      <w:pPr>
        <w:ind w:left="380"/>
        <w:spacing w:after="0"/>
        <w:tabs>
          <w:tab w:leader="none" w:pos="8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5c.</w:t>
      </w:r>
      <w:r>
        <w:rPr>
          <w:sz w:val="20"/>
          <w:szCs w:val="20"/>
          <w:color w:val="auto"/>
        </w:rPr>
        <w:tab/>
      </w:r>
      <w:r>
        <w:rPr>
          <w:rFonts w:ascii="Arial" w:cs="Arial" w:eastAsia="Arial" w:hAnsi="Arial"/>
          <w:sz w:val="16"/>
          <w:szCs w:val="16"/>
          <w:color w:val="auto"/>
        </w:rPr>
        <w:t>Standby Generator &amp; Power:</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Refer to Appendix F, attached, for Generator &amp; Automatic Transfer Switch Description.</w:t>
      </w:r>
    </w:p>
    <w:p>
      <w:pPr>
        <w:spacing w:after="0" w:line="1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5d.</w:t>
      </w:r>
      <w:r>
        <w:rPr>
          <w:sz w:val="20"/>
          <w:szCs w:val="20"/>
          <w:color w:val="auto"/>
        </w:rPr>
        <w:tab/>
      </w:r>
      <w:r>
        <w:rPr>
          <w:rFonts w:ascii="Arial" w:cs="Arial" w:eastAsia="Arial" w:hAnsi="Arial"/>
          <w:sz w:val="16"/>
          <w:szCs w:val="16"/>
          <w:color w:val="auto"/>
        </w:rPr>
        <w:t>Emergency Responder Radio Coverage System (ERRCS) / DAS First Responder System:</w:t>
      </w:r>
    </w:p>
    <w:p>
      <w:pPr>
        <w:spacing w:after="0" w:line="99" w:lineRule="exact"/>
        <w:rPr>
          <w:sz w:val="20"/>
          <w:szCs w:val="20"/>
          <w:color w:val="auto"/>
        </w:rPr>
      </w:pPr>
    </w:p>
    <w:p>
      <w:pPr>
        <w:jc w:val="both"/>
        <w:ind w:left="860" w:right="160"/>
        <w:spacing w:after="0" w:line="256" w:lineRule="auto"/>
        <w:rPr>
          <w:sz w:val="20"/>
          <w:szCs w:val="20"/>
          <w:color w:val="auto"/>
        </w:rPr>
      </w:pPr>
      <w:r>
        <w:rPr>
          <w:rFonts w:ascii="Arial" w:cs="Arial" w:eastAsia="Arial" w:hAnsi="Arial"/>
          <w:sz w:val="16"/>
          <w:szCs w:val="16"/>
          <w:color w:val="auto"/>
        </w:rPr>
        <w:t>The Emergency Responder Radio Coverage System (ERRCS), also known as the Distributed Antenna System (DAS), is a building wide system, consisting of dedicated conduit and multiple antennae and repeaters per floor that serve to provide amplified wireless service for communication amongst emergency first responders.</w:t>
      </w:r>
    </w:p>
    <w:p>
      <w:pPr>
        <w:spacing w:after="0" w:line="7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Please note that this system will NOT be used to amplify personal cellular services within the building.</w:t>
      </w:r>
    </w:p>
    <w:p>
      <w:pPr>
        <w:spacing w:after="0" w:line="99" w:lineRule="exact"/>
        <w:rPr>
          <w:sz w:val="20"/>
          <w:szCs w:val="20"/>
          <w:color w:val="auto"/>
        </w:rPr>
      </w:pPr>
    </w:p>
    <w:p>
      <w:pPr>
        <w:ind w:left="860"/>
        <w:spacing w:after="0" w:line="251" w:lineRule="auto"/>
        <w:rPr>
          <w:sz w:val="20"/>
          <w:szCs w:val="20"/>
          <w:color w:val="auto"/>
        </w:rPr>
      </w:pPr>
      <w:r>
        <w:rPr>
          <w:rFonts w:ascii="Arial" w:cs="Arial" w:eastAsia="Arial" w:hAnsi="Arial"/>
          <w:sz w:val="16"/>
          <w:szCs w:val="16"/>
          <w:color w:val="auto"/>
        </w:rPr>
        <w:t>The base building is equipped with an ERRCS as required by the City of South San Francisco. The base building installation consists of the head-end system, roof mounted antenna, and conduit risers in stair shafts. The Tenant must coordinate the design and installation of the horizontal ERRCS within Tenant spaces. This scope includes but is not limited to: antenna repeaters, rated conduit, tie-in to base building system, programming, and jurisdictional required system testing. All ERRCS work must be coordinated using Cupertino Electric, Inc.; refer to Appendix G for contact information.</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base building ERRCS is for code-required life safety use only. Tenant use or tie-in are not permitted.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6. LABORATORY WASTE</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Labs are required to connect to the lab waste system, separate from the domestic waste system, to prevent contamination. A sampling manhole is provided on the lab waste line exterior to the building, prior to the connection of the lab waste line to the sanitary sewer line directed to the municipal sewer system. Refer to the plumbing drawings for location.</w:t>
      </w:r>
    </w:p>
    <w:p>
      <w:pPr>
        <w:sectPr>
          <w:pgSz w:w="11900" w:h="16838" w:orient="portrait"/>
          <w:cols w:equalWidth="0" w:num="1">
            <w:col w:w="9600"/>
          </w:cols>
          <w:pgMar w:left="1140" w:top="257" w:right="1159" w:bottom="1440" w:gutter="0" w:footer="0" w:header="0"/>
        </w:sectPr>
      </w:pPr>
    </w:p>
    <w:bookmarkStart w:id="631" w:name="page632"/>
    <w:bookmarkEnd w:id="631"/>
    <w:p>
      <w:pPr>
        <w:ind w:left="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7. SECURITY SYSTEMS</w:t>
      </w:r>
    </w:p>
    <w:p>
      <w:pPr>
        <w:spacing w:after="0" w:line="99"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base building security program includes the following:</w:t>
      </w:r>
    </w:p>
    <w:p>
      <w:pPr>
        <w:spacing w:after="0" w:line="111" w:lineRule="exact"/>
        <w:rPr>
          <w:sz w:val="20"/>
          <w:szCs w:val="20"/>
          <w:color w:val="auto"/>
        </w:rPr>
      </w:pPr>
    </w:p>
    <w:p>
      <w:pPr>
        <w:ind w:left="1246" w:hanging="386"/>
        <w:spacing w:after="0" w:line="266" w:lineRule="auto"/>
        <w:tabs>
          <w:tab w:leader="none" w:pos="1246" w:val="left"/>
        </w:tabs>
        <w:numPr>
          <w:ilvl w:val="0"/>
          <w:numId w:val="497"/>
        </w:numPr>
        <w:rPr>
          <w:rFonts w:ascii="Arial" w:cs="Arial" w:eastAsia="Arial" w:hAnsi="Arial"/>
          <w:sz w:val="16"/>
          <w:szCs w:val="16"/>
          <w:color w:val="auto"/>
        </w:rPr>
      </w:pPr>
      <w:r>
        <w:rPr>
          <w:rFonts w:ascii="Arial" w:cs="Arial" w:eastAsia="Arial" w:hAnsi="Arial"/>
          <w:sz w:val="16"/>
          <w:szCs w:val="16"/>
          <w:color w:val="auto"/>
        </w:rPr>
        <w:t>Card access control system with card reader locations at all building entry/exit points, base building stairwells, and all passenger and freight elevator carriages. See base building security drawings for reference.</w:t>
      </w:r>
    </w:p>
    <w:p>
      <w:pPr>
        <w:spacing w:after="0" w:line="75" w:lineRule="exact"/>
        <w:rPr>
          <w:rFonts w:ascii="Arial" w:cs="Arial" w:eastAsia="Arial" w:hAnsi="Arial"/>
          <w:sz w:val="16"/>
          <w:szCs w:val="16"/>
          <w:color w:val="auto"/>
        </w:rPr>
      </w:pPr>
    </w:p>
    <w:p>
      <w:pPr>
        <w:ind w:left="1246" w:hanging="386"/>
        <w:spacing w:after="0"/>
        <w:tabs>
          <w:tab w:leader="none" w:pos="1246" w:val="left"/>
        </w:tabs>
        <w:numPr>
          <w:ilvl w:val="0"/>
          <w:numId w:val="497"/>
        </w:numPr>
        <w:rPr>
          <w:rFonts w:ascii="Arial" w:cs="Arial" w:eastAsia="Arial" w:hAnsi="Arial"/>
          <w:sz w:val="15"/>
          <w:szCs w:val="15"/>
          <w:color w:val="auto"/>
        </w:rPr>
      </w:pPr>
      <w:r>
        <w:rPr>
          <w:rFonts w:ascii="Arial" w:cs="Arial" w:eastAsia="Arial" w:hAnsi="Arial"/>
          <w:sz w:val="15"/>
          <w:szCs w:val="15"/>
          <w:color w:val="auto"/>
        </w:rPr>
        <w:t>Video surveillance at the entrance and receiving doors of the buildings. See base building security drawings for reference.</w:t>
      </w:r>
    </w:p>
    <w:p>
      <w:pPr>
        <w:spacing w:after="0" w:line="122" w:lineRule="exact"/>
        <w:rPr>
          <w:rFonts w:ascii="Arial" w:cs="Arial" w:eastAsia="Arial" w:hAnsi="Arial"/>
          <w:sz w:val="15"/>
          <w:szCs w:val="15"/>
          <w:color w:val="auto"/>
        </w:rPr>
      </w:pPr>
    </w:p>
    <w:p>
      <w:pPr>
        <w:ind w:left="1246" w:hanging="386"/>
        <w:spacing w:after="0"/>
        <w:tabs>
          <w:tab w:leader="none" w:pos="1246" w:val="left"/>
        </w:tabs>
        <w:numPr>
          <w:ilvl w:val="0"/>
          <w:numId w:val="497"/>
        </w:numPr>
        <w:rPr>
          <w:rFonts w:ascii="Arial" w:cs="Arial" w:eastAsia="Arial" w:hAnsi="Arial"/>
          <w:sz w:val="16"/>
          <w:szCs w:val="16"/>
          <w:color w:val="auto"/>
        </w:rPr>
      </w:pPr>
      <w:r>
        <w:rPr>
          <w:rFonts w:ascii="Arial" w:cs="Arial" w:eastAsia="Arial" w:hAnsi="Arial"/>
          <w:sz w:val="16"/>
          <w:szCs w:val="16"/>
          <w:color w:val="auto"/>
        </w:rPr>
        <w:t>Intercom at the entrance and receiving doors of the buildings. See base building security drawings for reference.</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Tenant should consider the following security options to incorporate the base building systems into a Tenant security program:</w:t>
      </w:r>
    </w:p>
    <w:p>
      <w:pPr>
        <w:spacing w:after="0" w:line="111" w:lineRule="exact"/>
        <w:rPr>
          <w:sz w:val="20"/>
          <w:szCs w:val="20"/>
          <w:color w:val="auto"/>
        </w:rPr>
      </w:pPr>
    </w:p>
    <w:p>
      <w:pPr>
        <w:ind w:left="386" w:hanging="386"/>
        <w:spacing w:after="0"/>
        <w:tabs>
          <w:tab w:leader="none" w:pos="386" w:val="left"/>
        </w:tabs>
        <w:numPr>
          <w:ilvl w:val="0"/>
          <w:numId w:val="498"/>
        </w:numPr>
        <w:rPr>
          <w:rFonts w:ascii="Arial" w:cs="Arial" w:eastAsia="Arial" w:hAnsi="Arial"/>
          <w:sz w:val="16"/>
          <w:szCs w:val="16"/>
          <w:color w:val="auto"/>
        </w:rPr>
      </w:pPr>
      <w:r>
        <w:rPr>
          <w:rFonts w:ascii="Arial" w:cs="Arial" w:eastAsia="Arial" w:hAnsi="Arial"/>
          <w:sz w:val="16"/>
          <w:szCs w:val="16"/>
          <w:color w:val="auto"/>
        </w:rPr>
        <w:t>Access Control System</w:t>
      </w:r>
    </w:p>
    <w:p>
      <w:pPr>
        <w:spacing w:after="0" w:line="98" w:lineRule="exact"/>
        <w:rPr>
          <w:rFonts w:ascii="Arial" w:cs="Arial" w:eastAsia="Arial" w:hAnsi="Arial"/>
          <w:sz w:val="16"/>
          <w:szCs w:val="16"/>
          <w:color w:val="auto"/>
        </w:rPr>
      </w:pPr>
    </w:p>
    <w:p>
      <w:pPr>
        <w:ind w:left="386"/>
        <w:spacing w:after="0"/>
        <w:rPr>
          <w:rFonts w:ascii="Arial" w:cs="Arial" w:eastAsia="Arial" w:hAnsi="Arial"/>
          <w:sz w:val="16"/>
          <w:szCs w:val="16"/>
          <w:color w:val="auto"/>
        </w:rPr>
      </w:pPr>
      <w:r>
        <w:rPr>
          <w:rFonts w:ascii="Arial" w:cs="Arial" w:eastAsia="Arial" w:hAnsi="Arial"/>
          <w:sz w:val="16"/>
          <w:szCs w:val="16"/>
          <w:color w:val="auto"/>
        </w:rPr>
        <w:t>Base Building Security Information:</w:t>
      </w:r>
    </w:p>
    <w:p>
      <w:pPr>
        <w:spacing w:after="0" w:line="110" w:lineRule="exact"/>
        <w:rPr>
          <w:rFonts w:ascii="Arial" w:cs="Arial" w:eastAsia="Arial" w:hAnsi="Arial"/>
          <w:sz w:val="16"/>
          <w:szCs w:val="16"/>
          <w:color w:val="auto"/>
        </w:rPr>
      </w:pPr>
    </w:p>
    <w:p>
      <w:pPr>
        <w:ind w:left="1246" w:right="260" w:hanging="291"/>
        <w:spacing w:after="0" w:line="266" w:lineRule="auto"/>
        <w:tabs>
          <w:tab w:leader="none" w:pos="1246" w:val="left"/>
        </w:tabs>
        <w:numPr>
          <w:ilvl w:val="1"/>
          <w:numId w:val="498"/>
        </w:numPr>
        <w:rPr>
          <w:rFonts w:ascii="Arial" w:cs="Arial" w:eastAsia="Arial" w:hAnsi="Arial"/>
          <w:sz w:val="16"/>
          <w:szCs w:val="16"/>
          <w:color w:val="auto"/>
        </w:rPr>
      </w:pPr>
      <w:r>
        <w:rPr>
          <w:rFonts w:ascii="Arial" w:cs="Arial" w:eastAsia="Arial" w:hAnsi="Arial"/>
          <w:sz w:val="16"/>
          <w:szCs w:val="16"/>
          <w:color w:val="auto"/>
        </w:rPr>
        <w:t>Base building access card system reads both older proximity cards in 125kHz format and newer high frequency cards in the HID iClass format.</w:t>
      </w:r>
    </w:p>
    <w:p>
      <w:pPr>
        <w:spacing w:after="0" w:line="75" w:lineRule="exact"/>
        <w:rPr>
          <w:rFonts w:ascii="Arial" w:cs="Arial" w:eastAsia="Arial" w:hAnsi="Arial"/>
          <w:sz w:val="16"/>
          <w:szCs w:val="16"/>
          <w:color w:val="auto"/>
        </w:rPr>
      </w:pPr>
    </w:p>
    <w:p>
      <w:pPr>
        <w:ind w:left="1806" w:hanging="462"/>
        <w:spacing w:after="0"/>
        <w:tabs>
          <w:tab w:leader="none" w:pos="1806" w:val="left"/>
        </w:tabs>
        <w:numPr>
          <w:ilvl w:val="2"/>
          <w:numId w:val="498"/>
        </w:numPr>
        <w:rPr>
          <w:rFonts w:ascii="Arial" w:cs="Arial" w:eastAsia="Arial" w:hAnsi="Arial"/>
          <w:sz w:val="16"/>
          <w:szCs w:val="16"/>
          <w:color w:val="auto"/>
        </w:rPr>
      </w:pPr>
      <w:r>
        <w:rPr>
          <w:rFonts w:ascii="Arial" w:cs="Arial" w:eastAsia="Arial" w:hAnsi="Arial"/>
          <w:sz w:val="16"/>
          <w:szCs w:val="16"/>
          <w:color w:val="auto"/>
        </w:rPr>
        <w:t>Base building access card reader model: HID RP40</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498"/>
        </w:numPr>
        <w:rPr>
          <w:rFonts w:ascii="Arial" w:cs="Arial" w:eastAsia="Arial" w:hAnsi="Arial"/>
          <w:sz w:val="16"/>
          <w:szCs w:val="16"/>
          <w:color w:val="auto"/>
        </w:rPr>
      </w:pPr>
      <w:r>
        <w:rPr>
          <w:rFonts w:ascii="Arial" w:cs="Arial" w:eastAsia="Arial" w:hAnsi="Arial"/>
          <w:sz w:val="16"/>
          <w:szCs w:val="16"/>
          <w:color w:val="auto"/>
        </w:rPr>
        <w:t>Base building access card format: HID Corporate 1000 Format</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498"/>
        </w:numPr>
        <w:rPr>
          <w:rFonts w:ascii="Arial" w:cs="Arial" w:eastAsia="Arial" w:hAnsi="Arial"/>
          <w:sz w:val="13"/>
          <w:szCs w:val="13"/>
          <w:color w:val="auto"/>
        </w:rPr>
      </w:pPr>
      <w:r>
        <w:rPr>
          <w:rFonts w:ascii="Arial" w:cs="Arial" w:eastAsia="Arial" w:hAnsi="Arial"/>
          <w:sz w:val="13"/>
          <w:szCs w:val="13"/>
          <w:color w:val="auto"/>
        </w:rPr>
        <w:t>Part Number: 1386LGGMN MC-1000 Format# H2004333 (*Base building cards are ordered by property management)</w:t>
      </w:r>
    </w:p>
    <w:p>
      <w:pPr>
        <w:spacing w:after="0" w:line="145" w:lineRule="exact"/>
        <w:rPr>
          <w:rFonts w:ascii="Arial" w:cs="Arial" w:eastAsia="Arial" w:hAnsi="Arial"/>
          <w:sz w:val="13"/>
          <w:szCs w:val="13"/>
          <w:color w:val="auto"/>
        </w:rPr>
      </w:pPr>
    </w:p>
    <w:p>
      <w:pPr>
        <w:ind w:left="1806" w:hanging="462"/>
        <w:spacing w:after="0"/>
        <w:tabs>
          <w:tab w:leader="none" w:pos="1806" w:val="left"/>
        </w:tabs>
        <w:numPr>
          <w:ilvl w:val="2"/>
          <w:numId w:val="498"/>
        </w:numPr>
        <w:rPr>
          <w:rFonts w:ascii="Arial" w:cs="Arial" w:eastAsia="Arial" w:hAnsi="Arial"/>
          <w:sz w:val="16"/>
          <w:szCs w:val="16"/>
          <w:color w:val="auto"/>
        </w:rPr>
      </w:pPr>
      <w:r>
        <w:rPr>
          <w:rFonts w:ascii="Arial" w:cs="Arial" w:eastAsia="Arial" w:hAnsi="Arial"/>
          <w:sz w:val="16"/>
          <w:szCs w:val="16"/>
          <w:color w:val="auto"/>
        </w:rPr>
        <w:t>Assigned to HCP Oyster Point III, LLC</w:t>
      </w:r>
    </w:p>
    <w:p>
      <w:pPr>
        <w:spacing w:after="0" w:line="110" w:lineRule="exact"/>
        <w:rPr>
          <w:rFonts w:ascii="Arial" w:cs="Arial" w:eastAsia="Arial" w:hAnsi="Arial"/>
          <w:sz w:val="16"/>
          <w:szCs w:val="16"/>
          <w:color w:val="auto"/>
        </w:rPr>
      </w:pPr>
    </w:p>
    <w:p>
      <w:pPr>
        <w:ind w:left="1246" w:right="340" w:hanging="291"/>
        <w:spacing w:after="0" w:line="253" w:lineRule="auto"/>
        <w:tabs>
          <w:tab w:leader="none" w:pos="1246" w:val="left"/>
        </w:tabs>
        <w:numPr>
          <w:ilvl w:val="1"/>
          <w:numId w:val="498"/>
        </w:numPr>
        <w:rPr>
          <w:rFonts w:ascii="Arial" w:cs="Arial" w:eastAsia="Arial" w:hAnsi="Arial"/>
          <w:sz w:val="16"/>
          <w:szCs w:val="16"/>
          <w:color w:val="auto"/>
        </w:rPr>
      </w:pPr>
      <w:r>
        <w:rPr>
          <w:rFonts w:ascii="Arial" w:cs="Arial" w:eastAsia="Arial" w:hAnsi="Arial"/>
          <w:sz w:val="16"/>
          <w:szCs w:val="16"/>
          <w:color w:val="auto"/>
        </w:rPr>
        <w:t>Base building system is manufactured by Lenel and uses the OnGuard software application. The Tenant may choose to install a suite-specific card access control system at the Tenant’s own responsibility and cost. The Tenant may be able to use their own security access card for access into the base building system depending on compatibility with the base building system outlined above.</w:t>
      </w:r>
    </w:p>
    <w:p>
      <w:pPr>
        <w:spacing w:after="0" w:line="73" w:lineRule="exact"/>
        <w:rPr>
          <w:sz w:val="20"/>
          <w:szCs w:val="20"/>
          <w:color w:val="auto"/>
        </w:rPr>
      </w:pPr>
    </w:p>
    <w:p>
      <w:pPr>
        <w:ind w:left="866" w:right="60"/>
        <w:spacing w:after="0" w:line="275" w:lineRule="auto"/>
        <w:rPr>
          <w:sz w:val="20"/>
          <w:szCs w:val="20"/>
          <w:color w:val="auto"/>
        </w:rPr>
      </w:pPr>
      <w:r>
        <w:rPr>
          <w:rFonts w:ascii="Arial" w:cs="Arial" w:eastAsia="Arial" w:hAnsi="Arial"/>
          <w:sz w:val="15"/>
          <w:szCs w:val="15"/>
          <w:color w:val="auto"/>
        </w:rPr>
        <w:t>Elevator (both passenger and freight) access can be programmed according to Tenant preferences during business hours. The Tenant may program elevators to be open-access to the Tenant floors, allowing deliveries to access the Tenant space, or require security card access to floors, which would require a Tenant representative to escort deliveries in the elevator. After-hours operation will require a Tenant representative to escort non-Tenant personnel up from building perimeter areas to Tenant areas.</w:t>
      </w:r>
    </w:p>
    <w:p>
      <w:pPr>
        <w:sectPr>
          <w:pgSz w:w="11900" w:h="16838" w:orient="portrait"/>
          <w:cols w:equalWidth="0" w:num="1">
            <w:col w:w="9586"/>
          </w:cols>
          <w:pgMar w:left="1134" w:top="257" w:right="1179" w:bottom="1440" w:gutter="0" w:footer="0" w:header="0"/>
        </w:sectPr>
      </w:pPr>
    </w:p>
    <w:bookmarkStart w:id="632" w:name="page633"/>
    <w:bookmarkEnd w:id="632"/>
    <w:p>
      <w:pPr>
        <w:ind w:left="866"/>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security card readers will not be allowed on the base building system; the Tenant may instead install a supplemental card access system within the Tenant space. The Tenant has the option of making Tenant access cards compatible with the base building access system in order that employees use a single access card throughout the base building and interior tenant spaces. Should the Tenant exercise this option, the Tenant’s responsibilities would include:</w:t>
      </w:r>
    </w:p>
    <w:p>
      <w:pPr>
        <w:spacing w:after="0" w:line="85" w:lineRule="exact"/>
        <w:rPr>
          <w:sz w:val="20"/>
          <w:szCs w:val="20"/>
          <w:color w:val="auto"/>
        </w:rPr>
      </w:pPr>
    </w:p>
    <w:p>
      <w:pPr>
        <w:ind w:left="1806" w:hanging="462"/>
        <w:spacing w:after="0" w:line="266" w:lineRule="auto"/>
        <w:tabs>
          <w:tab w:leader="none" w:pos="1806" w:val="left"/>
        </w:tabs>
        <w:numPr>
          <w:ilvl w:val="2"/>
          <w:numId w:val="499"/>
        </w:numPr>
        <w:rPr>
          <w:rFonts w:ascii="Arial" w:cs="Arial" w:eastAsia="Arial" w:hAnsi="Arial"/>
          <w:sz w:val="16"/>
          <w:szCs w:val="16"/>
          <w:color w:val="auto"/>
        </w:rPr>
      </w:pPr>
      <w:r>
        <w:rPr>
          <w:rFonts w:ascii="Arial" w:cs="Arial" w:eastAsia="Arial" w:hAnsi="Arial"/>
          <w:sz w:val="16"/>
          <w:szCs w:val="16"/>
          <w:color w:val="auto"/>
        </w:rPr>
        <w:t>Providing the Property Manager with the current Tenant access card format and facility code along with three (3) numbered sequential test cards in order to verify compatibility with the base building system.</w:t>
      </w:r>
    </w:p>
    <w:p>
      <w:pPr>
        <w:spacing w:after="0" w:line="75" w:lineRule="exact"/>
        <w:rPr>
          <w:rFonts w:ascii="Arial" w:cs="Arial" w:eastAsia="Arial" w:hAnsi="Arial"/>
          <w:sz w:val="16"/>
          <w:szCs w:val="16"/>
          <w:color w:val="auto"/>
        </w:rPr>
      </w:pPr>
    </w:p>
    <w:p>
      <w:pPr>
        <w:ind w:left="1806" w:hanging="462"/>
        <w:spacing w:after="0"/>
        <w:tabs>
          <w:tab w:leader="none" w:pos="1806" w:val="left"/>
        </w:tabs>
        <w:numPr>
          <w:ilvl w:val="2"/>
          <w:numId w:val="499"/>
        </w:numPr>
        <w:rPr>
          <w:rFonts w:ascii="Arial" w:cs="Arial" w:eastAsia="Arial" w:hAnsi="Arial"/>
          <w:sz w:val="16"/>
          <w:szCs w:val="16"/>
          <w:color w:val="auto"/>
        </w:rPr>
      </w:pPr>
      <w:r>
        <w:rPr>
          <w:rFonts w:ascii="Arial" w:cs="Arial" w:eastAsia="Arial" w:hAnsi="Arial"/>
          <w:sz w:val="16"/>
          <w:szCs w:val="16"/>
          <w:color w:val="auto"/>
        </w:rPr>
        <w:t>Providing the Property Manager with the name and contact information of the Administrator for the system.</w:t>
      </w:r>
    </w:p>
    <w:p>
      <w:pPr>
        <w:spacing w:after="0" w:line="110" w:lineRule="exact"/>
        <w:rPr>
          <w:rFonts w:ascii="Arial" w:cs="Arial" w:eastAsia="Arial" w:hAnsi="Arial"/>
          <w:sz w:val="16"/>
          <w:szCs w:val="16"/>
          <w:color w:val="auto"/>
        </w:rPr>
      </w:pPr>
    </w:p>
    <w:p>
      <w:pPr>
        <w:ind w:left="1806" w:right="620" w:hanging="462"/>
        <w:spacing w:after="0" w:line="266" w:lineRule="auto"/>
        <w:tabs>
          <w:tab w:leader="none" w:pos="1806" w:val="left"/>
        </w:tabs>
        <w:numPr>
          <w:ilvl w:val="2"/>
          <w:numId w:val="499"/>
        </w:numPr>
        <w:rPr>
          <w:rFonts w:ascii="Arial" w:cs="Arial" w:eastAsia="Arial" w:hAnsi="Arial"/>
          <w:sz w:val="16"/>
          <w:szCs w:val="16"/>
          <w:color w:val="auto"/>
        </w:rPr>
      </w:pPr>
      <w:r>
        <w:rPr>
          <w:rFonts w:ascii="Arial" w:cs="Arial" w:eastAsia="Arial" w:hAnsi="Arial"/>
          <w:sz w:val="16"/>
          <w:szCs w:val="16"/>
          <w:color w:val="auto"/>
        </w:rPr>
        <w:t>Coordinating with the Property Manager the protocol for adding and deleting users from the base building system cardholder database.</w:t>
      </w:r>
    </w:p>
    <w:p>
      <w:pPr>
        <w:spacing w:after="0" w:line="75" w:lineRule="exact"/>
        <w:rPr>
          <w:rFonts w:ascii="Arial" w:cs="Arial" w:eastAsia="Arial" w:hAnsi="Arial"/>
          <w:sz w:val="16"/>
          <w:szCs w:val="16"/>
          <w:color w:val="auto"/>
        </w:rPr>
      </w:pPr>
    </w:p>
    <w:p>
      <w:pPr>
        <w:ind w:left="2106" w:right="140" w:hanging="279"/>
        <w:spacing w:after="0" w:line="266" w:lineRule="auto"/>
        <w:tabs>
          <w:tab w:leader="none" w:pos="2106" w:val="left"/>
        </w:tabs>
        <w:numPr>
          <w:ilvl w:val="3"/>
          <w:numId w:val="499"/>
        </w:numPr>
        <w:rPr>
          <w:rFonts w:ascii="Arial" w:cs="Arial" w:eastAsia="Arial" w:hAnsi="Arial"/>
          <w:sz w:val="16"/>
          <w:szCs w:val="16"/>
          <w:color w:val="auto"/>
        </w:rPr>
      </w:pPr>
      <w:r>
        <w:rPr>
          <w:rFonts w:ascii="Arial" w:cs="Arial" w:eastAsia="Arial" w:hAnsi="Arial"/>
          <w:sz w:val="16"/>
          <w:szCs w:val="16"/>
          <w:color w:val="auto"/>
        </w:rPr>
        <w:t>If the Tenant chooses not to provide their existing access card information to the Landlord, the Tenant can use a base building-issued card for parking and perimeter building access only.</w:t>
      </w:r>
    </w:p>
    <w:p>
      <w:pPr>
        <w:spacing w:after="0" w:line="75" w:lineRule="exact"/>
        <w:rPr>
          <w:rFonts w:ascii="Arial" w:cs="Arial" w:eastAsia="Arial" w:hAnsi="Arial"/>
          <w:sz w:val="16"/>
          <w:szCs w:val="16"/>
          <w:color w:val="auto"/>
        </w:rPr>
      </w:pPr>
    </w:p>
    <w:p>
      <w:pPr>
        <w:ind w:left="386" w:hanging="386"/>
        <w:spacing w:after="0"/>
        <w:tabs>
          <w:tab w:leader="none" w:pos="38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Video Surveillance System:</w:t>
      </w:r>
    </w:p>
    <w:p>
      <w:pPr>
        <w:spacing w:after="0" w:line="98" w:lineRule="exact"/>
        <w:rPr>
          <w:rFonts w:ascii="Arial" w:cs="Arial" w:eastAsia="Arial" w:hAnsi="Arial"/>
          <w:sz w:val="16"/>
          <w:szCs w:val="16"/>
          <w:color w:val="auto"/>
        </w:rPr>
      </w:pPr>
    </w:p>
    <w:p>
      <w:pPr>
        <w:ind w:left="386" w:right="300"/>
        <w:spacing w:after="0" w:line="253" w:lineRule="auto"/>
        <w:rPr>
          <w:rFonts w:ascii="Arial" w:cs="Arial" w:eastAsia="Arial" w:hAnsi="Arial"/>
          <w:sz w:val="16"/>
          <w:szCs w:val="16"/>
          <w:color w:val="auto"/>
        </w:rPr>
      </w:pPr>
      <w:r>
        <w:rPr>
          <w:rFonts w:ascii="Arial" w:cs="Arial" w:eastAsia="Arial" w:hAnsi="Arial"/>
          <w:sz w:val="16"/>
          <w:szCs w:val="16"/>
          <w:color w:val="auto"/>
        </w:rPr>
        <w:t>The Tenant may choose to install in-suite video surveillance systems at the Tenant’s own responsibility and cost. The base building video surveillance system is provided at critical common entry areas on the first floor. Forensic incident information in those areas may be obtained when requested through Property Management. See base building security drawings for reference. Additional Tenant-installed exterior surveillance is subject to Landlord written approval.</w:t>
      </w:r>
    </w:p>
    <w:p>
      <w:pPr>
        <w:spacing w:after="0" w:line="84" w:lineRule="exact"/>
        <w:rPr>
          <w:rFonts w:ascii="Arial" w:cs="Arial" w:eastAsia="Arial" w:hAnsi="Arial"/>
          <w:sz w:val="16"/>
          <w:szCs w:val="16"/>
          <w:color w:val="auto"/>
        </w:rPr>
      </w:pPr>
    </w:p>
    <w:p>
      <w:pPr>
        <w:ind w:left="386" w:hanging="386"/>
        <w:spacing w:after="0"/>
        <w:tabs>
          <w:tab w:leader="none" w:pos="38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Intrusion Alarm System:</w:t>
      </w:r>
    </w:p>
    <w:p>
      <w:pPr>
        <w:spacing w:after="0" w:line="98" w:lineRule="exact"/>
        <w:rPr>
          <w:rFonts w:ascii="Arial" w:cs="Arial" w:eastAsia="Arial" w:hAnsi="Arial"/>
          <w:sz w:val="16"/>
          <w:szCs w:val="16"/>
          <w:color w:val="auto"/>
        </w:rPr>
      </w:pPr>
    </w:p>
    <w:p>
      <w:pPr>
        <w:ind w:left="386" w:right="140"/>
        <w:spacing w:after="0" w:line="251" w:lineRule="auto"/>
        <w:rPr>
          <w:rFonts w:ascii="Arial" w:cs="Arial" w:eastAsia="Arial" w:hAnsi="Arial"/>
          <w:sz w:val="16"/>
          <w:szCs w:val="16"/>
          <w:color w:val="auto"/>
        </w:rPr>
      </w:pPr>
      <w:r>
        <w:rPr>
          <w:rFonts w:ascii="Arial" w:cs="Arial" w:eastAsia="Arial" w:hAnsi="Arial"/>
          <w:sz w:val="16"/>
          <w:szCs w:val="16"/>
          <w:color w:val="auto"/>
        </w:rPr>
        <w:t>The Tenant may choose to install in-suite intrusion alarm system at the Tenant’s own responsibility and cost. The Tenant shall provide the name and contact information of the monitoring firm to the Property Manager in case of alarm activation. In addition, all licensing and permits are the responsibility of the Tenant. For integration of a base building stairwell access card reader with the Tenant space intrusion alarm system, the Tenant security vendor shall install a double pole double throw (DPDT) contact that allows for dual compatibility with the base building system and the Tenant intrusion panel.</w:t>
      </w:r>
    </w:p>
    <w:p>
      <w:pPr>
        <w:spacing w:after="0" w:line="87" w:lineRule="exact"/>
        <w:rPr>
          <w:rFonts w:ascii="Arial" w:cs="Arial" w:eastAsia="Arial" w:hAnsi="Arial"/>
          <w:sz w:val="16"/>
          <w:szCs w:val="16"/>
          <w:color w:val="auto"/>
        </w:rPr>
      </w:pPr>
    </w:p>
    <w:p>
      <w:pPr>
        <w:ind w:left="386" w:hanging="386"/>
        <w:spacing w:after="0"/>
        <w:tabs>
          <w:tab w:leader="none" w:pos="38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Intercom System:</w:t>
      </w:r>
    </w:p>
    <w:p>
      <w:pPr>
        <w:spacing w:after="0" w:line="98" w:lineRule="exact"/>
        <w:rPr>
          <w:rFonts w:ascii="Arial" w:cs="Arial" w:eastAsia="Arial" w:hAnsi="Arial"/>
          <w:sz w:val="16"/>
          <w:szCs w:val="16"/>
          <w:color w:val="auto"/>
        </w:rPr>
      </w:pPr>
    </w:p>
    <w:p>
      <w:pPr>
        <w:ind w:left="386" w:right="20"/>
        <w:spacing w:after="0" w:line="266" w:lineRule="auto"/>
        <w:rPr>
          <w:rFonts w:ascii="Arial" w:cs="Arial" w:eastAsia="Arial" w:hAnsi="Arial"/>
          <w:sz w:val="16"/>
          <w:szCs w:val="16"/>
          <w:color w:val="auto"/>
        </w:rPr>
      </w:pPr>
      <w:r>
        <w:rPr>
          <w:rFonts w:ascii="Arial" w:cs="Arial" w:eastAsia="Arial" w:hAnsi="Arial"/>
          <w:sz w:val="16"/>
          <w:szCs w:val="16"/>
          <w:color w:val="auto"/>
        </w:rPr>
        <w:t>The Tenant may choose to have the building intercom systems connected to their suite at the Tenant’s own responsibility and cost. The Tenant has two options for intercom system connectivity as outlined below.</w:t>
      </w:r>
    </w:p>
    <w:p>
      <w:pPr>
        <w:spacing w:after="0" w:line="63" w:lineRule="exact"/>
        <w:rPr>
          <w:rFonts w:ascii="Arial" w:cs="Arial" w:eastAsia="Arial" w:hAnsi="Arial"/>
          <w:sz w:val="16"/>
          <w:szCs w:val="16"/>
          <w:color w:val="auto"/>
        </w:rPr>
      </w:pPr>
    </w:p>
    <w:p>
      <w:pPr>
        <w:ind w:left="386"/>
        <w:spacing w:after="0"/>
        <w:rPr>
          <w:rFonts w:ascii="Arial" w:cs="Arial" w:eastAsia="Arial" w:hAnsi="Arial"/>
          <w:sz w:val="16"/>
          <w:szCs w:val="16"/>
          <w:color w:val="auto"/>
        </w:rPr>
      </w:pPr>
      <w:r>
        <w:rPr>
          <w:rFonts w:ascii="Arial" w:cs="Arial" w:eastAsia="Arial" w:hAnsi="Arial"/>
          <w:sz w:val="16"/>
          <w:szCs w:val="16"/>
          <w:color w:val="auto"/>
        </w:rPr>
        <w:t>Intercom System Operation:</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499"/>
        </w:numPr>
        <w:rPr>
          <w:rFonts w:ascii="Arial" w:cs="Arial" w:eastAsia="Arial" w:hAnsi="Arial"/>
          <w:sz w:val="16"/>
          <w:szCs w:val="16"/>
          <w:color w:val="auto"/>
        </w:rPr>
      </w:pPr>
      <w:r>
        <w:rPr>
          <w:rFonts w:ascii="Arial" w:cs="Arial" w:eastAsia="Arial" w:hAnsi="Arial"/>
          <w:sz w:val="16"/>
          <w:szCs w:val="16"/>
          <w:color w:val="auto"/>
        </w:rPr>
        <w:t>Visitors contact the Tenant’s suite master intercom directly from the perimeter intercom locations.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499"/>
        </w:numPr>
        <w:rPr>
          <w:rFonts w:ascii="Arial" w:cs="Arial" w:eastAsia="Arial" w:hAnsi="Arial"/>
          <w:sz w:val="16"/>
          <w:szCs w:val="16"/>
          <w:color w:val="auto"/>
        </w:rPr>
      </w:pPr>
      <w:r>
        <w:rPr>
          <w:rFonts w:ascii="Arial" w:cs="Arial" w:eastAsia="Arial" w:hAnsi="Arial"/>
          <w:sz w:val="16"/>
          <w:szCs w:val="16"/>
          <w:color w:val="auto"/>
        </w:rPr>
        <w:t>Direct voice communication and video authentication of the visitor through the intercom application.</w:t>
      </w:r>
    </w:p>
    <w:p>
      <w:pPr>
        <w:spacing w:after="0" w:line="110" w:lineRule="exact"/>
        <w:rPr>
          <w:rFonts w:ascii="Arial" w:cs="Arial" w:eastAsia="Arial" w:hAnsi="Arial"/>
          <w:sz w:val="16"/>
          <w:szCs w:val="16"/>
          <w:color w:val="auto"/>
        </w:rPr>
      </w:pPr>
    </w:p>
    <w:p>
      <w:pPr>
        <w:jc w:val="both"/>
        <w:ind w:left="1246" w:right="640" w:hanging="291"/>
        <w:spacing w:after="0" w:line="383" w:lineRule="auto"/>
        <w:tabs>
          <w:tab w:leader="none" w:pos="1246" w:val="left"/>
        </w:tabs>
        <w:numPr>
          <w:ilvl w:val="1"/>
          <w:numId w:val="499"/>
        </w:numPr>
        <w:rPr>
          <w:rFonts w:ascii="Arial" w:cs="Arial" w:eastAsia="Arial" w:hAnsi="Arial"/>
          <w:sz w:val="13"/>
          <w:szCs w:val="13"/>
          <w:color w:val="auto"/>
        </w:rPr>
      </w:pPr>
      <w:r>
        <w:rPr>
          <w:rFonts w:ascii="Arial" w:cs="Arial" w:eastAsia="Arial" w:hAnsi="Arial"/>
          <w:sz w:val="13"/>
          <w:szCs w:val="13"/>
          <w:color w:val="auto"/>
        </w:rPr>
        <w:t>Remote activation to the unlock feature allows the visitor to enter the building at the Tenant’s discretion. Please note that a pre-determined schedule with Property Management will limit the hours that the remote unlock feature will be functional.</w:t>
      </w:r>
    </w:p>
    <w:p>
      <w:pPr>
        <w:spacing w:after="0" w:line="183" w:lineRule="exact"/>
        <w:rPr>
          <w:rFonts w:ascii="Arial" w:cs="Arial" w:eastAsia="Arial" w:hAnsi="Arial"/>
          <w:sz w:val="13"/>
          <w:szCs w:val="13"/>
          <w:color w:val="auto"/>
        </w:rPr>
      </w:pPr>
    </w:p>
    <w:p>
      <w:pPr>
        <w:ind w:left="1246"/>
        <w:spacing w:after="0"/>
        <w:rPr>
          <w:rFonts w:ascii="Arial" w:cs="Arial" w:eastAsia="Arial" w:hAnsi="Arial"/>
          <w:sz w:val="13"/>
          <w:szCs w:val="13"/>
          <w:color w:val="auto"/>
        </w:rPr>
      </w:pPr>
      <w:r>
        <w:rPr>
          <w:rFonts w:ascii="Arial" w:cs="Arial" w:eastAsia="Arial" w:hAnsi="Arial"/>
          <w:sz w:val="16"/>
          <w:szCs w:val="16"/>
          <w:i w:val="1"/>
          <w:iCs w:val="1"/>
          <w:color w:val="auto"/>
        </w:rPr>
        <w:t>Option A – Hardwired Intercom System:</w:t>
      </w:r>
    </w:p>
    <w:p>
      <w:pPr>
        <w:spacing w:after="0" w:line="98" w:lineRule="exact"/>
        <w:rPr>
          <w:rFonts w:ascii="Arial" w:cs="Arial" w:eastAsia="Arial" w:hAnsi="Arial"/>
          <w:sz w:val="13"/>
          <w:szCs w:val="13"/>
          <w:color w:val="auto"/>
        </w:rPr>
      </w:pPr>
    </w:p>
    <w:p>
      <w:pPr>
        <w:ind w:left="1246"/>
        <w:spacing w:after="0"/>
        <w:rPr>
          <w:rFonts w:ascii="Arial" w:cs="Arial" w:eastAsia="Arial" w:hAnsi="Arial"/>
          <w:sz w:val="13"/>
          <w:szCs w:val="13"/>
          <w:color w:val="auto"/>
        </w:rPr>
      </w:pPr>
      <w:r>
        <w:rPr>
          <w:rFonts w:ascii="Arial" w:cs="Arial" w:eastAsia="Arial" w:hAnsi="Arial"/>
          <w:sz w:val="15"/>
          <w:szCs w:val="15"/>
          <w:color w:val="auto"/>
        </w:rPr>
        <w:t>If selected, the Tenant shall consider the following information as it relates to construction and operation of the Tenant space:</w:t>
      </w:r>
    </w:p>
    <w:p>
      <w:pPr>
        <w:sectPr>
          <w:pgSz w:w="11900" w:h="16838" w:orient="portrait"/>
          <w:cols w:equalWidth="0" w:num="1">
            <w:col w:w="9586"/>
          </w:cols>
          <w:pgMar w:left="1134" w:top="257" w:right="1179" w:bottom="1440" w:gutter="0" w:footer="0" w:header="0"/>
        </w:sectPr>
      </w:pPr>
    </w:p>
    <w:bookmarkStart w:id="633" w:name="page634"/>
    <w:bookmarkEnd w:id="633"/>
    <w:p>
      <w:pPr>
        <w:ind w:left="1806" w:hanging="462"/>
        <w:spacing w:after="0"/>
        <w:tabs>
          <w:tab w:leader="none" w:pos="1806" w:val="left"/>
        </w:tabs>
        <w:numPr>
          <w:ilvl w:val="0"/>
          <w:numId w:val="5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Intercom devices will be hardwire connected to the base building network</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Number of devices required per Tenant’s desires and device locations in-suite</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See product data sheets for compatible models of hardwired video intercom stations, listed below:</w:t>
      </w:r>
    </w:p>
    <w:p>
      <w:pPr>
        <w:spacing w:after="0" w:line="110" w:lineRule="exact"/>
        <w:rPr>
          <w:rFonts w:ascii="Arial" w:cs="Arial" w:eastAsia="Arial" w:hAnsi="Arial"/>
          <w:sz w:val="16"/>
          <w:szCs w:val="16"/>
          <w:color w:val="auto"/>
        </w:rPr>
      </w:pPr>
    </w:p>
    <w:p>
      <w:pPr>
        <w:ind w:left="2106" w:hanging="279"/>
        <w:spacing w:after="0"/>
        <w:tabs>
          <w:tab w:leader="none" w:pos="2106" w:val="left"/>
        </w:tabs>
        <w:numPr>
          <w:ilvl w:val="1"/>
          <w:numId w:val="500"/>
        </w:numPr>
        <w:rPr>
          <w:rFonts w:ascii="Arial" w:cs="Arial" w:eastAsia="Arial" w:hAnsi="Arial"/>
          <w:sz w:val="16"/>
          <w:szCs w:val="16"/>
          <w:color w:val="auto"/>
        </w:rPr>
      </w:pPr>
      <w:r>
        <w:rPr>
          <w:rFonts w:ascii="Arial" w:cs="Arial" w:eastAsia="Arial" w:hAnsi="Arial"/>
          <w:sz w:val="16"/>
          <w:szCs w:val="16"/>
          <w:color w:val="auto"/>
        </w:rPr>
        <w:t>SNOM 760 IP Master station</w:t>
      </w:r>
    </w:p>
    <w:p>
      <w:pPr>
        <w:spacing w:after="0" w:line="110" w:lineRule="exact"/>
        <w:rPr>
          <w:rFonts w:ascii="Arial" w:cs="Arial" w:eastAsia="Arial" w:hAnsi="Arial"/>
          <w:sz w:val="16"/>
          <w:szCs w:val="16"/>
          <w:color w:val="auto"/>
        </w:rPr>
      </w:pPr>
    </w:p>
    <w:p>
      <w:pPr>
        <w:ind w:left="2106" w:hanging="279"/>
        <w:spacing w:after="0"/>
        <w:tabs>
          <w:tab w:leader="none" w:pos="2106" w:val="left"/>
        </w:tabs>
        <w:numPr>
          <w:ilvl w:val="1"/>
          <w:numId w:val="500"/>
        </w:numPr>
        <w:rPr>
          <w:rFonts w:ascii="Arial" w:cs="Arial" w:eastAsia="Arial" w:hAnsi="Arial"/>
          <w:sz w:val="16"/>
          <w:szCs w:val="16"/>
          <w:color w:val="auto"/>
        </w:rPr>
      </w:pPr>
      <w:r>
        <w:rPr>
          <w:rFonts w:ascii="Arial" w:cs="Arial" w:eastAsia="Arial" w:hAnsi="Arial"/>
          <w:sz w:val="16"/>
          <w:szCs w:val="16"/>
          <w:color w:val="auto"/>
        </w:rPr>
        <w:t>Stentofon IP Master station</w:t>
      </w:r>
    </w:p>
    <w:p>
      <w:pPr>
        <w:spacing w:after="0" w:line="288" w:lineRule="exact"/>
        <w:rPr>
          <w:sz w:val="20"/>
          <w:szCs w:val="20"/>
          <w:color w:val="auto"/>
        </w:rPr>
      </w:pPr>
    </w:p>
    <w:p>
      <w:pPr>
        <w:ind w:left="1246"/>
        <w:spacing w:after="0"/>
        <w:rPr>
          <w:sz w:val="20"/>
          <w:szCs w:val="20"/>
          <w:color w:val="auto"/>
        </w:rPr>
      </w:pPr>
      <w:r>
        <w:rPr>
          <w:rFonts w:ascii="Arial" w:cs="Arial" w:eastAsia="Arial" w:hAnsi="Arial"/>
          <w:sz w:val="16"/>
          <w:szCs w:val="16"/>
          <w:i w:val="1"/>
          <w:iCs w:val="1"/>
          <w:color w:val="auto"/>
        </w:rPr>
        <w:t>Option B – Wireless Intercom Device:</w:t>
      </w:r>
    </w:p>
    <w:p>
      <w:pPr>
        <w:spacing w:after="0" w:line="99" w:lineRule="exact"/>
        <w:rPr>
          <w:sz w:val="20"/>
          <w:szCs w:val="20"/>
          <w:color w:val="auto"/>
        </w:rPr>
      </w:pPr>
    </w:p>
    <w:p>
      <w:pPr>
        <w:ind w:left="1246" w:right="160"/>
        <w:spacing w:after="0" w:line="275" w:lineRule="auto"/>
        <w:rPr>
          <w:sz w:val="20"/>
          <w:szCs w:val="20"/>
          <w:color w:val="auto"/>
        </w:rPr>
      </w:pPr>
      <w:r>
        <w:rPr>
          <w:rFonts w:ascii="Arial" w:cs="Arial" w:eastAsia="Arial" w:hAnsi="Arial"/>
          <w:sz w:val="15"/>
          <w:szCs w:val="15"/>
          <w:color w:val="auto"/>
        </w:rPr>
        <w:t>The Tenant may choose to have a wireless intercom device via a suite specific Wireless Access Point (WAP). The master intercom station software application shall run on Apple Mini-iPads. The wireless intercom device is functional within the constraints of the wireless communication signal area provided through the WAP. Please note, that due to the WAP being on the house security network, the device will need to be dedicated to security and cannot be installed on private devices.</w:t>
      </w:r>
    </w:p>
    <w:p>
      <w:pPr>
        <w:spacing w:after="0" w:line="58" w:lineRule="exact"/>
        <w:rPr>
          <w:sz w:val="20"/>
          <w:szCs w:val="20"/>
          <w:color w:val="auto"/>
        </w:rPr>
      </w:pPr>
    </w:p>
    <w:p>
      <w:pPr>
        <w:ind w:left="1246"/>
        <w:spacing w:after="0"/>
        <w:rPr>
          <w:sz w:val="20"/>
          <w:szCs w:val="20"/>
          <w:color w:val="auto"/>
        </w:rPr>
      </w:pPr>
      <w:r>
        <w:rPr>
          <w:rFonts w:ascii="Arial" w:cs="Arial" w:eastAsia="Arial" w:hAnsi="Arial"/>
          <w:sz w:val="15"/>
          <w:szCs w:val="15"/>
          <w:color w:val="auto"/>
        </w:rPr>
        <w:t>If selected, the Tenant shall consider the following information as it relates to construction and operation of the Tenant space:</w:t>
      </w:r>
    </w:p>
    <w:p>
      <w:pPr>
        <w:spacing w:after="0" w:line="122" w:lineRule="exact"/>
        <w:rPr>
          <w:sz w:val="20"/>
          <w:szCs w:val="20"/>
          <w:color w:val="auto"/>
        </w:rPr>
      </w:pPr>
    </w:p>
    <w:p>
      <w:pPr>
        <w:ind w:left="1806" w:hanging="462"/>
        <w:spacing w:after="0"/>
        <w:tabs>
          <w:tab w:leader="none" w:pos="1806" w:val="left"/>
        </w:tabs>
        <w:numPr>
          <w:ilvl w:val="1"/>
          <w:numId w:val="501"/>
        </w:numPr>
        <w:rPr>
          <w:rFonts w:ascii="Arial" w:cs="Arial" w:eastAsia="Arial" w:hAnsi="Arial"/>
          <w:sz w:val="16"/>
          <w:szCs w:val="16"/>
          <w:color w:val="auto"/>
        </w:rPr>
      </w:pPr>
      <w:r>
        <w:rPr>
          <w:rFonts w:ascii="Arial" w:cs="Arial" w:eastAsia="Arial" w:hAnsi="Arial"/>
          <w:sz w:val="16"/>
          <w:szCs w:val="16"/>
          <w:color w:val="auto"/>
        </w:rPr>
        <w:t>Devices will be connected to the base building network</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1"/>
          <w:numId w:val="501"/>
        </w:numPr>
        <w:rPr>
          <w:rFonts w:ascii="Arial" w:cs="Arial" w:eastAsia="Arial" w:hAnsi="Arial"/>
          <w:sz w:val="16"/>
          <w:szCs w:val="16"/>
          <w:color w:val="auto"/>
        </w:rPr>
      </w:pPr>
      <w:r>
        <w:rPr>
          <w:rFonts w:ascii="Arial" w:cs="Arial" w:eastAsia="Arial" w:hAnsi="Arial"/>
          <w:sz w:val="16"/>
          <w:szCs w:val="16"/>
          <w:color w:val="auto"/>
        </w:rPr>
        <w:t>Type of wall mount (if desired) and quantity of mini iPads required for the desk charging station</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1"/>
          <w:numId w:val="501"/>
        </w:numPr>
        <w:rPr>
          <w:rFonts w:ascii="Arial" w:cs="Arial" w:eastAsia="Arial" w:hAnsi="Arial"/>
          <w:sz w:val="16"/>
          <w:szCs w:val="16"/>
          <w:color w:val="auto"/>
        </w:rPr>
      </w:pPr>
      <w:r>
        <w:rPr>
          <w:rFonts w:ascii="Arial" w:cs="Arial" w:eastAsia="Arial" w:hAnsi="Arial"/>
          <w:sz w:val="16"/>
          <w:szCs w:val="16"/>
          <w:color w:val="auto"/>
        </w:rPr>
        <w:t>Anticipated intercom locations (Required for WAP installation locations as part of the TI build-out)</w:t>
      </w:r>
    </w:p>
    <w:p>
      <w:pPr>
        <w:spacing w:after="0" w:line="193" w:lineRule="exact"/>
        <w:rPr>
          <w:rFonts w:ascii="Arial" w:cs="Arial" w:eastAsia="Arial" w:hAnsi="Arial"/>
          <w:sz w:val="16"/>
          <w:szCs w:val="16"/>
          <w:color w:val="auto"/>
        </w:rPr>
      </w:pPr>
    </w:p>
    <w:p>
      <w:pPr>
        <w:ind w:left="166" w:hanging="166"/>
        <w:spacing w:after="0"/>
        <w:tabs>
          <w:tab w:leader="none" w:pos="166" w:val="left"/>
        </w:tabs>
        <w:numPr>
          <w:ilvl w:val="0"/>
          <w:numId w:val="50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IDF AND UTILITIES</w:t>
      </w:r>
    </w:p>
    <w:p>
      <w:pPr>
        <w:spacing w:after="0" w:line="111"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8a.</w:t>
      </w:r>
      <w:r>
        <w:rPr>
          <w:sz w:val="20"/>
          <w:szCs w:val="20"/>
          <w:color w:val="auto"/>
        </w:rPr>
        <w:tab/>
      </w:r>
      <w:r>
        <w:rPr>
          <w:rFonts w:ascii="Arial" w:cs="Arial" w:eastAsia="Arial" w:hAnsi="Arial"/>
          <w:sz w:val="16"/>
          <w:szCs w:val="16"/>
          <w:color w:val="auto"/>
        </w:rPr>
        <w:t>IDF Rooms:</w:t>
      </w:r>
    </w:p>
    <w:p>
      <w:pPr>
        <w:spacing w:after="0" w:line="99" w:lineRule="exact"/>
        <w:rPr>
          <w:sz w:val="20"/>
          <w:szCs w:val="20"/>
          <w:color w:val="auto"/>
        </w:rPr>
      </w:pPr>
    </w:p>
    <w:p>
      <w:pPr>
        <w:ind w:left="866"/>
        <w:spacing w:after="0" w:line="275" w:lineRule="auto"/>
        <w:rPr>
          <w:sz w:val="20"/>
          <w:szCs w:val="20"/>
          <w:color w:val="auto"/>
        </w:rPr>
      </w:pPr>
      <w:r>
        <w:rPr>
          <w:rFonts w:ascii="Arial" w:cs="Arial" w:eastAsia="Arial" w:hAnsi="Arial"/>
          <w:sz w:val="15"/>
          <w:szCs w:val="15"/>
          <w:color w:val="auto"/>
        </w:rPr>
        <w:t>IDF rooms are vertically stacked above the ground floor main point of utility entry MPOE Room. Conduit risers are provided within IDF rooms on each floor for Tenants to tie into the MPOE (two (2) 4” conduits per floor) and are allotted per the lease agreement. Sleeves are provided between floors and require Landlord approval prior to Tenant use. Any roof penetrations for conduit is the responsibility of the TI Contractor. The Tenant is responsible for providing the required ventilation in IDF rooms.</w:t>
      </w:r>
    </w:p>
    <w:p>
      <w:pPr>
        <w:spacing w:after="0" w:line="70"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8b.</w:t>
      </w:r>
      <w:r>
        <w:rPr>
          <w:sz w:val="20"/>
          <w:szCs w:val="20"/>
          <w:color w:val="auto"/>
        </w:rPr>
        <w:tab/>
      </w:r>
      <w:r>
        <w:rPr>
          <w:rFonts w:ascii="Arial" w:cs="Arial" w:eastAsia="Arial" w:hAnsi="Arial"/>
          <w:sz w:val="16"/>
          <w:szCs w:val="16"/>
          <w:color w:val="auto"/>
        </w:rPr>
        <w:t>Campus Interconnecting Conduit:</w:t>
      </w:r>
    </w:p>
    <w:p>
      <w:pPr>
        <w:spacing w:after="0" w:line="99" w:lineRule="exact"/>
        <w:rPr>
          <w:sz w:val="20"/>
          <w:szCs w:val="20"/>
          <w:color w:val="auto"/>
        </w:rPr>
      </w:pPr>
    </w:p>
    <w:p>
      <w:pPr>
        <w:ind w:left="866" w:right="240"/>
        <w:spacing w:after="0" w:line="266" w:lineRule="auto"/>
        <w:rPr>
          <w:sz w:val="20"/>
          <w:szCs w:val="20"/>
          <w:color w:val="auto"/>
        </w:rPr>
      </w:pPr>
      <w:r>
        <w:rPr>
          <w:rFonts w:ascii="Arial" w:cs="Arial" w:eastAsia="Arial" w:hAnsi="Arial"/>
          <w:sz w:val="16"/>
          <w:szCs w:val="16"/>
          <w:color w:val="auto"/>
        </w:rPr>
        <w:t>A campus interconnecting conduit loop connecting all Cove buildings is available for Tenant use subject to Landlord approval. Refer to the site utility drawings for routing layout.</w:t>
      </w:r>
    </w:p>
    <w:p>
      <w:pPr>
        <w:sectPr>
          <w:pgSz w:w="11900" w:h="16838" w:orient="portrait"/>
          <w:cols w:equalWidth="0" w:num="1">
            <w:col w:w="9626"/>
          </w:cols>
          <w:pgMar w:left="1134" w:top="257" w:right="1139" w:bottom="1440" w:gutter="0" w:footer="0" w:header="0"/>
        </w:sectPr>
      </w:pPr>
    </w:p>
    <w:bookmarkStart w:id="634" w:name="page635"/>
    <w:bookmarkEnd w:id="634"/>
    <w:p>
      <w:pPr>
        <w:ind w:left="80"/>
        <w:spacing w:after="0"/>
        <w:tabs>
          <w:tab w:leader="none" w:pos="5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556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90105" cy="35560"/>
                    </a:xfrm>
                    <a:prstGeom prst="rect">
                      <a:avLst/>
                    </a:prstGeom>
                    <a:noFill/>
                  </pic:spPr>
                </pic:pic>
              </a:graphicData>
            </a:graphic>
          </wp:anchor>
        </w:drawing>
        <w:t>8c.</w:t>
      </w:r>
      <w:r>
        <w:rPr>
          <w:sz w:val="20"/>
          <w:szCs w:val="20"/>
          <w:color w:val="auto"/>
        </w:rPr>
        <w:tab/>
      </w:r>
      <w:r>
        <w:rPr>
          <w:rFonts w:ascii="Arial" w:cs="Arial" w:eastAsia="Arial" w:hAnsi="Arial"/>
          <w:sz w:val="16"/>
          <w:szCs w:val="16"/>
          <w:color w:val="auto"/>
        </w:rPr>
        <w:t>Utilities Provided:</w:t>
      </w:r>
    </w:p>
    <w:p>
      <w:pPr>
        <w:spacing w:after="0" w:line="111" w:lineRule="exact"/>
        <w:rPr>
          <w:sz w:val="20"/>
          <w:szCs w:val="20"/>
          <w:color w:val="auto"/>
        </w:rPr>
      </w:pPr>
    </w:p>
    <w:p>
      <w:pPr>
        <w:ind w:left="940" w:hanging="386"/>
        <w:spacing w:after="0"/>
        <w:tabs>
          <w:tab w:leader="none" w:pos="9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Telephone/Data:</w:t>
      </w:r>
    </w:p>
    <w:p>
      <w:pPr>
        <w:spacing w:after="0" w:line="98" w:lineRule="exact"/>
        <w:rPr>
          <w:rFonts w:ascii="Arial" w:cs="Arial" w:eastAsia="Arial" w:hAnsi="Arial"/>
          <w:sz w:val="16"/>
          <w:szCs w:val="16"/>
          <w:color w:val="auto"/>
        </w:rPr>
      </w:pPr>
    </w:p>
    <w:p>
      <w:pPr>
        <w:ind w:left="940" w:right="199"/>
        <w:spacing w:after="0" w:line="300" w:lineRule="auto"/>
        <w:rPr>
          <w:rFonts w:ascii="Arial" w:cs="Arial" w:eastAsia="Arial" w:hAnsi="Arial"/>
          <w:sz w:val="16"/>
          <w:szCs w:val="16"/>
          <w:color w:val="auto"/>
        </w:rPr>
      </w:pPr>
      <w:r>
        <w:rPr>
          <w:rFonts w:ascii="Arial" w:cs="Arial" w:eastAsia="Arial" w:hAnsi="Arial"/>
          <w:sz w:val="15"/>
          <w:szCs w:val="15"/>
          <w:color w:val="auto"/>
        </w:rPr>
        <w:t>Infrastructure provided via two (2) 4” conduits with pull string. Tenant must coordinate pulling cable with phone/data service provider in order to receive service. The provided conduits are designed to AT&amp;T requirements.</w:t>
      </w:r>
    </w:p>
    <w:p>
      <w:pPr>
        <w:spacing w:after="0" w:line="52" w:lineRule="exact"/>
        <w:rPr>
          <w:rFonts w:ascii="Arial" w:cs="Arial" w:eastAsia="Arial" w:hAnsi="Arial"/>
          <w:sz w:val="16"/>
          <w:szCs w:val="16"/>
          <w:color w:val="auto"/>
        </w:rPr>
      </w:pPr>
    </w:p>
    <w:p>
      <w:pPr>
        <w:ind w:left="940" w:hanging="386"/>
        <w:spacing w:after="0"/>
        <w:tabs>
          <w:tab w:leader="none" w:pos="9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Natural Gas &amp; Electric: PG&amp;E</w:t>
      </w:r>
    </w:p>
    <w:p>
      <w:pPr>
        <w:spacing w:after="0" w:line="98"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Refer to base building drawings for electric and gas stub locations.</w:t>
      </w:r>
    </w:p>
    <w:p>
      <w:pPr>
        <w:spacing w:after="0" w:line="110" w:lineRule="exact"/>
        <w:rPr>
          <w:rFonts w:ascii="Arial" w:cs="Arial" w:eastAsia="Arial" w:hAnsi="Arial"/>
          <w:sz w:val="16"/>
          <w:szCs w:val="16"/>
          <w:color w:val="auto"/>
        </w:rPr>
      </w:pPr>
    </w:p>
    <w:p>
      <w:pPr>
        <w:ind w:left="940" w:hanging="386"/>
        <w:spacing w:after="0"/>
        <w:tabs>
          <w:tab w:leader="none" w:pos="9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Internet &amp; Cable:</w:t>
      </w:r>
    </w:p>
    <w:p>
      <w:pPr>
        <w:spacing w:after="0" w:line="98" w:lineRule="exact"/>
        <w:rPr>
          <w:rFonts w:ascii="Arial" w:cs="Arial" w:eastAsia="Arial" w:hAnsi="Arial"/>
          <w:sz w:val="16"/>
          <w:szCs w:val="16"/>
          <w:color w:val="auto"/>
        </w:rPr>
      </w:pPr>
    </w:p>
    <w:p>
      <w:pPr>
        <w:ind w:left="940" w:right="19"/>
        <w:spacing w:after="0" w:line="383" w:lineRule="auto"/>
        <w:rPr>
          <w:rFonts w:ascii="Arial" w:cs="Arial" w:eastAsia="Arial" w:hAnsi="Arial"/>
          <w:sz w:val="16"/>
          <w:szCs w:val="16"/>
          <w:color w:val="auto"/>
        </w:rPr>
      </w:pPr>
      <w:r>
        <w:rPr>
          <w:rFonts w:ascii="Arial" w:cs="Arial" w:eastAsia="Arial" w:hAnsi="Arial"/>
          <w:sz w:val="13"/>
          <w:szCs w:val="13"/>
          <w:color w:val="auto"/>
        </w:rPr>
        <w:t>Infrastructure provided via one (1) 2” conduit and one (1) 4” conduit with pull string. Tenant must coordinate pulling cable with internet and cable service provider in order to receive service. The provided conduits are designed to Comcast requirements.</w:t>
      </w:r>
    </w:p>
    <w:p>
      <w:pPr>
        <w:spacing w:after="0" w:line="6" w:lineRule="exact"/>
        <w:rPr>
          <w:rFonts w:ascii="Arial" w:cs="Arial" w:eastAsia="Arial" w:hAnsi="Arial"/>
          <w:sz w:val="16"/>
          <w:szCs w:val="16"/>
          <w:color w:val="auto"/>
        </w:rPr>
      </w:pPr>
    </w:p>
    <w:p>
      <w:pPr>
        <w:ind w:left="940" w:hanging="386"/>
        <w:spacing w:after="0"/>
        <w:tabs>
          <w:tab w:leader="none" w:pos="9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Water: Calwater</w:t>
      </w:r>
    </w:p>
    <w:p>
      <w:pPr>
        <w:sectPr>
          <w:pgSz w:w="11900" w:h="16838" w:orient="portrait"/>
          <w:cols w:equalWidth="0" w:num="1">
            <w:col w:w="9019"/>
          </w:cols>
          <w:pgMar w:left="1440" w:top="257" w:right="1440" w:bottom="1440" w:gutter="0" w:footer="0" w:header="0"/>
        </w:sectPr>
      </w:pPr>
    </w:p>
    <w:bookmarkStart w:id="635" w:name="page636"/>
    <w:bookmarkEnd w:id="635"/>
    <w:p>
      <w:pPr>
        <w:ind w:left="2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LEADERSHIP IN ENERGY AND ENVIRONMENTAL DESIGN (LEED)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 BASE BUILDING LEED CERTIFICATION</w:t>
      </w:r>
    </w:p>
    <w:p>
      <w:pPr>
        <w:spacing w:after="0" w:line="99" w:lineRule="exact"/>
        <w:rPr>
          <w:sz w:val="20"/>
          <w:szCs w:val="20"/>
          <w:color w:val="auto"/>
        </w:rPr>
      </w:pPr>
    </w:p>
    <w:p>
      <w:pPr>
        <w:jc w:val="both"/>
        <w:ind w:left="380" w:right="40"/>
        <w:spacing w:after="0" w:line="256" w:lineRule="auto"/>
        <w:rPr>
          <w:sz w:val="20"/>
          <w:szCs w:val="20"/>
          <w:color w:val="auto"/>
        </w:rPr>
      </w:pPr>
      <w:r>
        <w:rPr>
          <w:rFonts w:ascii="Arial" w:cs="Arial" w:eastAsia="Arial" w:hAnsi="Arial"/>
          <w:sz w:val="16"/>
          <w:szCs w:val="16"/>
          <w:color w:val="auto"/>
        </w:rPr>
        <w:t>The following is a list of LEED pre-requisites and credits that all Tenants are required to meet for their associated Tenant-occupied spaces beyond the current Core and Shell project scope, to maintain the Core and Shell LEED Silver Certification. By signing the Lease, Tenants are agreeing to comply with all of the outlined requirements.</w:t>
      </w:r>
    </w:p>
    <w:p>
      <w:pPr>
        <w:spacing w:after="0" w:line="83" w:lineRule="exact"/>
        <w:rPr>
          <w:sz w:val="20"/>
          <w:szCs w:val="20"/>
          <w:color w:val="auto"/>
        </w:rPr>
      </w:pPr>
    </w:p>
    <w:p>
      <w:pPr>
        <w:ind w:left="1240" w:hanging="29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Water Efficiency Prerequisite 1 and Credit 3, Water Use Reduction</w:t>
      </w:r>
    </w:p>
    <w:p>
      <w:pPr>
        <w:spacing w:after="0" w:line="110" w:lineRule="exact"/>
        <w:rPr>
          <w:rFonts w:ascii="Arial" w:cs="Arial" w:eastAsia="Arial" w:hAnsi="Arial"/>
          <w:sz w:val="16"/>
          <w:szCs w:val="16"/>
          <w:color w:val="auto"/>
        </w:rPr>
      </w:pPr>
    </w:p>
    <w:p>
      <w:pPr>
        <w:ind w:left="1800" w:right="220" w:hanging="462"/>
        <w:spacing w:after="0" w:line="266" w:lineRule="auto"/>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All toilets in the core or those that are Tenant-installed shall be dual-flush toilets or “high-efficiency,” using 1.28 gallons per flush (gpf) or less.</w:t>
      </w:r>
    </w:p>
    <w:p>
      <w:pPr>
        <w:spacing w:after="0" w:line="75"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All urinals shall be waterless or ultra low-flow e.g., 0.125 gpf or less.</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Bathroom faucets are required to have flow restrictors limiting flow to .5 gallons per minute (gpm).</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Kitchen and breakroom faucets to allow 1.8 gpm.</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Energy and Atmosphere Prerequisite 2, Minimum Energy Performance, and Credit 1, Optimize Energy Performance</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Envelope must meet the following requirements:</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Walls: U = 0.082</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Roof: U = 0.039</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Curtain Glazing: U = 0.27, SHGC = 0.29 (Viracon)</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Mechanical (Based on B3) systems must comply with the following:</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Chiller Efficiency: 0.549 kw/ton</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Boiler Efficiency: 93%</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Plumbing (Based on B3) must comply with the following:</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Water heater efficiency: 96%</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Lighting requirements are as follows:</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Office Spaces &gt; 250 ft2: 0.75 w/sf</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Office Spaces £ 250 ft2: 1.0 w/sf</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Lab Spaces: 1.4 w/sf</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Energy and Atmosphere Credit 4, Enhanced Refrigerant Management</w:t>
      </w:r>
    </w:p>
    <w:p>
      <w:pPr>
        <w:spacing w:after="0" w:line="110" w:lineRule="exact"/>
        <w:rPr>
          <w:rFonts w:ascii="Arial" w:cs="Arial" w:eastAsia="Arial" w:hAnsi="Arial"/>
          <w:sz w:val="16"/>
          <w:szCs w:val="16"/>
          <w:color w:val="auto"/>
        </w:rPr>
      </w:pPr>
    </w:p>
    <w:p>
      <w:pPr>
        <w:ind w:left="1800" w:right="120" w:hanging="462"/>
        <w:spacing w:after="0" w:line="266" w:lineRule="auto"/>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Tenants should specify HVAC systems that minimize refrigerant impact by avoiding refrigerants entirely or using systems that reduce their harmful impacts.</w:t>
      </w:r>
    </w:p>
    <w:p>
      <w:pPr>
        <w:spacing w:after="0" w:line="75"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Tenants should not install or retain fire suppression systems with CFCs, HCFCs, or halons.</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Energy and Atmosphere Credit 5, Measurement &amp; Verification</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Tenants will be required to sub-meter</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Indoor Environmental Quality Prerequisite 1, Minimum Indoor Air Quality (IAQ) Performance</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Tenant-installed mechanical ventilation systems must meet the requirements of ASHRAE 62.1-2007</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sections 4-7.</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Indoor Environmental Quality Credit 1, Outdoor Air Delivery Monitoring</w:t>
      </w:r>
    </w:p>
    <w:p>
      <w:pPr>
        <w:spacing w:after="0" w:line="110" w:lineRule="exact"/>
        <w:rPr>
          <w:rFonts w:ascii="Arial" w:cs="Arial" w:eastAsia="Arial" w:hAnsi="Arial"/>
          <w:sz w:val="16"/>
          <w:szCs w:val="16"/>
          <w:color w:val="auto"/>
        </w:rPr>
      </w:pPr>
    </w:p>
    <w:p>
      <w:pPr>
        <w:ind w:left="1800" w:hanging="462"/>
        <w:spacing w:after="0" w:line="383" w:lineRule="auto"/>
        <w:tabs>
          <w:tab w:leader="none" w:pos="1800" w:val="left"/>
        </w:tabs>
        <w:numPr>
          <w:ilvl w:val="1"/>
          <w:numId w:val="503"/>
        </w:numPr>
        <w:rPr>
          <w:rFonts w:ascii="Arial" w:cs="Arial" w:eastAsia="Arial" w:hAnsi="Arial"/>
          <w:sz w:val="13"/>
          <w:szCs w:val="13"/>
          <w:color w:val="auto"/>
        </w:rPr>
      </w:pPr>
      <w:r>
        <w:rPr>
          <w:rFonts w:ascii="Arial" w:cs="Arial" w:eastAsia="Arial" w:hAnsi="Arial"/>
          <w:sz w:val="13"/>
          <w:szCs w:val="13"/>
          <w:color w:val="auto"/>
        </w:rPr>
        <w:t>For mechanical ventilation systems that predominantly serve densely occupied spaces (those with a design occupant density greater than or equal to 25 people per 1000 sq. ft), Tenants shall install a CO2 sensor within each densely occupied space.</w:t>
      </w:r>
    </w:p>
    <w:p>
      <w:pPr>
        <w:spacing w:after="0" w:line="6" w:lineRule="exact"/>
        <w:rPr>
          <w:rFonts w:ascii="Arial" w:cs="Arial" w:eastAsia="Arial" w:hAnsi="Arial"/>
          <w:sz w:val="13"/>
          <w:szCs w:val="13"/>
          <w:color w:val="auto"/>
        </w:rPr>
      </w:pPr>
    </w:p>
    <w:p>
      <w:pPr>
        <w:ind w:left="1800" w:right="300" w:hanging="462"/>
        <w:spacing w:after="0" w:line="256" w:lineRule="auto"/>
        <w:tabs>
          <w:tab w:leader="none" w:pos="18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For all other mechanical ventilation systems, provide an outdoor airflow measurement device capable of measuring the minimum outdoor airflow rate at all expected system operating conditions within 15 percent of the design minimum outdoor air rate.</w:t>
      </w:r>
    </w:p>
    <w:p>
      <w:pPr>
        <w:spacing w:after="0" w:line="83" w:lineRule="exact"/>
        <w:rPr>
          <w:rFonts w:ascii="Arial" w:cs="Arial" w:eastAsia="Arial" w:hAnsi="Arial"/>
          <w:sz w:val="16"/>
          <w:szCs w:val="16"/>
          <w:color w:val="auto"/>
        </w:rPr>
      </w:pPr>
    </w:p>
    <w:p>
      <w:pPr>
        <w:ind w:left="1240" w:hanging="29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Indoor Environmental Quality Credit 5, Indoor Chemical and Pollutant Source Control</w:t>
      </w:r>
    </w:p>
    <w:p>
      <w:pPr>
        <w:sectPr>
          <w:pgSz w:w="11900" w:h="16838" w:orient="portrait"/>
          <w:cols w:equalWidth="0" w:num="1">
            <w:col w:w="9600"/>
          </w:cols>
          <w:pgMar w:left="1140" w:top="252" w:right="1159" w:bottom="1440" w:gutter="0" w:footer="0" w:header="0"/>
        </w:sectPr>
      </w:pPr>
    </w:p>
    <w:bookmarkStart w:id="636" w:name="page637"/>
    <w:bookmarkEnd w:id="636"/>
    <w:p>
      <w:pPr>
        <w:ind w:left="1806" w:hanging="462"/>
        <w:spacing w:after="0"/>
        <w:tabs>
          <w:tab w:leader="none" w:pos="1806" w:val="left"/>
        </w:tabs>
        <w:numPr>
          <w:ilvl w:val="2"/>
          <w:numId w:val="5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Walk off mats are installed at all building main entrances as part of the core and shell scope.</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504"/>
        </w:numPr>
        <w:rPr>
          <w:rFonts w:ascii="Arial" w:cs="Arial" w:eastAsia="Arial" w:hAnsi="Arial"/>
          <w:sz w:val="16"/>
          <w:szCs w:val="16"/>
          <w:color w:val="auto"/>
        </w:rPr>
      </w:pPr>
      <w:r>
        <w:rPr>
          <w:rFonts w:ascii="Arial" w:cs="Arial" w:eastAsia="Arial" w:hAnsi="Arial"/>
          <w:sz w:val="16"/>
          <w:szCs w:val="16"/>
          <w:color w:val="auto"/>
        </w:rPr>
        <w:t>744331.07/WLA</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504"/>
        </w:numPr>
        <w:rPr>
          <w:rFonts w:ascii="Arial" w:cs="Arial" w:eastAsia="Arial" w:hAnsi="Arial"/>
          <w:sz w:val="16"/>
          <w:szCs w:val="16"/>
          <w:color w:val="auto"/>
        </w:rPr>
      </w:pPr>
      <w:r>
        <w:rPr>
          <w:rFonts w:ascii="Arial" w:cs="Arial" w:eastAsia="Arial" w:hAnsi="Arial"/>
          <w:sz w:val="16"/>
          <w:szCs w:val="16"/>
          <w:color w:val="auto"/>
        </w:rPr>
        <w:t>375072-00001/12-9-15/gjn/gjn</w:t>
      </w:r>
    </w:p>
    <w:p>
      <w:pPr>
        <w:spacing w:after="0" w:line="110" w:lineRule="exact"/>
        <w:rPr>
          <w:rFonts w:ascii="Arial" w:cs="Arial" w:eastAsia="Arial" w:hAnsi="Arial"/>
          <w:sz w:val="16"/>
          <w:szCs w:val="16"/>
          <w:color w:val="auto"/>
        </w:rPr>
      </w:pPr>
    </w:p>
    <w:p>
      <w:pPr>
        <w:jc w:val="both"/>
        <w:ind w:left="1806" w:hanging="462"/>
        <w:spacing w:after="0" w:line="256" w:lineRule="auto"/>
        <w:tabs>
          <w:tab w:leader="none" w:pos="1806" w:val="left"/>
        </w:tabs>
        <w:numPr>
          <w:ilvl w:val="2"/>
          <w:numId w:val="504"/>
        </w:numPr>
        <w:rPr>
          <w:rFonts w:ascii="Arial" w:cs="Arial" w:eastAsia="Arial" w:hAnsi="Arial"/>
          <w:sz w:val="16"/>
          <w:szCs w:val="16"/>
          <w:color w:val="auto"/>
        </w:rPr>
      </w:pPr>
      <w:r>
        <w:rPr>
          <w:rFonts w:ascii="Arial" w:cs="Arial" w:eastAsia="Arial" w:hAnsi="Arial"/>
          <w:sz w:val="16"/>
          <w:szCs w:val="16"/>
          <w:color w:val="auto"/>
        </w:rPr>
        <w:t>All rooms that contain chemicals or pollutants (such as copy rooms, photo labs, laundry, and janitorial rooms) must be built with deck-to-deck full-height walls and self-closing doors, separate ventilation systems with minimum .50 cfm/sqft exhaust fans, and containment drains for appropriate disposal of hazardous liquids</w:t>
      </w:r>
    </w:p>
    <w:p>
      <w:pPr>
        <w:spacing w:after="0" w:line="83" w:lineRule="exact"/>
        <w:rPr>
          <w:rFonts w:ascii="Arial" w:cs="Arial" w:eastAsia="Arial" w:hAnsi="Arial"/>
          <w:sz w:val="16"/>
          <w:szCs w:val="16"/>
          <w:color w:val="auto"/>
        </w:rPr>
      </w:pPr>
    </w:p>
    <w:p>
      <w:pPr>
        <w:ind w:left="1806" w:hanging="462"/>
        <w:spacing w:after="0"/>
        <w:tabs>
          <w:tab w:leader="none" w:pos="1806" w:val="left"/>
        </w:tabs>
        <w:numPr>
          <w:ilvl w:val="2"/>
          <w:numId w:val="504"/>
        </w:numPr>
        <w:rPr>
          <w:rFonts w:ascii="Arial" w:cs="Arial" w:eastAsia="Arial" w:hAnsi="Arial"/>
          <w:sz w:val="16"/>
          <w:szCs w:val="16"/>
          <w:color w:val="auto"/>
        </w:rPr>
      </w:pPr>
      <w:r>
        <w:rPr>
          <w:rFonts w:ascii="Arial" w:cs="Arial" w:eastAsia="Arial" w:hAnsi="Arial"/>
          <w:sz w:val="16"/>
          <w:szCs w:val="16"/>
          <w:color w:val="auto"/>
        </w:rPr>
        <w:t>Tenants must also install MERV – 13 filters for all return and outside air intakes in regularly occupied</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504"/>
        </w:numPr>
        <w:rPr>
          <w:rFonts w:ascii="Arial" w:cs="Arial" w:eastAsia="Arial" w:hAnsi="Arial"/>
          <w:sz w:val="16"/>
          <w:szCs w:val="16"/>
          <w:color w:val="auto"/>
        </w:rPr>
      </w:pPr>
      <w:r>
        <w:rPr>
          <w:rFonts w:ascii="Arial" w:cs="Arial" w:eastAsia="Arial" w:hAnsi="Arial"/>
          <w:sz w:val="16"/>
          <w:szCs w:val="16"/>
          <w:color w:val="auto"/>
        </w:rPr>
        <w:t>mechanically ventilated spaces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504"/>
        </w:numPr>
        <w:rPr>
          <w:rFonts w:ascii="Arial" w:cs="Arial" w:eastAsia="Arial" w:hAnsi="Arial"/>
          <w:sz w:val="16"/>
          <w:szCs w:val="16"/>
          <w:color w:val="auto"/>
        </w:rPr>
      </w:pPr>
      <w:r>
        <w:rPr>
          <w:rFonts w:ascii="Arial" w:cs="Arial" w:eastAsia="Arial" w:hAnsi="Arial"/>
          <w:sz w:val="16"/>
          <w:szCs w:val="16"/>
          <w:color w:val="auto"/>
        </w:rPr>
        <w:t>Indoor Environmental Quality Credit 7, Thermal Comfort - Design</w:t>
      </w:r>
    </w:p>
    <w:p>
      <w:pPr>
        <w:spacing w:after="0" w:line="110" w:lineRule="exact"/>
        <w:rPr>
          <w:rFonts w:ascii="Arial" w:cs="Arial" w:eastAsia="Arial" w:hAnsi="Arial"/>
          <w:sz w:val="16"/>
          <w:szCs w:val="16"/>
          <w:color w:val="auto"/>
        </w:rPr>
      </w:pPr>
    </w:p>
    <w:p>
      <w:pPr>
        <w:ind w:left="1806" w:right="680" w:hanging="462"/>
        <w:spacing w:after="0" w:line="266" w:lineRule="auto"/>
        <w:tabs>
          <w:tab w:leader="none" w:pos="1806" w:val="left"/>
        </w:tabs>
        <w:numPr>
          <w:ilvl w:val="2"/>
          <w:numId w:val="504"/>
        </w:numPr>
        <w:rPr>
          <w:rFonts w:ascii="Arial" w:cs="Arial" w:eastAsia="Arial" w:hAnsi="Arial"/>
          <w:sz w:val="16"/>
          <w:szCs w:val="16"/>
          <w:color w:val="auto"/>
        </w:rPr>
      </w:pPr>
      <w:r>
        <w:rPr>
          <w:rFonts w:ascii="Arial" w:cs="Arial" w:eastAsia="Arial" w:hAnsi="Arial"/>
          <w:sz w:val="16"/>
          <w:szCs w:val="16"/>
          <w:color w:val="auto"/>
        </w:rPr>
        <w:t>HVAC design must meet requirements of ASHRAE 55-2004, specifically in reference to air temperature, radiant temperature, humidity, and air speed</w:t>
      </w:r>
    </w:p>
    <w:p>
      <w:pPr>
        <w:spacing w:after="0" w:line="252" w:lineRule="exact"/>
        <w:rPr>
          <w:rFonts w:ascii="Arial" w:cs="Arial" w:eastAsia="Arial" w:hAnsi="Arial"/>
          <w:sz w:val="16"/>
          <w:szCs w:val="16"/>
          <w:color w:val="auto"/>
        </w:rPr>
      </w:pPr>
    </w:p>
    <w:p>
      <w:pPr>
        <w:ind w:left="166" w:hanging="166"/>
        <w:spacing w:after="0"/>
        <w:tabs>
          <w:tab w:leader="none" w:pos="166" w:val="left"/>
        </w:tabs>
        <w:numPr>
          <w:ilvl w:val="0"/>
          <w:numId w:val="50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TENANT IMPROVEMENT LEED CERTIFICATION</w:t>
      </w:r>
    </w:p>
    <w:p>
      <w:pPr>
        <w:spacing w:after="0" w:line="99" w:lineRule="exact"/>
        <w:rPr>
          <w:sz w:val="20"/>
          <w:szCs w:val="20"/>
          <w:color w:val="auto"/>
        </w:rPr>
      </w:pPr>
    </w:p>
    <w:p>
      <w:pPr>
        <w:ind w:left="866"/>
        <w:spacing w:after="0"/>
        <w:rPr>
          <w:sz w:val="20"/>
          <w:szCs w:val="20"/>
          <w:color w:val="auto"/>
        </w:rPr>
      </w:pPr>
      <w:r>
        <w:rPr>
          <w:rFonts w:ascii="Arial" w:cs="Arial" w:eastAsia="Arial" w:hAnsi="Arial"/>
          <w:sz w:val="16"/>
          <w:szCs w:val="16"/>
          <w:color w:val="auto"/>
        </w:rPr>
        <w:t>All TIs are required to achieve and obtain ID+C LEED Silver certification.</w:t>
      </w:r>
    </w:p>
    <w:p>
      <w:pPr>
        <w:sectPr>
          <w:pgSz w:w="11900" w:h="16838" w:orient="portrait"/>
          <w:cols w:equalWidth="0" w:num="1">
            <w:col w:w="9586"/>
          </w:cols>
          <w:pgMar w:left="1134" w:top="256" w:right="1179" w:bottom="1440" w:gutter="0" w:footer="0" w:header="0"/>
        </w:sectPr>
      </w:pPr>
    </w:p>
    <w:bookmarkStart w:id="637" w:name="page638"/>
    <w:bookmarkEnd w:id="63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CLIMATE ACTION PLAN</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Tenant shall fully comply with all present or future programs addressing the City of South San Francisco Climate Action Plan (CAP), as required by the City.</w:t>
      </w:r>
    </w:p>
    <w:p>
      <w:pPr>
        <w:sectPr>
          <w:pgSz w:w="11900" w:h="16838" w:orient="portrait"/>
          <w:cols w:equalWidth="0" w:num="1">
            <w:col w:w="9600"/>
          </w:cols>
          <w:pgMar w:left="1140" w:top="252" w:right="1159" w:bottom="1440" w:gutter="0" w:footer="0" w:header="0"/>
        </w:sectPr>
      </w:pPr>
    </w:p>
    <w:bookmarkStart w:id="638" w:name="page639"/>
    <w:bookmarkEnd w:id="63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IDENTIFICATION SIGNAGE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Refer to the Master Sign Program for detailed information.</w:t>
      </w:r>
    </w:p>
    <w:p>
      <w:pPr>
        <w:spacing w:after="0" w:line="111" w:lineRule="exact"/>
        <w:rPr>
          <w:sz w:val="20"/>
          <w:szCs w:val="20"/>
          <w:color w:val="auto"/>
        </w:rPr>
      </w:pPr>
    </w:p>
    <w:p>
      <w:pPr>
        <w:ind w:left="840" w:hanging="375"/>
        <w:spacing w:after="0"/>
        <w:tabs>
          <w:tab w:leader="none" w:pos="8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Campus Monument Signage:</w:t>
      </w:r>
    </w:p>
    <w:p>
      <w:pPr>
        <w:spacing w:after="0" w:line="1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3"/>
          <w:szCs w:val="13"/>
          <w:color w:val="auto"/>
        </w:rPr>
        <w:t>Campus monument signage is provided at various locations on the site. Tenant names/logo are not permitted on the campus monuments.</w:t>
      </w:r>
    </w:p>
    <w:p>
      <w:pPr>
        <w:spacing w:after="0" w:line="133" w:lineRule="exact"/>
        <w:rPr>
          <w:rFonts w:ascii="Arial" w:cs="Arial" w:eastAsia="Arial" w:hAnsi="Arial"/>
          <w:sz w:val="16"/>
          <w:szCs w:val="16"/>
          <w:color w:val="auto"/>
        </w:rPr>
      </w:pPr>
    </w:p>
    <w:p>
      <w:pPr>
        <w:ind w:left="840" w:hanging="375"/>
        <w:spacing w:after="0"/>
        <w:tabs>
          <w:tab w:leader="none" w:pos="8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Building-Specific Monument Signage:</w:t>
      </w:r>
    </w:p>
    <w:p>
      <w:pPr>
        <w:spacing w:after="0" w:line="16" w:lineRule="exact"/>
        <w:rPr>
          <w:rFonts w:ascii="Arial" w:cs="Arial" w:eastAsia="Arial" w:hAnsi="Arial"/>
          <w:sz w:val="16"/>
          <w:szCs w:val="16"/>
          <w:color w:val="auto"/>
        </w:rPr>
      </w:pPr>
    </w:p>
    <w:p>
      <w:pPr>
        <w:ind w:left="860" w:right="60"/>
        <w:spacing w:after="0" w:line="252" w:lineRule="auto"/>
        <w:rPr>
          <w:rFonts w:ascii="Arial" w:cs="Arial" w:eastAsia="Arial" w:hAnsi="Arial"/>
          <w:sz w:val="16"/>
          <w:szCs w:val="16"/>
          <w:color w:val="auto"/>
        </w:rPr>
      </w:pPr>
      <w:r>
        <w:rPr>
          <w:rFonts w:ascii="Arial" w:cs="Arial" w:eastAsia="Arial" w:hAnsi="Arial"/>
          <w:sz w:val="16"/>
          <w:szCs w:val="16"/>
          <w:color w:val="auto"/>
        </w:rPr>
        <w:t>Building-specific monument signage is provided in front of each building. Tenant will have a dedicated space for name/logo. Logos for all Tenants will be monochrome per Landlord color scheme.</w:t>
      </w:r>
    </w:p>
    <w:p>
      <w:pPr>
        <w:spacing w:after="0" w:line="85" w:lineRule="exact"/>
        <w:rPr>
          <w:rFonts w:ascii="Arial" w:cs="Arial" w:eastAsia="Arial" w:hAnsi="Arial"/>
          <w:sz w:val="16"/>
          <w:szCs w:val="16"/>
          <w:color w:val="auto"/>
        </w:rPr>
      </w:pPr>
    </w:p>
    <w:p>
      <w:pPr>
        <w:ind w:left="840" w:hanging="375"/>
        <w:spacing w:after="0"/>
        <w:tabs>
          <w:tab w:leader="none" w:pos="8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Directional Monument Signs:</w:t>
      </w:r>
    </w:p>
    <w:p>
      <w:pPr>
        <w:spacing w:after="0" w:line="16" w:lineRule="exact"/>
        <w:rPr>
          <w:rFonts w:ascii="Arial" w:cs="Arial" w:eastAsia="Arial" w:hAnsi="Arial"/>
          <w:sz w:val="16"/>
          <w:szCs w:val="16"/>
          <w:color w:val="auto"/>
        </w:rPr>
      </w:pPr>
    </w:p>
    <w:p>
      <w:pPr>
        <w:ind w:left="860" w:right="280"/>
        <w:spacing w:after="0" w:line="252" w:lineRule="auto"/>
        <w:rPr>
          <w:rFonts w:ascii="Arial" w:cs="Arial" w:eastAsia="Arial" w:hAnsi="Arial"/>
          <w:sz w:val="16"/>
          <w:szCs w:val="16"/>
          <w:color w:val="auto"/>
        </w:rPr>
      </w:pPr>
      <w:r>
        <w:rPr>
          <w:rFonts w:ascii="Arial" w:cs="Arial" w:eastAsia="Arial" w:hAnsi="Arial"/>
          <w:sz w:val="16"/>
          <w:szCs w:val="16"/>
          <w:color w:val="auto"/>
        </w:rPr>
        <w:t>Campus directional signage is provided at various locations on the site. Signs include building addresses and Landlord directional text. Tenant names/logo are not permitted on the campus directional monument signs.</w:t>
      </w:r>
    </w:p>
    <w:p>
      <w:pPr>
        <w:spacing w:after="0" w:line="85" w:lineRule="exact"/>
        <w:rPr>
          <w:rFonts w:ascii="Arial" w:cs="Arial" w:eastAsia="Arial" w:hAnsi="Arial"/>
          <w:sz w:val="16"/>
          <w:szCs w:val="16"/>
          <w:color w:val="auto"/>
        </w:rPr>
      </w:pPr>
    </w:p>
    <w:p>
      <w:pPr>
        <w:ind w:left="840" w:hanging="375"/>
        <w:spacing w:after="0"/>
        <w:tabs>
          <w:tab w:leader="none" w:pos="8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Interior Lobby Signage:</w:t>
      </w:r>
    </w:p>
    <w:p>
      <w:pPr>
        <w:spacing w:after="0" w:line="16" w:lineRule="exact"/>
        <w:rPr>
          <w:sz w:val="20"/>
          <w:szCs w:val="20"/>
          <w:color w:val="auto"/>
        </w:rPr>
      </w:pPr>
    </w:p>
    <w:p>
      <w:pPr>
        <w:jc w:val="center"/>
        <w:ind w:right="3240"/>
        <w:spacing w:after="0"/>
        <w:rPr>
          <w:sz w:val="20"/>
          <w:szCs w:val="20"/>
          <w:color w:val="auto"/>
        </w:rPr>
      </w:pPr>
      <w:r>
        <w:rPr>
          <w:rFonts w:ascii="Arial" w:cs="Arial" w:eastAsia="Arial" w:hAnsi="Arial"/>
          <w:sz w:val="16"/>
          <w:szCs w:val="16"/>
          <w:color w:val="auto"/>
        </w:rPr>
        <w:t>Each Tenant has dedicated space for signage in the building’s common lobby.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If the Tenant has explicit rights to building façade signage per the Lease, the following sections apply:</w:t>
      </w:r>
    </w:p>
    <w:p>
      <w:pPr>
        <w:spacing w:after="0" w:line="111" w:lineRule="exact"/>
        <w:rPr>
          <w:sz w:val="20"/>
          <w:szCs w:val="20"/>
          <w:color w:val="auto"/>
        </w:rPr>
      </w:pPr>
    </w:p>
    <w:p>
      <w:pPr>
        <w:ind w:left="840" w:hanging="375"/>
        <w:spacing w:after="0"/>
        <w:tabs>
          <w:tab w:leader="none" w:pos="84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Exterior Building Façade Signage:</w:t>
      </w:r>
    </w:p>
    <w:p>
      <w:pPr>
        <w:spacing w:after="0" w:line="1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Tenant must abide by the Master Sign Program for location, size, and design of exterior building façade signage.</w:t>
      </w:r>
    </w:p>
    <w:p>
      <w:pPr>
        <w:spacing w:after="0" w:line="99" w:lineRule="exact"/>
        <w:rPr>
          <w:rFonts w:ascii="Arial" w:cs="Arial" w:eastAsia="Arial" w:hAnsi="Arial"/>
          <w:sz w:val="16"/>
          <w:szCs w:val="16"/>
          <w:color w:val="auto"/>
        </w:rPr>
      </w:pPr>
    </w:p>
    <w:p>
      <w:pPr>
        <w:ind w:left="840" w:right="60" w:hanging="375"/>
        <w:spacing w:after="0" w:line="266" w:lineRule="auto"/>
        <w:tabs>
          <w:tab w:leader="none" w:pos="84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Refer to Appendix E for required exterior façade signage installation details. Building envelop penetrations must be completed by the base building envelope subcontractor; refer to Appendix G for contact information.</w:t>
      </w:r>
    </w:p>
    <w:p>
      <w:pPr>
        <w:spacing w:after="0" w:line="75" w:lineRule="exact"/>
        <w:rPr>
          <w:rFonts w:ascii="Arial" w:cs="Arial" w:eastAsia="Arial" w:hAnsi="Arial"/>
          <w:sz w:val="16"/>
          <w:szCs w:val="16"/>
          <w:color w:val="auto"/>
        </w:rPr>
      </w:pPr>
    </w:p>
    <w:p>
      <w:pPr>
        <w:ind w:left="840" w:hanging="375"/>
        <w:spacing w:after="0"/>
        <w:tabs>
          <w:tab w:leader="none" w:pos="84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Façade Signage Illumination:</w:t>
      </w:r>
    </w:p>
    <w:p>
      <w:pPr>
        <w:spacing w:after="0" w:line="16" w:lineRule="exact"/>
        <w:rPr>
          <w:rFonts w:ascii="Arial" w:cs="Arial" w:eastAsia="Arial" w:hAnsi="Arial"/>
          <w:sz w:val="16"/>
          <w:szCs w:val="16"/>
          <w:color w:val="auto"/>
        </w:rPr>
      </w:pPr>
    </w:p>
    <w:p>
      <w:pPr>
        <w:ind w:left="860"/>
        <w:spacing w:after="0" w:line="249" w:lineRule="auto"/>
        <w:rPr>
          <w:rFonts w:ascii="Arial" w:cs="Arial" w:eastAsia="Arial" w:hAnsi="Arial"/>
          <w:sz w:val="16"/>
          <w:szCs w:val="16"/>
          <w:color w:val="auto"/>
        </w:rPr>
      </w:pPr>
      <w:r>
        <w:rPr>
          <w:rFonts w:ascii="Arial" w:cs="Arial" w:eastAsia="Arial" w:hAnsi="Arial"/>
          <w:sz w:val="16"/>
          <w:szCs w:val="16"/>
          <w:color w:val="auto"/>
        </w:rPr>
        <w:t>If illuminated, exterior façade signage must be halo-illuminated or internally illuminated per the Master Signage Program. There are provisions within the curtain wall allowing power to reach exterior façade signage, however the Tenant will be responsible for all costs and responsibilities associated with implementing exterior signage and any power requirements.</w:t>
      </w:r>
    </w:p>
    <w:p>
      <w:pPr>
        <w:spacing w:after="0" w:line="87" w:lineRule="exact"/>
        <w:rPr>
          <w:rFonts w:ascii="Arial" w:cs="Arial" w:eastAsia="Arial" w:hAnsi="Arial"/>
          <w:sz w:val="16"/>
          <w:szCs w:val="16"/>
          <w:color w:val="auto"/>
        </w:rPr>
      </w:pPr>
    </w:p>
    <w:p>
      <w:pPr>
        <w:ind w:left="840" w:hanging="375"/>
        <w:spacing w:after="0"/>
        <w:tabs>
          <w:tab w:leader="none" w:pos="84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Recommended Vendor: Arrow Signs</w:t>
      </w:r>
    </w:p>
    <w:p>
      <w:pPr>
        <w:spacing w:after="0" w:line="1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5"/>
          <w:szCs w:val="15"/>
          <w:color w:val="auto"/>
        </w:rPr>
        <w:t>All signage must be approved in writing by Landlord prior to installation. Refer to Appendix G for Arrow Signs’ contact information.</w:t>
      </w:r>
    </w:p>
    <w:p>
      <w:pPr>
        <w:sectPr>
          <w:pgSz w:w="11900" w:h="16838" w:orient="portrait"/>
          <w:cols w:equalWidth="0" w:num="1">
            <w:col w:w="9620"/>
          </w:cols>
          <w:pgMar w:left="1140" w:top="253" w:right="1139" w:bottom="1440" w:gutter="0" w:footer="0" w:header="0"/>
        </w:sectPr>
      </w:pPr>
    </w:p>
    <w:bookmarkStart w:id="639" w:name="page640"/>
    <w:bookmarkEnd w:id="63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Cove Master Campus Site Plan</w:t>
      </w:r>
    </w:p>
    <w:p>
      <w:pPr>
        <w:sectPr>
          <w:pgSz w:w="11900" w:h="16838" w:orient="portrait"/>
          <w:cols w:equalWidth="0" w:num="1">
            <w:col w:w="9019"/>
          </w:cols>
          <w:pgMar w:left="1440" w:top="252" w:right="1440" w:bottom="1440" w:gutter="0" w:footer="0" w:header="0"/>
        </w:sectPr>
      </w:pPr>
    </w:p>
    <w:bookmarkStart w:id="640" w:name="page641"/>
    <w:bookmarkEnd w:id="6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5020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90105" cy="5450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1" w:name="page642"/>
    <w:bookmarkEnd w:id="64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B</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Base Building Warm Shell Delivery Condition: Building 4</w:t>
      </w:r>
    </w:p>
    <w:p>
      <w:pPr>
        <w:sectPr>
          <w:pgSz w:w="11900" w:h="16838" w:orient="portrait"/>
          <w:cols w:equalWidth="0" w:num="1">
            <w:col w:w="9019"/>
          </w:cols>
          <w:pgMar w:left="1440" w:top="252" w:right="1440" w:bottom="1440" w:gutter="0" w:footer="0" w:header="0"/>
        </w:sectPr>
      </w:pPr>
    </w:p>
    <w:bookmarkStart w:id="642" w:name="page643"/>
    <w:bookmarkEnd w:id="64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The Cove at Oyster Point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Building 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Oyster Point Boulevard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Warm Shell Landlord Delivery Condition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7620" w:type="dxa"/>
            <w:vAlign w:val="bottom"/>
            <w:gridSpan w:val="3"/>
          </w:tcPr>
          <w:p>
            <w:pPr>
              <w:spacing w:after="0" w:line="146" w:lineRule="exact"/>
              <w:rPr>
                <w:sz w:val="20"/>
                <w:szCs w:val="20"/>
                <w:color w:val="auto"/>
              </w:rPr>
            </w:pPr>
            <w:r>
              <w:rPr>
                <w:rFonts w:ascii="Arial" w:cs="Arial" w:eastAsia="Arial" w:hAnsi="Arial"/>
                <w:sz w:val="13"/>
                <w:szCs w:val="13"/>
                <w:color w:val="auto"/>
              </w:rPr>
              <w:t>DESCRIPTION</w:t>
            </w: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82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6"/>
                <w:szCs w:val="16"/>
                <w:b w:val="1"/>
                <w:bCs w:val="1"/>
                <w:color w:val="auto"/>
                <w:w w:val="92"/>
              </w:rPr>
              <w:t>SITEWORK</w:t>
            </w:r>
          </w:p>
        </w:tc>
        <w:tc>
          <w:tcPr>
            <w:tcW w:w="68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Exterior hardscape and landscape, including site lighting, perimeter sidewalks, street curbs, miscellaneous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site furnishings, and bio-retention basins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Surface parking lot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Bike racks in exterior parking lot and bike lockers in podium parking garage for pro rata allocation amongst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Campus electrical vehicle charging stations for pro rata allocation amongst Tenants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Electric vehicle charging fees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Exterior amenities space including all hardscape and landscape, lighting, and recreational infrastructure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(volleyball/basketball sport court, bocce ball, trellis)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Bus stop wind screens for local commuter shuttle service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1"/>
              </w:rPr>
              <w:t>Service yard foundation, structure, covered enclosure, and waterproofing for trash containers and dedicated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nitrogen storage area for allocation amongst tenants per lease agreement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Nitrogen sources and all associated infrastructure/systems (tanks, generator, piping, etc.)</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Foundation and enclosure for Landlord provided diesel powered emergency generator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Loading dock with at-grade shipping/receiving area with (2) hydraulic scissor lifts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STRUCTURE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0"/>
              </w:rPr>
              <w:t>Pile supported structural slab-on-grade foundation system consisting of steel-reinforced concrete auger- cast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piles, pile caps, and horizontal grade beams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52" w:right="1139" w:bottom="1440" w:gutter="0" w:footer="0" w:header="0"/>
        </w:sectPr>
      </w:pPr>
    </w:p>
    <w:bookmarkStart w:id="643" w:name="page644"/>
    <w:bookmarkEnd w:id="6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560" w:type="dxa"/>
            <w:vAlign w:val="bottom"/>
          </w:tcPr>
          <w:p>
            <w:pPr>
              <w:ind w:left="300"/>
              <w:spacing w:after="0" w:line="148" w:lineRule="exact"/>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0"/>
              </w:rPr>
              <w:t>Steel superstructure consisting of steel columns, girders, beams, and concrete slab on composite metal deck,</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with live load capacity of 125 psf (reducible)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Type II A construction, code required primary structural fireproofing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Slab edge fire safing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Cover to conceal slab edge fire safing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Supplemental structural members for additional tenant loads, vibration criteria, or tenant standards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Lateral seismic system utilizing buckling-restrained braced frames. Importance factor is 1.0</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 deck framing with live load capacity of 20 psf</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Mechanical platform and roof penthouse with live load capacity of 75 psf</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4"/>
              </w:rPr>
              <w:t>Supplemental structural support for tenant roof equipment, including but not limited to galvanized beams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 platform, grating, rails, and all associated fireproofing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11.</w:t>
            </w:r>
          </w:p>
        </w:tc>
        <w:tc>
          <w:tcPr>
            <w:tcW w:w="7060" w:type="dxa"/>
            <w:vAlign w:val="bottom"/>
            <w:gridSpan w:val="2"/>
          </w:tcPr>
          <w:p>
            <w:pPr>
              <w:ind w:left="40"/>
              <w:spacing w:after="0"/>
              <w:rPr>
                <w:sz w:val="20"/>
                <w:szCs w:val="20"/>
                <w:color w:val="auto"/>
              </w:rPr>
            </w:pPr>
            <w:r>
              <w:rPr>
                <w:rFonts w:ascii="Arial" w:cs="Arial" w:eastAsia="Arial" w:hAnsi="Arial"/>
                <w:sz w:val="16"/>
                <w:szCs w:val="16"/>
                <w:color w:val="auto"/>
              </w:rPr>
              <w:t>Roof screen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Floor to floor height of 17’, all floors (podium at 14’)</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Framed openings for Base Building utility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Framed openings for Tenant utility risers in predetermined spaces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0"/>
              </w:rPr>
              <w:t>Stairs and stair enclosures per code requirements, including enclosure doors, handrails, and guardrails. Roof</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penthouse access for (1) set of stairs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Column furring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17.  Window washing davit basis and arms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Miscellaneous metals items and/or concrete pads for Base Building equipment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19.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Miscellaneous metals items and/or concrete pads for Tenant equipment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ROOFING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60 MIL single-ply thermoplastic polyolefin (TPO) white or gray roof membrane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Rigid insulation, flashing, and sealants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Roofing penetrations for Base Building equipment/systems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Roofing penetrations for Tenant equipment/systems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4" w:right="1139" w:bottom="1440" w:gutter="0" w:footer="0" w:header="0"/>
        </w:sectPr>
      </w:pPr>
    </w:p>
    <w:bookmarkStart w:id="644" w:name="page645"/>
    <w:bookmarkEnd w:id="6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3"/>
                <w:szCs w:val="13"/>
                <w:color w:val="auto"/>
                <w:w w:val="84"/>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Landlord</w:t>
            </w:r>
          </w:p>
        </w:tc>
        <w:tc>
          <w:tcPr>
            <w:tcW w:w="5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Tenant</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2"/>
              </w:rPr>
              <w:t>Expense</w:t>
            </w:r>
          </w:p>
        </w:tc>
      </w:tr>
      <w:tr>
        <w:trPr>
          <w:trHeight w:val="160"/>
        </w:trPr>
        <w:tc>
          <w:tcPr>
            <w:tcW w:w="560" w:type="dxa"/>
            <w:vAlign w:val="bottom"/>
          </w:tcPr>
          <w:p>
            <w:pPr>
              <w:ind w:left="300"/>
              <w:spacing w:after="0" w:line="160" w:lineRule="exact"/>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Walkway pads along roof perimeter, outside of screened area</w:t>
            </w:r>
          </w:p>
        </w:tc>
        <w:tc>
          <w:tcPr>
            <w:tcW w:w="5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Walkway pads to Tenant equipment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Roofing alterations due to Tenant changes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Penthouse roof penetrations – not allowed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EXTERIOR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Non load-bearing glazed aluminum curtain wall and glass fiber reinforced concrete (GFRC) panel building</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enclosure system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Building entrances and openings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Opening for freight elevator access in Service Yard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Service Yard overhead door, serving Base Building Electrical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Service Yard rolling green screen gate</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COMMON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Podium parking area with card reader controlled lift gate and roll-up doors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Build-out of Main Lobby</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Stair enclosures painted at all building levels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Two (2) B-Occupancy Chemical Storage Rooms with 1- hour fire rated assembly, depressed pit (18”), and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100% outside air ventilation (900 cfm/room) for allocation amongst tenants per lease agreement.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1"/>
              </w:rPr>
              <w:t>Improvements to Chemical Storage Room, including changes in occupancy, installation of grating, ramping,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1"/>
              </w:rPr>
              <w:t>self-contained bunkers, exhaust, exhaust risers, etc. The total exhaust for the room is not to exceed 900 cfm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without prior written Landlord approval.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Electrical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Emergency Electrical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Pump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Booster Pump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Elevator Control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Telecommunications Main Point of Entry (MPOE)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6"/>
              </w:rPr>
              <w:t>Service Yard/Loading Dock Area, including space for trash enclosure, nitrogen storage, and generator</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enclosure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4" w:right="1139" w:bottom="1440" w:gutter="0" w:footer="0" w:header="0"/>
        </w:sectPr>
      </w:pPr>
    </w:p>
    <w:bookmarkStart w:id="645" w:name="page646"/>
    <w:bookmarkEnd w:id="6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3"/>
                <w:szCs w:val="13"/>
                <w:color w:val="auto"/>
                <w:w w:val="84"/>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Landlord</w:t>
            </w:r>
          </w:p>
        </w:tc>
        <w:tc>
          <w:tcPr>
            <w:tcW w:w="5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Tenant</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2"/>
              </w:rPr>
              <w:t>Expense</w:t>
            </w:r>
          </w:p>
        </w:tc>
      </w:tr>
      <w:tr>
        <w:trPr>
          <w:trHeight w:val="148"/>
        </w:trPr>
        <w:tc>
          <w:tcPr>
            <w:tcW w:w="560" w:type="dxa"/>
            <w:vAlign w:val="bottom"/>
          </w:tcPr>
          <w:p>
            <w:pPr>
              <w:ind w:left="300"/>
              <w:spacing w:after="0" w:line="148" w:lineRule="exact"/>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2"/>
              </w:rPr>
              <w:t>Usage of Amenities Space including food service, fitness center, and recreational area (located in Building</w:t>
            </w:r>
          </w:p>
        </w:tc>
        <w:tc>
          <w:tcPr>
            <w:tcW w:w="58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5"/>
        </w:trPr>
        <w:tc>
          <w:tcPr>
            <w:tcW w:w="5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6"/>
                <w:szCs w:val="16"/>
                <w:color w:val="auto"/>
              </w:rPr>
              <w:t>3)</w:t>
            </w:r>
          </w:p>
        </w:tc>
        <w:tc>
          <w:tcPr>
            <w:tcW w:w="6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ELEVATORS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Two (2) passenger elevators; 3,500 lbs., 350 fpm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One (1) freight elevator; 5,000 lbs., 200 fpm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Recessed elevator pits for three (3) elevators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No elevator access to roof</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Smoke guards at elevators on Tenant floors, if required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WINDOW TREATMENT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Furnish and install Building Standard shades for all windows per Tenant Improvement Construction Manual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Window treatment at vision glass windows/curtain wall to address perimeter lab bench/casework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6"/>
              </w:rPr>
              <w:t>installation. Treatment to adhere to Building Standards per Tenant Improvement Construction Manual.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TENANT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Restroom Cores: one (1) set per floor including Men’s and Women’s Restrooms with (1) ADA shower each</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with bench and lockers, ceramic tile floors and wet walls, solid surface countertops, floor mounted metal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partitions, hard lid ceiling, down lights and ADA low-flow plumbing fixtures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Janitor Closet – one (1) per floor</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Stud wall framing at restroom core to underside of slab</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Fire-rated assembly at restroom core to 6” above ceiling</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Wall assembly at restroom core to underside of slab (fire-rating as required)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Electrical Room – one (1) per floor consisting of concrete floor, unfinished drywall and taped walls, no</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ceiling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Future Electrical Room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6"/>
              </w:rPr>
              <w:t>Intermediate Distribution Frame (IDF) Room – one (1) per floor consisting of concrete floor, unfinished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drywall and taped walls, no ceiling</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646" w:name="page647"/>
    <w:bookmarkEnd w:id="6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3"/>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60"/>
        </w:trPr>
        <w:tc>
          <w:tcPr>
            <w:tcW w:w="540" w:type="dxa"/>
            <w:vAlign w:val="bottom"/>
          </w:tcPr>
          <w:p>
            <w:pPr>
              <w:ind w:left="300"/>
              <w:spacing w:after="0" w:line="160" w:lineRule="exact"/>
              <w:rPr>
                <w:sz w:val="20"/>
                <w:szCs w:val="20"/>
                <w:color w:val="auto"/>
              </w:rPr>
            </w:pPr>
            <w:r>
              <w:rPr>
                <w:rFonts w:ascii="Arial" w:cs="Arial" w:eastAsia="Arial" w:hAnsi="Arial"/>
                <w:sz w:val="16"/>
                <w:szCs w:val="16"/>
                <w:color w:val="auto"/>
              </w:rPr>
              <w:t>9.</w:t>
            </w:r>
          </w:p>
        </w:tc>
        <w:tc>
          <w:tcPr>
            <w:tcW w:w="20" w:type="dxa"/>
            <w:vAlign w:val="bottom"/>
          </w:tcPr>
          <w:p>
            <w:pPr>
              <w:spacing w:after="0"/>
              <w:rPr>
                <w:sz w:val="13"/>
                <w:szCs w:val="13"/>
                <w:color w:val="auto"/>
              </w:rPr>
            </w:pPr>
          </w:p>
        </w:tc>
        <w:tc>
          <w:tcPr>
            <w:tcW w:w="706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Future IDF Room</w:t>
            </w: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ind w:left="180"/>
              <w:spacing w:after="0" w:line="160"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Finish (wall finish, flooring, ceiling) IDF and Electrical Rooms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w w:val="98"/>
              </w:rPr>
              <w:t>11.</w:t>
            </w:r>
          </w:p>
        </w:tc>
        <w:tc>
          <w:tcPr>
            <w:tcW w:w="7080" w:type="dxa"/>
            <w:vAlign w:val="bottom"/>
            <w:gridSpan w:val="3"/>
          </w:tcPr>
          <w:p>
            <w:pPr>
              <w:ind w:left="60"/>
              <w:spacing w:after="0"/>
              <w:rPr>
                <w:sz w:val="20"/>
                <w:szCs w:val="20"/>
                <w:color w:val="auto"/>
              </w:rPr>
            </w:pPr>
            <w:r>
              <w:rPr>
                <w:rFonts w:ascii="Arial" w:cs="Arial" w:eastAsia="Arial" w:hAnsi="Arial"/>
                <w:sz w:val="16"/>
                <w:szCs w:val="16"/>
                <w:color w:val="auto"/>
                <w:w w:val="96"/>
              </w:rPr>
              <w:t>Accessible “Patio” – Fifth Floor only. Landlord-maintained retractable davit arms stored in enclosure on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 patio.</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Finishes of inside face at Tenant side of core partitions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Modifications to core areas to accommodate Tenant requirements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Partitions, ceilings, flooring, painting, finishes, doors, frames, hardware, millwork, casework, and tenant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improvement build-out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Fixed or movable casework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Laboratory Equipment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Chemical Fume Hoods and Bio Safety Cabinets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Finishes at common corridors on floors with multiple Tenants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Shaft enclosures for Base Building system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Shaft enclosures for Tenant risers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4"/>
          </w:tcPr>
          <w:p>
            <w:pPr>
              <w:spacing w:after="0"/>
              <w:rPr>
                <w:sz w:val="20"/>
                <w:szCs w:val="20"/>
                <w:color w:val="auto"/>
              </w:rPr>
            </w:pPr>
            <w:r>
              <w:rPr>
                <w:rFonts w:ascii="Arial" w:cs="Arial" w:eastAsia="Arial" w:hAnsi="Arial"/>
                <w:sz w:val="16"/>
                <w:szCs w:val="16"/>
                <w:b w:val="1"/>
                <w:bCs w:val="1"/>
                <w:color w:val="auto"/>
              </w:rPr>
              <w:t>FIRE PROTECTION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Fire booster pump room including fire department connection, alarm valve, and fire sprinkler booster pump</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2.</w:t>
            </w:r>
          </w:p>
        </w:tc>
        <w:tc>
          <w:tcPr>
            <w:tcW w:w="7080" w:type="dxa"/>
            <w:vAlign w:val="bottom"/>
            <w:gridSpan w:val="3"/>
          </w:tcPr>
          <w:p>
            <w:pPr>
              <w:ind w:left="80"/>
              <w:spacing w:after="0"/>
              <w:rPr>
                <w:sz w:val="20"/>
                <w:szCs w:val="20"/>
                <w:color w:val="auto"/>
              </w:rPr>
            </w:pPr>
            <w:r>
              <w:rPr>
                <w:rFonts w:ascii="Arial" w:cs="Arial" w:eastAsia="Arial" w:hAnsi="Arial"/>
                <w:sz w:val="16"/>
                <w:szCs w:val="16"/>
                <w:color w:val="auto"/>
              </w:rPr>
              <w:t>Wet fire protection system (risers, Core area risers, distribution piping, and sprinkler heads)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Stair risers, distribution piping, and sprinkler heads for core and shell coverage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9"/>
              </w:rPr>
              <w:t>Primary distribution and sprinkler heads adequate for “Ordinary Hazard, Group 2” for core and shell</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coverage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5.</w:t>
            </w:r>
          </w:p>
        </w:tc>
        <w:tc>
          <w:tcPr>
            <w:tcW w:w="7080" w:type="dxa"/>
            <w:vAlign w:val="bottom"/>
            <w:gridSpan w:val="3"/>
          </w:tcPr>
          <w:p>
            <w:pPr>
              <w:ind w:left="60"/>
              <w:spacing w:after="0"/>
              <w:rPr>
                <w:sz w:val="20"/>
                <w:szCs w:val="20"/>
                <w:color w:val="auto"/>
              </w:rPr>
            </w:pPr>
            <w:r>
              <w:rPr>
                <w:rFonts w:ascii="Arial" w:cs="Arial" w:eastAsia="Arial" w:hAnsi="Arial"/>
                <w:sz w:val="16"/>
                <w:szCs w:val="16"/>
                <w:color w:val="auto"/>
              </w:rPr>
              <w:t>All additional distribution piping, drop heads, and related equipment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Modification of sprinkler piping and head locations to suit Tenant layout and occupancy type alterations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Specialized extinguishing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Pre-action dry pipe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extinguisher cabinets at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extinguisher cabinets in Tenant Premises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647" w:name="page648"/>
    <w:bookmarkEnd w:id="6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556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9010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7620" w:type="dxa"/>
            <w:vAlign w:val="bottom"/>
            <w:gridSpan w:val="3"/>
          </w:tcPr>
          <w:p>
            <w:pPr>
              <w:spacing w:after="0" w:line="146" w:lineRule="exact"/>
              <w:rPr>
                <w:sz w:val="20"/>
                <w:szCs w:val="20"/>
                <w:color w:val="auto"/>
              </w:rPr>
            </w:pPr>
            <w:r>
              <w:rPr>
                <w:rFonts w:ascii="Arial" w:cs="Arial" w:eastAsia="Arial" w:hAnsi="Arial"/>
                <w:sz w:val="13"/>
                <w:szCs w:val="13"/>
                <w:color w:val="auto"/>
              </w:rPr>
              <w:t>DESCRIPTION</w:t>
            </w: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820" w:type="dxa"/>
            <w:vAlign w:val="bottom"/>
            <w:tcBorders>
              <w:top w:val="single" w:sz="8" w:color="auto"/>
            </w:tcBorders>
            <w:gridSpan w:val="2"/>
          </w:tcPr>
          <w:p>
            <w:pPr>
              <w:ind w:left="300"/>
              <w:spacing w:after="0" w:line="148" w:lineRule="exact"/>
              <w:rPr>
                <w:sz w:val="20"/>
                <w:szCs w:val="20"/>
                <w:color w:val="auto"/>
              </w:rPr>
            </w:pPr>
            <w:r>
              <w:rPr>
                <w:rFonts w:ascii="Arial" w:cs="Arial" w:eastAsia="Arial" w:hAnsi="Arial"/>
                <w:sz w:val="16"/>
                <w:szCs w:val="16"/>
                <w:color w:val="auto"/>
                <w:w w:val="85"/>
              </w:rPr>
              <w:t>11.  Fire</w:t>
            </w:r>
          </w:p>
        </w:tc>
        <w:tc>
          <w:tcPr>
            <w:tcW w:w="6800" w:type="dxa"/>
            <w:vAlign w:val="bottom"/>
          </w:tcPr>
          <w:p>
            <w:pPr>
              <w:ind w:left="80"/>
              <w:spacing w:after="0" w:line="148" w:lineRule="exact"/>
              <w:rPr>
                <w:sz w:val="20"/>
                <w:szCs w:val="20"/>
                <w:color w:val="auto"/>
              </w:rPr>
            </w:pPr>
            <w:r>
              <w:rPr>
                <w:rFonts w:ascii="Arial" w:cs="Arial" w:eastAsia="Arial" w:hAnsi="Arial"/>
                <w:sz w:val="16"/>
                <w:szCs w:val="16"/>
                <w:color w:val="auto"/>
                <w:w w:val="96"/>
              </w:rPr>
              <w:t>safing at Base Building vertical penetrations, including penetrations for mechanical, electrical, and</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plumbing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Fire safing at Tenant vertical penetrations, including penetrations for mechanical, electrical, and plumbing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PLUMBING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Building storm and overflow drainage system, including site underground storm sewer system and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connection to storm sewer mains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Sand/Oil separator with connection to street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service with backflow prevention and Base Building risers to Tenant spaces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booster pump</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service sub meters at Tenant tie-ins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Building lab waste consisting of underslab piping under podium parking, risers, and stubs in Tenant space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Lab waste distribution within Tenant space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Lab waste connection to sanitary sewer, lab waste sampling port at connection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Building sanitary sewer service with piping distribution to restroom cores and risers stubbed in Tenant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space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Domestic sanitary sewer connection to street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Sanitary sewer distribution servicing Tenant space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Main water meter and irrigation meter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One (1) roof mounted electric water heater serving all Restrooms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Core restroom plumbing fixtures compliant with accessibility requirements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16.  Tenant restroom plumbing fixtures compliant with accessibility requirements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17.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Process equipment and piping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NATURAL GAS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Medium pressure natural gas service to Building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Natural gas riser to the roof and service to Base Building boilers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Natural gas riser to the roof capped for future use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4" w:right="1139" w:bottom="1440" w:gutter="0" w:footer="0" w:header="0"/>
        </w:sectPr>
      </w:pPr>
    </w:p>
    <w:bookmarkStart w:id="648" w:name="page649"/>
    <w:bookmarkEnd w:id="6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60"/>
        </w:trPr>
        <w:tc>
          <w:tcPr>
            <w:tcW w:w="520" w:type="dxa"/>
            <w:vAlign w:val="bottom"/>
          </w:tcPr>
          <w:p>
            <w:pPr>
              <w:ind w:left="300"/>
              <w:spacing w:after="0" w:line="160" w:lineRule="exact"/>
              <w:rPr>
                <w:sz w:val="20"/>
                <w:szCs w:val="20"/>
                <w:color w:val="auto"/>
              </w:rPr>
            </w:pPr>
            <w:r>
              <w:rPr>
                <w:rFonts w:ascii="Arial" w:cs="Arial" w:eastAsia="Arial" w:hAnsi="Arial"/>
                <w:sz w:val="16"/>
                <w:szCs w:val="16"/>
                <w:color w:val="auto"/>
              </w:rPr>
              <w:t>4.</w:t>
            </w:r>
          </w:p>
        </w:tc>
        <w:tc>
          <w:tcPr>
            <w:tcW w:w="7100" w:type="dxa"/>
            <w:vAlign w:val="bottom"/>
            <w:gridSpan w:val="2"/>
          </w:tcPr>
          <w:p>
            <w:pPr>
              <w:ind w:left="100"/>
              <w:spacing w:after="0" w:line="160" w:lineRule="exact"/>
              <w:rPr>
                <w:sz w:val="20"/>
                <w:szCs w:val="20"/>
                <w:color w:val="auto"/>
              </w:rPr>
            </w:pPr>
            <w:r>
              <w:rPr>
                <w:rFonts w:ascii="Arial" w:cs="Arial" w:eastAsia="Arial" w:hAnsi="Arial"/>
                <w:sz w:val="16"/>
                <w:szCs w:val="16"/>
                <w:color w:val="auto"/>
              </w:rPr>
              <w:t>Natural gas service, pressure regulator, and meter for Tenant equipment</w:t>
            </w: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ind w:left="180"/>
              <w:spacing w:after="0" w:line="160"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5.</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Natural gas piping from Base Building stub at roof to Tenant equipment area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20" w:type="dxa"/>
            <w:vAlign w:val="bottom"/>
          </w:tcPr>
          <w:p>
            <w:pPr>
              <w:ind w:left="300"/>
              <w:spacing w:after="0"/>
              <w:rPr>
                <w:sz w:val="20"/>
                <w:szCs w:val="20"/>
                <w:color w:val="auto"/>
              </w:rPr>
            </w:pPr>
            <w:r>
              <w:rPr>
                <w:rFonts w:ascii="Arial" w:cs="Arial" w:eastAsia="Arial" w:hAnsi="Arial"/>
                <w:sz w:val="16"/>
                <w:szCs w:val="16"/>
                <w:color w:val="auto"/>
              </w:rPr>
              <w:t>6.</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Natural gas pipe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HEATING, VENTILATION, AIR CONDITIONING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1.</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w w:val="95"/>
              </w:rPr>
              <w:t>Two (2) 90,000 cfm 100% outside air roof mounted air handlers serving Tenant lab spaces, allocation to</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Tenant space: standard 22,500 cfm per unit per floor (connected to standby power)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2.</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w w:val="96"/>
              </w:rPr>
              <w:t>Two (2) 40,000 cfm supply/return roof mounted air handlers serving Tenant office spaces, allocation to</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Tenant space: standard 10,000 cfm per unit per floor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3.</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Two (2) 5,000 MBH input gas fired hot water boilers (connected to standby power)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4.</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Two (2) 500 ton centrifugal chillers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5.</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Two (2) 500 ton cooling towers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6.</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w w:val="92"/>
              </w:rPr>
              <w:t>Secondary mechanical equipment, including pumps, roof ducting, piping, valves, manifolds, etc. to support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Base Building mechanical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7.</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Hot water pipe risers, stubbed in Tenant space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8.</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Hot water pipe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9.</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Reheat coils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10.  Reheat coils within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Vertical supply air duct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12.  Vertical return air duct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7"/>
              </w:rPr>
              <w:t>13.  Supply air duct distribution, VAV terminals, equipment connections, insulation, air terminals, dampers,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hangers, etc.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7"/>
              </w:rPr>
              <w:t>14.  Supply air duct distribution, VAV terminals, equipment connections, insulation, air terminals, dampers,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hangers, etc. within core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3"/>
              </w:rPr>
              <w:t>15.  Two (2) roof mounted dilution lab exhaust fan systems with 94,000 cfm capacity each, allocation to Tenant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space: standard 23,500 cfm per system per floor (connected to standby power)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2"/>
              </w:rPr>
              <w:t>16.  Exhaust air duct distribution, exhaust air valves, equipment connections, insulation, air terminals, dampers,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20" w:type="dxa"/>
            <w:vAlign w:val="bottom"/>
          </w:tcPr>
          <w:p>
            <w:pPr>
              <w:spacing w:after="0"/>
              <w:rPr>
                <w:sz w:val="17"/>
                <w:szCs w:val="17"/>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hangers, etc. within Tenant Premises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4" w:right="1139" w:bottom="1440" w:gutter="0" w:footer="0" w:header="0"/>
        </w:sectPr>
      </w:pPr>
    </w:p>
    <w:bookmarkStart w:id="649" w:name="page650"/>
    <w:bookmarkEnd w:id="6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3"/>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560" w:type="dxa"/>
            <w:vAlign w:val="bottom"/>
            <w:gridSpan w:val="2"/>
          </w:tcPr>
          <w:p>
            <w:pPr>
              <w:ind w:left="300"/>
              <w:spacing w:after="0" w:line="148" w:lineRule="exact"/>
              <w:rPr>
                <w:sz w:val="20"/>
                <w:szCs w:val="20"/>
                <w:color w:val="auto"/>
              </w:rPr>
            </w:pPr>
            <w:r>
              <w:rPr>
                <w:rFonts w:ascii="Arial" w:cs="Arial" w:eastAsia="Arial" w:hAnsi="Arial"/>
                <w:sz w:val="16"/>
                <w:szCs w:val="16"/>
                <w:color w:val="auto"/>
              </w:rPr>
              <w:t>17.</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2"/>
              </w:rPr>
              <w:t>Exhaust air duct distribution, exhaust air valves, equipment connections, insulation, air terminals, dampers,</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hangers, etc. within core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Restroom exhaust for Base Building restrooms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Specialty exhaust for tenant needs, including “H” &amp; “L” Occupancy zones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Specialty cooling for tenant needs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Ventilation system for Base Building Electrical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Exhaust fan, side wall grille supply, and fire smoke dampers for ventilation of Base Building Electrical</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Rooms on each floor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Ventilation of IDF Rooms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Building Management System (BMS) for core area and Landlord infrastructure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BMS (compatible with Landlord’s system) within Tenant Premises monitoring Tenant infrastructure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4"/>
          </w:tcPr>
          <w:p>
            <w:pPr>
              <w:spacing w:after="0"/>
              <w:rPr>
                <w:sz w:val="20"/>
                <w:szCs w:val="20"/>
                <w:color w:val="auto"/>
              </w:rPr>
            </w:pPr>
            <w:r>
              <w:rPr>
                <w:rFonts w:ascii="Arial" w:cs="Arial" w:eastAsia="Arial" w:hAnsi="Arial"/>
                <w:sz w:val="16"/>
                <w:szCs w:val="16"/>
                <w:b w:val="1"/>
                <w:bCs w:val="1"/>
                <w:color w:val="auto"/>
              </w:rPr>
              <w:t>ELECTRICAL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Site campus medium voltage distribution system with connection to PG&amp;E grid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5,000 amp 480/277V Base Building substation with underground primary feeder to campus main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switchgear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Standard power bus duct risers providing 400 amps per floor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One (1) 1500 kW diesel standby power generator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Standby power bus duct risers providing 188 kW per floor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6.</w:t>
            </w:r>
          </w:p>
        </w:tc>
        <w:tc>
          <w:tcPr>
            <w:tcW w:w="7100" w:type="dxa"/>
            <w:vAlign w:val="bottom"/>
            <w:gridSpan w:val="3"/>
          </w:tcPr>
          <w:p>
            <w:pPr>
              <w:ind w:left="80"/>
              <w:spacing w:after="0"/>
              <w:rPr>
                <w:sz w:val="20"/>
                <w:szCs w:val="20"/>
                <w:color w:val="auto"/>
              </w:rPr>
            </w:pPr>
            <w:r>
              <w:rPr>
                <w:rFonts w:ascii="Arial" w:cs="Arial" w:eastAsia="Arial" w:hAnsi="Arial"/>
                <w:sz w:val="16"/>
                <w:szCs w:val="16"/>
                <w:color w:val="auto"/>
              </w:rPr>
              <w:t>Automatic transfer switch for Tenant load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Standby power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Uninterrupted power supply (UPS) for tenant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Lighting and power distribution for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Lighting and power distribution for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4"/>
          </w:tcPr>
          <w:p>
            <w:pPr>
              <w:ind w:left="300"/>
              <w:spacing w:after="0"/>
              <w:rPr>
                <w:sz w:val="20"/>
                <w:szCs w:val="20"/>
                <w:color w:val="auto"/>
              </w:rPr>
            </w:pPr>
            <w:r>
              <w:rPr>
                <w:rFonts w:ascii="Arial" w:cs="Arial" w:eastAsia="Arial" w:hAnsi="Arial"/>
                <w:sz w:val="16"/>
                <w:szCs w:val="16"/>
                <w:color w:val="auto"/>
              </w:rPr>
              <w:t>11.  Electrical sub-metering for Tenant power at standard and standby duct risers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Base Building common area life safety emergency lighting/signage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 Premises life safety emergency lighting/signage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 panels, transformers, etc. in addition to Base Building</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650" w:name="page651"/>
    <w:bookmarkEnd w:id="6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90105"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560" w:type="dxa"/>
            <w:vAlign w:val="bottom"/>
          </w:tcPr>
          <w:p>
            <w:pPr>
              <w:ind w:left="300"/>
              <w:spacing w:after="0" w:line="148" w:lineRule="exact"/>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3"/>
              </w:rPr>
              <w:t>Distributed Antenna System (DAS) consisting of head-end system, roof-mounted antenna, and 2” conduit</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risers in stair shafts. No coverage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8"/>
              </w:rPr>
              <w:t>Supplementary Distributed Antenna System (DAS) design &amp; construction as required to achieve city-</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required DAS signal coverage within Tenant premises, consisting of (but not limited to) antenna repeaters,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rated conduit, tie-in to Base Building System, programming, and jurisdictional required system testing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FIRE ALARM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Base Building fire alarm system with devices in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Alarm Termination Cabinet (FATC) within each Electrical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alarm sub panels and devices for Tenant Premises with integration into Base Building system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40"/>
              <w:spacing w:after="0"/>
              <w:rPr>
                <w:sz w:val="20"/>
                <w:szCs w:val="20"/>
                <w:color w:val="auto"/>
              </w:rPr>
            </w:pPr>
            <w:r>
              <w:rPr>
                <w:rFonts w:ascii="Arial" w:cs="Arial" w:eastAsia="Arial" w:hAnsi="Arial"/>
                <w:sz w:val="16"/>
                <w:szCs w:val="16"/>
                <w:color w:val="auto"/>
              </w:rPr>
              <w:t>Alteration to fire alarm system to facilitate Tenant program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TELEPHONE/DATA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Underground local fiber optic &amp; telephone conduit only to MPOE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Underground local fiber optic &amp; telephone carrier service to MPOE Room for Tenant Services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Two (2) 4” conduit risers from MPOE to Intermediate Distribution Frame (IDF) Room on each floor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Sleeves for future conduit riser from IDF Rooms to the roof; Landlord approval required for use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Conduit from IDF to the roof</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Tel/Data cabling from MPOE to IDF Rooms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Tel/data infrastructure including, but not limited to, servers, computers, phone systems, switches, routers,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equipment racks, ladder racks, etc.</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40"/>
              <w:spacing w:after="0"/>
              <w:rPr>
                <w:sz w:val="20"/>
                <w:szCs w:val="20"/>
                <w:color w:val="auto"/>
              </w:rPr>
            </w:pPr>
            <w:r>
              <w:rPr>
                <w:rFonts w:ascii="Arial" w:cs="Arial" w:eastAsia="Arial" w:hAnsi="Arial"/>
                <w:sz w:val="16"/>
                <w:szCs w:val="16"/>
                <w:color w:val="auto"/>
              </w:rPr>
              <w:t>Audio visual systems and support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Cabling from Tenant IDF Room to all Tenant locations, within the suite and exterior to the suite, if needed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Campus telecommunications loop consisting of two (2) 4” conduits, linking existing and future buildings on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campus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651" w:name="page652"/>
    <w:bookmarkEnd w:id="6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7620" w:type="dxa"/>
            <w:vAlign w:val="bottom"/>
            <w:gridSpan w:val="3"/>
          </w:tcPr>
          <w:p>
            <w:pPr>
              <w:spacing w:after="0" w:line="146" w:lineRule="exact"/>
              <w:rPr>
                <w:sz w:val="20"/>
                <w:szCs w:val="20"/>
                <w:color w:val="auto"/>
              </w:rPr>
            </w:pPr>
            <w:r>
              <w:rPr>
                <w:rFonts w:ascii="Arial" w:cs="Arial" w:eastAsia="Arial" w:hAnsi="Arial"/>
                <w:sz w:val="13"/>
                <w:szCs w:val="13"/>
                <w:color w:val="auto"/>
              </w:rPr>
              <w:t>DESCRIPTION</w:t>
            </w: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60"/>
        </w:trPr>
        <w:tc>
          <w:tcPr>
            <w:tcW w:w="820" w:type="dxa"/>
            <w:vAlign w:val="bottom"/>
            <w:tcBorders>
              <w:top w:val="single" w:sz="8" w:color="auto"/>
            </w:tcBorders>
            <w:gridSpan w:val="2"/>
          </w:tcPr>
          <w:p>
            <w:pPr>
              <w:ind w:left="300"/>
              <w:spacing w:after="0" w:line="160" w:lineRule="exact"/>
              <w:rPr>
                <w:sz w:val="20"/>
                <w:szCs w:val="20"/>
                <w:color w:val="auto"/>
              </w:rPr>
            </w:pPr>
            <w:r>
              <w:rPr>
                <w:rFonts w:ascii="Arial" w:cs="Arial" w:eastAsia="Arial" w:hAnsi="Arial"/>
                <w:sz w:val="16"/>
                <w:szCs w:val="16"/>
                <w:color w:val="auto"/>
                <w:w w:val="81"/>
              </w:rPr>
              <w:t>11.  One</w:t>
            </w:r>
          </w:p>
        </w:tc>
        <w:tc>
          <w:tcPr>
            <w:tcW w:w="6800" w:type="dxa"/>
            <w:vAlign w:val="bottom"/>
          </w:tcPr>
          <w:p>
            <w:pPr>
              <w:ind w:left="80"/>
              <w:spacing w:after="0" w:line="160" w:lineRule="exact"/>
              <w:rPr>
                <w:sz w:val="20"/>
                <w:szCs w:val="20"/>
                <w:color w:val="auto"/>
              </w:rPr>
            </w:pPr>
            <w:r>
              <w:rPr>
                <w:rFonts w:ascii="Arial" w:cs="Arial" w:eastAsia="Arial" w:hAnsi="Arial"/>
                <w:sz w:val="16"/>
                <w:szCs w:val="16"/>
                <w:color w:val="auto"/>
              </w:rPr>
              <w:t>(1) 4” conduit security communications loop</w:t>
            </w:r>
          </w:p>
        </w:tc>
        <w:tc>
          <w:tcPr>
            <w:tcW w:w="580" w:type="dxa"/>
            <w:vAlign w:val="bottom"/>
            <w:tcBorders>
              <w:top w:val="single" w:sz="8" w:color="auto"/>
            </w:tcBorders>
          </w:tcPr>
          <w:p>
            <w:pPr>
              <w:ind w:left="220"/>
              <w:spacing w:after="0" w:line="160"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5"/>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12.  Two (2) 4” conduits connecting Building 3 MPOE Room with Building 4 MPOE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SECURITY</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1.</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Card access at Building entries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2.</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Card access into or within Tenant Premises on separate Tenant installed and managed system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3.</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Video surveillance and intercom system at entrance and receiving doors of the Building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20" w:type="dxa"/>
            <w:vAlign w:val="bottom"/>
          </w:tcPr>
          <w:p>
            <w:pPr>
              <w:ind w:left="300"/>
              <w:spacing w:after="0"/>
              <w:rPr>
                <w:sz w:val="20"/>
                <w:szCs w:val="20"/>
                <w:color w:val="auto"/>
              </w:rPr>
            </w:pPr>
            <w:r>
              <w:rPr>
                <w:rFonts w:ascii="Arial" w:cs="Arial" w:eastAsia="Arial" w:hAnsi="Arial"/>
                <w:sz w:val="16"/>
                <w:szCs w:val="16"/>
                <w:color w:val="auto"/>
              </w:rPr>
              <w:t>4.</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Main Lobby desk for future security operations. Security guard scope TBD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652" w:name="page653"/>
    <w:bookmarkEnd w:id="65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Evacuation Signage Details: Building 4</w:t>
      </w:r>
    </w:p>
    <w:p>
      <w:pPr>
        <w:sectPr>
          <w:pgSz w:w="11900" w:h="16838" w:orient="portrait"/>
          <w:cols w:equalWidth="0" w:num="1">
            <w:col w:w="9019"/>
          </w:cols>
          <w:pgMar w:left="1440" w:top="252" w:right="1440" w:bottom="1440" w:gutter="0" w:footer="0" w:header="0"/>
        </w:sectPr>
      </w:pPr>
    </w:p>
    <w:bookmarkStart w:id="653" w:name="page654"/>
    <w:bookmarkEnd w:id="6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7307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90105"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4" w:name="page655"/>
    <w:bookmarkEnd w:id="6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8696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90105" cy="3869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5" w:name="page656"/>
    <w:bookmarkEnd w:id="6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217410" cy="445452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17410" cy="4454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6" w:name="page657"/>
    <w:bookmarkEnd w:id="65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Roof Zone Designations: Building 4</w:t>
      </w:r>
    </w:p>
    <w:p>
      <w:pPr>
        <w:sectPr>
          <w:pgSz w:w="11900" w:h="16838" w:orient="portrait"/>
          <w:cols w:equalWidth="0" w:num="1">
            <w:col w:w="9019"/>
          </w:cols>
          <w:pgMar w:left="1440" w:top="253" w:right="1440" w:bottom="1440" w:gutter="0" w:footer="0" w:header="0"/>
        </w:sectPr>
      </w:pPr>
    </w:p>
    <w:bookmarkStart w:id="657" w:name="page658"/>
    <w:bookmarkEnd w:id="6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8" w:name="page659"/>
    <w:bookmarkEnd w:id="65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Exterior Façade Signage Installation Details: Building 4</w:t>
      </w:r>
    </w:p>
    <w:p>
      <w:pPr>
        <w:sectPr>
          <w:pgSz w:w="11900" w:h="16838" w:orient="portrait"/>
          <w:cols w:equalWidth="0" w:num="1">
            <w:col w:w="9019"/>
          </w:cols>
          <w:pgMar w:left="1440" w:top="253" w:right="1440" w:bottom="1440" w:gutter="0" w:footer="0" w:header="0"/>
        </w:sectPr>
      </w:pPr>
    </w:p>
    <w:bookmarkStart w:id="659" w:name="page660"/>
    <w:bookmarkEnd w:id="6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4297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90105" cy="344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0" w:name="page661"/>
    <w:bookmarkEnd w:id="6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589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90105" cy="4589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1" w:name="page662"/>
    <w:bookmarkEnd w:id="6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8557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90105" cy="385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2" w:name="page663"/>
    <w:bookmarkEnd w:id="6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87731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90105" cy="3877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3" w:name="page664"/>
    <w:bookmarkEnd w:id="6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712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90105" cy="3712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4" w:name="page665"/>
    <w:bookmarkEnd w:id="66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Generator &amp; Automatic Transfer Switch Description: Building 4</w:t>
      </w:r>
    </w:p>
    <w:p>
      <w:pPr>
        <w:sectPr>
          <w:pgSz w:w="11900" w:h="16838" w:orient="portrait"/>
          <w:cols w:equalWidth="0" w:num="1">
            <w:col w:w="9019"/>
          </w:cols>
          <w:pgMar w:left="1440" w:top="252" w:right="1440" w:bottom="1440" w:gutter="0" w:footer="0" w:header="0"/>
        </w:sectPr>
      </w:pPr>
    </w:p>
    <w:bookmarkStart w:id="665" w:name="page666"/>
    <w:bookmarkEnd w:id="6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February 19, 2015</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Reference: Britannia Cove, So San Francisco</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Collicutt Energy would like to quote the standby generator, generator set accessories and automatic transfer switches.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Outdoor Application: Bldg #4</w:t>
      </w:r>
    </w:p>
    <w:p>
      <w:pPr>
        <w:spacing w:after="0" w:line="99" w:lineRule="exact"/>
        <w:rPr>
          <w:sz w:val="20"/>
          <w:szCs w:val="20"/>
          <w:color w:val="auto"/>
        </w:rPr>
      </w:pPr>
    </w:p>
    <w:p>
      <w:pPr>
        <w:ind w:left="380" w:right="160"/>
        <w:spacing w:after="0" w:line="272" w:lineRule="auto"/>
        <w:rPr>
          <w:sz w:val="20"/>
          <w:szCs w:val="20"/>
          <w:color w:val="auto"/>
        </w:rPr>
      </w:pPr>
      <w:r>
        <w:rPr>
          <w:rFonts w:ascii="Arial" w:cs="Arial" w:eastAsia="Arial" w:hAnsi="Arial"/>
          <w:sz w:val="16"/>
          <w:szCs w:val="16"/>
          <w:b w:val="1"/>
          <w:bCs w:val="1"/>
          <w:color w:val="auto"/>
        </w:rPr>
        <w:t xml:space="preserve">Engine Generator Description: EPA CERTIFIED TIER II: UL2200 RATED </w:t>
      </w:r>
      <w:r>
        <w:rPr>
          <w:rFonts w:ascii="Arial" w:cs="Arial" w:eastAsia="Arial" w:hAnsi="Arial"/>
          <w:sz w:val="16"/>
          <w:szCs w:val="16"/>
          <w:color w:val="auto"/>
        </w:rPr>
        <w:t>Diesel packaged generator set rated for 1500kW standby duty,</w:t>
      </w:r>
      <w:r>
        <w:rPr>
          <w:rFonts w:ascii="Arial" w:cs="Arial" w:eastAsia="Arial" w:hAnsi="Arial"/>
          <w:sz w:val="16"/>
          <w:szCs w:val="16"/>
          <w:b w:val="1"/>
          <w:bCs w:val="1"/>
          <w:color w:val="auto"/>
        </w:rPr>
        <w:t xml:space="preserve"> </w:t>
      </w:r>
      <w:r>
        <w:rPr>
          <w:rFonts w:ascii="Arial" w:cs="Arial" w:eastAsia="Arial" w:hAnsi="Arial"/>
          <w:sz w:val="16"/>
          <w:szCs w:val="16"/>
          <w:color w:val="auto"/>
        </w:rPr>
        <w:t>277/480 VAC, 3 Phase, 60Hz, and included the accessories shown below:</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130 degree C, rated alternator, with voltage regulator, and permanent magnet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excitation for 300% current protection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Alternator strip heater, 120/240V</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Air cleaner with service indicator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Lubricating oil cooler</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Lube oil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Factory mounted fuel filter assembly</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Lubricating oil filters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Pumps, fuel priming, jacket water, and lube oil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Coolant thermostats and housing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Unit mounted radiator, rated 122 degrees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 coolant and antifreeze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Electronic isochronous governor system</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Formed steel base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Exhaust manifold</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Electric starter motor, 24 VDC</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Lead cadmium-starting batteries with rack and cables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 charging alternator, 24 VDC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Battery heater, 120V</w:t>
      </w:r>
    </w:p>
    <w:p>
      <w:pPr>
        <w:spacing w:after="0" w:line="5" w:lineRule="exact"/>
        <w:rPr>
          <w:sz w:val="20"/>
          <w:szCs w:val="20"/>
          <w:color w:val="auto"/>
        </w:rPr>
      </w:pPr>
    </w:p>
    <w:p>
      <w:pPr>
        <w:ind w:left="380" w:right="4360"/>
        <w:spacing w:after="0" w:line="246" w:lineRule="auto"/>
        <w:rPr>
          <w:sz w:val="20"/>
          <w:szCs w:val="20"/>
          <w:color w:val="auto"/>
        </w:rPr>
      </w:pPr>
      <w:r>
        <w:rPr>
          <w:rFonts w:ascii="Arial" w:cs="Arial" w:eastAsia="Arial" w:hAnsi="Arial"/>
          <w:sz w:val="16"/>
          <w:szCs w:val="16"/>
          <w:color w:val="auto"/>
        </w:rPr>
        <w:t>Battery charger, 24 VDC, 10 amps with low voltage, high voltage and charge failure alarm relays</w:t>
      </w:r>
    </w:p>
    <w:p>
      <w:pPr>
        <w:ind w:left="380"/>
        <w:spacing w:after="0"/>
        <w:rPr>
          <w:sz w:val="20"/>
          <w:szCs w:val="20"/>
          <w:color w:val="auto"/>
        </w:rPr>
      </w:pPr>
      <w:r>
        <w:rPr>
          <w:rFonts w:ascii="Arial" w:cs="Arial" w:eastAsia="Arial" w:hAnsi="Arial"/>
          <w:sz w:val="16"/>
          <w:szCs w:val="16"/>
          <w:color w:val="auto"/>
        </w:rPr>
        <w:t>Jacket coolant heater, 240 VAC</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Sound Attenuated Weather Protective Enclosure rated 75 dba @ 23’</w:t>
      </w:r>
    </w:p>
    <w:p>
      <w:pPr>
        <w:spacing w:after="0" w:line="20" w:lineRule="exact"/>
        <w:rPr>
          <w:sz w:val="20"/>
          <w:szCs w:val="20"/>
          <w:color w:val="auto"/>
        </w:rPr>
      </w:pPr>
    </w:p>
    <w:p>
      <w:pPr>
        <w:ind w:left="380"/>
        <w:spacing w:after="0" w:line="252" w:lineRule="auto"/>
        <w:rPr>
          <w:sz w:val="20"/>
          <w:szCs w:val="20"/>
          <w:color w:val="auto"/>
        </w:rPr>
      </w:pPr>
      <w:r>
        <w:rPr>
          <w:rFonts w:ascii="Arial" w:cs="Arial" w:eastAsia="Arial" w:hAnsi="Arial"/>
          <w:sz w:val="16"/>
          <w:szCs w:val="16"/>
          <w:color w:val="auto"/>
        </w:rPr>
        <w:t>Heavy-duty gauge steel metal construction, powder coated baked paint Fixed intake &amp; outlet louver, lockable gasketed doors, rust free door hinges and locks</w:t>
      </w:r>
    </w:p>
    <w:p>
      <w:pPr>
        <w:spacing w:after="0" w:line="168"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AC load center, single phase 120/240 w/ incandescent lights and wiring of heaters and battery charger Lube oil, coolant and fumes disposal lines terminated on the base frame</w:t>
      </w:r>
    </w:p>
    <w:p>
      <w:pPr>
        <w:spacing w:after="0" w:line="158" w:lineRule="exact"/>
        <w:rPr>
          <w:sz w:val="20"/>
          <w:szCs w:val="20"/>
          <w:color w:val="auto"/>
        </w:rPr>
      </w:pPr>
    </w:p>
    <w:p>
      <w:pPr>
        <w:ind w:right="2620"/>
        <w:spacing w:after="0" w:line="513" w:lineRule="auto"/>
        <w:rPr>
          <w:sz w:val="20"/>
          <w:szCs w:val="20"/>
          <w:color w:val="auto"/>
        </w:rPr>
      </w:pPr>
      <w:r>
        <w:rPr>
          <w:rFonts w:ascii="Arial" w:cs="Arial" w:eastAsia="Arial" w:hAnsi="Arial"/>
          <w:sz w:val="16"/>
          <w:szCs w:val="16"/>
          <w:color w:val="auto"/>
        </w:rPr>
        <w:t>Load tap box mounted to exterior of generator set enclosure wired to generator addl 2500AT protective breaker Critical grade silencer mounted within enclosure</w:t>
      </w:r>
    </w:p>
    <w:p>
      <w:pPr>
        <w:sectPr>
          <w:pgSz w:w="11900" w:h="16838" w:orient="portrait"/>
          <w:cols w:equalWidth="0" w:num="1">
            <w:col w:w="9600"/>
          </w:cols>
          <w:pgMar w:left="1140" w:top="256" w:right="1159" w:bottom="1440" w:gutter="0" w:footer="0" w:header="0"/>
        </w:sectPr>
      </w:pPr>
    </w:p>
    <w:bookmarkStart w:id="666" w:name="page667"/>
    <w:bookmarkEnd w:id="66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1350 Gallon UL142 sub base tank mounted below generator enclosure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12 Hour rating @ 100% load conditions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Five gallon spill/fill w/ 95% overfill prevention valve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Dual wall construction/ rupture basin w/leak alarm wired to control panel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 manual fill — internal located with normal and emergency relief venting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High/low fuel alarms, leak alarm sensor wired to control panel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(UL2085 protected tank not provided or requested in electrical narrative)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Vibration spring isolators with anchorage calculations.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Kohler Control Panel, Unit mounted: Decision Maker 550 Digital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Unit mounted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Generator control/instrument panel includes: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Control &amp; Monitoring</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Digital ammeter, voltmeter and frequency meter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Ammeter/voltmeter phase selector switch</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Voltage adjust rheostat</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Automatic/manual start-stop control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 Control switch for off/reset, auto start, manual start, and stop</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Cycle cranking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Cool down timer</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Emergency Stop push button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Safety shutdown protection and LED indicators for:</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Low oil pressure, high coolant temp., over crank, over speed,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emergency stop, spare alarms, spare shutdowns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NFPA 110 alarm module to include flashing LEDs and horn to annunciate:</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High coolant temperature alarm, low coolant temperature alarm,</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low oil pressure alarm, low DC volts alarms, system not in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automatic model, low fuel level, battery charger malfunction</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Digital display for:</w:t>
      </w:r>
    </w:p>
    <w:p>
      <w:pPr>
        <w:spacing w:after="0" w:line="99" w:lineRule="exact"/>
        <w:rPr>
          <w:sz w:val="20"/>
          <w:szCs w:val="20"/>
          <w:color w:val="auto"/>
        </w:rPr>
      </w:pPr>
    </w:p>
    <w:p>
      <w:pPr>
        <w:ind w:left="380" w:right="2259" w:firstLine="481"/>
        <w:spacing w:after="0" w:line="315" w:lineRule="auto"/>
        <w:rPr>
          <w:sz w:val="20"/>
          <w:szCs w:val="20"/>
          <w:color w:val="auto"/>
        </w:rPr>
      </w:pPr>
      <w:r>
        <w:rPr>
          <w:rFonts w:ascii="Arial" w:cs="Arial" w:eastAsia="Arial" w:hAnsi="Arial"/>
          <w:sz w:val="16"/>
          <w:szCs w:val="16"/>
          <w:color w:val="auto"/>
        </w:rPr>
        <w:t>Coolant temp., oil pressure, service hours, engine RPM, system DC volts, system diagnostic codes Panel light with on/off switch</w:t>
      </w:r>
    </w:p>
    <w:p>
      <w:pPr>
        <w:ind w:left="380"/>
        <w:spacing w:after="0"/>
        <w:rPr>
          <w:sz w:val="20"/>
          <w:szCs w:val="20"/>
          <w:color w:val="auto"/>
        </w:rPr>
      </w:pPr>
      <w:r>
        <w:rPr>
          <w:rFonts w:ascii="Arial" w:cs="Arial" w:eastAsia="Arial" w:hAnsi="Arial"/>
          <w:sz w:val="16"/>
          <w:szCs w:val="16"/>
          <w:color w:val="auto"/>
        </w:rPr>
        <w:t>3000-amp, 100% rated main line circuit breaker, LSI, 3 poles, mounted in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generator extension box (standard lugs supplied)</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2500-amp, 100% rated load bank circuit breaker, LSI, 3 poles, mounted in generator extension box</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AUTOMATIC TRANSFER SWITCHES/BYPASS ISOLATION: KOHLER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Pr>
          <w:p>
            <w:pPr>
              <w:spacing w:after="0"/>
              <w:rPr>
                <w:sz w:val="20"/>
                <w:szCs w:val="20"/>
                <w:color w:val="auto"/>
              </w:rPr>
            </w:pPr>
            <w:r>
              <w:rPr>
                <w:rFonts w:ascii="Arial" w:cs="Arial" w:eastAsia="Arial" w:hAnsi="Arial"/>
                <w:sz w:val="16"/>
                <w:szCs w:val="16"/>
                <w:color w:val="auto"/>
              </w:rPr>
              <w:t>Location</w:t>
            </w:r>
          </w:p>
        </w:tc>
        <w:tc>
          <w:tcPr>
            <w:tcW w:w="420" w:type="dxa"/>
            <w:vAlign w:val="bottom"/>
          </w:tcPr>
          <w:p>
            <w:pPr>
              <w:ind w:left="120"/>
              <w:spacing w:after="0"/>
              <w:rPr>
                <w:sz w:val="20"/>
                <w:szCs w:val="20"/>
                <w:color w:val="auto"/>
              </w:rPr>
            </w:pPr>
            <w:r>
              <w:rPr>
                <w:rFonts w:ascii="Arial" w:cs="Arial" w:eastAsia="Arial" w:hAnsi="Arial"/>
                <w:sz w:val="16"/>
                <w:szCs w:val="16"/>
                <w:color w:val="auto"/>
              </w:rPr>
              <w:t>Qty</w:t>
            </w:r>
          </w:p>
        </w:tc>
        <w:tc>
          <w:tcPr>
            <w:tcW w:w="2120" w:type="dxa"/>
            <w:vAlign w:val="bottom"/>
          </w:tcPr>
          <w:p>
            <w:pPr>
              <w:ind w:left="60"/>
              <w:spacing w:after="0"/>
              <w:rPr>
                <w:sz w:val="20"/>
                <w:szCs w:val="20"/>
                <w:color w:val="auto"/>
              </w:rPr>
            </w:pPr>
            <w:r>
              <w:rPr>
                <w:rFonts w:ascii="Arial" w:cs="Arial" w:eastAsia="Arial" w:hAnsi="Arial"/>
                <w:sz w:val="16"/>
                <w:szCs w:val="16"/>
                <w:color w:val="auto"/>
              </w:rPr>
              <w:t>Size</w:t>
            </w:r>
          </w:p>
        </w:tc>
      </w:tr>
      <w:tr>
        <w:trPr>
          <w:trHeight w:val="189"/>
        </w:trPr>
        <w:tc>
          <w:tcPr>
            <w:tcW w:w="660" w:type="dxa"/>
            <w:vAlign w:val="bottom"/>
          </w:tcPr>
          <w:p>
            <w:pPr>
              <w:spacing w:after="0"/>
              <w:rPr>
                <w:sz w:val="20"/>
                <w:szCs w:val="20"/>
                <w:color w:val="auto"/>
              </w:rPr>
            </w:pPr>
            <w:r>
              <w:rPr>
                <w:rFonts w:ascii="Arial" w:cs="Arial" w:eastAsia="Arial" w:hAnsi="Arial"/>
                <w:sz w:val="16"/>
                <w:szCs w:val="16"/>
                <w:color w:val="auto"/>
              </w:rPr>
              <w:t>ATS</w:t>
            </w:r>
          </w:p>
        </w:tc>
        <w:tc>
          <w:tcPr>
            <w:tcW w:w="420" w:type="dxa"/>
            <w:vAlign w:val="bottom"/>
          </w:tcPr>
          <w:p>
            <w:pPr>
              <w:ind w:left="120"/>
              <w:spacing w:after="0"/>
              <w:rPr>
                <w:sz w:val="20"/>
                <w:szCs w:val="20"/>
                <w:color w:val="auto"/>
              </w:rPr>
            </w:pPr>
            <w:r>
              <w:rPr>
                <w:rFonts w:ascii="Arial" w:cs="Arial" w:eastAsia="Arial" w:hAnsi="Arial"/>
                <w:sz w:val="16"/>
                <w:szCs w:val="16"/>
                <w:color w:val="auto"/>
              </w:rPr>
              <w:t>1</w:t>
            </w:r>
          </w:p>
        </w:tc>
        <w:tc>
          <w:tcPr>
            <w:tcW w:w="2120" w:type="dxa"/>
            <w:vAlign w:val="bottom"/>
          </w:tcPr>
          <w:p>
            <w:pPr>
              <w:ind w:left="60"/>
              <w:spacing w:after="0"/>
              <w:rPr>
                <w:sz w:val="20"/>
                <w:szCs w:val="20"/>
                <w:color w:val="auto"/>
              </w:rPr>
            </w:pPr>
            <w:r>
              <w:rPr>
                <w:rFonts w:ascii="Arial" w:cs="Arial" w:eastAsia="Arial" w:hAnsi="Arial"/>
                <w:sz w:val="16"/>
                <w:szCs w:val="16"/>
                <w:color w:val="auto"/>
                <w:w w:val="88"/>
              </w:rPr>
              <w:t>1200 amp, three poles, four wire</w:t>
            </w:r>
          </w:p>
        </w:tc>
      </w:tr>
      <w:tr>
        <w:trPr>
          <w:trHeight w:val="189"/>
        </w:trPr>
        <w:tc>
          <w:tcPr>
            <w:tcW w:w="660" w:type="dxa"/>
            <w:vAlign w:val="bottom"/>
          </w:tcPr>
          <w:p>
            <w:pPr>
              <w:spacing w:after="0"/>
              <w:rPr>
                <w:sz w:val="20"/>
                <w:szCs w:val="20"/>
                <w:color w:val="auto"/>
              </w:rPr>
            </w:pPr>
            <w:r>
              <w:rPr>
                <w:rFonts w:ascii="Arial" w:cs="Arial" w:eastAsia="Arial" w:hAnsi="Arial"/>
                <w:sz w:val="16"/>
                <w:szCs w:val="16"/>
                <w:color w:val="auto"/>
              </w:rPr>
              <w:t>ATS</w:t>
            </w:r>
          </w:p>
        </w:tc>
        <w:tc>
          <w:tcPr>
            <w:tcW w:w="420" w:type="dxa"/>
            <w:vAlign w:val="bottom"/>
          </w:tcPr>
          <w:p>
            <w:pPr>
              <w:ind w:left="120"/>
              <w:spacing w:after="0"/>
              <w:rPr>
                <w:sz w:val="20"/>
                <w:szCs w:val="20"/>
                <w:color w:val="auto"/>
              </w:rPr>
            </w:pPr>
            <w:r>
              <w:rPr>
                <w:rFonts w:ascii="Arial" w:cs="Arial" w:eastAsia="Arial" w:hAnsi="Arial"/>
                <w:sz w:val="16"/>
                <w:szCs w:val="16"/>
                <w:color w:val="auto"/>
              </w:rPr>
              <w:t>1</w:t>
            </w:r>
          </w:p>
        </w:tc>
        <w:tc>
          <w:tcPr>
            <w:tcW w:w="2120" w:type="dxa"/>
            <w:vAlign w:val="bottom"/>
          </w:tcPr>
          <w:p>
            <w:pPr>
              <w:ind w:left="60"/>
              <w:spacing w:after="0"/>
              <w:rPr>
                <w:sz w:val="20"/>
                <w:szCs w:val="20"/>
                <w:color w:val="auto"/>
              </w:rPr>
            </w:pPr>
            <w:r>
              <w:rPr>
                <w:rFonts w:ascii="Arial" w:cs="Arial" w:eastAsia="Arial" w:hAnsi="Arial"/>
                <w:sz w:val="16"/>
                <w:szCs w:val="16"/>
                <w:color w:val="auto"/>
                <w:w w:val="92"/>
              </w:rPr>
              <w:t>1000 amp, four poles, four wire</w:t>
            </w:r>
          </w:p>
        </w:tc>
      </w:tr>
      <w:tr>
        <w:trPr>
          <w:trHeight w:val="200"/>
        </w:trPr>
        <w:tc>
          <w:tcPr>
            <w:tcW w:w="660" w:type="dxa"/>
            <w:vAlign w:val="bottom"/>
          </w:tcPr>
          <w:p>
            <w:pPr>
              <w:spacing w:after="0"/>
              <w:rPr>
                <w:sz w:val="20"/>
                <w:szCs w:val="20"/>
                <w:color w:val="auto"/>
              </w:rPr>
            </w:pPr>
            <w:r>
              <w:rPr>
                <w:rFonts w:ascii="Arial" w:cs="Arial" w:eastAsia="Arial" w:hAnsi="Arial"/>
                <w:sz w:val="16"/>
                <w:szCs w:val="16"/>
                <w:color w:val="auto"/>
              </w:rPr>
              <w:t>ATS</w:t>
            </w:r>
          </w:p>
        </w:tc>
        <w:tc>
          <w:tcPr>
            <w:tcW w:w="420" w:type="dxa"/>
            <w:vAlign w:val="bottom"/>
          </w:tcPr>
          <w:p>
            <w:pPr>
              <w:ind w:left="120"/>
              <w:spacing w:after="0"/>
              <w:rPr>
                <w:sz w:val="20"/>
                <w:szCs w:val="20"/>
                <w:color w:val="auto"/>
              </w:rPr>
            </w:pPr>
            <w:r>
              <w:rPr>
                <w:rFonts w:ascii="Arial" w:cs="Arial" w:eastAsia="Arial" w:hAnsi="Arial"/>
                <w:sz w:val="16"/>
                <w:szCs w:val="16"/>
                <w:color w:val="auto"/>
              </w:rPr>
              <w:t>1</w:t>
            </w:r>
          </w:p>
        </w:tc>
        <w:tc>
          <w:tcPr>
            <w:tcW w:w="2120" w:type="dxa"/>
            <w:vAlign w:val="bottom"/>
          </w:tcPr>
          <w:p>
            <w:pPr>
              <w:ind w:left="60"/>
              <w:spacing w:after="0"/>
              <w:rPr>
                <w:sz w:val="20"/>
                <w:szCs w:val="20"/>
                <w:color w:val="auto"/>
              </w:rPr>
            </w:pPr>
            <w:r>
              <w:rPr>
                <w:rFonts w:ascii="Arial" w:cs="Arial" w:eastAsia="Arial" w:hAnsi="Arial"/>
                <w:sz w:val="16"/>
                <w:szCs w:val="16"/>
                <w:color w:val="auto"/>
                <w:w w:val="96"/>
              </w:rPr>
              <w:t>260 amp, four poles, four wire</w:t>
            </w:r>
          </w:p>
        </w:tc>
      </w:tr>
    </w:tbl>
    <w:p>
      <w:pPr>
        <w:spacing w:after="0" w:line="177" w:lineRule="exact"/>
        <w:rPr>
          <w:sz w:val="20"/>
          <w:szCs w:val="20"/>
          <w:color w:val="auto"/>
        </w:rPr>
      </w:pPr>
    </w:p>
    <w:p>
      <w:pPr>
        <w:ind w:right="4119"/>
        <w:spacing w:after="0" w:line="266" w:lineRule="auto"/>
        <w:rPr>
          <w:sz w:val="20"/>
          <w:szCs w:val="20"/>
          <w:color w:val="auto"/>
        </w:rPr>
      </w:pPr>
      <w:r>
        <w:rPr>
          <w:rFonts w:ascii="Arial" w:cs="Arial" w:eastAsia="Arial" w:hAnsi="Arial"/>
          <w:sz w:val="16"/>
          <w:szCs w:val="16"/>
          <w:color w:val="auto"/>
        </w:rPr>
        <w:t>Programmed (1000A &amp; 1200A) &amp; Open transition (260A) rated automatic transfer switch consisting of the following:</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Under voltage sensing of normal source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Under voltage sensing of emergency source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Time delay to override momentary normal source</w:t>
      </w:r>
    </w:p>
    <w:p>
      <w:pPr>
        <w:sectPr>
          <w:pgSz w:w="11900" w:h="16838" w:orient="portrait"/>
          <w:cols w:equalWidth="0" w:num="1">
            <w:col w:w="9319"/>
          </w:cols>
          <w:pgMar w:left="1140" w:top="252" w:right="1440" w:bottom="1440" w:gutter="0" w:footer="0" w:header="0"/>
        </w:sectPr>
      </w:pPr>
    </w:p>
    <w:bookmarkStart w:id="667" w:name="page668"/>
    <w:bookmarkEnd w:id="667"/>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Time delay on retransfers to normal</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Time delay to control contact transition time on transfer to either source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Programmable voltage and frequency sensing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Programmable load test function to simulate normal power failure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Contact to close on failure to normal source to initial engine starting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Auxiliary contacts closed in normal position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Auxiliary contacts closed in emergency position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UL1008 listed</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Nema 1 enclosure</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GENERATOR TESTING</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Kohler factory prototype test reports provided for verification of testing requirements.</w:t>
      </w:r>
    </w:p>
    <w:p>
      <w:pPr>
        <w:spacing w:after="0" w:line="99" w:lineRule="exact"/>
        <w:rPr>
          <w:sz w:val="20"/>
          <w:szCs w:val="20"/>
          <w:color w:val="auto"/>
        </w:rPr>
      </w:pPr>
    </w:p>
    <w:p>
      <w:pPr>
        <w:ind w:left="380" w:right="340"/>
        <w:spacing w:after="0" w:line="266" w:lineRule="auto"/>
        <w:rPr>
          <w:sz w:val="20"/>
          <w:szCs w:val="20"/>
          <w:color w:val="auto"/>
        </w:rPr>
      </w:pPr>
      <w:r>
        <w:rPr>
          <w:rFonts w:ascii="Arial" w:cs="Arial" w:eastAsia="Arial" w:hAnsi="Arial"/>
          <w:sz w:val="16"/>
          <w:szCs w:val="16"/>
          <w:color w:val="auto"/>
        </w:rPr>
        <w:t>Collicutt Energy shall perform demonstration of system functions; start up assistance, verification of interface of generator set and automatic transfer switch and building load transfer tests.</w:t>
      </w:r>
    </w:p>
    <w:p>
      <w:pPr>
        <w:spacing w:after="0" w:line="64" w:lineRule="exact"/>
        <w:rPr>
          <w:sz w:val="20"/>
          <w:szCs w:val="20"/>
          <w:color w:val="auto"/>
        </w:rPr>
      </w:pPr>
    </w:p>
    <w:p>
      <w:pPr>
        <w:jc w:val="both"/>
        <w:ind w:left="380"/>
        <w:spacing w:after="0" w:line="378" w:lineRule="auto"/>
        <w:rPr>
          <w:sz w:val="20"/>
          <w:szCs w:val="20"/>
          <w:color w:val="auto"/>
        </w:rPr>
      </w:pPr>
      <w:r>
        <w:rPr>
          <w:rFonts w:ascii="Arial" w:cs="Arial" w:eastAsia="Arial" w:hAnsi="Arial"/>
          <w:sz w:val="13"/>
          <w:szCs w:val="13"/>
          <w:color w:val="auto"/>
        </w:rPr>
        <w:t xml:space="preserve">Engine generator load testing for two hours at unity power factor with recording of electrical functions. </w:t>
      </w:r>
      <w:r>
        <w:rPr>
          <w:rFonts w:ascii="Arial" w:cs="Arial" w:eastAsia="Arial" w:hAnsi="Arial"/>
          <w:sz w:val="13"/>
          <w:szCs w:val="13"/>
          <w:i w:val="1"/>
          <w:iCs w:val="1"/>
          <w:color w:val="auto"/>
        </w:rPr>
        <w:t>Kohler service dept to provide load banks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50’ cable for testing purposes. Installation contractor must provide drayage if area is beyond provided cable run. </w:t>
      </w:r>
      <w:r>
        <w:rPr>
          <w:rFonts w:ascii="Arial" w:cs="Arial" w:eastAsia="Arial" w:hAnsi="Arial"/>
          <w:sz w:val="13"/>
          <w:szCs w:val="13"/>
          <w:color w:val="auto"/>
        </w:rPr>
        <w:t>End user training provided.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Kohler five year limited warranty</w:t>
      </w:r>
    </w:p>
    <w:p>
      <w:pPr>
        <w:sectPr>
          <w:pgSz w:w="11900" w:h="16838" w:orient="portrait"/>
          <w:cols w:equalWidth="0" w:num="1">
            <w:col w:w="9560"/>
          </w:cols>
          <w:pgMar w:left="1140" w:top="256" w:right="1199" w:bottom="1440" w:gutter="0" w:footer="0" w:header="0"/>
        </w:sectPr>
      </w:pPr>
    </w:p>
    <w:bookmarkStart w:id="668" w:name="page669"/>
    <w:bookmarkEnd w:id="668"/>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HCP,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HCP Oyster Point III LLC</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950 Tower Lane, Suite 1650</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Foster City, CA 94404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Contact: Scott Bohn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Management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Project Management Advisors, Inc.</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Tower Place, Suite 200</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South San Francisco, CA 94080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Contact: Jerry Colomb</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Building General Contractor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Hathaway Dinwiddie Construction</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250 East Grand, Suite 40</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South San Francisco, CA 94080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Contact: Sara Carmody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Building Architect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DES Architects + Engineers, Inc.</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399 Bradford Street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Redwood City, CA 94063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Contact: Kevin Norman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Building Structural Engineer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DES Architects + Engineers, Inc.</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399 Bradford Street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Redwood City, CA 94063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Contact: Kevin Norman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Window Shade Manufacturer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Mariak</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575 West Manville Street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Rancho Dominguez, CA 90220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Contact: Greg Sison</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6"/>
          <w:szCs w:val="16"/>
          <w:b w:val="1"/>
          <w:bCs w:val="1"/>
          <w:color w:val="auto"/>
        </w:rPr>
        <w:t>APPENDIX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-187960</wp:posOffset>
            </wp:positionV>
            <wp:extent cx="7190105" cy="3492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Project Directory</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Window Film Manufacturer</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Window Works</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400 Reed Street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Santa Clara, CA 95050</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Asia Bautista</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Roof Installer</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Alcal Specialty Contracting, Inc.</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42950 Osgood Road</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Fremont, CA 94539</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Jaime Arellano</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Electric Meter Supplier</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Graybar</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Robert Menzies</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Electric Meter Programming</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Square D</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Joe Kneiss</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Building Envelope</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Walters &amp; Wolf</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2990 3</w:t>
      </w:r>
      <w:r>
        <w:rPr>
          <w:rFonts w:ascii="Arial" w:cs="Arial" w:eastAsia="Arial" w:hAnsi="Arial"/>
          <w:sz w:val="13"/>
          <w:szCs w:val="13"/>
          <w:color w:val="auto"/>
        </w:rPr>
        <w:t>rd</w:t>
      </w:r>
      <w:r>
        <w:rPr>
          <w:rFonts w:ascii="Arial" w:cs="Arial" w:eastAsia="Arial" w:hAnsi="Arial"/>
          <w:sz w:val="16"/>
          <w:szCs w:val="16"/>
          <w:color w:val="auto"/>
        </w:rPr>
        <w:t xml:space="preserve"> Street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San Francisco, CA 94107</w:t>
      </w:r>
    </w:p>
    <w:p>
      <w:pPr>
        <w:spacing w:after="0" w:line="201" w:lineRule="exact"/>
        <w:rPr>
          <w:sz w:val="20"/>
          <w:szCs w:val="20"/>
          <w:color w:val="auto"/>
        </w:rPr>
      </w:pPr>
    </w:p>
    <w:p>
      <w:pPr>
        <w:jc w:val="right"/>
        <w:ind w:right="1999"/>
        <w:spacing w:after="0"/>
        <w:rPr>
          <w:sz w:val="20"/>
          <w:szCs w:val="20"/>
          <w:color w:val="auto"/>
        </w:rPr>
      </w:pPr>
      <w:r>
        <w:rPr>
          <w:rFonts w:ascii="Arial" w:cs="Arial" w:eastAsia="Arial" w:hAnsi="Arial"/>
          <w:sz w:val="16"/>
          <w:szCs w:val="16"/>
          <w:b w:val="1"/>
          <w:bCs w:val="1"/>
          <w:color w:val="auto"/>
        </w:rPr>
        <w:t>Base Building Emergency Systems</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Cupertino Electric, Inc.</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1132 North 7</w:t>
      </w:r>
      <w:r>
        <w:rPr>
          <w:rFonts w:ascii="Arial" w:cs="Arial" w:eastAsia="Arial" w:hAnsi="Arial"/>
          <w:sz w:val="13"/>
          <w:szCs w:val="13"/>
          <w:color w:val="auto"/>
        </w:rPr>
        <w:t>th</w:t>
      </w:r>
      <w:r>
        <w:rPr>
          <w:rFonts w:ascii="Arial" w:cs="Arial" w:eastAsia="Arial" w:hAnsi="Arial"/>
          <w:sz w:val="16"/>
          <w:szCs w:val="16"/>
          <w:color w:val="auto"/>
        </w:rPr>
        <w:t xml:space="preserve"> Street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San Jose, CA 95112</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Tony Locatelli</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Signage</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Arrow Sign Company</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1051 46</w:t>
      </w:r>
      <w:r>
        <w:rPr>
          <w:rFonts w:ascii="Arial" w:cs="Arial" w:eastAsia="Arial" w:hAnsi="Arial"/>
          <w:sz w:val="13"/>
          <w:szCs w:val="13"/>
          <w:color w:val="auto"/>
        </w:rPr>
        <w:t>th</w:t>
      </w:r>
      <w:r>
        <w:rPr>
          <w:rFonts w:ascii="Arial" w:cs="Arial" w:eastAsia="Arial" w:hAnsi="Arial"/>
          <w:sz w:val="16"/>
          <w:szCs w:val="16"/>
          <w:color w:val="auto"/>
        </w:rPr>
        <w:t xml:space="preserve"> Avenue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Oakland, CA 94601</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Jeremy Blackburn</w:t>
      </w:r>
    </w:p>
    <w:p>
      <w:pPr>
        <w:sectPr>
          <w:pgSz w:w="11900" w:h="16838" w:orient="portrait"/>
          <w:cols w:equalWidth="0" w:num="2">
            <w:col w:w="3540" w:space="720"/>
            <w:col w:w="5059"/>
          </w:cols>
          <w:pgMar w:left="1140" w:top="253" w:right="1440" w:bottom="1440" w:gutter="0" w:footer="0" w:header="0"/>
        </w:sectPr>
      </w:pPr>
    </w:p>
    <w:bookmarkStart w:id="669" w:name="page670"/>
    <w:bookmarkEnd w:id="669"/>
    <w:p>
      <w:pPr>
        <w:jc w:val="center"/>
        <w:ind w:right="-306"/>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w:t>
      </w:r>
    </w:p>
    <w:p>
      <w:pPr>
        <w:spacing w:after="0" w:line="193" w:lineRule="exact"/>
        <w:rPr>
          <w:sz w:val="20"/>
          <w:szCs w:val="20"/>
          <w:color w:val="auto"/>
        </w:rPr>
      </w:pPr>
    </w:p>
    <w:p>
      <w:pPr>
        <w:jc w:val="center"/>
        <w:ind w:right="-306"/>
        <w:spacing w:after="0"/>
        <w:rPr>
          <w:sz w:val="20"/>
          <w:szCs w:val="20"/>
          <w:color w:val="auto"/>
        </w:rPr>
      </w:pPr>
      <w:r>
        <w:rPr>
          <w:rFonts w:ascii="Arial" w:cs="Arial" w:eastAsia="Arial" w:hAnsi="Arial"/>
          <w:sz w:val="16"/>
          <w:szCs w:val="16"/>
          <w:b w:val="1"/>
          <w:bCs w:val="1"/>
          <w:u w:val="single" w:color="auto"/>
          <w:color w:val="auto"/>
        </w:rPr>
        <w:t>THE COVE AT OYSTER POINT</w:t>
      </w:r>
    </w:p>
    <w:p>
      <w:pPr>
        <w:spacing w:after="0" w:line="193" w:lineRule="exact"/>
        <w:rPr>
          <w:sz w:val="20"/>
          <w:szCs w:val="20"/>
          <w:color w:val="auto"/>
        </w:rPr>
      </w:pPr>
    </w:p>
    <w:p>
      <w:pPr>
        <w:jc w:val="center"/>
        <w:ind w:right="-306"/>
        <w:spacing w:after="0"/>
        <w:rPr>
          <w:sz w:val="20"/>
          <w:szCs w:val="20"/>
          <w:color w:val="auto"/>
        </w:rPr>
      </w:pPr>
      <w:r>
        <w:rPr>
          <w:rFonts w:ascii="Arial" w:cs="Arial" w:eastAsia="Arial" w:hAnsi="Arial"/>
          <w:sz w:val="16"/>
          <w:szCs w:val="16"/>
          <w:b w:val="1"/>
          <w:bCs w:val="1"/>
          <w:u w:val="single" w:color="auto"/>
          <w:color w:val="auto"/>
        </w:rPr>
        <w:t>NOTICE OF LEASE TERM DATES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TENAYA THERAPEUTICS</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171 Oyster Point, 5TH Floor</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South San Francisco, CA 94080</w:t>
      </w:r>
    </w:p>
    <w:p>
      <w:pPr>
        <w:spacing w:after="0" w:line="201" w:lineRule="exact"/>
        <w:rPr>
          <w:sz w:val="20"/>
          <w:szCs w:val="20"/>
          <w:color w:val="auto"/>
        </w:rPr>
      </w:pPr>
    </w:p>
    <w:p>
      <w:pPr>
        <w:ind w:left="6"/>
        <w:spacing w:after="0"/>
        <w:tabs>
          <w:tab w:leader="none" w:pos="366"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3"/>
          <w:szCs w:val="13"/>
          <w:color w:val="auto"/>
        </w:rPr>
        <w:t xml:space="preserve">That certain Lease dated September 6, 2016 by and between </w:t>
      </w:r>
      <w:r>
        <w:rPr>
          <w:rFonts w:ascii="Arial" w:cs="Arial" w:eastAsia="Arial" w:hAnsi="Arial"/>
          <w:sz w:val="13"/>
          <w:szCs w:val="13"/>
          <w:b w:val="1"/>
          <w:bCs w:val="1"/>
          <w:color w:val="auto"/>
        </w:rPr>
        <w:t>HCP OYSTER POINT III, LLC</w:t>
      </w:r>
      <w:r>
        <w:rPr>
          <w:rFonts w:ascii="Arial" w:cs="Arial" w:eastAsia="Arial" w:hAnsi="Arial"/>
          <w:sz w:val="13"/>
          <w:szCs w:val="13"/>
          <w:color w:val="auto"/>
        </w:rPr>
        <w:t>, a Delaware limited liability company</w:t>
      </w:r>
    </w:p>
    <w:p>
      <w:pPr>
        <w:spacing w:after="0" w:line="20" w:lineRule="exact"/>
        <w:rPr>
          <w:sz w:val="20"/>
          <w:szCs w:val="20"/>
          <w:color w:val="auto"/>
        </w:rPr>
      </w:pPr>
    </w:p>
    <w:p>
      <w:pPr>
        <w:ind w:left="3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Landlord</w:t>
      </w:r>
      <w:r>
        <w:rPr>
          <w:rFonts w:ascii="Arial" w:cs="Arial" w:eastAsia="Arial" w:hAnsi="Arial"/>
          <w:sz w:val="13"/>
          <w:szCs w:val="13"/>
          <w:color w:val="auto"/>
        </w:rPr>
        <w:t xml:space="preserve">”) and </w:t>
      </w:r>
      <w:r>
        <w:rPr>
          <w:rFonts w:ascii="Arial" w:cs="Arial" w:eastAsia="Arial" w:hAnsi="Arial"/>
          <w:sz w:val="13"/>
          <w:szCs w:val="13"/>
          <w:b w:val="1"/>
          <w:bCs w:val="1"/>
          <w:color w:val="auto"/>
        </w:rPr>
        <w:t>TENAYA THERAPEUTICS</w:t>
      </w:r>
      <w:r>
        <w:rPr>
          <w:rFonts w:ascii="Arial" w:cs="Arial" w:eastAsia="Arial" w:hAnsi="Arial"/>
          <w:sz w:val="13"/>
          <w:szCs w:val="13"/>
          <w:color w:val="auto"/>
        </w:rPr>
        <w:t>, a Delaware corporation (“</w:t>
      </w:r>
      <w:r>
        <w:rPr>
          <w:rFonts w:ascii="Arial" w:cs="Arial" w:eastAsia="Arial" w:hAnsi="Arial"/>
          <w:sz w:val="13"/>
          <w:szCs w:val="13"/>
          <w:b w:val="1"/>
          <w:bCs w:val="1"/>
          <w:color w:val="auto"/>
        </w:rPr>
        <w:t>Tenant</w:t>
      </w:r>
      <w:r>
        <w:rPr>
          <w:rFonts w:ascii="Arial" w:cs="Arial" w:eastAsia="Arial" w:hAnsi="Arial"/>
          <w:sz w:val="13"/>
          <w:szCs w:val="13"/>
          <w:color w:val="auto"/>
        </w:rPr>
        <w:t xml:space="preserve">”), as successor by assignment from </w:t>
      </w:r>
      <w:r>
        <w:rPr>
          <w:rFonts w:ascii="Arial" w:cs="Arial" w:eastAsia="Arial" w:hAnsi="Arial"/>
          <w:sz w:val="13"/>
          <w:szCs w:val="13"/>
          <w:b w:val="1"/>
          <w:bCs w:val="1"/>
          <w:color w:val="auto"/>
        </w:rPr>
        <w:t>THE COLUMN</w:t>
      </w:r>
    </w:p>
    <w:p>
      <w:pPr>
        <w:spacing w:after="0" w:line="39" w:lineRule="exact"/>
        <w:rPr>
          <w:sz w:val="20"/>
          <w:szCs w:val="20"/>
          <w:color w:val="auto"/>
        </w:rPr>
      </w:pPr>
    </w:p>
    <w:p>
      <w:pPr>
        <w:ind w:left="386"/>
        <w:spacing w:after="0"/>
        <w:rPr>
          <w:sz w:val="20"/>
          <w:szCs w:val="20"/>
          <w:color w:val="auto"/>
        </w:rPr>
      </w:pPr>
      <w:r>
        <w:rPr>
          <w:rFonts w:ascii="Arial" w:cs="Arial" w:eastAsia="Arial" w:hAnsi="Arial"/>
          <w:sz w:val="15"/>
          <w:szCs w:val="15"/>
          <w:b w:val="1"/>
          <w:bCs w:val="1"/>
          <w:color w:val="auto"/>
        </w:rPr>
        <w:t xml:space="preserve">GROUP, LLC </w:t>
      </w:r>
      <w:r>
        <w:rPr>
          <w:rFonts w:ascii="Arial" w:cs="Arial" w:eastAsia="Arial" w:hAnsi="Arial"/>
          <w:sz w:val="15"/>
          <w:szCs w:val="15"/>
          <w:color w:val="auto"/>
        </w:rPr>
        <w:t>for a certain premises located at 171 Oyster Point Boulevard, 5th Floor, South San Francisco, California 94080.</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accordance with the Lease (the “</w:t>
      </w:r>
      <w:r>
        <w:rPr>
          <w:rFonts w:ascii="Arial" w:cs="Arial" w:eastAsia="Arial" w:hAnsi="Arial"/>
          <w:sz w:val="16"/>
          <w:szCs w:val="16"/>
          <w:b w:val="1"/>
          <w:bCs w:val="1"/>
          <w:color w:val="auto"/>
        </w:rPr>
        <w:t>Lease</w:t>
      </w:r>
      <w:r>
        <w:rPr>
          <w:rFonts w:ascii="Arial" w:cs="Arial" w:eastAsia="Arial" w:hAnsi="Arial"/>
          <w:sz w:val="16"/>
          <w:szCs w:val="16"/>
          <w:color w:val="auto"/>
        </w:rPr>
        <w:t>”), we wish to advise you and/or confirm as follows:</w:t>
      </w:r>
    </w:p>
    <w:p>
      <w:pPr>
        <w:spacing w:after="0" w:line="111" w:lineRule="exact"/>
        <w:rPr>
          <w:sz w:val="20"/>
          <w:szCs w:val="20"/>
          <w:color w:val="auto"/>
        </w:rPr>
      </w:pPr>
    </w:p>
    <w:p>
      <w:pPr>
        <w:ind w:left="386" w:hanging="386"/>
        <w:spacing w:after="0"/>
        <w:tabs>
          <w:tab w:leader="none" w:pos="386" w:val="left"/>
        </w:tabs>
        <w:numPr>
          <w:ilvl w:val="0"/>
          <w:numId w:val="507"/>
        </w:numPr>
        <w:rPr>
          <w:rFonts w:ascii="Arial" w:cs="Arial" w:eastAsia="Arial" w:hAnsi="Arial"/>
          <w:sz w:val="13"/>
          <w:szCs w:val="13"/>
          <w:color w:val="auto"/>
        </w:rPr>
      </w:pPr>
      <w:r>
        <w:rPr>
          <w:rFonts w:ascii="Arial" w:cs="Arial" w:eastAsia="Arial" w:hAnsi="Arial"/>
          <w:sz w:val="13"/>
          <w:szCs w:val="13"/>
          <w:color w:val="auto"/>
        </w:rPr>
        <w:t xml:space="preserve">The Lease Term shall commence on or has commenced on </w:t>
      </w:r>
      <w:r>
        <w:rPr>
          <w:rFonts w:ascii="Arial" w:cs="Arial" w:eastAsia="Arial" w:hAnsi="Arial"/>
          <w:sz w:val="13"/>
          <w:szCs w:val="13"/>
          <w:b w:val="1"/>
          <w:bCs w:val="1"/>
          <w:u w:val="single" w:color="auto"/>
          <w:color w:val="auto"/>
        </w:rPr>
        <w:t>June 1, 2017</w:t>
      </w:r>
      <w:r>
        <w:rPr>
          <w:rFonts w:ascii="Arial" w:cs="Arial" w:eastAsia="Arial" w:hAnsi="Arial"/>
          <w:sz w:val="13"/>
          <w:szCs w:val="13"/>
          <w:color w:val="auto"/>
        </w:rPr>
        <w:t xml:space="preserve"> for a term of </w:t>
      </w:r>
      <w:r>
        <w:rPr>
          <w:rFonts w:ascii="Arial" w:cs="Arial" w:eastAsia="Arial" w:hAnsi="Arial"/>
          <w:sz w:val="13"/>
          <w:szCs w:val="13"/>
          <w:b w:val="1"/>
          <w:bCs w:val="1"/>
          <w:u w:val="single" w:color="auto"/>
          <w:color w:val="auto"/>
        </w:rPr>
        <w:t>ninety-six (96) months</w:t>
      </w:r>
      <w:r>
        <w:rPr>
          <w:rFonts w:ascii="Arial" w:cs="Arial" w:eastAsia="Arial" w:hAnsi="Arial"/>
          <w:sz w:val="13"/>
          <w:szCs w:val="13"/>
          <w:color w:val="auto"/>
        </w:rPr>
        <w:t xml:space="preserve"> ending on </w:t>
      </w:r>
      <w:r>
        <w:rPr>
          <w:rFonts w:ascii="Arial" w:cs="Arial" w:eastAsia="Arial" w:hAnsi="Arial"/>
          <w:sz w:val="13"/>
          <w:szCs w:val="13"/>
          <w:b w:val="1"/>
          <w:bCs w:val="1"/>
          <w:u w:val="single" w:color="auto"/>
          <w:color w:val="auto"/>
        </w:rPr>
        <w:t>May 31, 2025</w:t>
      </w:r>
      <w:r>
        <w:rPr>
          <w:rFonts w:ascii="Arial" w:cs="Arial" w:eastAsia="Arial" w:hAnsi="Arial"/>
          <w:sz w:val="13"/>
          <w:szCs w:val="13"/>
          <w:color w:val="auto"/>
        </w:rPr>
        <w:t>.</w:t>
      </w:r>
    </w:p>
    <w:p>
      <w:pPr>
        <w:spacing w:after="0" w:line="145" w:lineRule="exact"/>
        <w:rPr>
          <w:rFonts w:ascii="Arial" w:cs="Arial" w:eastAsia="Arial" w:hAnsi="Arial"/>
          <w:sz w:val="13"/>
          <w:szCs w:val="13"/>
          <w:color w:val="auto"/>
        </w:rPr>
      </w:pPr>
    </w:p>
    <w:p>
      <w:pPr>
        <w:ind w:left="386" w:hanging="386"/>
        <w:spacing w:after="0"/>
        <w:tabs>
          <w:tab w:leader="none" w:pos="386"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Base Rent commenced to accrue on </w:t>
      </w:r>
      <w:r>
        <w:rPr>
          <w:rFonts w:ascii="Arial" w:cs="Arial" w:eastAsia="Arial" w:hAnsi="Arial"/>
          <w:sz w:val="16"/>
          <w:szCs w:val="16"/>
          <w:b w:val="1"/>
          <w:bCs w:val="1"/>
          <w:u w:val="single" w:color="auto"/>
          <w:color w:val="auto"/>
        </w:rPr>
        <w:t>June 1, 2017</w:t>
      </w:r>
      <w:r>
        <w:rPr>
          <w:rFonts w:ascii="Arial" w:cs="Arial" w:eastAsia="Arial" w:hAnsi="Arial"/>
          <w:sz w:val="16"/>
          <w:szCs w:val="16"/>
          <w:color w:val="auto"/>
        </w:rPr>
        <w:t xml:space="preserve">, in the amount of </w:t>
      </w:r>
      <w:r>
        <w:rPr>
          <w:rFonts w:ascii="Arial" w:cs="Arial" w:eastAsia="Arial" w:hAnsi="Arial"/>
          <w:sz w:val="16"/>
          <w:szCs w:val="16"/>
          <w:b w:val="1"/>
          <w:bCs w:val="1"/>
          <w:u w:val="single" w:color="auto"/>
          <w:color w:val="auto"/>
        </w:rPr>
        <w:t>$78,497.25</w:t>
      </w:r>
      <w:r>
        <w:rPr>
          <w:rFonts w:ascii="Arial" w:cs="Arial" w:eastAsia="Arial" w:hAnsi="Arial"/>
          <w:sz w:val="16"/>
          <w:szCs w:val="16"/>
          <w:color w:val="auto"/>
        </w:rPr>
        <w:t>.</w:t>
      </w:r>
    </w:p>
    <w:p>
      <w:pPr>
        <w:spacing w:after="0" w:line="114" w:lineRule="exact"/>
        <w:rPr>
          <w:rFonts w:ascii="Arial" w:cs="Arial" w:eastAsia="Arial" w:hAnsi="Arial"/>
          <w:sz w:val="16"/>
          <w:szCs w:val="16"/>
          <w:color w:val="auto"/>
        </w:rPr>
      </w:pPr>
    </w:p>
    <w:p>
      <w:pPr>
        <w:ind w:left="386" w:hanging="386"/>
        <w:spacing w:after="0"/>
        <w:tabs>
          <w:tab w:leader="none" w:pos="386" w:val="left"/>
        </w:tabs>
        <w:numPr>
          <w:ilvl w:val="0"/>
          <w:numId w:val="507"/>
        </w:numPr>
        <w:rPr>
          <w:rFonts w:ascii="Arial" w:cs="Arial" w:eastAsia="Arial" w:hAnsi="Arial"/>
          <w:sz w:val="16"/>
          <w:szCs w:val="16"/>
          <w:color w:val="auto"/>
        </w:rPr>
      </w:pPr>
      <w:r>
        <w:rPr>
          <w:rFonts w:ascii="Arial" w:cs="Arial" w:eastAsia="Arial" w:hAnsi="Arial"/>
          <w:sz w:val="16"/>
          <w:szCs w:val="16"/>
          <w:color w:val="auto"/>
        </w:rPr>
        <w:t>Your rent checks should be made payable to:</w:t>
      </w:r>
    </w:p>
    <w:p>
      <w:pPr>
        <w:spacing w:after="0" w:line="95" w:lineRule="exact"/>
        <w:rPr>
          <w:sz w:val="20"/>
          <w:szCs w:val="20"/>
          <w:color w:val="auto"/>
        </w:rPr>
      </w:pPr>
    </w:p>
    <w:p>
      <w:pPr>
        <w:ind w:left="746"/>
        <w:spacing w:after="0"/>
        <w:rPr>
          <w:sz w:val="20"/>
          <w:szCs w:val="20"/>
          <w:color w:val="auto"/>
        </w:rPr>
      </w:pPr>
      <w:r>
        <w:rPr>
          <w:rFonts w:ascii="Arial" w:cs="Arial" w:eastAsia="Arial" w:hAnsi="Arial"/>
          <w:sz w:val="16"/>
          <w:szCs w:val="16"/>
          <w:b w:val="1"/>
          <w:bCs w:val="1"/>
          <w:color w:val="auto"/>
        </w:rPr>
        <w:t>HCP Life Science Reit</w:t>
      </w:r>
    </w:p>
    <w:p>
      <w:pPr>
        <w:spacing w:after="0" w:line="20" w:lineRule="exact"/>
        <w:rPr>
          <w:sz w:val="20"/>
          <w:szCs w:val="20"/>
          <w:color w:val="auto"/>
        </w:rPr>
      </w:pPr>
    </w:p>
    <w:p>
      <w:pPr>
        <w:ind w:left="746"/>
        <w:spacing w:after="0"/>
        <w:rPr>
          <w:sz w:val="20"/>
          <w:szCs w:val="20"/>
          <w:color w:val="auto"/>
        </w:rPr>
      </w:pPr>
      <w:r>
        <w:rPr>
          <w:rFonts w:ascii="Arial" w:cs="Arial" w:eastAsia="Arial" w:hAnsi="Arial"/>
          <w:sz w:val="16"/>
          <w:szCs w:val="16"/>
          <w:b w:val="1"/>
          <w:bCs w:val="1"/>
          <w:color w:val="auto"/>
        </w:rPr>
        <w:t>File 55142</w:t>
      </w:r>
    </w:p>
    <w:p>
      <w:pPr>
        <w:spacing w:after="0" w:line="5" w:lineRule="exact"/>
        <w:rPr>
          <w:sz w:val="20"/>
          <w:szCs w:val="20"/>
          <w:color w:val="auto"/>
        </w:rPr>
      </w:pPr>
    </w:p>
    <w:p>
      <w:pPr>
        <w:ind w:left="746"/>
        <w:spacing w:after="0"/>
        <w:rPr>
          <w:sz w:val="20"/>
          <w:szCs w:val="20"/>
          <w:color w:val="auto"/>
        </w:rPr>
      </w:pPr>
      <w:r>
        <w:rPr>
          <w:rFonts w:ascii="Arial" w:cs="Arial" w:eastAsia="Arial" w:hAnsi="Arial"/>
          <w:sz w:val="16"/>
          <w:szCs w:val="16"/>
          <w:b w:val="1"/>
          <w:bCs w:val="1"/>
          <w:color w:val="auto"/>
        </w:rPr>
        <w:t>Los Angeles, California 90074-1142</w:t>
      </w:r>
    </w:p>
    <w:p>
      <w:pPr>
        <w:spacing w:after="0" w:line="95" w:lineRule="exact"/>
        <w:rPr>
          <w:sz w:val="20"/>
          <w:szCs w:val="20"/>
          <w:color w:val="auto"/>
        </w:rPr>
      </w:pPr>
    </w:p>
    <w:p>
      <w:pPr>
        <w:ind w:left="386" w:hanging="386"/>
        <w:spacing w:after="0"/>
        <w:tabs>
          <w:tab w:leader="none" w:pos="38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 xml:space="preserve">The exact number of rentable/usable square feet within the Premises is </w:t>
      </w:r>
      <w:r>
        <w:rPr>
          <w:rFonts w:ascii="Arial" w:cs="Arial" w:eastAsia="Arial" w:hAnsi="Arial"/>
          <w:sz w:val="16"/>
          <w:szCs w:val="16"/>
          <w:b w:val="1"/>
          <w:bCs w:val="1"/>
          <w:u w:val="single" w:color="auto"/>
          <w:color w:val="auto"/>
        </w:rPr>
        <w:t>32,370</w:t>
      </w:r>
      <w:r>
        <w:rPr>
          <w:rFonts w:ascii="Arial" w:cs="Arial" w:eastAsia="Arial" w:hAnsi="Arial"/>
          <w:sz w:val="16"/>
          <w:szCs w:val="16"/>
          <w:color w:val="auto"/>
        </w:rPr>
        <w:t xml:space="preserve"> square feet.</w:t>
      </w:r>
    </w:p>
    <w:p>
      <w:pPr>
        <w:spacing w:after="0" w:line="110" w:lineRule="exact"/>
        <w:rPr>
          <w:rFonts w:ascii="Arial" w:cs="Arial" w:eastAsia="Arial" w:hAnsi="Arial"/>
          <w:sz w:val="16"/>
          <w:szCs w:val="16"/>
          <w:color w:val="auto"/>
        </w:rPr>
      </w:pPr>
    </w:p>
    <w:p>
      <w:pPr>
        <w:ind w:left="386" w:hanging="386"/>
        <w:spacing w:after="0"/>
        <w:tabs>
          <w:tab w:leader="none" w:pos="38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 xml:space="preserve">Tenant’s Share based upon the number of usable square feet within the Premises is </w:t>
      </w:r>
      <w:r>
        <w:rPr>
          <w:rFonts w:ascii="Arial" w:cs="Arial" w:eastAsia="Arial" w:hAnsi="Arial"/>
          <w:sz w:val="16"/>
          <w:szCs w:val="16"/>
          <w:b w:val="1"/>
          <w:bCs w:val="1"/>
          <w:u w:val="single" w:color="auto"/>
          <w:color w:val="auto"/>
        </w:rPr>
        <w:t>24.38</w:t>
      </w:r>
      <w:r>
        <w:rPr>
          <w:rFonts w:ascii="Arial" w:cs="Arial" w:eastAsia="Arial" w:hAnsi="Arial"/>
          <w:sz w:val="16"/>
          <w:szCs w:val="16"/>
          <w:color w:val="auto"/>
        </w:rPr>
        <w:t>%.</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w:t>
      </w:r>
      <w:r>
        <w:rPr>
          <w:rFonts w:ascii="Arial" w:cs="Arial" w:eastAsia="Arial" w:hAnsi="Arial"/>
          <w:sz w:val="13"/>
          <w:szCs w:val="13"/>
          <w:b w:val="1"/>
          <w:bCs w:val="1"/>
          <w:color w:val="auto"/>
        </w:rPr>
        <w:t>ANDLORD</w:t>
      </w:r>
      <w:r>
        <w:rPr>
          <w:rFonts w:ascii="Arial" w:cs="Arial" w:eastAsia="Arial" w:hAnsi="Arial"/>
          <w:sz w:val="16"/>
          <w:szCs w:val="16"/>
          <w:b w:val="1"/>
          <w:bCs w:val="1"/>
          <w:color w:val="auto"/>
        </w:rPr>
        <w:t>”:</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HCP OYSTER POINT III, LLC</w:t>
      </w:r>
      <w:r>
        <w:rPr>
          <w:rFonts w:ascii="Arial" w:cs="Arial" w:eastAsia="Arial" w:hAnsi="Arial"/>
          <w:sz w:val="16"/>
          <w:szCs w:val="16"/>
          <w:color w:val="auto"/>
        </w:rPr>
        <w:t>,</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a Delaware limited liability company</w:t>
      </w:r>
    </w:p>
    <w:p>
      <w:pPr>
        <w:spacing w:after="0" w:line="194" w:lineRule="exact"/>
        <w:rPr>
          <w:sz w:val="20"/>
          <w:szCs w:val="20"/>
          <w:color w:val="auto"/>
        </w:rPr>
      </w:pPr>
    </w:p>
    <w:p>
      <w:pPr>
        <w:jc w:val="right"/>
        <w:ind w:right="7119"/>
        <w:spacing w:after="0"/>
        <w:rPr>
          <w:sz w:val="20"/>
          <w:szCs w:val="20"/>
          <w:color w:val="auto"/>
        </w:rPr>
      </w:pPr>
      <w:r>
        <w:rPr>
          <w:rFonts w:ascii="Arial" w:cs="Arial" w:eastAsia="Arial" w:hAnsi="Arial"/>
          <w:sz w:val="13"/>
          <w:szCs w:val="13"/>
          <w:color w:val="auto"/>
        </w:rPr>
        <w:t>By: /s/ Jonathan M. Bergschneider</w:t>
      </w:r>
    </w:p>
    <w:p>
      <w:pPr>
        <w:spacing w:after="0" w:line="51" w:lineRule="exact"/>
        <w:rPr>
          <w:sz w:val="20"/>
          <w:szCs w:val="20"/>
          <w:color w:val="auto"/>
        </w:rPr>
      </w:pPr>
    </w:p>
    <w:p>
      <w:pPr>
        <w:jc w:val="right"/>
        <w:ind w:right="7099"/>
        <w:spacing w:after="0"/>
        <w:rPr>
          <w:sz w:val="20"/>
          <w:szCs w:val="20"/>
          <w:color w:val="auto"/>
        </w:rPr>
      </w:pPr>
      <w:r>
        <w:rPr>
          <w:rFonts w:ascii="Arial" w:cs="Arial" w:eastAsia="Arial" w:hAnsi="Arial"/>
          <w:sz w:val="16"/>
          <w:szCs w:val="16"/>
          <w:color w:val="auto"/>
        </w:rPr>
        <w:t>Its: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10795</wp:posOffset>
            </wp:positionV>
            <wp:extent cx="2103755"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-115570</wp:posOffset>
            </wp:positionV>
            <wp:extent cx="227584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pacing w:after="0" w:line="303" w:lineRule="exact"/>
        <w:rPr>
          <w:sz w:val="20"/>
          <w:szCs w:val="20"/>
          <w:color w:val="auto"/>
        </w:rPr>
      </w:pPr>
    </w:p>
    <w:p>
      <w:pPr>
        <w:ind w:left="6"/>
        <w:spacing w:after="0"/>
        <w:rPr>
          <w:sz w:val="20"/>
          <w:szCs w:val="20"/>
          <w:color w:val="auto"/>
        </w:rPr>
      </w:pPr>
      <w:r>
        <w:rPr>
          <w:rFonts w:ascii="Arial" w:cs="Arial" w:eastAsia="Arial" w:hAnsi="Arial"/>
          <w:sz w:val="16"/>
          <w:szCs w:val="16"/>
          <w:color w:val="auto"/>
        </w:rPr>
        <w:t>Agreed to and Accepted as</w:t>
      </w:r>
    </w:p>
    <w:tbl>
      <w:tblPr>
        <w:tblLayout w:type="fixed"/>
        <w:tblInd w:w="6" w:type="dxa"/>
        <w:tblCellMar>
          <w:top w:w="0" w:type="dxa"/>
          <w:left w:w="0" w:type="dxa"/>
          <w:bottom w:w="0" w:type="dxa"/>
          <w:right w:w="0" w:type="dxa"/>
        </w:tblCellMar>
      </w:tblPr>
      <w:tr>
        <w:trPr>
          <w:trHeight w:val="170"/>
        </w:trPr>
        <w:tc>
          <w:tcPr>
            <w:tcW w:w="160" w:type="dxa"/>
            <w:vAlign w:val="bottom"/>
          </w:tcPr>
          <w:p>
            <w:pPr>
              <w:spacing w:after="0" w:line="171" w:lineRule="exact"/>
              <w:rPr>
                <w:sz w:val="20"/>
                <w:szCs w:val="20"/>
                <w:color w:val="auto"/>
              </w:rPr>
            </w:pPr>
            <w:r>
              <w:rPr>
                <w:rFonts w:ascii="Arial" w:cs="Arial" w:eastAsia="Arial" w:hAnsi="Arial"/>
                <w:sz w:val="16"/>
                <w:szCs w:val="16"/>
                <w:color w:val="auto"/>
              </w:rPr>
              <w:t>of</w:t>
            </w:r>
          </w:p>
        </w:tc>
        <w:tc>
          <w:tcPr>
            <w:tcW w:w="640" w:type="dxa"/>
            <w:vAlign w:val="bottom"/>
          </w:tcPr>
          <w:p>
            <w:pPr>
              <w:spacing w:after="0"/>
              <w:rPr>
                <w:sz w:val="14"/>
                <w:szCs w:val="14"/>
                <w:color w:val="auto"/>
              </w:rPr>
            </w:pPr>
          </w:p>
        </w:tc>
        <w:tc>
          <w:tcPr>
            <w:tcW w:w="260" w:type="dxa"/>
            <w:vAlign w:val="bottom"/>
          </w:tcPr>
          <w:p>
            <w:pPr>
              <w:jc w:val="right"/>
              <w:spacing w:after="0" w:line="171" w:lineRule="exact"/>
              <w:rPr>
                <w:sz w:val="20"/>
                <w:szCs w:val="20"/>
                <w:color w:val="auto"/>
              </w:rPr>
            </w:pPr>
            <w:r>
              <w:rPr>
                <w:rFonts w:ascii="Arial" w:cs="Arial" w:eastAsia="Arial" w:hAnsi="Arial"/>
                <w:sz w:val="16"/>
                <w:szCs w:val="16"/>
                <w:color w:val="auto"/>
                <w:w w:val="74"/>
              </w:rPr>
              <w:t>, 20</w:t>
            </w:r>
          </w:p>
        </w:tc>
        <w:tc>
          <w:tcPr>
            <w:tcW w:w="36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w:t>
            </w:r>
          </w:p>
        </w:tc>
      </w:tr>
      <w:tr>
        <w:trPr>
          <w:trHeight w:val="20"/>
        </w:trPr>
        <w:tc>
          <w:tcPr>
            <w:tcW w:w="1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5"/>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ENANT</w:t>
            </w: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30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TENAYA THERAPEUTICS</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A Delaware corporation</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6"/>
          <w:szCs w:val="16"/>
          <w:color w:val="auto"/>
        </w:rPr>
        <w:t>By: /s/ JeenJoo S. Kang</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10795</wp:posOffset>
            </wp:positionV>
            <wp:extent cx="2103755"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-115570</wp:posOffset>
            </wp:positionV>
            <wp:extent cx="227584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ectPr>
          <w:pgSz w:w="11900" w:h="16838" w:orient="portrait"/>
          <w:cols w:equalWidth="0" w:num="1">
            <w:col w:w="9325"/>
          </w:cols>
          <w:pgMar w:left="1134" w:top="253" w:right="1440" w:bottom="1440" w:gutter="0" w:footer="0" w:header="0"/>
        </w:sectPr>
      </w:pPr>
    </w:p>
    <w:bookmarkStart w:id="670" w:name="page671"/>
    <w:bookmarkEnd w:id="670"/>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D</w:t>
            </w:r>
          </w:p>
        </w:tc>
        <w:tc>
          <w:tcPr>
            <w:tcW w:w="188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57"/>
        </w:trPr>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FORM OF TENANT’S ESTOPPEL CERTIFICATE</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7"/>
        </w:trPr>
        <w:tc>
          <w:tcPr>
            <w:tcW w:w="6320" w:type="dxa"/>
            <w:vAlign w:val="bottom"/>
            <w:gridSpan w:val="5"/>
          </w:tcPr>
          <w:p>
            <w:pPr>
              <w:ind w:left="380"/>
              <w:spacing w:after="0"/>
              <w:rPr>
                <w:sz w:val="20"/>
                <w:szCs w:val="20"/>
                <w:color w:val="auto"/>
              </w:rPr>
            </w:pPr>
            <w:r>
              <w:rPr>
                <w:rFonts w:ascii="Arial" w:cs="Arial" w:eastAsia="Arial" w:hAnsi="Arial"/>
                <w:sz w:val="16"/>
                <w:szCs w:val="16"/>
                <w:color w:val="auto"/>
                <w:w w:val="87"/>
              </w:rPr>
              <w:t>The undersigned as Tenant under that certain Lease (the “</w:t>
            </w:r>
            <w:r>
              <w:rPr>
                <w:rFonts w:ascii="Arial" w:cs="Arial" w:eastAsia="Arial" w:hAnsi="Arial"/>
                <w:sz w:val="16"/>
                <w:szCs w:val="16"/>
                <w:b w:val="1"/>
                <w:bCs w:val="1"/>
                <w:color w:val="auto"/>
                <w:w w:val="87"/>
              </w:rPr>
              <w:t>Lease</w:t>
            </w:r>
            <w:r>
              <w:rPr>
                <w:rFonts w:ascii="Arial" w:cs="Arial" w:eastAsia="Arial" w:hAnsi="Arial"/>
                <w:sz w:val="16"/>
                <w:szCs w:val="16"/>
                <w:color w:val="auto"/>
                <w:w w:val="87"/>
              </w:rPr>
              <w:t>”) made and entered into as of</w:t>
            </w:r>
          </w:p>
        </w:tc>
        <w:tc>
          <w:tcPr>
            <w:tcW w:w="780" w:type="dxa"/>
            <w:vAlign w:val="bottom"/>
            <w:gridSpan w:val="2"/>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6"/>
                <w:szCs w:val="16"/>
                <w:color w:val="auto"/>
              </w:rPr>
              <w:t>, 20   by and between</w:t>
            </w:r>
          </w:p>
        </w:tc>
        <w:tc>
          <w:tcPr>
            <w:tcW w:w="4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100" w:type="dxa"/>
            <w:vAlign w:val="bottom"/>
            <w:tcBorders>
              <w:bottom w:val="single" w:sz="8" w:color="auto"/>
            </w:tcBorders>
          </w:tcPr>
          <w:p>
            <w:pPr>
              <w:spacing w:after="0"/>
              <w:rPr>
                <w:sz w:val="14"/>
                <w:szCs w:val="14"/>
                <w:color w:val="auto"/>
              </w:rPr>
            </w:pPr>
          </w:p>
        </w:tc>
        <w:tc>
          <w:tcPr>
            <w:tcW w:w="6720" w:type="dxa"/>
            <w:vAlign w:val="bottom"/>
            <w:gridSpan w:val="9"/>
          </w:tcPr>
          <w:p>
            <w:pPr>
              <w:ind w:left="40"/>
              <w:spacing w:after="0" w:line="168" w:lineRule="exact"/>
              <w:rPr>
                <w:sz w:val="20"/>
                <w:szCs w:val="20"/>
                <w:color w:val="auto"/>
              </w:rPr>
            </w:pPr>
            <w:r>
              <w:rPr>
                <w:rFonts w:ascii="Arial" w:cs="Arial" w:eastAsia="Arial" w:hAnsi="Arial"/>
                <w:sz w:val="16"/>
                <w:szCs w:val="16"/>
                <w:color w:val="auto"/>
                <w:w w:val="88"/>
              </w:rPr>
              <w:t>as Landlord, and the undersigned as Tenant, for Premises consisting of a portion of the building located at</w:t>
            </w:r>
          </w:p>
        </w:tc>
        <w:tc>
          <w:tcPr>
            <w:tcW w:w="158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California, certifies as follows:</w:t>
      </w:r>
    </w:p>
    <w:p>
      <w:pPr>
        <w:spacing w:after="0" w:line="189" w:lineRule="exact"/>
        <w:rPr>
          <w:sz w:val="20"/>
          <w:szCs w:val="20"/>
          <w:color w:val="auto"/>
        </w:rPr>
      </w:pPr>
    </w:p>
    <w:p>
      <w:pPr>
        <w:ind w:right="80" w:firstLine="378"/>
        <w:spacing w:after="0" w:line="272" w:lineRule="auto"/>
        <w:tabs>
          <w:tab w:leader="none" w:pos="542" w:val="left"/>
        </w:tabs>
        <w:numPr>
          <w:ilvl w:val="0"/>
          <w:numId w:val="509"/>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a true and correct copy of the Lease and all amendments and modifications thereto. The documents contained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represent the entire agreement between the parties as to the Premises.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6620" w:type="dxa"/>
            <w:vAlign w:val="bottom"/>
            <w:gridSpan w:val="5"/>
          </w:tcPr>
          <w:p>
            <w:pPr>
              <w:ind w:left="20"/>
              <w:spacing w:after="0"/>
              <w:rPr>
                <w:sz w:val="20"/>
                <w:szCs w:val="20"/>
                <w:color w:val="auto"/>
              </w:rPr>
            </w:pPr>
            <w:r>
              <w:rPr>
                <w:rFonts w:ascii="Arial" w:cs="Arial" w:eastAsia="Arial" w:hAnsi="Arial"/>
                <w:sz w:val="16"/>
                <w:szCs w:val="16"/>
                <w:color w:val="auto"/>
                <w:w w:val="87"/>
              </w:rPr>
              <w:t>The undersigned currently occupies the Premises described in the Lease, the Lease Term commenced on</w:t>
            </w:r>
          </w:p>
        </w:tc>
        <w:tc>
          <w:tcPr>
            <w:tcW w:w="780" w:type="dxa"/>
            <w:vAlign w:val="bottom"/>
            <w:tcBorders>
              <w:bottom w:val="single" w:sz="8" w:color="auto"/>
            </w:tcBorders>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6"/>
                <w:szCs w:val="16"/>
                <w:color w:val="auto"/>
                <w:w w:val="99"/>
              </w:rPr>
              <w:t>, and the Lease Term</w:t>
            </w:r>
          </w:p>
        </w:tc>
      </w:tr>
      <w:tr>
        <w:trPr>
          <w:trHeight w:val="169"/>
        </w:trPr>
        <w:tc>
          <w:tcPr>
            <w:tcW w:w="680" w:type="dxa"/>
            <w:vAlign w:val="bottom"/>
            <w:gridSpan w:val="2"/>
          </w:tcPr>
          <w:p>
            <w:pPr>
              <w:spacing w:after="0" w:line="168" w:lineRule="exact"/>
              <w:rPr>
                <w:sz w:val="20"/>
                <w:szCs w:val="20"/>
                <w:color w:val="auto"/>
              </w:rPr>
            </w:pPr>
            <w:r>
              <w:rPr>
                <w:rFonts w:ascii="Arial" w:cs="Arial" w:eastAsia="Arial" w:hAnsi="Arial"/>
                <w:sz w:val="16"/>
                <w:szCs w:val="16"/>
                <w:color w:val="auto"/>
                <w:w w:val="89"/>
              </w:rPr>
              <w:t>expires on</w:t>
            </w:r>
          </w:p>
        </w:tc>
        <w:tc>
          <w:tcPr>
            <w:tcW w:w="780" w:type="dxa"/>
            <w:vAlign w:val="bottom"/>
            <w:tcBorders>
              <w:bottom w:val="single" w:sz="8" w:color="auto"/>
            </w:tcBorders>
          </w:tcPr>
          <w:p>
            <w:pPr>
              <w:spacing w:after="0"/>
              <w:rPr>
                <w:sz w:val="14"/>
                <w:szCs w:val="14"/>
                <w:color w:val="auto"/>
              </w:rPr>
            </w:pPr>
          </w:p>
        </w:tc>
        <w:tc>
          <w:tcPr>
            <w:tcW w:w="8000" w:type="dxa"/>
            <w:vAlign w:val="bottom"/>
            <w:gridSpan w:val="5"/>
          </w:tcPr>
          <w:p>
            <w:pPr>
              <w:spacing w:after="0" w:line="168" w:lineRule="exact"/>
              <w:rPr>
                <w:sz w:val="20"/>
                <w:szCs w:val="20"/>
                <w:color w:val="auto"/>
              </w:rPr>
            </w:pPr>
            <w:r>
              <w:rPr>
                <w:rFonts w:ascii="Arial" w:cs="Arial" w:eastAsia="Arial" w:hAnsi="Arial"/>
                <w:sz w:val="16"/>
                <w:szCs w:val="16"/>
                <w:color w:val="auto"/>
                <w:w w:val="88"/>
              </w:rPr>
              <w:t>, and the undersigned has no option to terminate or cancel the Lease or to purchase all or any part of the Premises, the Building</w:t>
            </w:r>
          </w:p>
        </w:tc>
      </w:tr>
      <w:tr>
        <w:trPr>
          <w:trHeight w:val="203"/>
        </w:trPr>
        <w:tc>
          <w:tcPr>
            <w:tcW w:w="7140" w:type="dxa"/>
            <w:vAlign w:val="bottom"/>
            <w:gridSpan w:val="6"/>
          </w:tcPr>
          <w:p>
            <w:pPr>
              <w:spacing w:after="0"/>
              <w:rPr>
                <w:sz w:val="20"/>
                <w:szCs w:val="20"/>
                <w:color w:val="auto"/>
              </w:rPr>
            </w:pPr>
            <w:r>
              <w:rPr>
                <w:rFonts w:ascii="Arial" w:cs="Arial" w:eastAsia="Arial" w:hAnsi="Arial"/>
                <w:sz w:val="16"/>
                <w:szCs w:val="16"/>
                <w:color w:val="auto"/>
              </w:rPr>
              <w:t>and/or the Project, except as expressly set forth in the Lease.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43"/>
        </w:trPr>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940" w:type="dxa"/>
            <w:vAlign w:val="bottom"/>
            <w:gridSpan w:val="3"/>
          </w:tcPr>
          <w:p>
            <w:pPr>
              <w:ind w:left="20"/>
              <w:spacing w:after="0"/>
              <w:rPr>
                <w:sz w:val="20"/>
                <w:szCs w:val="20"/>
                <w:color w:val="auto"/>
              </w:rPr>
            </w:pPr>
            <w:r>
              <w:rPr>
                <w:rFonts w:ascii="Arial" w:cs="Arial" w:eastAsia="Arial" w:hAnsi="Arial"/>
                <w:sz w:val="16"/>
                <w:szCs w:val="16"/>
                <w:color w:val="auto"/>
                <w:w w:val="86"/>
              </w:rPr>
              <w:t>Base Rent became payable on</w:t>
            </w:r>
          </w:p>
        </w:tc>
        <w:tc>
          <w:tcPr>
            <w:tcW w:w="780" w:type="dxa"/>
            <w:vAlign w:val="bottom"/>
            <w:tcBorders>
              <w:bottom w:val="single" w:sz="8" w:color="auto"/>
            </w:tcBorders>
          </w:tcPr>
          <w:p>
            <w:pPr>
              <w:spacing w:after="0"/>
              <w:rPr>
                <w:sz w:val="24"/>
                <w:szCs w:val="24"/>
                <w:color w:val="auto"/>
              </w:rPr>
            </w:pPr>
          </w:p>
        </w:tc>
        <w:tc>
          <w:tcPr>
            <w:tcW w:w="3900" w:type="dxa"/>
            <w:vAlign w:val="bottom"/>
          </w:tcPr>
          <w:p>
            <w:pPr>
              <w:jc w:val="right"/>
              <w:ind w:right="3809"/>
              <w:spacing w:after="0"/>
              <w:rPr>
                <w:sz w:val="20"/>
                <w:szCs w:val="20"/>
                <w:color w:val="auto"/>
              </w:rPr>
            </w:pPr>
            <w:r>
              <w:rPr>
                <w:rFonts w:ascii="Arial" w:cs="Arial" w:eastAsia="Arial" w:hAnsi="Arial"/>
                <w:sz w:val="10"/>
                <w:szCs w:val="10"/>
                <w:color w:val="auto"/>
                <w:w w:val="70"/>
              </w:rPr>
              <w:t>.</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96" w:lineRule="exact"/>
        <w:rPr>
          <w:sz w:val="20"/>
          <w:szCs w:val="20"/>
          <w:color w:val="auto"/>
        </w:rPr>
      </w:pPr>
    </w:p>
    <w:p>
      <w:pPr>
        <w:ind w:left="540" w:hanging="162"/>
        <w:spacing w:after="0"/>
        <w:tabs>
          <w:tab w:leader="none" w:pos="540" w:val="left"/>
        </w:tabs>
        <w:numPr>
          <w:ilvl w:val="0"/>
          <w:numId w:val="510"/>
        </w:numPr>
        <w:rPr>
          <w:rFonts w:ascii="Arial" w:cs="Arial" w:eastAsia="Arial" w:hAnsi="Arial"/>
          <w:sz w:val="15"/>
          <w:szCs w:val="15"/>
          <w:color w:val="auto"/>
        </w:rPr>
      </w:pPr>
      <w:r>
        <w:rPr>
          <w:rFonts w:ascii="Arial" w:cs="Arial" w:eastAsia="Arial" w:hAnsi="Arial"/>
          <w:sz w:val="15"/>
          <w:szCs w:val="15"/>
          <w:color w:val="auto"/>
        </w:rPr>
        <w:t xml:space="preserve">The Lease is in full force and effect and has not been modified, supplemented or amended in any way except as provided in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w:t>
      </w:r>
    </w:p>
    <w:p>
      <w:pPr>
        <w:spacing w:after="0" w:line="208" w:lineRule="exact"/>
        <w:rPr>
          <w:rFonts w:ascii="Arial" w:cs="Arial" w:eastAsia="Arial" w:hAnsi="Arial"/>
          <w:sz w:val="15"/>
          <w:szCs w:val="15"/>
          <w:color w:val="auto"/>
        </w:rPr>
      </w:pPr>
    </w:p>
    <w:p>
      <w:pPr>
        <w:ind w:right="120" w:firstLine="378"/>
        <w:spacing w:after="0" w:line="266" w:lineRule="auto"/>
        <w:tabs>
          <w:tab w:leader="none" w:pos="542"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Tenant has not transferred, assigned, or sublet any portion of the Premises nor entered into any license or concession agreements with respect thereto except as follows:</w:t>
      </w:r>
    </w:p>
    <w:p>
      <w:pPr>
        <w:spacing w:after="0" w:line="154" w:lineRule="exact"/>
        <w:rPr>
          <w:rFonts w:ascii="Arial" w:cs="Arial" w:eastAsia="Arial" w:hAnsi="Arial"/>
          <w:sz w:val="16"/>
          <w:szCs w:val="16"/>
          <w:color w:val="auto"/>
        </w:rPr>
      </w:pPr>
    </w:p>
    <w:p>
      <w:pPr>
        <w:ind w:left="540" w:hanging="162"/>
        <w:spacing w:after="0"/>
        <w:tabs>
          <w:tab w:leader="none" w:pos="54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 xml:space="preserve">Tenant shall not modify the documents contained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without the prior written consent of Landlord’s mortgagee.</w:t>
      </w:r>
    </w:p>
    <w:p>
      <w:pPr>
        <w:spacing w:after="0" w:line="197" w:lineRule="exact"/>
        <w:rPr>
          <w:rFonts w:ascii="Arial" w:cs="Arial" w:eastAsia="Arial" w:hAnsi="Arial"/>
          <w:sz w:val="16"/>
          <w:szCs w:val="16"/>
          <w:color w:val="auto"/>
        </w:rPr>
      </w:pPr>
    </w:p>
    <w:p>
      <w:pPr>
        <w:ind w:left="540" w:hanging="162"/>
        <w:spacing w:after="0"/>
        <w:tabs>
          <w:tab w:leader="none" w:pos="540" w:val="left"/>
        </w:tabs>
        <w:numPr>
          <w:ilvl w:val="0"/>
          <w:numId w:val="510"/>
        </w:numPr>
        <w:rPr>
          <w:rFonts w:ascii="Arial" w:cs="Arial" w:eastAsia="Arial" w:hAnsi="Arial"/>
          <w:sz w:val="13"/>
          <w:szCs w:val="13"/>
          <w:color w:val="auto"/>
        </w:rPr>
      </w:pPr>
      <w:r>
        <w:rPr>
          <w:rFonts w:ascii="Arial" w:cs="Arial" w:eastAsia="Arial" w:hAnsi="Arial"/>
          <w:sz w:val="13"/>
          <w:szCs w:val="13"/>
          <w:color w:val="auto"/>
        </w:rPr>
        <w:t>All monthly installments of Base Rent, all Additional Rent and all monthly installments of estimated Additional Rent have been paid when due</w:t>
      </w:r>
    </w:p>
    <w:p>
      <w:pPr>
        <w:spacing w:after="0" w:line="51" w:lineRule="exact"/>
        <w:rPr>
          <w:sz w:val="20"/>
          <w:szCs w:val="20"/>
          <w:color w:val="auto"/>
        </w:rPr>
      </w:pPr>
    </w:p>
    <w:p>
      <w:pPr>
        <w:spacing w:after="0"/>
        <w:tabs>
          <w:tab w:leader="none" w:pos="1280" w:val="left"/>
          <w:tab w:leader="none" w:pos="5600" w:val="left"/>
        </w:tabs>
        <w:rPr>
          <w:sz w:val="20"/>
          <w:szCs w:val="20"/>
          <w:color w:val="auto"/>
        </w:rPr>
      </w:pPr>
      <w:r>
        <w:rPr>
          <w:rFonts w:ascii="Arial" w:cs="Arial" w:eastAsia="Arial" w:hAnsi="Arial"/>
          <w:sz w:val="16"/>
          <w:szCs w:val="16"/>
          <w:color w:val="auto"/>
        </w:rPr>
        <w:t>through</w:t>
      </w:r>
      <w:r>
        <w:rPr>
          <w:sz w:val="20"/>
          <w:szCs w:val="20"/>
          <w:color w:val="auto"/>
        </w:rPr>
        <w:tab/>
      </w:r>
      <w:r>
        <w:rPr>
          <w:rFonts w:ascii="Arial" w:cs="Arial" w:eastAsia="Arial" w:hAnsi="Arial"/>
          <w:sz w:val="16"/>
          <w:szCs w:val="16"/>
          <w:color w:val="auto"/>
        </w:rPr>
        <w:t>. The current monthly installment of Base Rent is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-18415</wp:posOffset>
            </wp:positionV>
            <wp:extent cx="49911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99110" cy="762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-18415</wp:posOffset>
            </wp:positionV>
            <wp:extent cx="69850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98500" cy="7620"/>
                    </a:xfrm>
                    <a:prstGeom prst="rect">
                      <a:avLst/>
                    </a:prstGeom>
                    <a:noFill/>
                  </pic:spPr>
                </pic:pic>
              </a:graphicData>
            </a:graphic>
          </wp:anchor>
        </w:drawing>
      </w:r>
    </w:p>
    <w:p>
      <w:pPr>
        <w:spacing w:after="0" w:line="162" w:lineRule="exact"/>
        <w:rPr>
          <w:sz w:val="20"/>
          <w:szCs w:val="20"/>
          <w:color w:val="auto"/>
        </w:rPr>
      </w:pPr>
    </w:p>
    <w:p>
      <w:pPr>
        <w:jc w:val="both"/>
        <w:ind w:right="140" w:firstLine="378"/>
        <w:spacing w:after="0" w:line="253" w:lineRule="auto"/>
        <w:tabs>
          <w:tab w:leader="none" w:pos="54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To Tenant’s actual knowledge, without inquiry, all conditions of the Lease to be performed by Landlord necessary to the enforceability of the Lease have been satisfied and Landlord is not in default thereunder. In addition, the undersigned has not delivered any notice to Landlord regarding a default by Landlord thereunder. The Lease does not require Landlord to provide any rental concessions or to pay any leasing brokerage commissions except as expressly set forth therein.</w:t>
      </w:r>
    </w:p>
    <w:p>
      <w:pPr>
        <w:spacing w:after="0" w:line="167" w:lineRule="exact"/>
        <w:rPr>
          <w:rFonts w:ascii="Arial" w:cs="Arial" w:eastAsia="Arial" w:hAnsi="Arial"/>
          <w:sz w:val="16"/>
          <w:szCs w:val="16"/>
          <w:color w:val="auto"/>
        </w:rPr>
      </w:pPr>
    </w:p>
    <w:p>
      <w:pPr>
        <w:ind w:right="20" w:firstLine="378"/>
        <w:spacing w:after="0" w:line="251" w:lineRule="auto"/>
        <w:tabs>
          <w:tab w:leader="none" w:pos="54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has been deposited with Landlord except as provided in the Lease. Neither Landlord, nor its successors or assigns, shall in any event be liable or responsible for, or with respect to, the retention, application and/or return to Tenant of any security deposit paid to any prior landlord of the Premises, whether or not still held by any such prior landlord, unless and until the party from whom the security deposit is being sought, whether it be a lender, or any of its successors or assigns, has actually received for its own account, as landlord, the full amount of such security deposit.</w:t>
      </w:r>
    </w:p>
    <w:p>
      <w:pPr>
        <w:spacing w:after="0" w:line="169" w:lineRule="exact"/>
        <w:rPr>
          <w:rFonts w:ascii="Arial" w:cs="Arial" w:eastAsia="Arial" w:hAnsi="Arial"/>
          <w:sz w:val="16"/>
          <w:szCs w:val="16"/>
          <w:color w:val="auto"/>
        </w:rPr>
      </w:pPr>
    </w:p>
    <w:p>
      <w:pPr>
        <w:ind w:right="540" w:firstLine="378"/>
        <w:spacing w:after="0" w:line="266" w:lineRule="auto"/>
        <w:tabs>
          <w:tab w:leader="none" w:pos="62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To Tenant’s actual knowledge, without inquiry, as of the date hereof, there are no existing defenses or offsets, or, to the undersigned’s knowledge, claims or any basis for a claim, that the undersigned has against Landlord.</w:t>
      </w:r>
    </w:p>
    <w:p>
      <w:pPr>
        <w:sectPr>
          <w:pgSz w:w="11900" w:h="16838" w:orient="portrait"/>
          <w:cols w:equalWidth="0" w:num="1">
            <w:col w:w="9540"/>
          </w:cols>
          <w:pgMar w:left="1140" w:top="238" w:right="1219" w:bottom="1440" w:gutter="0" w:footer="0" w:header="0"/>
        </w:sectPr>
      </w:pPr>
    </w:p>
    <w:bookmarkStart w:id="671" w:name="page672"/>
    <w:bookmarkEnd w:id="671"/>
    <w:p>
      <w:pPr>
        <w:jc w:val="both"/>
        <w:ind w:right="60" w:firstLine="378"/>
        <w:spacing w:after="0" w:line="256" w:lineRule="auto"/>
        <w:tabs>
          <w:tab w:leader="none" w:pos="614" w:val="left"/>
        </w:tabs>
        <w:numPr>
          <w:ilvl w:val="0"/>
          <w:numId w:val="5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If Tenant is a corporation or partnership,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65" w:lineRule="exact"/>
        <w:rPr>
          <w:rFonts w:ascii="Arial" w:cs="Arial" w:eastAsia="Arial" w:hAnsi="Arial"/>
          <w:sz w:val="16"/>
          <w:szCs w:val="16"/>
          <w:color w:val="auto"/>
        </w:rPr>
      </w:pPr>
    </w:p>
    <w:p>
      <w:pPr>
        <w:ind w:left="620" w:hanging="242"/>
        <w:spacing w:after="0"/>
        <w:tabs>
          <w:tab w:leader="none" w:pos="62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There are no actions pending against the undersigned under the bankruptcy or similar laws of the United States or any state.</w:t>
      </w:r>
    </w:p>
    <w:p>
      <w:pPr>
        <w:spacing w:after="0" w:line="193" w:lineRule="exact"/>
        <w:rPr>
          <w:rFonts w:ascii="Arial" w:cs="Arial" w:eastAsia="Arial" w:hAnsi="Arial"/>
          <w:sz w:val="16"/>
          <w:szCs w:val="16"/>
          <w:color w:val="auto"/>
        </w:rPr>
      </w:pPr>
    </w:p>
    <w:p>
      <w:pPr>
        <w:ind w:right="60" w:firstLine="378"/>
        <w:spacing w:after="0" w:line="251" w:lineRule="auto"/>
        <w:tabs>
          <w:tab w:leader="none" w:pos="62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Tenant is in full compliance with all federal, state and local laws, ordinances, rules and regulations affecting its use of the Premises, including, but not limited to, those laws, ordinances, rules or regulations relating to hazardous or toxic materials. Tenant has never permitted its agents, employees or contractors to engage in the generation, manufacture, treatment, use, storage, disposal or discharge of any hazardous, toxic or dangerous waste, substance or material in, on, under or about the Project or the Premises or any adjacent premises or property in violation of any federal, state or local law, ordinance, rule or regulation.</w:t>
      </w:r>
    </w:p>
    <w:p>
      <w:pPr>
        <w:spacing w:after="0" w:line="169" w:lineRule="exact"/>
        <w:rPr>
          <w:rFonts w:ascii="Arial" w:cs="Arial" w:eastAsia="Arial" w:hAnsi="Arial"/>
          <w:sz w:val="16"/>
          <w:szCs w:val="16"/>
          <w:color w:val="auto"/>
        </w:rPr>
      </w:pPr>
    </w:p>
    <w:p>
      <w:pPr>
        <w:ind w:left="620" w:hanging="242"/>
        <w:spacing w:after="0"/>
        <w:tabs>
          <w:tab w:leader="none" w:pos="62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To the undersigned’s knowledge, all tenant improvement work to be performed by Landlord under the Lease has been completed in</w:t>
      </w:r>
    </w:p>
    <w:p>
      <w:pPr>
        <w:spacing w:after="0" w:line="27" w:lineRule="exact"/>
        <w:rPr>
          <w:rFonts w:ascii="Arial" w:cs="Arial" w:eastAsia="Arial" w:hAnsi="Arial"/>
          <w:sz w:val="15"/>
          <w:szCs w:val="15"/>
          <w:color w:val="auto"/>
        </w:rPr>
      </w:pPr>
    </w:p>
    <w:p>
      <w:pPr>
        <w:ind w:right="20"/>
        <w:spacing w:after="0" w:line="248" w:lineRule="auto"/>
        <w:rPr>
          <w:rFonts w:ascii="Arial" w:cs="Arial" w:eastAsia="Arial" w:hAnsi="Arial"/>
          <w:sz w:val="15"/>
          <w:szCs w:val="15"/>
          <w:color w:val="auto"/>
        </w:rPr>
      </w:pPr>
      <w:r>
        <w:rPr>
          <w:rFonts w:ascii="Arial" w:cs="Arial" w:eastAsia="Arial" w:hAnsi="Arial"/>
          <w:sz w:val="16"/>
          <w:szCs w:val="16"/>
          <w:color w:val="auto"/>
        </w:rPr>
        <w:t>accordance with the Lease and has been accepted by the undersigned and all reimbursements and allowances due to the undersigned under the Lease in connection with any tenant improvement work have been paid in full. All work (if any) in the common areas required by the Lease to be completed by Landlord has been completed and all parking spaces required by the Lease have been furnished and/or all parking ratios required by the Lease have been met.</w:t>
      </w:r>
    </w:p>
    <w:p>
      <w:pPr>
        <w:spacing w:after="0" w:line="171" w:lineRule="exact"/>
        <w:rPr>
          <w:sz w:val="20"/>
          <w:szCs w:val="20"/>
          <w:color w:val="auto"/>
        </w:rPr>
      </w:pPr>
    </w:p>
    <w:p>
      <w:pPr>
        <w:ind w:firstLine="385"/>
        <w:spacing w:after="0" w:line="253" w:lineRule="auto"/>
        <w:rPr>
          <w:sz w:val="20"/>
          <w:szCs w:val="20"/>
          <w:color w:val="auto"/>
        </w:rPr>
      </w:pPr>
      <w:r>
        <w:rPr>
          <w:rFonts w:ascii="Arial" w:cs="Arial" w:eastAsia="Arial" w:hAnsi="Arial"/>
          <w:sz w:val="16"/>
          <w:szCs w:val="16"/>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67" w:lineRule="exact"/>
        <w:rPr>
          <w:sz w:val="20"/>
          <w:szCs w:val="20"/>
          <w:color w:val="auto"/>
        </w:rPr>
      </w:pPr>
    </w:p>
    <w:p>
      <w:pPr>
        <w:ind w:left="380"/>
        <w:spacing w:after="0"/>
        <w:tabs>
          <w:tab w:leader="none" w:pos="1960" w:val="left"/>
          <w:tab w:leader="none" w:pos="2740" w:val="left"/>
          <w:tab w:leader="none" w:pos="3960" w:val="left"/>
          <w:tab w:leader="none" w:pos="4520" w:val="left"/>
        </w:tabs>
        <w:rPr>
          <w:sz w:val="20"/>
          <w:szCs w:val="20"/>
          <w:color w:val="auto"/>
        </w:rPr>
      </w:pPr>
      <w:r>
        <w:rPr>
          <w:rFonts w:ascii="Arial" w:cs="Arial" w:eastAsia="Arial" w:hAnsi="Arial"/>
          <w:sz w:val="16"/>
          <w:szCs w:val="16"/>
          <w:color w:val="auto"/>
        </w:rPr>
        <w:t>Executed at</w:t>
      </w:r>
      <w:r>
        <w:rPr>
          <w:sz w:val="20"/>
          <w:szCs w:val="20"/>
          <w:color w:val="auto"/>
        </w:rPr>
        <w:tab/>
      </w:r>
      <w:r>
        <w:rPr>
          <w:rFonts w:ascii="Arial" w:cs="Arial" w:eastAsia="Arial" w:hAnsi="Arial"/>
          <w:sz w:val="16"/>
          <w:szCs w:val="16"/>
          <w:color w:val="auto"/>
        </w:rPr>
        <w:t>on the</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-10795</wp:posOffset>
            </wp:positionV>
            <wp:extent cx="499110"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99110" cy="762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-10795</wp:posOffset>
            </wp:positionV>
            <wp:extent cx="19939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99390" cy="762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-10795</wp:posOffset>
            </wp:positionV>
            <wp:extent cx="848360"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48360" cy="7620"/>
                    </a:xfrm>
                    <a:prstGeom prst="rect">
                      <a:avLst/>
                    </a:prstGeom>
                    <a:noFill/>
                  </pic:spPr>
                </pic:pic>
              </a:graphicData>
            </a:graphic>
          </wp:anchor>
        </w:drawing>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“Tenant”:</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10795</wp:posOffset>
            </wp:positionV>
            <wp:extent cx="227584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275840" cy="762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-115570</wp:posOffset>
            </wp:positionV>
            <wp:extent cx="2440940"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10795</wp:posOffset>
            </wp:positionV>
            <wp:extent cx="2103755"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-115570</wp:posOffset>
            </wp:positionV>
            <wp:extent cx="227584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10795</wp:posOffset>
            </wp:positionV>
            <wp:extent cx="227584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10795</wp:posOffset>
            </wp:positionV>
            <wp:extent cx="2103755"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103755" cy="7620"/>
                    </a:xfrm>
                    <a:prstGeom prst="rect">
                      <a:avLst/>
                    </a:prstGeom>
                    <a:noFill/>
                  </pic:spPr>
                </pic:pic>
              </a:graphicData>
            </a:graphic>
          </wp:anchor>
        </w:drawing>
      </w:r>
    </w:p>
    <w:p>
      <w:pPr>
        <w:sectPr>
          <w:pgSz w:w="11900" w:h="16838" w:orient="portrait"/>
          <w:cols w:equalWidth="0" w:num="1">
            <w:col w:w="9620"/>
          </w:cols>
          <w:pgMar w:left="1140" w:top="256" w:right="1139" w:bottom="1440" w:gutter="0" w:footer="0" w:header="0"/>
        </w:sectPr>
      </w:pPr>
    </w:p>
    <w:bookmarkStart w:id="672" w:name="page673"/>
    <w:bookmarkEnd w:id="672"/>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556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90105" cy="35560"/>
                    </a:xfrm>
                    <a:prstGeom prst="rect">
                      <a:avLst/>
                    </a:prstGeom>
                    <a:noFill/>
                  </pic:spPr>
                </pic:pic>
              </a:graphicData>
            </a:graphic>
          </wp:anchor>
        </w:drawing>
        <w:t>EXHIBIT 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ENVIRONMENTAL QUESTIONNAIRE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ENVIRONMENTAL QUESTIONNAIRE</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 COMMERCIAL AND INDUSTRIAL PROPERTIES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13335</wp:posOffset>
            </wp:positionV>
            <wp:extent cx="518795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518795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13335</wp:posOffset>
            </wp:positionV>
            <wp:extent cx="518795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5187950" cy="7620"/>
                    </a:xfrm>
                    <a:prstGeom prst="rect">
                      <a:avLst/>
                    </a:prstGeom>
                    <a:noFill/>
                  </pic:spPr>
                </pic:pic>
              </a:graphicData>
            </a:graphic>
          </wp:anchor>
        </w:drawing>
      </w:r>
    </w:p>
    <w:p>
      <w:pPr>
        <w:spacing w:after="0" w:line="185" w:lineRule="exact"/>
        <w:rPr>
          <w:sz w:val="20"/>
          <w:szCs w:val="20"/>
          <w:color w:val="auto"/>
        </w:rPr>
      </w:pPr>
    </w:p>
    <w:p>
      <w:pPr>
        <w:ind w:right="140" w:firstLine="866"/>
        <w:spacing w:after="0" w:line="272" w:lineRule="auto"/>
        <w:rPr>
          <w:sz w:val="20"/>
          <w:szCs w:val="20"/>
          <w:color w:val="auto"/>
        </w:rPr>
      </w:pPr>
      <w:r>
        <w:rPr>
          <w:rFonts w:ascii="Arial" w:cs="Arial" w:eastAsia="Arial" w:hAnsi="Arial"/>
          <w:sz w:val="16"/>
          <w:szCs w:val="16"/>
          <w:b w:val="1"/>
          <w:bCs w:val="1"/>
          <w:u w:val="single" w:color="auto"/>
          <w:color w:val="auto"/>
        </w:rPr>
        <w:t>Instructions</w:t>
      </w:r>
      <w:r>
        <w:rPr>
          <w:rFonts w:ascii="Arial" w:cs="Arial" w:eastAsia="Arial" w:hAnsi="Arial"/>
          <w:sz w:val="16"/>
          <w:szCs w:val="16"/>
          <w:color w:val="auto"/>
        </w:rPr>
        <w:t>: The following questionnaire is to be completed by the Lessee representative with knowledge of the planned operations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specified building/location. Please print clearly and attach additional sheets as necessary.</w:t>
      </w:r>
    </w:p>
    <w:p>
      <w:pPr>
        <w:spacing w:after="0" w:line="27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u w:val="single" w:color="auto"/>
          <w:color w:val="auto"/>
        </w:rPr>
        <w:t>PROCESS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Describe planned use, and include brief description of manufacturing processes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6109335"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392430</wp:posOffset>
            </wp:positionV>
            <wp:extent cx="6109335"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265430</wp:posOffset>
            </wp:positionV>
            <wp:extent cx="6109335"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5"/>
          <w:szCs w:val="15"/>
          <w:b w:val="1"/>
          <w:bCs w:val="1"/>
          <w:u w:val="single" w:color="auto"/>
          <w:color w:val="auto"/>
        </w:rPr>
        <w:t>HAZARDOUS MATERIALS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Are hazardous materials used or stored? If so, continue with the next question. If not, go to Section 3.0.</w:t>
      </w:r>
    </w:p>
    <w:p>
      <w:pPr>
        <w:spacing w:after="0" w:line="83" w:lineRule="exact"/>
        <w:rPr>
          <w:sz w:val="20"/>
          <w:szCs w:val="20"/>
          <w:color w:val="auto"/>
        </w:rPr>
      </w:pPr>
    </w:p>
    <w:p>
      <w:pPr>
        <w:spacing w:after="0" w:line="184" w:lineRule="exact"/>
        <w:tabs>
          <w:tab w:leader="none" w:pos="360" w:val="left"/>
          <w:tab w:leader="none" w:pos="8440" w:val="left"/>
          <w:tab w:leader="none" w:pos="9040" w:val="left"/>
        </w:tabs>
        <w:rPr>
          <w:sz w:val="20"/>
          <w:szCs w:val="20"/>
          <w:color w:val="auto"/>
        </w:rPr>
      </w:pPr>
      <w:r>
        <w:rPr>
          <w:rFonts w:ascii="Arial" w:cs="Arial" w:eastAsia="Arial" w:hAnsi="Arial"/>
          <w:sz w:val="16"/>
          <w:szCs w:val="16"/>
          <w:color w:val="auto"/>
        </w:rPr>
        <w:t>2.1</w:t>
        <w:tab/>
        <w:t>Are any of the following materials handled on the Property?</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9" w:lineRule="exact"/>
        <w:rPr>
          <w:sz w:val="20"/>
          <w:szCs w:val="20"/>
          <w:color w:val="auto"/>
        </w:rPr>
      </w:pPr>
    </w:p>
    <w:p>
      <w:pPr>
        <w:ind w:left="380" w:right="200"/>
        <w:spacing w:after="0" w:line="266" w:lineRule="auto"/>
        <w:rPr>
          <w:sz w:val="20"/>
          <w:szCs w:val="20"/>
          <w:color w:val="auto"/>
        </w:rPr>
      </w:pPr>
      <w:r>
        <w:rPr>
          <w:rFonts w:ascii="Arial" w:cs="Arial" w:eastAsia="Arial" w:hAnsi="Arial"/>
          <w:sz w:val="16"/>
          <w:szCs w:val="16"/>
          <w:color w:val="auto"/>
        </w:rPr>
        <w:t>(A material is handled if it is used, generated, processed, produced, packaged, treated, stored, emitted, discharged, or disposed.) If so, complete this section. If this question is not applicable, skip this section and go on to Section 5.0.</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Explosives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Fuels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Oils</w:t>
            </w:r>
          </w:p>
        </w:tc>
      </w:tr>
      <w:tr>
        <w:trPr>
          <w:trHeight w:val="189"/>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Solvents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Oxidizers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Organics/Inorganics</w:t>
            </w:r>
          </w:p>
        </w:tc>
      </w:tr>
      <w:tr>
        <w:trPr>
          <w:trHeight w:val="189"/>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Acids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Bases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Pesticides</w:t>
            </w:r>
          </w:p>
        </w:tc>
      </w:tr>
      <w:tr>
        <w:trPr>
          <w:trHeight w:val="225"/>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Gases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PCBs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w w:val="88"/>
              </w:rPr>
              <w:t>☐</w:t>
            </w:r>
            <w:r>
              <w:rPr>
                <w:rFonts w:ascii="Arial" w:cs="Arial" w:eastAsia="Arial" w:hAnsi="Arial"/>
                <w:sz w:val="16"/>
                <w:szCs w:val="16"/>
                <w:color w:val="auto"/>
                <w:w w:val="88"/>
              </w:rPr>
              <w:t xml:space="preserve"> Radioactive Materials</w:t>
            </w:r>
          </w:p>
        </w:tc>
      </w:tr>
    </w:tbl>
    <w:p>
      <w:pPr>
        <w:ind w:left="560" w:hanging="177"/>
        <w:spacing w:after="0"/>
        <w:tabs>
          <w:tab w:leader="none" w:pos="560" w:val="left"/>
        </w:tabs>
        <w:numPr>
          <w:ilvl w:val="0"/>
          <w:numId w:val="513"/>
        </w:numPr>
        <w:rPr>
          <w:rFonts w:ascii="MS PGothic" w:cs="MS PGothic" w:eastAsia="MS PGothic" w:hAnsi="MS PGothic"/>
          <w:sz w:val="16"/>
          <w:szCs w:val="16"/>
          <w:color w:val="auto"/>
        </w:rPr>
      </w:pPr>
      <w:r>
        <w:rPr>
          <w:rFonts w:ascii="Arial" w:cs="Arial" w:eastAsia="Arial" w:hAnsi="Arial"/>
          <w:sz w:val="16"/>
          <w:szCs w:val="16"/>
          <w:color w:val="auto"/>
        </w:rPr>
        <w:t>Other (please specify)</w:t>
      </w:r>
    </w:p>
    <w:p>
      <w:pPr>
        <w:spacing w:after="0" w:line="103" w:lineRule="exact"/>
        <w:rPr>
          <w:sz w:val="20"/>
          <w:szCs w:val="20"/>
          <w:color w:val="auto"/>
        </w:rPr>
      </w:pPr>
    </w:p>
    <w:p>
      <w:pPr>
        <w:ind w:left="380" w:hanging="376"/>
        <w:spacing w:after="0" w:line="256" w:lineRule="auto"/>
        <w:tabs>
          <w:tab w:leader="none" w:pos="360" w:val="left"/>
        </w:tabs>
        <w:rPr>
          <w:sz w:val="20"/>
          <w:szCs w:val="20"/>
          <w:color w:val="auto"/>
        </w:rPr>
      </w:pPr>
      <w:r>
        <w:rPr>
          <w:rFonts w:ascii="Arial" w:cs="Arial" w:eastAsia="Arial" w:hAnsi="Arial"/>
          <w:sz w:val="16"/>
          <w:szCs w:val="16"/>
          <w:color w:val="auto"/>
        </w:rPr>
        <w:t>2-2.</w:t>
        <w:tab/>
        <w:t>If any of the groups of materials checked in Section 2.1, please list the specific material(s), use(s), and quantity of each chemical used or stored on the site in the Table below. If convenient, you may substitute a chemical inventory and list the uses of each of the chemicals in each category separately.</w:t>
      </w:r>
    </w:p>
    <w:p>
      <w:pPr>
        <w:spacing w:after="0" w:line="194"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3"/>
                <w:szCs w:val="13"/>
                <w:b w:val="1"/>
                <w:bCs w:val="1"/>
                <w:color w:val="auto"/>
              </w:rPr>
              <w:t>Material</w:t>
            </w:r>
          </w:p>
        </w:tc>
        <w:tc>
          <w:tcPr>
            <w:tcW w:w="2720" w:type="dxa"/>
            <w:vAlign w:val="bottom"/>
          </w:tcPr>
          <w:p>
            <w:pPr>
              <w:ind w:left="400"/>
              <w:spacing w:after="0"/>
              <w:rPr>
                <w:sz w:val="20"/>
                <w:szCs w:val="20"/>
                <w:color w:val="auto"/>
              </w:rPr>
            </w:pPr>
            <w:r>
              <w:rPr>
                <w:rFonts w:ascii="Arial" w:cs="Arial" w:eastAsia="Arial" w:hAnsi="Arial"/>
                <w:sz w:val="13"/>
                <w:szCs w:val="13"/>
                <w:b w:val="1"/>
                <w:bCs w:val="1"/>
                <w:color w:val="auto"/>
              </w:rPr>
              <w:t>Physical State (Solid, Liquid, or Gas)</w:t>
            </w:r>
          </w:p>
        </w:tc>
        <w:tc>
          <w:tcPr>
            <w:tcW w:w="1060" w:type="dxa"/>
            <w:vAlign w:val="bottom"/>
          </w:tcPr>
          <w:p>
            <w:pPr>
              <w:ind w:left="340"/>
              <w:spacing w:after="0"/>
              <w:rPr>
                <w:sz w:val="20"/>
                <w:szCs w:val="20"/>
                <w:color w:val="auto"/>
              </w:rPr>
            </w:pPr>
            <w:r>
              <w:rPr>
                <w:rFonts w:ascii="Arial" w:cs="Arial" w:eastAsia="Arial" w:hAnsi="Arial"/>
                <w:sz w:val="13"/>
                <w:szCs w:val="13"/>
                <w:b w:val="1"/>
                <w:bCs w:val="1"/>
                <w:color w:val="auto"/>
              </w:rPr>
              <w:t>Usage</w:t>
            </w:r>
          </w:p>
        </w:tc>
        <w:tc>
          <w:tcPr>
            <w:tcW w:w="1380" w:type="dxa"/>
            <w:vAlign w:val="bottom"/>
          </w:tcPr>
          <w:p>
            <w:pPr>
              <w:ind w:left="400"/>
              <w:spacing w:after="0"/>
              <w:rPr>
                <w:sz w:val="20"/>
                <w:szCs w:val="20"/>
                <w:color w:val="auto"/>
              </w:rPr>
            </w:pPr>
            <w:r>
              <w:rPr>
                <w:rFonts w:ascii="Arial" w:cs="Arial" w:eastAsia="Arial" w:hAnsi="Arial"/>
                <w:sz w:val="13"/>
                <w:szCs w:val="13"/>
                <w:b w:val="1"/>
                <w:bCs w:val="1"/>
                <w:color w:val="auto"/>
              </w:rPr>
              <w:t>Container Size</w:t>
            </w:r>
          </w:p>
        </w:tc>
        <w:tc>
          <w:tcPr>
            <w:tcW w:w="1600" w:type="dxa"/>
            <w:vAlign w:val="bottom"/>
          </w:tcPr>
          <w:p>
            <w:pPr>
              <w:ind w:left="200"/>
              <w:spacing w:after="0"/>
              <w:rPr>
                <w:sz w:val="20"/>
                <w:szCs w:val="20"/>
                <w:color w:val="auto"/>
              </w:rPr>
            </w:pPr>
            <w:r>
              <w:rPr>
                <w:rFonts w:ascii="Arial" w:cs="Arial" w:eastAsia="Arial" w:hAnsi="Arial"/>
                <w:sz w:val="13"/>
                <w:szCs w:val="13"/>
                <w:b w:val="1"/>
                <w:bCs w:val="1"/>
                <w:color w:val="auto"/>
              </w:rPr>
              <w:t>Number of Containers</w:t>
            </w:r>
          </w:p>
        </w:tc>
        <w:tc>
          <w:tcPr>
            <w:tcW w:w="960" w:type="dxa"/>
            <w:vAlign w:val="bottom"/>
          </w:tcPr>
          <w:p>
            <w:pPr>
              <w:ind w:left="180"/>
              <w:spacing w:after="0"/>
              <w:rPr>
                <w:sz w:val="20"/>
                <w:szCs w:val="20"/>
                <w:color w:val="auto"/>
              </w:rPr>
            </w:pPr>
            <w:r>
              <w:rPr>
                <w:rFonts w:ascii="Arial" w:cs="Arial" w:eastAsia="Arial" w:hAnsi="Arial"/>
                <w:sz w:val="13"/>
                <w:szCs w:val="13"/>
                <w:b w:val="1"/>
                <w:bCs w:val="1"/>
                <w:color w:val="auto"/>
                <w:w w:val="86"/>
              </w:rPr>
              <w:t>Total Quantity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116320" cy="73342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116320" cy="73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3"/>
          <w:szCs w:val="13"/>
          <w:color w:val="auto"/>
        </w:rPr>
        <w:t>Describe the planned storage area location(s) for these materials. Please include site maps and drawings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6109335"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392430</wp:posOffset>
            </wp:positionV>
            <wp:extent cx="6109335"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265430</wp:posOffset>
            </wp:positionV>
            <wp:extent cx="6109335"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ectPr>
          <w:pgSz w:w="11900" w:h="16838" w:orient="portrait"/>
          <w:cols w:equalWidth="0" w:num="1">
            <w:col w:w="9580"/>
          </w:cols>
          <w:pgMar w:left="1140" w:top="253" w:right="1179" w:bottom="1440" w:gutter="0" w:footer="0" w:header="0"/>
        </w:sectPr>
      </w:pPr>
    </w:p>
    <w:bookmarkStart w:id="673" w:name="page674"/>
    <w:bookmarkEnd w:id="673"/>
    <w:p>
      <w:pPr>
        <w:spacing w:after="0"/>
        <w:tabs>
          <w:tab w:leader="none" w:pos="36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3.0</w:t>
      </w:r>
      <w:r>
        <w:rPr>
          <w:sz w:val="20"/>
          <w:szCs w:val="20"/>
          <w:color w:val="auto"/>
        </w:rPr>
        <w:tab/>
      </w:r>
      <w:r>
        <w:rPr>
          <w:rFonts w:ascii="Arial" w:cs="Arial" w:eastAsia="Arial" w:hAnsi="Arial"/>
          <w:sz w:val="15"/>
          <w:szCs w:val="15"/>
          <w:b w:val="1"/>
          <w:bCs w:val="1"/>
          <w:u w:val="single" w:color="auto"/>
          <w:color w:val="auto"/>
        </w:rPr>
        <w:t>HAZARDOUS WASTES</w:t>
      </w:r>
    </w:p>
    <w:p>
      <w:pPr>
        <w:spacing w:after="0" w:line="87" w:lineRule="exact"/>
        <w:rPr>
          <w:sz w:val="20"/>
          <w:szCs w:val="20"/>
          <w:color w:val="auto"/>
        </w:rPr>
      </w:pPr>
    </w:p>
    <w:p>
      <w:pPr>
        <w:spacing w:after="0" w:line="184" w:lineRule="exact"/>
        <w:tabs>
          <w:tab w:leader="none" w:pos="8560" w:val="left"/>
          <w:tab w:leader="none" w:pos="9180" w:val="left"/>
        </w:tabs>
        <w:rPr>
          <w:sz w:val="20"/>
          <w:szCs w:val="20"/>
          <w:color w:val="auto"/>
        </w:rPr>
      </w:pPr>
      <w:r>
        <w:rPr>
          <w:rFonts w:ascii="Arial" w:cs="Arial" w:eastAsia="Arial" w:hAnsi="Arial"/>
          <w:sz w:val="16"/>
          <w:szCs w:val="16"/>
          <w:color w:val="auto"/>
        </w:rPr>
        <w:t>Are hazardous wastes generated?</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If yes, continue with the next question. If not, skip this section and go to section 4.0.</w:t>
      </w:r>
    </w:p>
    <w:p>
      <w:pPr>
        <w:spacing w:after="0" w:line="11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3"/>
          <w:szCs w:val="13"/>
          <w:color w:val="auto"/>
        </w:rPr>
        <w:t>Are any of the following wastes generated, handled, or disposed of (where applicable) on the Property?</w:t>
      </w:r>
    </w:p>
    <w:p>
      <w:pPr>
        <w:spacing w:after="0" w:line="83" w:lineRule="exact"/>
        <w:rPr>
          <w:sz w:val="20"/>
          <w:szCs w:val="20"/>
          <w:color w:val="auto"/>
        </w:rPr>
      </w:pPr>
    </w:p>
    <w:p>
      <w:pPr>
        <w:ind w:left="560" w:hanging="177"/>
        <w:spacing w:after="0" w:line="184" w:lineRule="exact"/>
        <w:tabs>
          <w:tab w:leader="none" w:pos="560" w:val="left"/>
        </w:tabs>
        <w:numPr>
          <w:ilvl w:val="0"/>
          <w:numId w:val="514"/>
        </w:numPr>
        <w:rPr>
          <w:rFonts w:ascii="MS PGothic" w:cs="MS PGothic" w:eastAsia="MS PGothic" w:hAnsi="MS PGothic"/>
          <w:sz w:val="16"/>
          <w:szCs w:val="16"/>
          <w:color w:val="auto"/>
        </w:rPr>
      </w:pPr>
      <w:r>
        <w:rPr>
          <w:rFonts w:ascii="Arial" w:cs="Arial" w:eastAsia="Arial" w:hAnsi="Arial"/>
          <w:sz w:val="16"/>
          <w:szCs w:val="16"/>
          <w:color w:val="auto"/>
        </w:rPr>
        <w:t xml:space="preserve">Hazardous wastes   </w:t>
      </w:r>
      <w:r>
        <w:rPr>
          <w:rFonts w:ascii="MS PGothic" w:cs="MS PGothic" w:eastAsia="MS PGothic" w:hAnsi="MS PGothic"/>
          <w:sz w:val="16"/>
          <w:szCs w:val="16"/>
          <w:color w:val="auto"/>
        </w:rPr>
        <w:t>☐</w:t>
      </w:r>
      <w:r>
        <w:rPr>
          <w:rFonts w:ascii="Arial" w:cs="Arial" w:eastAsia="Arial" w:hAnsi="Arial"/>
          <w:sz w:val="16"/>
          <w:szCs w:val="16"/>
          <w:color w:val="auto"/>
        </w:rPr>
        <w:t xml:space="preserve"> Industrial Wastewater</w:t>
      </w:r>
    </w:p>
    <w:p>
      <w:pPr>
        <w:sectPr>
          <w:pgSz w:w="11900" w:h="16838" w:orient="portrait"/>
          <w:cols w:equalWidth="0" w:num="1">
            <w:col w:w="9640"/>
          </w:cols>
          <w:pgMar w:left="1140" w:top="253" w:right="1119" w:bottom="1440" w:gutter="0" w:footer="0" w:header="0"/>
        </w:sectPr>
      </w:pPr>
    </w:p>
    <w:p>
      <w:pPr>
        <w:spacing w:after="0" w:line="62" w:lineRule="exact"/>
        <w:rPr>
          <w:sz w:val="20"/>
          <w:szCs w:val="20"/>
          <w:color w:val="auto"/>
        </w:rPr>
      </w:pPr>
    </w:p>
    <w:p>
      <w:pPr>
        <w:ind w:left="380"/>
        <w:spacing w:after="0" w:line="189"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Waste oils </w:t>
      </w:r>
      <w:r>
        <w:rPr>
          <w:rFonts w:ascii="MS PGothic" w:cs="MS PGothic" w:eastAsia="MS PGothic" w:hAnsi="MS PGothic"/>
          <w:sz w:val="13"/>
          <w:szCs w:val="13"/>
          <w:color w:val="auto"/>
        </w:rPr>
        <w:t>☐</w:t>
      </w:r>
      <w:r>
        <w:rPr>
          <w:rFonts w:ascii="Arial" w:cs="Arial" w:eastAsia="Arial" w:hAnsi="Arial"/>
          <w:sz w:val="13"/>
          <w:szCs w:val="13"/>
          <w:color w:val="auto"/>
        </w:rPr>
        <w:t xml:space="preserve"> Air emissions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PCBs</w:t>
      </w: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Sludges</w:t>
      </w:r>
    </w:p>
    <w:p>
      <w:pPr>
        <w:spacing w:after="0" w:line="54" w:lineRule="exact"/>
        <w:rPr>
          <w:sz w:val="20"/>
          <w:szCs w:val="20"/>
          <w:color w:val="auto"/>
        </w:rPr>
      </w:pPr>
    </w:p>
    <w:p>
      <w:pPr>
        <w:sectPr>
          <w:pgSz w:w="11900" w:h="16838" w:orient="portrait"/>
          <w:cols w:equalWidth="0" w:num="2">
            <w:col w:w="1440" w:space="460"/>
            <w:col w:w="7740"/>
          </w:cols>
          <w:pgMar w:left="1140" w:top="253" w:right="1119" w:bottom="1440" w:gutter="0" w:footer="0" w:header="0"/>
          <w:type w:val="continuous"/>
        </w:sectPr>
      </w:pPr>
    </w:p>
    <w:p>
      <w:pPr>
        <w:ind w:left="560" w:hanging="177"/>
        <w:spacing w:after="0" w:line="184" w:lineRule="exact"/>
        <w:tabs>
          <w:tab w:leader="none" w:pos="560" w:val="left"/>
        </w:tabs>
        <w:numPr>
          <w:ilvl w:val="0"/>
          <w:numId w:val="515"/>
        </w:numPr>
        <w:rPr>
          <w:rFonts w:ascii="MS PGothic" w:cs="MS PGothic" w:eastAsia="MS PGothic" w:hAnsi="MS PGothic"/>
          <w:sz w:val="16"/>
          <w:szCs w:val="16"/>
          <w:color w:val="auto"/>
        </w:rPr>
      </w:pPr>
      <w:r>
        <w:rPr>
          <w:rFonts w:ascii="Arial" w:cs="Arial" w:eastAsia="Arial" w:hAnsi="Arial"/>
          <w:sz w:val="16"/>
          <w:szCs w:val="16"/>
          <w:color w:val="auto"/>
        </w:rPr>
        <w:t xml:space="preserve">Regulated Wastes   </w:t>
      </w:r>
      <w:r>
        <w:rPr>
          <w:rFonts w:ascii="MS PGothic" w:cs="MS PGothic" w:eastAsia="MS PGothic" w:hAnsi="MS PGothic"/>
          <w:sz w:val="16"/>
          <w:szCs w:val="16"/>
          <w:color w:val="auto"/>
        </w:rPr>
        <w:t>☐</w:t>
      </w:r>
      <w:r>
        <w:rPr>
          <w:rFonts w:ascii="Arial" w:cs="Arial" w:eastAsia="Arial" w:hAnsi="Arial"/>
          <w:sz w:val="16"/>
          <w:szCs w:val="16"/>
          <w:color w:val="auto"/>
        </w:rPr>
        <w:t xml:space="preserve"> Other (please specify)</w:t>
      </w:r>
    </w:p>
    <w:p>
      <w:pPr>
        <w:spacing w:after="0" w:line="8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3"/>
          <w:szCs w:val="13"/>
          <w:color w:val="auto"/>
        </w:rPr>
        <w:t>List and quantify the materials identified in Question 3-1 of this section.</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860" w:type="dxa"/>
            <w:vAlign w:val="bottom"/>
            <w:tcBorders>
              <w:top w:val="single" w:sz="8" w:color="auto"/>
              <w:left w:val="single" w:sz="8" w:color="auto"/>
              <w:right w:val="single" w:sz="8" w:color="auto"/>
            </w:tcBorders>
          </w:tcPr>
          <w:p>
            <w:pPr>
              <w:spacing w:after="0"/>
              <w:rPr>
                <w:sz w:val="10"/>
                <w:szCs w:val="10"/>
                <w:color w:val="auto"/>
              </w:rPr>
            </w:pPr>
          </w:p>
        </w:tc>
        <w:tc>
          <w:tcPr>
            <w:tcW w:w="1560" w:type="dxa"/>
            <w:vAlign w:val="bottom"/>
            <w:tcBorders>
              <w:top w:val="single" w:sz="8" w:color="auto"/>
              <w:right w:val="single" w:sz="8" w:color="auto"/>
            </w:tcBorders>
          </w:tcPr>
          <w:p>
            <w:pPr>
              <w:spacing w:after="0"/>
              <w:rPr>
                <w:sz w:val="10"/>
                <w:szCs w:val="10"/>
                <w:color w:val="auto"/>
              </w:rPr>
            </w:pPr>
          </w:p>
        </w:tc>
        <w:tc>
          <w:tcPr>
            <w:tcW w:w="1520" w:type="dxa"/>
            <w:vAlign w:val="bottom"/>
            <w:tcBorders>
              <w:top w:val="single" w:sz="8" w:color="auto"/>
              <w:right w:val="single" w:sz="8" w:color="auto"/>
            </w:tcBorders>
          </w:tcPr>
          <w:p>
            <w:pPr>
              <w:spacing w:after="0"/>
              <w:rPr>
                <w:sz w:val="10"/>
                <w:szCs w:val="10"/>
                <w:color w:val="auto"/>
              </w:rPr>
            </w:pPr>
          </w:p>
        </w:tc>
        <w:tc>
          <w:tcPr>
            <w:tcW w:w="164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8"/>
              </w:rPr>
              <w:t>APPROXIMATE</w:t>
            </w:r>
          </w:p>
        </w:tc>
        <w:tc>
          <w:tcPr>
            <w:tcW w:w="152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3"/>
              </w:rPr>
              <w:t>WASTE</w:t>
            </w:r>
          </w:p>
        </w:tc>
        <w:tc>
          <w:tcPr>
            <w:tcW w:w="1540" w:type="dxa"/>
            <w:vAlign w:val="bottom"/>
            <w:tcBorders>
              <w:top w:val="single" w:sz="8" w:color="auto"/>
              <w:right w:val="single" w:sz="8" w:color="auto"/>
            </w:tcBorders>
          </w:tcPr>
          <w:p>
            <w:pPr>
              <w:spacing w:after="0"/>
              <w:rPr>
                <w:sz w:val="10"/>
                <w:szCs w:val="10"/>
                <w:color w:val="auto"/>
              </w:rPr>
            </w:pPr>
          </w:p>
        </w:tc>
      </w:tr>
      <w:tr>
        <w:trPr>
          <w:trHeight w:val="150"/>
        </w:trPr>
        <w:tc>
          <w:tcPr>
            <w:tcW w:w="186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WASTE GENERATED</w:t>
            </w:r>
          </w:p>
        </w:tc>
        <w:tc>
          <w:tcPr>
            <w:tcW w:w="15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b w:val="1"/>
                <w:bCs w:val="1"/>
                <w:color w:val="auto"/>
              </w:rPr>
              <w:t>RCRA listed Waste?</w:t>
            </w:r>
          </w:p>
        </w:tc>
        <w:tc>
          <w:tcPr>
            <w:tcW w:w="15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SOURCE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MONTHLY QUANTITY</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CHARACTERIZATION</w:t>
            </w:r>
          </w:p>
        </w:tc>
        <w:tc>
          <w:tcPr>
            <w:tcW w:w="1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DISPOSITION</w:t>
            </w: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bl>
    <w:p>
      <w:pPr>
        <w:spacing w:after="0" w:line="94" w:lineRule="exact"/>
        <w:rPr>
          <w:sz w:val="20"/>
          <w:szCs w:val="20"/>
          <w:color w:val="auto"/>
        </w:rPr>
      </w:pPr>
    </w:p>
    <w:p>
      <w:pPr>
        <w:ind w:left="380" w:right="200" w:hanging="376"/>
        <w:spacing w:after="0" w:line="266" w:lineRule="auto"/>
        <w:tabs>
          <w:tab w:leader="none" w:pos="360" w:val="left"/>
        </w:tabs>
        <w:rPr>
          <w:sz w:val="20"/>
          <w:szCs w:val="20"/>
          <w:color w:val="auto"/>
        </w:rPr>
      </w:pPr>
      <w:r>
        <w:rPr>
          <w:rFonts w:ascii="Arial" w:cs="Arial" w:eastAsia="Arial" w:hAnsi="Arial"/>
          <w:sz w:val="16"/>
          <w:szCs w:val="16"/>
          <w:color w:val="auto"/>
        </w:rPr>
        <w:t>3-3.</w:t>
        <w:tab/>
        <w:t>Please include name, location, and permit number (e.g. EPA ID No.) for transporter and disposal facility, if applicable). Attach separate pages as necessary.</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Arial" w:cs="Arial" w:eastAsia="Arial" w:hAnsi="Arial"/>
                <w:sz w:val="13"/>
                <w:szCs w:val="13"/>
                <w:b w:val="1"/>
                <w:bCs w:val="1"/>
                <w:color w:val="auto"/>
              </w:rPr>
              <w:t>Transporter/Disposal Facility Name</w:t>
            </w:r>
          </w:p>
        </w:tc>
        <w:tc>
          <w:tcPr>
            <w:tcW w:w="1860" w:type="dxa"/>
            <w:vAlign w:val="bottom"/>
          </w:tcPr>
          <w:p>
            <w:pPr>
              <w:ind w:left="500"/>
              <w:spacing w:after="0"/>
              <w:rPr>
                <w:sz w:val="20"/>
                <w:szCs w:val="20"/>
                <w:color w:val="auto"/>
              </w:rPr>
            </w:pPr>
            <w:r>
              <w:rPr>
                <w:rFonts w:ascii="Arial" w:cs="Arial" w:eastAsia="Arial" w:hAnsi="Arial"/>
                <w:sz w:val="13"/>
                <w:szCs w:val="13"/>
                <w:b w:val="1"/>
                <w:bCs w:val="1"/>
                <w:color w:val="auto"/>
              </w:rPr>
              <w:t>Facility Location</w:t>
            </w:r>
          </w:p>
        </w:tc>
        <w:tc>
          <w:tcPr>
            <w:tcW w:w="3000" w:type="dxa"/>
            <w:vAlign w:val="bottom"/>
          </w:tcPr>
          <w:p>
            <w:pPr>
              <w:ind w:left="440"/>
              <w:spacing w:after="0"/>
              <w:rPr>
                <w:sz w:val="20"/>
                <w:szCs w:val="20"/>
                <w:color w:val="auto"/>
              </w:rPr>
            </w:pPr>
            <w:r>
              <w:rPr>
                <w:rFonts w:ascii="Arial" w:cs="Arial" w:eastAsia="Arial" w:hAnsi="Arial"/>
                <w:sz w:val="13"/>
                <w:szCs w:val="13"/>
                <w:b w:val="1"/>
                <w:bCs w:val="1"/>
                <w:color w:val="auto"/>
              </w:rPr>
              <w:t>Transporter (I) or Disposal (D) Facility</w:t>
            </w:r>
          </w:p>
        </w:tc>
        <w:tc>
          <w:tcPr>
            <w:tcW w:w="1300" w:type="dxa"/>
            <w:vAlign w:val="bottom"/>
          </w:tcPr>
          <w:p>
            <w:pPr>
              <w:ind w:left="460"/>
              <w:spacing w:after="0"/>
              <w:rPr>
                <w:sz w:val="20"/>
                <w:szCs w:val="20"/>
                <w:color w:val="auto"/>
              </w:rPr>
            </w:pPr>
            <w:r>
              <w:rPr>
                <w:rFonts w:ascii="Arial" w:cs="Arial" w:eastAsia="Arial" w:hAnsi="Arial"/>
                <w:sz w:val="13"/>
                <w:szCs w:val="13"/>
                <w:b w:val="1"/>
                <w:bCs w:val="1"/>
                <w:color w:val="auto"/>
                <w:w w:val="87"/>
              </w:rPr>
              <w:t>Permit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116320" cy="60642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116320" cy="60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 w:type="dxa"/>
            <w:vAlign w:val="bottom"/>
          </w:tcPr>
          <w:p>
            <w:pPr>
              <w:jc w:val="right"/>
              <w:spacing w:after="0"/>
              <w:rPr>
                <w:sz w:val="20"/>
                <w:szCs w:val="20"/>
                <w:color w:val="auto"/>
              </w:rPr>
            </w:pPr>
            <w:r>
              <w:rPr>
                <w:rFonts w:ascii="Arial" w:cs="Arial" w:eastAsia="Arial" w:hAnsi="Arial"/>
                <w:sz w:val="16"/>
                <w:szCs w:val="16"/>
                <w:color w:val="auto"/>
                <w:w w:val="79"/>
              </w:rPr>
              <w:t>3-4.</w:t>
            </w:r>
          </w:p>
        </w:tc>
        <w:tc>
          <w:tcPr>
            <w:tcW w:w="9320" w:type="dxa"/>
            <w:vAlign w:val="bottom"/>
          </w:tcPr>
          <w:p>
            <w:pPr>
              <w:ind w:left="80"/>
              <w:spacing w:after="0" w:line="184" w:lineRule="exact"/>
              <w:rPr>
                <w:sz w:val="20"/>
                <w:szCs w:val="20"/>
                <w:color w:val="auto"/>
              </w:rPr>
            </w:pPr>
            <w:r>
              <w:rPr>
                <w:rFonts w:ascii="Arial" w:cs="Arial" w:eastAsia="Arial" w:hAnsi="Arial"/>
                <w:sz w:val="16"/>
                <w:szCs w:val="16"/>
                <w:color w:val="auto"/>
                <w:w w:val="92"/>
              </w:rPr>
              <w:t xml:space="preserve">Are pollution controls or monitoring employed in the process to prevent or minimize the release of wastes into the environment? Yes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No </w:t>
            </w:r>
            <w:r>
              <w:rPr>
                <w:rFonts w:ascii="MS PGothic" w:cs="MS PGothic" w:eastAsia="MS PGothic" w:hAnsi="MS PGothic"/>
                <w:sz w:val="16"/>
                <w:szCs w:val="16"/>
                <w:color w:val="auto"/>
                <w:w w:val="92"/>
              </w:rPr>
              <w:t>☐</w:t>
            </w:r>
          </w:p>
        </w:tc>
      </w:tr>
      <w:tr>
        <w:trPr>
          <w:trHeight w:val="277"/>
        </w:trPr>
        <w:tc>
          <w:tcPr>
            <w:tcW w:w="300" w:type="dxa"/>
            <w:vAlign w:val="bottom"/>
          </w:tcPr>
          <w:p>
            <w:pPr>
              <w:jc w:val="right"/>
              <w:spacing w:after="0"/>
              <w:rPr>
                <w:sz w:val="20"/>
                <w:szCs w:val="20"/>
                <w:color w:val="auto"/>
              </w:rPr>
            </w:pPr>
            <w:r>
              <w:rPr>
                <w:rFonts w:ascii="Arial" w:cs="Arial" w:eastAsia="Arial" w:hAnsi="Arial"/>
                <w:sz w:val="16"/>
                <w:szCs w:val="16"/>
                <w:color w:val="auto"/>
                <w:w w:val="79"/>
              </w:rPr>
              <w:t>3-5.</w:t>
            </w:r>
          </w:p>
        </w:tc>
        <w:tc>
          <w:tcPr>
            <w:tcW w:w="9320" w:type="dxa"/>
            <w:vAlign w:val="bottom"/>
          </w:tcPr>
          <w:p>
            <w:pPr>
              <w:ind w:left="80"/>
              <w:spacing w:after="0"/>
              <w:rPr>
                <w:sz w:val="20"/>
                <w:szCs w:val="20"/>
                <w:color w:val="auto"/>
              </w:rPr>
            </w:pPr>
            <w:r>
              <w:rPr>
                <w:rFonts w:ascii="Arial" w:cs="Arial" w:eastAsia="Arial" w:hAnsi="Arial"/>
                <w:sz w:val="16"/>
                <w:szCs w:val="16"/>
                <w:color w:val="auto"/>
              </w:rPr>
              <w:t>If so, please describe.</w:t>
            </w:r>
          </w:p>
        </w:tc>
      </w:tr>
      <w:tr>
        <w:trPr>
          <w:trHeight w:val="296"/>
        </w:trPr>
        <w:tc>
          <w:tcPr>
            <w:tcW w:w="3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tcPr>
          <w:p>
            <w:pPr>
              <w:spacing w:after="0"/>
              <w:rPr>
                <w:sz w:val="15"/>
                <w:szCs w:val="15"/>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tcPr>
          <w:p>
            <w:pPr>
              <w:spacing w:after="0"/>
              <w:rPr>
                <w:sz w:val="15"/>
                <w:szCs w:val="15"/>
                <w:color w:val="auto"/>
              </w:rPr>
            </w:pPr>
          </w:p>
        </w:tc>
      </w:tr>
    </w:tbl>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80" w:type="dxa"/>
            <w:vAlign w:val="bottom"/>
          </w:tcPr>
          <w:p>
            <w:pPr>
              <w:jc w:val="right"/>
              <w:ind w:right="101"/>
              <w:spacing w:after="0"/>
              <w:rPr>
                <w:sz w:val="20"/>
                <w:szCs w:val="20"/>
                <w:color w:val="auto"/>
              </w:rPr>
            </w:pPr>
            <w:r>
              <w:rPr>
                <w:rFonts w:ascii="Arial" w:cs="Arial" w:eastAsia="Arial" w:hAnsi="Arial"/>
                <w:sz w:val="16"/>
                <w:szCs w:val="16"/>
                <w:b w:val="1"/>
                <w:bCs w:val="1"/>
                <w:color w:val="auto"/>
                <w:w w:val="80"/>
              </w:rPr>
              <w:t>4.0</w:t>
            </w:r>
          </w:p>
        </w:tc>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USTS/ASTS</w:t>
            </w:r>
          </w:p>
        </w:tc>
        <w:tc>
          <w:tcPr>
            <w:tcW w:w="1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40" w:type="dxa"/>
            <w:vAlign w:val="bottom"/>
            <w:gridSpan w:val="6"/>
          </w:tcPr>
          <w:p>
            <w:pPr>
              <w:spacing w:after="0" w:line="20" w:lineRule="exact"/>
              <w:rPr>
                <w:sz w:val="1"/>
                <w:szCs w:val="1"/>
                <w:color w:val="auto"/>
              </w:rPr>
            </w:pPr>
          </w:p>
        </w:tc>
      </w:tr>
      <w:tr>
        <w:trPr>
          <w:trHeight w:val="298"/>
        </w:trPr>
        <w:tc>
          <w:tcPr>
            <w:tcW w:w="380" w:type="dxa"/>
            <w:vAlign w:val="bottom"/>
          </w:tcPr>
          <w:p>
            <w:pPr>
              <w:jc w:val="right"/>
              <w:ind w:right="101"/>
              <w:spacing w:after="0"/>
              <w:rPr>
                <w:sz w:val="20"/>
                <w:szCs w:val="20"/>
                <w:color w:val="auto"/>
              </w:rPr>
            </w:pPr>
            <w:r>
              <w:rPr>
                <w:rFonts w:ascii="Arial" w:cs="Arial" w:eastAsia="Arial" w:hAnsi="Arial"/>
                <w:sz w:val="16"/>
                <w:szCs w:val="16"/>
                <w:color w:val="auto"/>
                <w:w w:val="80"/>
              </w:rPr>
              <w:t>4.1</w:t>
            </w:r>
          </w:p>
        </w:tc>
        <w:tc>
          <w:tcPr>
            <w:tcW w:w="9260" w:type="dxa"/>
            <w:vAlign w:val="bottom"/>
            <w:gridSpan w:val="7"/>
          </w:tcPr>
          <w:p>
            <w:pPr>
              <w:spacing w:after="0"/>
              <w:rPr>
                <w:sz w:val="20"/>
                <w:szCs w:val="20"/>
                <w:color w:val="auto"/>
              </w:rPr>
            </w:pPr>
            <w:r>
              <w:rPr>
                <w:rFonts w:ascii="Arial" w:cs="Arial" w:eastAsia="Arial" w:hAnsi="Arial"/>
                <w:sz w:val="16"/>
                <w:szCs w:val="16"/>
                <w:color w:val="auto"/>
                <w:w w:val="90"/>
              </w:rPr>
              <w:t>Are underground storage tanks (USTs), aboveground storage tanks (ASTs), or associated pipelines used for the storage of petroleum products,</w:t>
            </w:r>
          </w:p>
        </w:tc>
      </w:tr>
      <w:tr>
        <w:trPr>
          <w:trHeight w:val="200"/>
        </w:trPr>
        <w:tc>
          <w:tcPr>
            <w:tcW w:w="380" w:type="dxa"/>
            <w:vAlign w:val="bottom"/>
          </w:tcPr>
          <w:p>
            <w:pPr>
              <w:spacing w:after="0"/>
              <w:rPr>
                <w:sz w:val="17"/>
                <w:szCs w:val="17"/>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w w:val="89"/>
              </w:rPr>
              <w:t>chemicals, or liquid wastes present on site (lease renewals) or required for planned operations (new tenants)?</w:t>
            </w: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Yes___No___</w:t>
            </w:r>
          </w:p>
        </w:tc>
      </w:tr>
      <w:tr>
        <w:trPr>
          <w:trHeight w:val="272"/>
        </w:trPr>
        <w:tc>
          <w:tcPr>
            <w:tcW w:w="380" w:type="dxa"/>
            <w:vAlign w:val="bottom"/>
          </w:tcPr>
          <w:p>
            <w:pPr>
              <w:spacing w:after="0"/>
              <w:rPr>
                <w:sz w:val="23"/>
                <w:szCs w:val="23"/>
                <w:color w:val="auto"/>
              </w:rPr>
            </w:pPr>
          </w:p>
        </w:tc>
        <w:tc>
          <w:tcPr>
            <w:tcW w:w="9260" w:type="dxa"/>
            <w:vAlign w:val="bottom"/>
            <w:gridSpan w:val="7"/>
          </w:tcPr>
          <w:p>
            <w:pPr>
              <w:spacing w:after="0"/>
              <w:rPr>
                <w:sz w:val="20"/>
                <w:szCs w:val="20"/>
                <w:color w:val="auto"/>
              </w:rPr>
            </w:pPr>
            <w:r>
              <w:rPr>
                <w:rFonts w:ascii="Arial" w:cs="Arial" w:eastAsia="Arial" w:hAnsi="Arial"/>
                <w:sz w:val="16"/>
                <w:szCs w:val="16"/>
                <w:color w:val="auto"/>
                <w:w w:val="97"/>
              </w:rPr>
              <w:t>If not, continue with section 5.0. If yes, please describe capacity, contents, age, type of the USTs or ASTs, as well any associated leak</w:t>
            </w:r>
          </w:p>
        </w:tc>
      </w:tr>
      <w:tr>
        <w:trPr>
          <w:trHeight w:val="200"/>
        </w:trPr>
        <w:tc>
          <w:tcPr>
            <w:tcW w:w="380" w:type="dxa"/>
            <w:vAlign w:val="bottom"/>
          </w:tcPr>
          <w:p>
            <w:pPr>
              <w:spacing w:after="0"/>
              <w:rPr>
                <w:sz w:val="17"/>
                <w:szCs w:val="17"/>
                <w:color w:val="auto"/>
              </w:rPr>
            </w:pPr>
          </w:p>
        </w:tc>
        <w:tc>
          <w:tcPr>
            <w:tcW w:w="5520" w:type="dxa"/>
            <w:vAlign w:val="bottom"/>
            <w:gridSpan w:val="4"/>
          </w:tcPr>
          <w:p>
            <w:pPr>
              <w:spacing w:after="0"/>
              <w:rPr>
                <w:sz w:val="20"/>
                <w:szCs w:val="20"/>
                <w:color w:val="auto"/>
              </w:rPr>
            </w:pPr>
            <w:r>
              <w:rPr>
                <w:rFonts w:ascii="Arial" w:cs="Arial" w:eastAsia="Arial" w:hAnsi="Arial"/>
                <w:sz w:val="16"/>
                <w:szCs w:val="16"/>
                <w:color w:val="auto"/>
                <w:w w:val="95"/>
              </w:rPr>
              <w:t>detection/spill prevention measures. Please attach additional pages if necessary.</w:t>
            </w: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3"/>
        </w:trPr>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r>
      <w:tr>
        <w:trPr>
          <w:trHeight w:val="102"/>
        </w:trPr>
        <w:tc>
          <w:tcPr>
            <w:tcW w:w="380" w:type="dxa"/>
            <w:vAlign w:val="bottom"/>
            <w:tcBorders>
              <w:left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ind w:left="180"/>
              <w:spacing w:after="0" w:line="102" w:lineRule="exact"/>
              <w:rPr>
                <w:sz w:val="20"/>
                <w:szCs w:val="20"/>
                <w:color w:val="auto"/>
              </w:rPr>
            </w:pPr>
            <w:r>
              <w:rPr>
                <w:rFonts w:ascii="Arial" w:cs="Arial" w:eastAsia="Arial" w:hAnsi="Arial"/>
                <w:sz w:val="10"/>
                <w:szCs w:val="10"/>
                <w:b w:val="1"/>
                <w:bCs w:val="1"/>
                <w:color w:val="auto"/>
              </w:rPr>
              <w:t>Associated Leak Detection /</w:t>
            </w:r>
          </w:p>
        </w:tc>
      </w:tr>
      <w:tr>
        <w:trPr>
          <w:trHeight w:val="150"/>
        </w:trPr>
        <w:tc>
          <w:tcPr>
            <w:tcW w:w="380" w:type="dxa"/>
            <w:vAlign w:val="bottom"/>
            <w:tcBorders>
              <w:left w:val="single" w:sz="8" w:color="auto"/>
              <w:bottom w:val="single" w:sz="8" w:color="auto"/>
            </w:tcBorders>
          </w:tcPr>
          <w:p>
            <w:pPr>
              <w:spacing w:after="0"/>
              <w:rPr>
                <w:sz w:val="13"/>
                <w:szCs w:val="13"/>
                <w:color w:val="auto"/>
              </w:rPr>
            </w:pPr>
          </w:p>
        </w:tc>
        <w:tc>
          <w:tcPr>
            <w:tcW w:w="166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Capacity</w:t>
            </w:r>
          </w:p>
        </w:tc>
        <w:tc>
          <w:tcPr>
            <w:tcW w:w="194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3"/>
                <w:szCs w:val="13"/>
                <w:b w:val="1"/>
                <w:bCs w:val="1"/>
                <w:color w:val="auto"/>
              </w:rPr>
              <w:t>Contents</w:t>
            </w:r>
          </w:p>
        </w:tc>
        <w:tc>
          <w:tcPr>
            <w:tcW w:w="19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3"/>
                <w:szCs w:val="13"/>
                <w:b w:val="1"/>
                <w:bCs w:val="1"/>
                <w:color w:val="auto"/>
              </w:rPr>
              <w:t>Year Installed</w:t>
            </w:r>
          </w:p>
        </w:tc>
        <w:tc>
          <w:tcPr>
            <w:tcW w:w="1920" w:type="dxa"/>
            <w:vAlign w:val="bottom"/>
            <w:tcBorders>
              <w:bottom w:val="single" w:sz="8" w:color="auto"/>
              <w:right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w w:val="94"/>
              </w:rPr>
              <w:t>Type (Steel, Fiberglass, etc)</w:t>
            </w:r>
          </w:p>
        </w:tc>
        <w:tc>
          <w:tcPr>
            <w:tcW w:w="18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w w:val="96"/>
              </w:rPr>
              <w:t>Spill Prevention Measures</w:t>
            </w:r>
            <w:r>
              <w:rPr>
                <w:rFonts w:ascii="Arial" w:cs="Arial" w:eastAsia="Arial" w:hAnsi="Arial"/>
                <w:sz w:val="10"/>
                <w:szCs w:val="10"/>
                <w:b w:val="1"/>
                <w:bCs w:val="1"/>
                <w:color w:val="auto"/>
                <w:w w:val="96"/>
              </w:rPr>
              <w:t>*</w:t>
            </w: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r>
    </w:tbl>
    <w:p>
      <w:pPr>
        <w:spacing w:after="0" w:line="199" w:lineRule="exact"/>
        <w:rPr>
          <w:sz w:val="20"/>
          <w:szCs w:val="20"/>
          <w:color w:val="auto"/>
        </w:rPr>
      </w:pPr>
    </w:p>
    <w:p>
      <w:pPr>
        <w:sectPr>
          <w:pgSz w:w="11900" w:h="16838" w:orient="portrait"/>
          <w:cols w:equalWidth="0" w:num="1">
            <w:col w:w="9640"/>
          </w:cols>
          <w:pgMar w:left="1140" w:top="253" w:right="1119" w:bottom="1440" w:gutter="0" w:footer="0" w:header="0"/>
          <w:type w:val="continuous"/>
        </w:sect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following are examples of leak detection / spill prevention measures:</w:t>
      </w:r>
    </w:p>
    <w:p>
      <w:pPr>
        <w:spacing w:after="0" w:line="51"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Integrity testing</w:t>
      </w:r>
      <w:r>
        <w:rPr>
          <w:sz w:val="20"/>
          <w:szCs w:val="20"/>
          <w:color w:val="auto"/>
        </w:rPr>
        <w:tab/>
      </w:r>
      <w:r>
        <w:rPr>
          <w:rFonts w:ascii="Arial" w:cs="Arial" w:eastAsia="Arial" w:hAnsi="Arial"/>
          <w:sz w:val="13"/>
          <w:szCs w:val="13"/>
          <w:color w:val="auto"/>
        </w:rPr>
        <w:t>Inventory reconciliation</w:t>
      </w:r>
    </w:p>
    <w:p>
      <w:pPr>
        <w:spacing w:after="0" w:line="5"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Overfill spill protection</w:t>
      </w:r>
      <w:r>
        <w:rPr>
          <w:sz w:val="20"/>
          <w:szCs w:val="20"/>
          <w:color w:val="auto"/>
        </w:rPr>
        <w:tab/>
      </w:r>
      <w:r>
        <w:rPr>
          <w:rFonts w:ascii="Arial" w:cs="Arial" w:eastAsia="Arial" w:hAnsi="Arial"/>
          <w:sz w:val="13"/>
          <w:szCs w:val="13"/>
          <w:color w:val="auto"/>
        </w:rPr>
        <w:t>Secondary containment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Leak detection system</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Cathodic protection</w:t>
      </w:r>
    </w:p>
    <w:p>
      <w:pPr>
        <w:sectPr>
          <w:pgSz w:w="11900" w:h="16838" w:orient="portrait"/>
          <w:cols w:equalWidth="0" w:num="3">
            <w:col w:w="400" w:space="60"/>
            <w:col w:w="5280" w:space="720"/>
            <w:col w:w="3180"/>
          </w:cols>
          <w:pgMar w:left="1140" w:top="253" w:right="1119" w:bottom="1440" w:gutter="0" w:footer="0" w:header="0"/>
          <w:type w:val="continuous"/>
        </w:sectPr>
      </w:pPr>
    </w:p>
    <w:bookmarkStart w:id="674" w:name="page675"/>
    <w:bookmarkEnd w:id="674"/>
    <w:tbl>
      <w:tblPr>
        <w:tblLayout w:type="fixed"/>
        <w:tblInd w:w="0" w:type="dxa"/>
        <w:tblCellMar>
          <w:top w:w="0" w:type="dxa"/>
          <w:left w:w="0" w:type="dxa"/>
          <w:bottom w:w="0" w:type="dxa"/>
          <w:right w:w="0" w:type="dxa"/>
        </w:tblCellMar>
      </w:tblPr>
      <w:tr>
        <w:trPr>
          <w:trHeight w:val="200"/>
        </w:trPr>
        <w:tc>
          <w:tcPr>
            <w:tcW w:w="300" w:type="dxa"/>
            <w:vAlign w:val="bottom"/>
          </w:tcPr>
          <w:p>
            <w:pPr>
              <w:jc w:val="right"/>
              <w:spacing w:after="0"/>
              <w:rPr>
                <w:sz w:val="20"/>
                <w:szCs w:val="20"/>
                <w:color w:val="auto"/>
              </w:rPr>
            </w:pPr>
            <w:r>
              <w:rPr>
                <w:rFonts w:ascii="Arial" w:cs="Arial" w:eastAsia="Arial" w:hAnsi="Arial"/>
                <w:sz w:val="16"/>
                <w:szCs w:val="16"/>
                <w:color w:val="auto"/>
                <w:w w:val="79"/>
              </w:rPr>
              <w:t>4-2.</w:t>
            </w:r>
          </w:p>
        </w:tc>
        <w:tc>
          <w:tcPr>
            <w:tcW w:w="7640" w:type="dxa"/>
            <w:vAlign w:val="bottom"/>
          </w:tcPr>
          <w:p>
            <w:pPr>
              <w:ind w:left="80"/>
              <w:spacing w:after="0"/>
              <w:rPr>
                <w:sz w:val="20"/>
                <w:szCs w:val="20"/>
                <w:color w:val="auto"/>
              </w:rPr>
            </w:pPr>
            <w:r>
              <w:rPr>
                <w:rFonts w:ascii="Arial" w:cs="Arial" w:eastAsia="Arial" w:hAnsi="Arial"/>
                <w:sz w:val="16"/>
                <w:szCs w:val="16"/>
                <w:color w:val="auto"/>
              </w:rPr>
              <w:t>Please provide copies of written tank integrity test results and/or monitoring documentation, if available.</w:t>
            </w:r>
          </w:p>
        </w:tc>
        <w:tc>
          <w:tcPr>
            <w:tcW w:w="1680" w:type="dxa"/>
            <w:vAlign w:val="bottom"/>
          </w:tcPr>
          <w:p>
            <w:pPr>
              <w:spacing w:after="0"/>
              <w:rPr>
                <w:sz w:val="17"/>
                <w:szCs w:val="17"/>
                <w:color w:val="auto"/>
              </w:rPr>
            </w:pPr>
          </w:p>
        </w:tc>
      </w:tr>
      <w:tr>
        <w:trPr>
          <w:trHeight w:val="283"/>
        </w:trPr>
        <w:tc>
          <w:tcPr>
            <w:tcW w:w="300" w:type="dxa"/>
            <w:vAlign w:val="bottom"/>
          </w:tcPr>
          <w:p>
            <w:pPr>
              <w:jc w:val="right"/>
              <w:spacing w:after="0"/>
              <w:rPr>
                <w:sz w:val="20"/>
                <w:szCs w:val="20"/>
                <w:color w:val="auto"/>
              </w:rPr>
            </w:pPr>
            <w:r>
              <w:rPr>
                <w:rFonts w:ascii="Arial" w:cs="Arial" w:eastAsia="Arial" w:hAnsi="Arial"/>
                <w:sz w:val="16"/>
                <w:szCs w:val="16"/>
                <w:color w:val="auto"/>
                <w:w w:val="79"/>
              </w:rPr>
              <w:t>4-3.</w:t>
            </w:r>
          </w:p>
        </w:tc>
        <w:tc>
          <w:tcPr>
            <w:tcW w:w="7640" w:type="dxa"/>
            <w:vAlign w:val="bottom"/>
          </w:tcPr>
          <w:p>
            <w:pPr>
              <w:ind w:left="80"/>
              <w:spacing w:after="0"/>
              <w:rPr>
                <w:sz w:val="20"/>
                <w:szCs w:val="20"/>
                <w:color w:val="auto"/>
              </w:rPr>
            </w:pPr>
            <w:r>
              <w:rPr>
                <w:rFonts w:ascii="Arial" w:cs="Arial" w:eastAsia="Arial" w:hAnsi="Arial"/>
                <w:sz w:val="16"/>
                <w:szCs w:val="16"/>
                <w:color w:val="auto"/>
              </w:rPr>
              <w:t>Is the UST/AST registered and permitted with the appropriate regulatory agencies?</w:t>
            </w:r>
          </w:p>
        </w:tc>
        <w:tc>
          <w:tcPr>
            <w:tcW w:w="1680" w:type="dxa"/>
            <w:vAlign w:val="bottom"/>
          </w:tcPr>
          <w:p>
            <w:pPr>
              <w:ind w:left="6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00"/>
        </w:trPr>
        <w:tc>
          <w:tcPr>
            <w:tcW w:w="300" w:type="dxa"/>
            <w:vAlign w:val="bottom"/>
          </w:tcPr>
          <w:p>
            <w:pPr>
              <w:spacing w:after="0"/>
              <w:rPr>
                <w:sz w:val="17"/>
                <w:szCs w:val="17"/>
                <w:color w:val="auto"/>
              </w:rPr>
            </w:pPr>
          </w:p>
        </w:tc>
        <w:tc>
          <w:tcPr>
            <w:tcW w:w="7640" w:type="dxa"/>
            <w:vAlign w:val="bottom"/>
          </w:tcPr>
          <w:p>
            <w:pPr>
              <w:ind w:left="80"/>
              <w:spacing w:after="0"/>
              <w:rPr>
                <w:sz w:val="20"/>
                <w:szCs w:val="20"/>
                <w:color w:val="auto"/>
              </w:rPr>
            </w:pPr>
            <w:r>
              <w:rPr>
                <w:rFonts w:ascii="Arial" w:cs="Arial" w:eastAsia="Arial" w:hAnsi="Arial"/>
                <w:sz w:val="16"/>
                <w:szCs w:val="16"/>
                <w:color w:val="auto"/>
              </w:rPr>
              <w:t>If so, please attach a copy of the required permits.</w:t>
            </w:r>
          </w:p>
        </w:tc>
        <w:tc>
          <w:tcPr>
            <w:tcW w:w="1680" w:type="dxa"/>
            <w:vAlign w:val="bottom"/>
          </w:tcPr>
          <w:p>
            <w:pPr>
              <w:spacing w:after="0"/>
              <w:rPr>
                <w:sz w:val="17"/>
                <w:szCs w:val="17"/>
                <w:color w:val="auto"/>
              </w:rPr>
            </w:pPr>
          </w:p>
        </w:tc>
      </w:tr>
      <w:tr>
        <w:trPr>
          <w:trHeight w:val="283"/>
        </w:trPr>
        <w:tc>
          <w:tcPr>
            <w:tcW w:w="300" w:type="dxa"/>
            <w:vAlign w:val="bottom"/>
          </w:tcPr>
          <w:p>
            <w:pPr>
              <w:jc w:val="right"/>
              <w:spacing w:after="0"/>
              <w:rPr>
                <w:sz w:val="20"/>
                <w:szCs w:val="20"/>
                <w:color w:val="auto"/>
              </w:rPr>
            </w:pPr>
            <w:r>
              <w:rPr>
                <w:rFonts w:ascii="Arial" w:cs="Arial" w:eastAsia="Arial" w:hAnsi="Arial"/>
                <w:sz w:val="16"/>
                <w:szCs w:val="16"/>
                <w:color w:val="auto"/>
                <w:w w:val="79"/>
              </w:rPr>
              <w:t>4-4.</w:t>
            </w:r>
          </w:p>
        </w:tc>
        <w:tc>
          <w:tcPr>
            <w:tcW w:w="9320" w:type="dxa"/>
            <w:vAlign w:val="bottom"/>
            <w:gridSpan w:val="2"/>
          </w:tcPr>
          <w:p>
            <w:pPr>
              <w:ind w:left="80"/>
              <w:spacing w:after="0"/>
              <w:rPr>
                <w:sz w:val="20"/>
                <w:szCs w:val="20"/>
                <w:color w:val="auto"/>
              </w:rPr>
            </w:pPr>
            <w:r>
              <w:rPr>
                <w:rFonts w:ascii="Arial" w:cs="Arial" w:eastAsia="Arial" w:hAnsi="Arial"/>
                <w:sz w:val="16"/>
                <w:szCs w:val="16"/>
                <w:color w:val="auto"/>
                <w:w w:val="90"/>
              </w:rPr>
              <w:t>If this Questionnaire is being completed for a lease renewal, and if any of the USTs/ASTs have leaked, please state the substance released, the</w:t>
            </w:r>
          </w:p>
        </w:tc>
      </w:tr>
      <w:tr>
        <w:trPr>
          <w:trHeight w:val="200"/>
        </w:trPr>
        <w:tc>
          <w:tcPr>
            <w:tcW w:w="300" w:type="dxa"/>
            <w:vAlign w:val="bottom"/>
          </w:tcPr>
          <w:p>
            <w:pPr>
              <w:spacing w:after="0"/>
              <w:rPr>
                <w:sz w:val="17"/>
                <w:szCs w:val="17"/>
                <w:color w:val="auto"/>
              </w:rPr>
            </w:pPr>
          </w:p>
        </w:tc>
        <w:tc>
          <w:tcPr>
            <w:tcW w:w="7640" w:type="dxa"/>
            <w:vAlign w:val="bottom"/>
          </w:tcPr>
          <w:p>
            <w:pPr>
              <w:ind w:left="80"/>
              <w:spacing w:after="0"/>
              <w:rPr>
                <w:sz w:val="20"/>
                <w:szCs w:val="20"/>
                <w:color w:val="auto"/>
              </w:rPr>
            </w:pPr>
            <w:r>
              <w:rPr>
                <w:rFonts w:ascii="Arial" w:cs="Arial" w:eastAsia="Arial" w:hAnsi="Arial"/>
                <w:sz w:val="16"/>
                <w:szCs w:val="16"/>
                <w:color w:val="auto"/>
                <w:w w:val="95"/>
              </w:rPr>
              <w:t>media(s) impacted (e.g., soil, water, asphalt, etc.), the actions taken, and all remedial responses to the incident.</w:t>
            </w:r>
          </w:p>
        </w:tc>
        <w:tc>
          <w:tcPr>
            <w:tcW w:w="1680" w:type="dxa"/>
            <w:vAlign w:val="bottom"/>
          </w:tcPr>
          <w:p>
            <w:pPr>
              <w:spacing w:after="0"/>
              <w:rPr>
                <w:sz w:val="17"/>
                <w:szCs w:val="17"/>
                <w:color w:val="auto"/>
              </w:rPr>
            </w:pPr>
          </w:p>
        </w:tc>
      </w:tr>
      <w:tr>
        <w:trPr>
          <w:trHeight w:val="296"/>
        </w:trPr>
        <w:tc>
          <w:tcPr>
            <w:tcW w:w="3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76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76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line="184" w:lineRule="exact"/>
        <w:tabs>
          <w:tab w:leader="none" w:pos="360" w:val="left"/>
          <w:tab w:leader="none" w:pos="8560" w:val="left"/>
          <w:tab w:leader="none" w:pos="9180" w:val="left"/>
        </w:tabs>
        <w:rPr>
          <w:sz w:val="20"/>
          <w:szCs w:val="20"/>
          <w:color w:val="auto"/>
        </w:rPr>
      </w:pPr>
      <w:r>
        <w:rPr>
          <w:rFonts w:ascii="Arial" w:cs="Arial" w:eastAsia="Arial" w:hAnsi="Arial"/>
          <w:sz w:val="16"/>
          <w:szCs w:val="16"/>
          <w:color w:val="auto"/>
        </w:rPr>
        <w:t>4-5.</w:t>
        <w:tab/>
        <w:t>If this Questionnaire is being completed for a lease renewal, have USTs/ASTs been removed from the Property?</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27" w:lineRule="exact"/>
        <w:rPr>
          <w:sz w:val="20"/>
          <w:szCs w:val="20"/>
          <w:color w:val="auto"/>
        </w:rPr>
      </w:pPr>
    </w:p>
    <w:p>
      <w:pPr>
        <w:ind w:left="380" w:right="180"/>
        <w:spacing w:after="0" w:line="266" w:lineRule="auto"/>
        <w:rPr>
          <w:sz w:val="20"/>
          <w:szCs w:val="20"/>
          <w:color w:val="auto"/>
        </w:rPr>
      </w:pPr>
      <w:r>
        <w:rPr>
          <w:rFonts w:ascii="Arial" w:cs="Arial" w:eastAsia="Arial" w:hAnsi="Arial"/>
          <w:sz w:val="16"/>
          <w:szCs w:val="16"/>
          <w:color w:val="auto"/>
        </w:rPr>
        <w:t>If yes, please provide any official closure letters or reports and supporting documentation (e.g., analytical test results, remediation report results, etc.).</w:t>
      </w:r>
    </w:p>
    <w:p>
      <w:pPr>
        <w:spacing w:after="0" w:line="48" w:lineRule="exact"/>
        <w:rPr>
          <w:sz w:val="20"/>
          <w:szCs w:val="20"/>
          <w:color w:val="auto"/>
        </w:rPr>
      </w:pPr>
    </w:p>
    <w:p>
      <w:pPr>
        <w:spacing w:after="0" w:line="184" w:lineRule="exact"/>
        <w:tabs>
          <w:tab w:leader="none" w:pos="360" w:val="left"/>
          <w:tab w:leader="none" w:pos="8560" w:val="left"/>
          <w:tab w:leader="none" w:pos="9180" w:val="left"/>
        </w:tabs>
        <w:rPr>
          <w:sz w:val="20"/>
          <w:szCs w:val="20"/>
          <w:color w:val="auto"/>
        </w:rPr>
      </w:pPr>
      <w:r>
        <w:rPr>
          <w:rFonts w:ascii="Arial" w:cs="Arial" w:eastAsia="Arial" w:hAnsi="Arial"/>
          <w:sz w:val="16"/>
          <w:szCs w:val="16"/>
          <w:color w:val="auto"/>
        </w:rPr>
        <w:t>4-6.</w:t>
        <w:tab/>
        <w:t>For Lease renewals, are there any above or below ground pipelines on site used to transfer chemicals or wastes?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new tenants, are installations of this type required for the planned operations?</w:t>
      </w:r>
    </w:p>
    <w:p>
      <w:pPr>
        <w:spacing w:after="0" w:line="165" w:lineRule="exact"/>
        <w:rPr>
          <w:sz w:val="20"/>
          <w:szCs w:val="20"/>
          <w:color w:val="auto"/>
        </w:rPr>
      </w:pPr>
    </w:p>
    <w:p>
      <w:pPr>
        <w:jc w:val="right"/>
        <w:spacing w:after="0" w:line="184" w:lineRule="exact"/>
        <w:tabs>
          <w:tab w:leader="none" w:pos="4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If yes to either question,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452755</wp:posOffset>
            </wp:positionV>
            <wp:extent cx="6109335"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6109335"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6109335"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5"/>
          <w:szCs w:val="15"/>
          <w:b w:val="1"/>
          <w:bCs w:val="1"/>
          <w:u w:val="single" w:color="auto"/>
          <w:color w:val="auto"/>
        </w:rPr>
        <w:t>ASBESTOS CONTAINING BUILDING MATERIALS</w:t>
      </w:r>
    </w:p>
    <w:p>
      <w:pPr>
        <w:spacing w:after="0" w:line="10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Please be advised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20"/>
                <w:szCs w:val="20"/>
                <w:color w:val="auto"/>
              </w:rPr>
            </w:pPr>
            <w:r>
              <w:rPr>
                <w:rFonts w:ascii="Arial" w:cs="Arial" w:eastAsia="Arial" w:hAnsi="Arial"/>
                <w:sz w:val="16"/>
                <w:szCs w:val="16"/>
                <w:b w:val="1"/>
                <w:bCs w:val="1"/>
                <w:color w:val="auto"/>
              </w:rPr>
              <w:t>6.0</w:t>
            </w: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REGULATORY</w:t>
            </w:r>
          </w:p>
        </w:tc>
        <w:tc>
          <w:tcPr>
            <w:tcW w:w="6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98"/>
        </w:trPr>
        <w:tc>
          <w:tcPr>
            <w:tcW w:w="380" w:type="dxa"/>
            <w:vAlign w:val="bottom"/>
          </w:tcPr>
          <w:p>
            <w:pPr>
              <w:spacing w:after="0"/>
              <w:rPr>
                <w:sz w:val="20"/>
                <w:szCs w:val="20"/>
                <w:color w:val="auto"/>
              </w:rPr>
            </w:pPr>
            <w:r>
              <w:rPr>
                <w:rFonts w:ascii="Arial" w:cs="Arial" w:eastAsia="Arial" w:hAnsi="Arial"/>
                <w:sz w:val="16"/>
                <w:szCs w:val="16"/>
                <w:color w:val="auto"/>
              </w:rPr>
              <w:t>6-1.</w:t>
            </w:r>
          </w:p>
        </w:tc>
        <w:tc>
          <w:tcPr>
            <w:tcW w:w="7840" w:type="dxa"/>
            <w:vAlign w:val="bottom"/>
            <w:gridSpan w:val="2"/>
          </w:tcPr>
          <w:p>
            <w:pPr>
              <w:spacing w:after="0"/>
              <w:rPr>
                <w:sz w:val="20"/>
                <w:szCs w:val="20"/>
                <w:color w:val="auto"/>
              </w:rPr>
            </w:pPr>
            <w:r>
              <w:rPr>
                <w:rFonts w:ascii="Arial" w:cs="Arial" w:eastAsia="Arial" w:hAnsi="Arial"/>
                <w:sz w:val="16"/>
                <w:szCs w:val="16"/>
                <w:color w:val="auto"/>
                <w:w w:val="94"/>
              </w:rPr>
              <w:t>Does the operation have or require a National Pollutant Discharge Elimination System (NPDES) or equivalent permit?</w:t>
            </w:r>
          </w:p>
        </w:tc>
        <w:tc>
          <w:tcPr>
            <w:tcW w:w="640" w:type="dxa"/>
            <w:vAlign w:val="bottom"/>
          </w:tcPr>
          <w:p>
            <w:pPr>
              <w:ind w:left="360"/>
              <w:spacing w:after="0"/>
              <w:rPr>
                <w:sz w:val="20"/>
                <w:szCs w:val="20"/>
                <w:color w:val="auto"/>
              </w:rPr>
            </w:pPr>
            <w:r>
              <w:rPr>
                <w:rFonts w:ascii="Arial" w:cs="Arial" w:eastAsia="Arial" w:hAnsi="Arial"/>
                <w:sz w:val="16"/>
                <w:szCs w:val="16"/>
                <w:color w:val="auto"/>
                <w:w w:val="94"/>
              </w:rPr>
              <w:t>Yes</w:t>
            </w:r>
          </w:p>
        </w:tc>
        <w:tc>
          <w:tcPr>
            <w:tcW w:w="2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w w:val="97"/>
              </w:rPr>
              <w:t>No</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0"/>
        </w:trPr>
        <w:tc>
          <w:tcPr>
            <w:tcW w:w="38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If so, please attach a copy of this permit.</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83"/>
        </w:trPr>
        <w:tc>
          <w:tcPr>
            <w:tcW w:w="380" w:type="dxa"/>
            <w:vAlign w:val="bottom"/>
          </w:tcPr>
          <w:p>
            <w:pPr>
              <w:spacing w:after="0"/>
              <w:rPr>
                <w:sz w:val="20"/>
                <w:szCs w:val="20"/>
                <w:color w:val="auto"/>
              </w:rPr>
            </w:pPr>
            <w:r>
              <w:rPr>
                <w:rFonts w:ascii="Arial" w:cs="Arial" w:eastAsia="Arial" w:hAnsi="Arial"/>
                <w:sz w:val="16"/>
                <w:szCs w:val="16"/>
                <w:color w:val="auto"/>
              </w:rPr>
              <w:t>6-2.</w:t>
            </w:r>
          </w:p>
        </w:tc>
        <w:tc>
          <w:tcPr>
            <w:tcW w:w="7840" w:type="dxa"/>
            <w:vAlign w:val="bottom"/>
            <w:gridSpan w:val="2"/>
          </w:tcPr>
          <w:p>
            <w:pPr>
              <w:spacing w:after="0"/>
              <w:rPr>
                <w:sz w:val="20"/>
                <w:szCs w:val="20"/>
                <w:color w:val="auto"/>
              </w:rPr>
            </w:pPr>
            <w:r>
              <w:rPr>
                <w:rFonts w:ascii="Arial" w:cs="Arial" w:eastAsia="Arial" w:hAnsi="Arial"/>
                <w:sz w:val="16"/>
                <w:szCs w:val="16"/>
                <w:color w:val="auto"/>
              </w:rPr>
              <w:t>Has a Hazardous Materials Business Plan been developed for the site?</w:t>
            </w:r>
          </w:p>
        </w:tc>
        <w:tc>
          <w:tcPr>
            <w:tcW w:w="640" w:type="dxa"/>
            <w:vAlign w:val="bottom"/>
          </w:tcPr>
          <w:p>
            <w:pPr>
              <w:ind w:left="360"/>
              <w:spacing w:after="0"/>
              <w:rPr>
                <w:sz w:val="20"/>
                <w:szCs w:val="20"/>
                <w:color w:val="auto"/>
              </w:rPr>
            </w:pPr>
            <w:r>
              <w:rPr>
                <w:rFonts w:ascii="Arial" w:cs="Arial" w:eastAsia="Arial" w:hAnsi="Arial"/>
                <w:sz w:val="16"/>
                <w:szCs w:val="16"/>
                <w:color w:val="auto"/>
                <w:w w:val="94"/>
              </w:rPr>
              <w:t>Yes</w:t>
            </w:r>
          </w:p>
        </w:tc>
        <w:tc>
          <w:tcPr>
            <w:tcW w:w="2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w w:val="97"/>
              </w:rPr>
              <w:t>No</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0"/>
        </w:trPr>
        <w:tc>
          <w:tcPr>
            <w:tcW w:w="38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If so, please attach a copy.</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ectPr>
          <w:pgSz w:w="11900" w:h="16838" w:orient="portrait"/>
          <w:cols w:equalWidth="0" w:num="1">
            <w:col w:w="9620"/>
          </w:cols>
          <w:pgMar w:left="1140" w:top="257" w:right="1139" w:bottom="1440" w:gutter="0" w:footer="0" w:header="0"/>
        </w:sectPr>
      </w:pPr>
    </w:p>
    <w:bookmarkStart w:id="675" w:name="page676"/>
    <w:bookmarkEnd w:id="67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90105" cy="34290"/>
                    </a:xfrm>
                    <a:prstGeom prst="rect">
                      <a:avLst/>
                    </a:prstGeom>
                    <a:noFill/>
                  </pic:spPr>
                </pic:pic>
              </a:graphicData>
            </a:graphic>
          </wp:anchor>
        </w:drawing>
        <w:t>CERTIFICATION</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 am familiar with the real property described in this questionnaire. By signing below, I represent and warrant that the answers to the above questions are complete and accurate to the best of my knowledge. I also understand that Lessor will rely on the completeness and accuracy of my answers in assessing any environmental liability risks associated with the property.</w:t>
      </w:r>
    </w:p>
    <w:p>
      <w:pPr>
        <w:spacing w:after="0" w:line="27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ectPr>
          <w:pgSz w:w="11900" w:h="16838" w:orient="portrait"/>
          <w:cols w:equalWidth="0" w:num="1">
            <w:col w:w="9600"/>
          </w:cols>
          <w:pgMar w:left="1140" w:top="252" w:right="1159" w:bottom="1440" w:gutter="0" w:footer="0" w:header="0"/>
        </w:sectPr>
      </w:pPr>
    </w:p>
    <w:bookmarkStart w:id="676" w:name="page677"/>
    <w:bookmarkEnd w:id="676"/>
    <w:p>
      <w:pPr>
        <w:jc w:val="center"/>
        <w:ind w:right="-2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F</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u w:val="single" w:color="auto"/>
          <w:color w:val="auto"/>
        </w:rPr>
        <w:t>TENANT’S PROPERTY</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items, to the extent (i) not purchased with the Tenant Improvement Allowance or Additional Improvement Allowance, and (ii) not tied into the Base Building systems, shall be deemed “Tenant’s Property”:</w:t>
      </w:r>
    </w:p>
    <w:p>
      <w:pPr>
        <w:spacing w:after="0" w:line="76" w:lineRule="exact"/>
        <w:rPr>
          <w:sz w:val="20"/>
          <w:szCs w:val="20"/>
          <w:color w:val="auto"/>
        </w:rPr>
      </w:pPr>
    </w:p>
    <w:p>
      <w:pPr>
        <w:ind w:left="840" w:hanging="469"/>
        <w:spacing w:after="0"/>
        <w:tabs>
          <w:tab w:leader="none" w:pos="8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All moveable furniture and equipment that is not “built-in”.</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Moveable lab casework (other than “built-in” lab casework), including moveable lab benches.</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Servers, server racks and back-up batteries.</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Furniture.</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Portable fume hoods.</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Biosafety cabinets.</w:t>
      </w:r>
    </w:p>
    <w:p>
      <w:pPr>
        <w:sectPr>
          <w:pgSz w:w="11900" w:h="16838" w:orient="portrait"/>
          <w:cols w:equalWidth="0" w:num="1">
            <w:col w:w="9380"/>
          </w:cols>
          <w:pgMar w:left="1140" w:top="252" w:right="1379" w:bottom="1440" w:gutter="0" w:footer="0" w:header="0"/>
        </w:sectPr>
      </w:pPr>
    </w:p>
    <w:bookmarkStart w:id="677" w:name="page678"/>
    <w:bookmarkEnd w:id="677"/>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AGREEMENT FOR ADDITIONAL MONTHLY BASE RENT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FIRST AMENDMENT TO LEASE</w:t>
      </w:r>
    </w:p>
    <w:p>
      <w:pPr>
        <w:spacing w:after="0" w:line="193" w:lineRule="exact"/>
        <w:rPr>
          <w:sz w:val="20"/>
          <w:szCs w:val="20"/>
          <w:color w:val="auto"/>
        </w:rPr>
      </w:pPr>
    </w:p>
    <w:p>
      <w:pPr>
        <w:ind w:left="380"/>
        <w:spacing w:after="0"/>
        <w:tabs>
          <w:tab w:leader="none" w:pos="6800" w:val="left"/>
        </w:tabs>
        <w:rPr>
          <w:sz w:val="20"/>
          <w:szCs w:val="20"/>
          <w:color w:val="auto"/>
        </w:rPr>
      </w:pPr>
      <w:r>
        <w:rPr>
          <w:rFonts w:ascii="Arial" w:cs="Arial" w:eastAsia="Arial" w:hAnsi="Arial"/>
          <w:sz w:val="16"/>
          <w:szCs w:val="16"/>
          <w:color w:val="auto"/>
        </w:rPr>
        <w:t>This FIRST AMENDMENT TO LEASE (“</w:t>
      </w:r>
      <w:r>
        <w:rPr>
          <w:rFonts w:ascii="Arial" w:cs="Arial" w:eastAsia="Arial" w:hAnsi="Arial"/>
          <w:sz w:val="16"/>
          <w:szCs w:val="16"/>
          <w:b w:val="1"/>
          <w:bCs w:val="1"/>
          <w:color w:val="auto"/>
        </w:rPr>
        <w:t>Amendment</w:t>
      </w:r>
      <w:r>
        <w:rPr>
          <w:rFonts w:ascii="Arial" w:cs="Arial" w:eastAsia="Arial" w:hAnsi="Arial"/>
          <w:sz w:val="16"/>
          <w:szCs w:val="16"/>
          <w:color w:val="auto"/>
        </w:rPr>
        <w:t>”) is made and entered into as of</w:t>
      </w:r>
      <w:r>
        <w:rPr>
          <w:sz w:val="20"/>
          <w:szCs w:val="20"/>
          <w:color w:val="auto"/>
        </w:rPr>
        <w:tab/>
      </w:r>
      <w:r>
        <w:rPr>
          <w:rFonts w:ascii="Arial" w:cs="Arial" w:eastAsia="Arial" w:hAnsi="Arial"/>
          <w:sz w:val="13"/>
          <w:szCs w:val="13"/>
          <w:color w:val="auto"/>
        </w:rPr>
        <w:t>, 2017, by and between HCP OYSTER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-8255</wp:posOffset>
            </wp:positionV>
            <wp:extent cx="49911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49911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POINT III LLC, a Delaware limited partner (“</w:t>
      </w:r>
      <w:r>
        <w:rPr>
          <w:rFonts w:ascii="Arial" w:cs="Arial" w:eastAsia="Arial" w:hAnsi="Arial"/>
          <w:sz w:val="15"/>
          <w:szCs w:val="15"/>
          <w:b w:val="1"/>
          <w:bCs w:val="1"/>
          <w:color w:val="auto"/>
        </w:rPr>
        <w:t>Landlord</w:t>
      </w:r>
      <w:r>
        <w:rPr>
          <w:rFonts w:ascii="Arial" w:cs="Arial" w:eastAsia="Arial" w:hAnsi="Arial"/>
          <w:sz w:val="15"/>
          <w:szCs w:val="15"/>
          <w:color w:val="auto"/>
        </w:rPr>
        <w:t>”), and THE COLUMN GROUP, LLC, a Delaware limited liability company (“</w:t>
      </w:r>
      <w:r>
        <w:rPr>
          <w:rFonts w:ascii="Arial" w:cs="Arial" w:eastAsia="Arial" w:hAnsi="Arial"/>
          <w:sz w:val="15"/>
          <w:szCs w:val="15"/>
          <w:b w:val="1"/>
          <w:bCs w:val="1"/>
          <w:color w:val="auto"/>
        </w:rPr>
        <w:t>Tenant</w:t>
      </w:r>
      <w:r>
        <w:rPr>
          <w:rFonts w:ascii="Arial" w:cs="Arial" w:eastAsia="Arial" w:hAnsi="Arial"/>
          <w:sz w:val="15"/>
          <w:szCs w:val="15"/>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 E C I T A L S</w:t>
      </w:r>
      <w:r>
        <w:rPr>
          <w:rFonts w:ascii="Arial" w:cs="Arial" w:eastAsia="Arial" w:hAnsi="Arial"/>
          <w:sz w:val="16"/>
          <w:szCs w:val="16"/>
          <w:color w:val="auto"/>
        </w:rPr>
        <w:t xml:space="preserve"> :</w:t>
      </w:r>
    </w:p>
    <w:p>
      <w:pPr>
        <w:spacing w:after="0" w:line="189" w:lineRule="exact"/>
        <w:rPr>
          <w:sz w:val="20"/>
          <w:szCs w:val="20"/>
          <w:color w:val="auto"/>
        </w:rPr>
      </w:pPr>
    </w:p>
    <w:p>
      <w:pPr>
        <w:ind w:left="380"/>
        <w:spacing w:after="0"/>
        <w:tabs>
          <w:tab w:leader="none" w:pos="5080" w:val="left"/>
        </w:tabs>
        <w:rPr>
          <w:sz w:val="20"/>
          <w:szCs w:val="20"/>
          <w:color w:val="auto"/>
        </w:rPr>
      </w:pPr>
      <w:r>
        <w:rPr>
          <w:rFonts w:ascii="Arial" w:cs="Arial" w:eastAsia="Arial" w:hAnsi="Arial"/>
          <w:sz w:val="16"/>
          <w:szCs w:val="16"/>
          <w:color w:val="auto"/>
        </w:rPr>
        <w:t>A. Landlord and Tenant are parties to that certain Lease dated August</w:t>
      </w:r>
      <w:r>
        <w:rPr>
          <w:sz w:val="20"/>
          <w:szCs w:val="20"/>
          <w:color w:val="auto"/>
        </w:rPr>
        <w:tab/>
      </w:r>
      <w:r>
        <w:rPr>
          <w:rFonts w:ascii="Arial" w:cs="Arial" w:eastAsia="Arial" w:hAnsi="Arial"/>
          <w:sz w:val="13"/>
          <w:szCs w:val="13"/>
          <w:color w:val="auto"/>
        </w:rPr>
        <w:t>, 2016, (the “</w:t>
      </w:r>
      <w:r>
        <w:rPr>
          <w:rFonts w:ascii="Arial" w:cs="Arial" w:eastAsia="Arial" w:hAnsi="Arial"/>
          <w:sz w:val="13"/>
          <w:szCs w:val="13"/>
          <w:b w:val="1"/>
          <w:bCs w:val="1"/>
          <w:color w:val="auto"/>
        </w:rPr>
        <w:t>Lease</w:t>
      </w:r>
      <w:r>
        <w:rPr>
          <w:rFonts w:ascii="Arial" w:cs="Arial" w:eastAsia="Arial" w:hAnsi="Arial"/>
          <w:sz w:val="13"/>
          <w:szCs w:val="13"/>
          <w:color w:val="auto"/>
        </w:rPr>
        <w:t>”), pursuant to which Tenant leases the fifth (5</w:t>
      </w:r>
      <w:r>
        <w:rPr>
          <w:rFonts w:ascii="Arial" w:cs="Arial" w:eastAsia="Arial" w:hAnsi="Arial"/>
          <w:sz w:val="11"/>
          <w:szCs w:val="11"/>
          <w:color w:val="auto"/>
        </w:rPr>
        <w:t>th</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-8255</wp:posOffset>
            </wp:positionV>
            <wp:extent cx="19939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99390" cy="7620"/>
                    </a:xfrm>
                    <a:prstGeom prst="rect">
                      <a:avLst/>
                    </a:prstGeom>
                    <a:noFill/>
                  </pic:spPr>
                </pic:pic>
              </a:graphicData>
            </a:graphic>
          </wp:anchor>
        </w:drawing>
      </w:r>
    </w:p>
    <w:p>
      <w:pPr>
        <w:ind w:right="120"/>
        <w:spacing w:after="0" w:line="252" w:lineRule="auto"/>
        <w:rPr>
          <w:sz w:val="20"/>
          <w:szCs w:val="20"/>
          <w:color w:val="auto"/>
        </w:rPr>
      </w:pPr>
      <w:r>
        <w:rPr>
          <w:rFonts w:ascii="Arial" w:cs="Arial" w:eastAsia="Arial" w:hAnsi="Arial"/>
          <w:sz w:val="16"/>
          <w:szCs w:val="16"/>
          <w:color w:val="auto"/>
        </w:rPr>
        <w:t>floor (the “</w:t>
      </w:r>
      <w:r>
        <w:rPr>
          <w:rFonts w:ascii="Arial" w:cs="Arial" w:eastAsia="Arial" w:hAnsi="Arial"/>
          <w:sz w:val="16"/>
          <w:szCs w:val="16"/>
          <w:b w:val="1"/>
          <w:bCs w:val="1"/>
          <w:color w:val="auto"/>
        </w:rPr>
        <w:t>Premises</w:t>
      </w:r>
      <w:r>
        <w:rPr>
          <w:rFonts w:ascii="Arial" w:cs="Arial" w:eastAsia="Arial" w:hAnsi="Arial"/>
          <w:sz w:val="16"/>
          <w:szCs w:val="16"/>
          <w:color w:val="auto"/>
        </w:rPr>
        <w:t>”) containing approximately 32,370 rentable square feet of space in the building located at 171 Oyster Point Boulevard, South San Francisco, California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 Landlord and Tenant desire to amend the Lease on the terms and conditions set forth in this Amendment.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 G R E E M E N T</w:t>
      </w:r>
      <w:r>
        <w:rPr>
          <w:rFonts w:ascii="Arial" w:cs="Arial" w:eastAsia="Arial" w:hAnsi="Arial"/>
          <w:sz w:val="16"/>
          <w:szCs w:val="16"/>
          <w:color w:val="auto"/>
        </w:rPr>
        <w:t xml:space="preserve"> :</w:t>
      </w:r>
    </w:p>
    <w:p>
      <w:pPr>
        <w:spacing w:after="0" w:line="193" w:lineRule="exact"/>
        <w:rPr>
          <w:sz w:val="20"/>
          <w:szCs w:val="20"/>
          <w:color w:val="auto"/>
        </w:rPr>
      </w:pPr>
    </w:p>
    <w:p>
      <w:pPr>
        <w:ind w:right="440" w:firstLine="385"/>
        <w:spacing w:after="0" w:line="300" w:lineRule="auto"/>
        <w:rPr>
          <w:sz w:val="20"/>
          <w:szCs w:val="20"/>
          <w:color w:val="auto"/>
        </w:rPr>
      </w:pPr>
      <w:r>
        <w:rPr>
          <w:rFonts w:ascii="Arial" w:cs="Arial" w:eastAsia="Arial" w:hAnsi="Arial"/>
          <w:sz w:val="15"/>
          <w:szCs w:val="15"/>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35" w:lineRule="exact"/>
        <w:rPr>
          <w:sz w:val="20"/>
          <w:szCs w:val="20"/>
          <w:color w:val="auto"/>
        </w:rPr>
      </w:pPr>
    </w:p>
    <w:p>
      <w:pPr>
        <w:ind w:right="200" w:firstLine="378"/>
        <w:spacing w:after="0" w:line="266" w:lineRule="auto"/>
        <w:tabs>
          <w:tab w:leader="none" w:pos="542"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All capitalized terms when used herein shall have the same respective meanings as are given such terms in the Lease unless expressly provided otherwise in this Amendment.</w:t>
      </w:r>
    </w:p>
    <w:p>
      <w:pPr>
        <w:spacing w:after="0" w:line="154" w:lineRule="exact"/>
        <w:rPr>
          <w:rFonts w:ascii="Arial" w:cs="Arial" w:eastAsia="Arial" w:hAnsi="Arial"/>
          <w:sz w:val="16"/>
          <w:szCs w:val="16"/>
          <w:color w:val="auto"/>
        </w:rPr>
      </w:pPr>
    </w:p>
    <w:p>
      <w:pPr>
        <w:ind w:right="100" w:firstLine="378"/>
        <w:spacing w:after="0" w:line="315" w:lineRule="auto"/>
        <w:tabs>
          <w:tab w:leader="none" w:pos="542" w:val="left"/>
        </w:tabs>
        <w:numPr>
          <w:ilvl w:val="0"/>
          <w:numId w:val="517"/>
        </w:numPr>
        <w:rPr>
          <w:rFonts w:ascii="Arial" w:cs="Arial" w:eastAsia="Arial" w:hAnsi="Arial"/>
          <w:sz w:val="13"/>
          <w:szCs w:val="13"/>
          <w:color w:val="auto"/>
        </w:rPr>
      </w:pPr>
      <w:r>
        <w:rPr>
          <w:rFonts w:ascii="Arial" w:cs="Arial" w:eastAsia="Arial" w:hAnsi="Arial"/>
          <w:sz w:val="13"/>
          <w:szCs w:val="13"/>
          <w:u w:val="single" w:color="auto"/>
          <w:color w:val="auto"/>
        </w:rPr>
        <w:t>Additional TI Allowance</w:t>
      </w:r>
      <w:r>
        <w:rPr>
          <w:rFonts w:ascii="Arial" w:cs="Arial" w:eastAsia="Arial" w:hAnsi="Arial"/>
          <w:sz w:val="13"/>
          <w:szCs w:val="13"/>
          <w:color w:val="auto"/>
        </w:rPr>
        <w:t xml:space="preserve">. Pursuant to the terms of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of the Tenant Work Letter attached to the Lease as </w:t>
      </w:r>
      <w:r>
        <w:rPr>
          <w:rFonts w:ascii="Arial" w:cs="Arial" w:eastAsia="Arial" w:hAnsi="Arial"/>
          <w:sz w:val="13"/>
          <w:szCs w:val="13"/>
          <w:b w:val="1"/>
          <w:bCs w:val="1"/>
          <w:u w:val="single" w:color="auto"/>
          <w:color w:val="auto"/>
        </w:rPr>
        <w:t>Exhibit B</w:t>
      </w:r>
      <w:r>
        <w:rPr>
          <w:rFonts w:ascii="Arial" w:cs="Arial" w:eastAsia="Arial" w:hAnsi="Arial"/>
          <w:sz w:val="13"/>
          <w:szCs w:val="13"/>
          <w:color w:val="auto"/>
        </w:rPr>
        <w:t>, Tenant was entitled to a First Additional TI Allowance and a Second Additional TI Allowance of up to $647,400.00 each. Notwithstanding any provision to the contrary</w:t>
      </w:r>
    </w:p>
    <w:tbl>
      <w:tblPr>
        <w:tblLayout w:type="fixed"/>
        <w:tblInd w:w="0" w:type="dxa"/>
        <w:tblCellMar>
          <w:top w:w="0" w:type="dxa"/>
          <w:left w:w="0" w:type="dxa"/>
          <w:bottom w:w="0" w:type="dxa"/>
          <w:right w:w="0" w:type="dxa"/>
        </w:tblCellMar>
      </w:tblPr>
      <w:tr>
        <w:trPr>
          <w:trHeight w:val="155"/>
        </w:trPr>
        <w:tc>
          <w:tcPr>
            <w:tcW w:w="6300" w:type="dxa"/>
            <w:vAlign w:val="bottom"/>
            <w:gridSpan w:val="15"/>
          </w:tcPr>
          <w:p>
            <w:pPr>
              <w:spacing w:after="0" w:line="155" w:lineRule="exact"/>
              <w:rPr>
                <w:sz w:val="20"/>
                <w:szCs w:val="20"/>
                <w:color w:val="auto"/>
              </w:rPr>
            </w:pPr>
            <w:r>
              <w:rPr>
                <w:rFonts w:ascii="Arial" w:cs="Arial" w:eastAsia="Arial" w:hAnsi="Arial"/>
                <w:sz w:val="16"/>
                <w:szCs w:val="16"/>
                <w:color w:val="auto"/>
                <w:w w:val="87"/>
              </w:rPr>
              <w:t>contained in the Lease, Landlord and Tenant hereby acknowledge and agree that Tenant has utilized</w:t>
            </w:r>
          </w:p>
        </w:tc>
        <w:tc>
          <w:tcPr>
            <w:tcW w:w="800" w:type="dxa"/>
            <w:vAlign w:val="bottom"/>
          </w:tcPr>
          <w:p>
            <w:pPr>
              <w:spacing w:after="0"/>
              <w:rPr>
                <w:sz w:val="13"/>
                <w:szCs w:val="13"/>
                <w:color w:val="auto"/>
              </w:rPr>
            </w:pPr>
          </w:p>
        </w:tc>
        <w:tc>
          <w:tcPr>
            <w:tcW w:w="2020" w:type="dxa"/>
            <w:vAlign w:val="bottom"/>
            <w:gridSpan w:val="5"/>
          </w:tcPr>
          <w:p>
            <w:pPr>
              <w:ind w:left="40"/>
              <w:spacing w:after="0" w:line="155" w:lineRule="exact"/>
              <w:rPr>
                <w:sz w:val="20"/>
                <w:szCs w:val="20"/>
                <w:color w:val="auto"/>
              </w:rPr>
            </w:pPr>
            <w:r>
              <w:rPr>
                <w:rFonts w:ascii="Arial" w:cs="Arial" w:eastAsia="Arial" w:hAnsi="Arial"/>
                <w:sz w:val="16"/>
                <w:szCs w:val="16"/>
                <w:color w:val="auto"/>
              </w:rPr>
              <w:t>and   /100 Dollars ($</w:t>
            </w:r>
          </w:p>
        </w:tc>
        <w:tc>
          <w:tcPr>
            <w:tcW w:w="3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60"/>
              <w:spacing w:after="0" w:line="155" w:lineRule="exact"/>
              <w:rPr>
                <w:sz w:val="20"/>
                <w:szCs w:val="20"/>
                <w:color w:val="auto"/>
              </w:rPr>
            </w:pPr>
            <w:r>
              <w:rPr>
                <w:rFonts w:ascii="Arial" w:cs="Arial" w:eastAsia="Arial" w:hAnsi="Arial"/>
                <w:sz w:val="16"/>
                <w:szCs w:val="16"/>
                <w:color w:val="auto"/>
              </w:rPr>
              <w:t>)</w:t>
            </w:r>
          </w:p>
        </w:tc>
      </w:tr>
      <w:tr>
        <w:trPr>
          <w:trHeight w:val="20"/>
        </w:trPr>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2600" w:type="dxa"/>
            <w:vAlign w:val="bottom"/>
            <w:gridSpan w:val="3"/>
          </w:tcPr>
          <w:p>
            <w:pPr>
              <w:spacing w:after="0" w:line="168" w:lineRule="exact"/>
              <w:rPr>
                <w:sz w:val="20"/>
                <w:szCs w:val="20"/>
                <w:color w:val="auto"/>
              </w:rPr>
            </w:pPr>
            <w:r>
              <w:rPr>
                <w:rFonts w:ascii="Arial" w:cs="Arial" w:eastAsia="Arial" w:hAnsi="Arial"/>
                <w:sz w:val="16"/>
                <w:szCs w:val="16"/>
                <w:color w:val="auto"/>
                <w:w w:val="92"/>
              </w:rPr>
              <w:t>of the First Additional TI Allowance and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9"/>
              </w:rPr>
              <w:t>and   /100 Dollars ($</w:t>
            </w:r>
          </w:p>
        </w:tc>
        <w:tc>
          <w:tcPr>
            <w:tcW w:w="780" w:type="dxa"/>
            <w:vAlign w:val="bottom"/>
            <w:gridSpan w:val="3"/>
          </w:tcPr>
          <w:p>
            <w:pPr>
              <w:jc w:val="right"/>
              <w:ind w:right="180"/>
              <w:spacing w:after="0" w:line="168"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660" w:type="dxa"/>
            <w:vAlign w:val="bottom"/>
            <w:gridSpan w:val="11"/>
          </w:tcPr>
          <w:p>
            <w:pPr>
              <w:jc w:val="right"/>
              <w:spacing w:after="0" w:line="168" w:lineRule="exact"/>
              <w:rPr>
                <w:sz w:val="20"/>
                <w:szCs w:val="20"/>
                <w:color w:val="auto"/>
              </w:rPr>
            </w:pPr>
            <w:r>
              <w:rPr>
                <w:rFonts w:ascii="Arial" w:cs="Arial" w:eastAsia="Arial" w:hAnsi="Arial"/>
                <w:sz w:val="16"/>
                <w:szCs w:val="16"/>
                <w:color w:val="auto"/>
                <w:w w:val="91"/>
              </w:rPr>
              <w:t>) of the Second Additional TI Allowance (collectively, the</w:t>
            </w:r>
          </w:p>
        </w:tc>
      </w:tr>
      <w:tr>
        <w:trPr>
          <w:trHeight w:val="203"/>
        </w:trPr>
        <w:tc>
          <w:tcPr>
            <w:tcW w:w="2600" w:type="dxa"/>
            <w:vAlign w:val="bottom"/>
            <w:gridSpan w:val="3"/>
          </w:tcPr>
          <w:p>
            <w:pPr>
              <w:spacing w:after="0"/>
              <w:rPr>
                <w:sz w:val="20"/>
                <w:szCs w:val="20"/>
                <w:color w:val="auto"/>
              </w:rPr>
            </w:pPr>
            <w:r>
              <w:rPr>
                <w:rFonts w:ascii="Arial" w:cs="Arial" w:eastAsia="Arial" w:hAnsi="Arial"/>
                <w:sz w:val="16"/>
                <w:szCs w:val="16"/>
                <w:color w:val="auto"/>
              </w:rPr>
              <w:t>“Utilized Additional TI Allowance”).</w:t>
            </w: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43"/>
        </w:trPr>
        <w:tc>
          <w:tcPr>
            <w:tcW w:w="9120" w:type="dxa"/>
            <w:vAlign w:val="bottom"/>
            <w:gridSpan w:val="21"/>
          </w:tcPr>
          <w:p>
            <w:pPr>
              <w:ind w:left="380"/>
              <w:spacing w:after="0"/>
              <w:rPr>
                <w:sz w:val="20"/>
                <w:szCs w:val="20"/>
                <w:color w:val="auto"/>
              </w:rPr>
            </w:pPr>
            <w:r>
              <w:rPr>
                <w:rFonts w:ascii="Arial" w:cs="Arial" w:eastAsia="Arial" w:hAnsi="Arial"/>
                <w:sz w:val="16"/>
                <w:szCs w:val="16"/>
                <w:color w:val="auto"/>
                <w:w w:val="90"/>
              </w:rPr>
              <w:t>4. Additional Monthly Base Rent. As a result of Tenant’s use of the Utilized Additional TI Allowance, Tenant is required to pay additional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120" w:type="dxa"/>
            <w:vAlign w:val="bottom"/>
            <w:gridSpan w:val="21"/>
          </w:tcPr>
          <w:p>
            <w:pPr>
              <w:spacing w:after="0" w:line="168" w:lineRule="exact"/>
              <w:rPr>
                <w:sz w:val="20"/>
                <w:szCs w:val="20"/>
                <w:color w:val="auto"/>
              </w:rPr>
            </w:pPr>
            <w:r>
              <w:rPr>
                <w:rFonts w:ascii="Arial" w:cs="Arial" w:eastAsia="Arial" w:hAnsi="Arial"/>
                <w:sz w:val="16"/>
                <w:szCs w:val="16"/>
                <w:color w:val="auto"/>
                <w:w w:val="93"/>
              </w:rPr>
              <w:t>monthly Base Rent calculated as provided in Section 4 of the Tenant Work Letter, which additional monthly Base Rent shall be equal to $</w:t>
            </w:r>
          </w:p>
        </w:tc>
        <w:tc>
          <w:tcPr>
            <w:tcW w:w="300" w:type="dxa"/>
            <w:vAlign w:val="bottom"/>
            <w:gridSpan w:val="2"/>
          </w:tcPr>
          <w:p>
            <w:pPr>
              <w:ind w:left="40"/>
              <w:spacing w:after="0" w:line="168" w:lineRule="exact"/>
              <w:rPr>
                <w:sz w:val="20"/>
                <w:szCs w:val="20"/>
                <w:color w:val="auto"/>
              </w:rPr>
            </w:pPr>
            <w:r>
              <w:rPr>
                <w:rFonts w:ascii="Arial" w:cs="Arial" w:eastAsia="Arial" w:hAnsi="Arial"/>
                <w:sz w:val="16"/>
                <w:szCs w:val="16"/>
                <w:color w:val="auto"/>
              </w:rPr>
              <w:t>per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840" w:type="dxa"/>
            <w:vAlign w:val="bottom"/>
            <w:gridSpan w:val="4"/>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169"/>
        </w:trPr>
        <w:tc>
          <w:tcPr>
            <w:tcW w:w="5040" w:type="dxa"/>
            <w:vAlign w:val="bottom"/>
            <w:gridSpan w:val="10"/>
          </w:tcPr>
          <w:p>
            <w:pPr>
              <w:spacing w:after="0" w:line="168" w:lineRule="exact"/>
              <w:rPr>
                <w:sz w:val="20"/>
                <w:szCs w:val="20"/>
                <w:color w:val="auto"/>
              </w:rPr>
            </w:pPr>
            <w:r>
              <w:rPr>
                <w:rFonts w:ascii="Arial" w:cs="Arial" w:eastAsia="Arial" w:hAnsi="Arial"/>
                <w:sz w:val="16"/>
                <w:szCs w:val="16"/>
                <w:color w:val="auto"/>
                <w:w w:val="89"/>
              </w:rPr>
              <w:t>month, payable on or before the first (1</w:t>
            </w:r>
            <w:r>
              <w:rPr>
                <w:rFonts w:ascii="Arial" w:cs="Arial" w:eastAsia="Arial" w:hAnsi="Arial"/>
                <w:sz w:val="13"/>
                <w:szCs w:val="13"/>
                <w:color w:val="auto"/>
                <w:w w:val="89"/>
              </w:rPr>
              <w:t>st</w:t>
            </w:r>
            <w:r>
              <w:rPr>
                <w:rFonts w:ascii="Arial" w:cs="Arial" w:eastAsia="Arial" w:hAnsi="Arial"/>
                <w:sz w:val="16"/>
                <w:szCs w:val="16"/>
                <w:color w:val="auto"/>
                <w:w w:val="89"/>
              </w:rPr>
              <w:t>) day of each month commencing as of</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80" w:type="dxa"/>
            <w:vAlign w:val="bottom"/>
            <w:gridSpan w:val="12"/>
          </w:tcPr>
          <w:p>
            <w:pPr>
              <w:jc w:val="right"/>
              <w:ind w:right="100"/>
              <w:spacing w:after="0" w:line="168" w:lineRule="exact"/>
              <w:rPr>
                <w:sz w:val="20"/>
                <w:szCs w:val="20"/>
                <w:color w:val="auto"/>
              </w:rPr>
            </w:pPr>
            <w:r>
              <w:rPr>
                <w:rFonts w:ascii="Arial" w:cs="Arial" w:eastAsia="Arial" w:hAnsi="Arial"/>
                <w:sz w:val="16"/>
                <w:szCs w:val="16"/>
                <w:color w:val="auto"/>
                <w:w w:val="90"/>
              </w:rPr>
              <w:t>, and continuing through the expiration of the initial Lease</w:t>
            </w:r>
          </w:p>
        </w:tc>
      </w:tr>
      <w:tr>
        <w:trPr>
          <w:trHeight w:val="203"/>
        </w:trPr>
        <w:tc>
          <w:tcPr>
            <w:tcW w:w="2600" w:type="dxa"/>
            <w:vAlign w:val="bottom"/>
            <w:gridSpan w:val="3"/>
          </w:tcPr>
          <w:p>
            <w:pPr>
              <w:spacing w:after="0"/>
              <w:rPr>
                <w:sz w:val="20"/>
                <w:szCs w:val="20"/>
                <w:color w:val="auto"/>
              </w:rPr>
            </w:pPr>
            <w:r>
              <w:rPr>
                <w:rFonts w:ascii="Arial" w:cs="Arial" w:eastAsia="Arial" w:hAnsi="Arial"/>
                <w:sz w:val="16"/>
                <w:szCs w:val="16"/>
                <w:color w:val="auto"/>
              </w:rPr>
              <w:t>Term.</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177" w:lineRule="exact"/>
        <w:rPr>
          <w:sz w:val="20"/>
          <w:szCs w:val="20"/>
          <w:color w:val="auto"/>
        </w:rPr>
      </w:pPr>
    </w:p>
    <w:p>
      <w:pPr>
        <w:ind w:right="660" w:firstLine="378"/>
        <w:spacing w:after="0" w:line="266" w:lineRule="auto"/>
        <w:tabs>
          <w:tab w:leader="none" w:pos="542"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No Further Modification</w:t>
      </w:r>
      <w:r>
        <w:rPr>
          <w:rFonts w:ascii="Arial" w:cs="Arial" w:eastAsia="Arial" w:hAnsi="Arial"/>
          <w:sz w:val="16"/>
          <w:szCs w:val="16"/>
          <w:color w:val="auto"/>
        </w:rPr>
        <w:t>. Except as specifically set forth in this Amendment, all of the terms and provisions of the Lease shall remain unmodified and in full force and effect.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this Amendment has been executed as of the day and year first above written.</w:t>
      </w:r>
    </w:p>
    <w:p>
      <w:pPr>
        <w:sectPr>
          <w:pgSz w:w="11900" w:h="16838" w:orient="portrait"/>
          <w:cols w:equalWidth="0" w:num="1">
            <w:col w:w="9600"/>
          </w:cols>
          <w:pgMar w:left="1140" w:top="252" w:right="1159" w:bottom="1440" w:gutter="0" w:footer="0" w:header="0"/>
        </w:sectPr>
      </w:pPr>
    </w:p>
    <w:bookmarkStart w:id="678" w:name="page679"/>
    <w:bookmarkEnd w:id="678"/>
    <w:tbl>
      <w:tblPr>
        <w:tblLayout w:type="fixed"/>
        <w:tblInd w:w="0" w:type="dxa"/>
        <w:tblCellMar>
          <w:top w:w="0" w:type="dxa"/>
          <w:left w:w="0" w:type="dxa"/>
          <w:bottom w:w="0" w:type="dxa"/>
          <w:right w:w="0" w:type="dxa"/>
        </w:tblCellMar>
      </w:tblPr>
      <w:tr>
        <w:trPr>
          <w:trHeight w:val="184"/>
        </w:trPr>
        <w:tc>
          <w:tcPr>
            <w:tcW w:w="3400" w:type="dxa"/>
            <w:vAlign w:val="bottom"/>
            <w:gridSpan w:val="3"/>
          </w:tcPr>
          <w:p>
            <w:pPr>
              <w:spacing w:after="0"/>
              <w:rPr>
                <w:sz w:val="20"/>
                <w:szCs w:val="20"/>
                <w:color w:val="auto"/>
              </w:rPr>
            </w:pPr>
            <w:r>
              <w:rPr>
                <w:rFonts w:ascii="Arial" w:cs="Arial" w:eastAsia="Arial" w:hAnsi="Arial"/>
                <w:sz w:val="16"/>
                <w:szCs w:val="16"/>
                <w:color w:val="auto"/>
              </w:rPr>
              <w:t>LANDLORD:</w:t>
            </w:r>
          </w:p>
        </w:tc>
        <w:tc>
          <w:tcPr>
            <w:tcW w:w="2680" w:type="dxa"/>
            <w:vAlign w:val="bottom"/>
          </w:tcPr>
          <w:p>
            <w:pPr>
              <w:spacing w:after="0"/>
              <w:rPr>
                <w:sz w:val="16"/>
                <w:szCs w:val="16"/>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TENANT:</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4"/>
        </w:trPr>
        <w:tc>
          <w:tcPr>
            <w:tcW w:w="3400" w:type="dxa"/>
            <w:vAlign w:val="bottom"/>
            <w:gridSpan w:val="3"/>
          </w:tcPr>
          <w:p>
            <w:pPr>
              <w:spacing w:after="0"/>
              <w:rPr>
                <w:sz w:val="20"/>
                <w:szCs w:val="20"/>
                <w:color w:val="auto"/>
              </w:rPr>
            </w:pPr>
            <w:r>
              <w:rPr>
                <w:rFonts w:ascii="Arial" w:cs="Arial" w:eastAsia="Arial" w:hAnsi="Arial"/>
                <w:sz w:val="16"/>
                <w:szCs w:val="16"/>
                <w:color w:val="auto"/>
                <w:w w:val="96"/>
              </w:rPr>
              <w:t>HCP OYSTER POINT III LLC, a Delaware limited</w:t>
            </w:r>
          </w:p>
        </w:tc>
        <w:tc>
          <w:tcPr>
            <w:tcW w:w="268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THE COLUMN GROUP, LLC,</w:t>
            </w:r>
          </w:p>
        </w:tc>
      </w:tr>
      <w:tr>
        <w:trPr>
          <w:trHeight w:val="200"/>
        </w:trPr>
        <w:tc>
          <w:tcPr>
            <w:tcW w:w="3400" w:type="dxa"/>
            <w:vAlign w:val="bottom"/>
            <w:gridSpan w:val="3"/>
          </w:tcPr>
          <w:p>
            <w:pPr>
              <w:spacing w:after="0"/>
              <w:rPr>
                <w:sz w:val="20"/>
                <w:szCs w:val="20"/>
                <w:color w:val="auto"/>
              </w:rPr>
            </w:pPr>
            <w:r>
              <w:rPr>
                <w:rFonts w:ascii="Arial" w:cs="Arial" w:eastAsia="Arial" w:hAnsi="Arial"/>
                <w:sz w:val="16"/>
                <w:szCs w:val="16"/>
                <w:color w:val="auto"/>
              </w:rPr>
              <w:t>liability company</w:t>
            </w:r>
          </w:p>
        </w:tc>
        <w:tc>
          <w:tcPr>
            <w:tcW w:w="2680" w:type="dxa"/>
            <w:vAlign w:val="bottom"/>
          </w:tcPr>
          <w:p>
            <w:pPr>
              <w:spacing w:after="0"/>
              <w:rPr>
                <w:sz w:val="17"/>
                <w:szCs w:val="17"/>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a Delaware limited liability company</w:t>
            </w:r>
          </w:p>
        </w:tc>
      </w:tr>
      <w:tr>
        <w:trPr>
          <w:trHeight w:val="378"/>
        </w:trPr>
        <w:tc>
          <w:tcPr>
            <w:tcW w:w="3400" w:type="dxa"/>
            <w:vAlign w:val="bottom"/>
            <w:gridSpan w:val="3"/>
          </w:tcPr>
          <w:p>
            <w:pPr>
              <w:spacing w:after="0"/>
              <w:rPr>
                <w:sz w:val="20"/>
                <w:szCs w:val="20"/>
                <w:color w:val="auto"/>
              </w:rPr>
            </w:pPr>
            <w:r>
              <w:rPr>
                <w:rFonts w:ascii="Arial" w:cs="Arial" w:eastAsia="Arial" w:hAnsi="Arial"/>
                <w:sz w:val="16"/>
                <w:szCs w:val="16"/>
                <w:color w:val="auto"/>
              </w:rPr>
              <w:t>By:  HCP-Pointe Grand, Incorporated</w:t>
            </w: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2"/>
        </w:trPr>
        <w:tc>
          <w:tcPr>
            <w:tcW w:w="3400" w:type="dxa"/>
            <w:vAlign w:val="bottom"/>
            <w:gridSpan w:val="3"/>
          </w:tcPr>
          <w:p>
            <w:pPr>
              <w:ind w:left="380"/>
              <w:spacing w:after="0"/>
              <w:rPr>
                <w:sz w:val="20"/>
                <w:szCs w:val="20"/>
                <w:color w:val="auto"/>
              </w:rPr>
            </w:pPr>
            <w:r>
              <w:rPr>
                <w:rFonts w:ascii="Arial" w:cs="Arial" w:eastAsia="Arial" w:hAnsi="Arial"/>
                <w:sz w:val="16"/>
                <w:szCs w:val="16"/>
                <w:color w:val="auto"/>
              </w:rPr>
              <w:t>its general partner</w:t>
            </w:r>
          </w:p>
        </w:tc>
        <w:tc>
          <w:tcPr>
            <w:tcW w:w="268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By:</w:t>
            </w:r>
          </w:p>
        </w:tc>
      </w:tr>
      <w:tr>
        <w:trPr>
          <w:trHeight w:val="357"/>
        </w:trPr>
        <w:tc>
          <w:tcPr>
            <w:tcW w:w="3400" w:type="dxa"/>
            <w:vAlign w:val="bottom"/>
            <w:gridSpan w:val="3"/>
          </w:tcPr>
          <w:p>
            <w:pPr>
              <w:ind w:left="380"/>
              <w:spacing w:after="0"/>
              <w:rPr>
                <w:sz w:val="20"/>
                <w:szCs w:val="20"/>
                <w:color w:val="auto"/>
              </w:rPr>
            </w:pPr>
            <w:r>
              <w:rPr>
                <w:rFonts w:ascii="Arial" w:cs="Arial" w:eastAsia="Arial" w:hAnsi="Arial"/>
                <w:sz w:val="16"/>
                <w:szCs w:val="16"/>
                <w:color w:val="auto"/>
              </w:rPr>
              <w:t>By:</w:t>
            </w: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color w:val="auto"/>
              </w:rPr>
              <w:t>Name:</w:t>
            </w:r>
          </w:p>
        </w:tc>
      </w:tr>
      <w:tr>
        <w:trPr>
          <w:trHeight w:val="169"/>
        </w:trPr>
        <w:tc>
          <w:tcPr>
            <w:tcW w:w="7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Jonathan M. Bergschneider</w:t>
            </w: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r>
      <w:tr>
        <w:trPr>
          <w:trHeight w:val="212"/>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Executive Vice President</w:t>
            </w: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6"/>
                <w:szCs w:val="16"/>
                <w:color w:val="auto"/>
              </w:rPr>
              <w:t>Its:</w:t>
            </w:r>
          </w:p>
        </w:tc>
        <w:tc>
          <w:tcPr>
            <w:tcW w:w="2600" w:type="dxa"/>
            <w:vAlign w:val="bottom"/>
            <w:tcBorders>
              <w:bottom w:val="single" w:sz="8" w:color="auto"/>
            </w:tcBorders>
          </w:tcPr>
          <w:p>
            <w:pPr>
              <w:spacing w:after="0"/>
              <w:rPr>
                <w:sz w:val="18"/>
                <w:szCs w:val="18"/>
                <w:color w:val="auto"/>
              </w:rPr>
            </w:pPr>
          </w:p>
        </w:tc>
      </w:tr>
      <w:tr>
        <w:trPr>
          <w:trHeight w:val="357"/>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By:</w:t>
            </w:r>
          </w:p>
        </w:tc>
      </w:tr>
      <w:tr>
        <w:trPr>
          <w:trHeight w:val="357"/>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color w:val="auto"/>
                <w:w w:val="97"/>
              </w:rPr>
              <w:t>Name:</w:t>
            </w:r>
          </w:p>
        </w:tc>
        <w:tc>
          <w:tcPr>
            <w:tcW w:w="2600" w:type="dxa"/>
            <w:vAlign w:val="bottom"/>
            <w:tcBorders>
              <w:top w:val="single" w:sz="8" w:color="auto"/>
              <w:bottom w:val="single" w:sz="8" w:color="auto"/>
            </w:tcBorders>
          </w:tcPr>
          <w:p>
            <w:pPr>
              <w:spacing w:after="0"/>
              <w:rPr>
                <w:sz w:val="24"/>
                <w:szCs w:val="24"/>
                <w:color w:val="auto"/>
              </w:rPr>
            </w:pPr>
          </w:p>
        </w:tc>
      </w:tr>
      <w:tr>
        <w:trPr>
          <w:trHeight w:val="357"/>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6"/>
                <w:szCs w:val="16"/>
                <w:color w:val="auto"/>
              </w:rPr>
              <w:t>Its:</w:t>
            </w:r>
          </w:p>
        </w:tc>
        <w:tc>
          <w:tcPr>
            <w:tcW w:w="26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9620"/>
          </w:cols>
          <w:pgMar w:left="1140" w:top="238" w:right="113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bookmarkStart w:id="679" w:name="page680"/>
    <w:bookmarkEnd w:id="679"/>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80" w:type="dxa"/>
            <w:vAlign w:val="bottom"/>
            <w:gridSpan w:val="5"/>
          </w:tcPr>
          <w:p>
            <w:pPr>
              <w:jc w:val="center"/>
              <w:ind w:right="2440"/>
              <w:spacing w:after="0"/>
              <w:rPr>
                <w:sz w:val="20"/>
                <w:szCs w:val="20"/>
                <w:color w:val="auto"/>
              </w:rPr>
            </w:pPr>
            <w:r>
              <w:rPr>
                <w:rFonts w:ascii="Arial" w:cs="Arial" w:eastAsia="Arial" w:hAnsi="Arial"/>
                <w:sz w:val="16"/>
                <w:szCs w:val="16"/>
                <w:b w:val="1"/>
                <w:bCs w:val="1"/>
                <w:color w:val="auto"/>
              </w:rPr>
              <w:t>EXHIBIT H</w:t>
            </w:r>
          </w:p>
        </w:tc>
      </w:tr>
      <w:tr>
        <w:trPr>
          <w:trHeight w:val="20"/>
        </w:trPr>
        <w:tc>
          <w:tcPr>
            <w:tcW w:w="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1"/>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0" w:type="dxa"/>
            <w:vAlign w:val="bottom"/>
            <w:gridSpan w:val="6"/>
          </w:tcPr>
          <w:p>
            <w:pPr>
              <w:jc w:val="center"/>
              <w:ind w:right="1120"/>
              <w:spacing w:after="0"/>
              <w:rPr>
                <w:sz w:val="20"/>
                <w:szCs w:val="20"/>
                <w:color w:val="auto"/>
              </w:rPr>
            </w:pPr>
            <w:r>
              <w:rPr>
                <w:rFonts w:ascii="Arial" w:cs="Arial" w:eastAsia="Arial" w:hAnsi="Arial"/>
                <w:sz w:val="16"/>
                <w:szCs w:val="16"/>
                <w:b w:val="1"/>
                <w:bCs w:val="1"/>
                <w:color w:val="auto"/>
              </w:rPr>
              <w:t>FORM OF LETTER OF CREDIT</w:t>
            </w:r>
          </w:p>
        </w:tc>
      </w:tr>
      <w:tr>
        <w:trPr>
          <w:trHeight w:val="362"/>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0" w:type="dxa"/>
            <w:vAlign w:val="bottom"/>
            <w:gridSpan w:val="6"/>
          </w:tcPr>
          <w:p>
            <w:pPr>
              <w:jc w:val="center"/>
              <w:ind w:right="1120"/>
              <w:spacing w:after="0"/>
              <w:rPr>
                <w:sz w:val="20"/>
                <w:szCs w:val="20"/>
                <w:color w:val="auto"/>
              </w:rPr>
            </w:pPr>
            <w:r>
              <w:rPr>
                <w:rFonts w:ascii="Arial" w:cs="Arial" w:eastAsia="Arial" w:hAnsi="Arial"/>
                <w:sz w:val="16"/>
                <w:szCs w:val="16"/>
                <w:b w:val="1"/>
                <w:bCs w:val="1"/>
                <w:color w:val="auto"/>
                <w:w w:val="88"/>
              </w:rPr>
              <w:t>(Letterhead of a money center bank</w:t>
            </w:r>
          </w:p>
        </w:tc>
      </w:tr>
      <w:tr>
        <w:trPr>
          <w:trHeight w:val="204"/>
        </w:trPr>
        <w:tc>
          <w:tcPr>
            <w:tcW w:w="7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0" w:type="dxa"/>
            <w:vAlign w:val="bottom"/>
            <w:gridSpan w:val="6"/>
          </w:tcPr>
          <w:p>
            <w:pPr>
              <w:jc w:val="center"/>
              <w:ind w:right="1100"/>
              <w:spacing w:after="0"/>
              <w:rPr>
                <w:sz w:val="20"/>
                <w:szCs w:val="20"/>
                <w:color w:val="auto"/>
              </w:rPr>
            </w:pPr>
            <w:r>
              <w:rPr>
                <w:rFonts w:ascii="Arial" w:cs="Arial" w:eastAsia="Arial" w:hAnsi="Arial"/>
                <w:sz w:val="16"/>
                <w:szCs w:val="16"/>
                <w:b w:val="1"/>
                <w:bCs w:val="1"/>
                <w:color w:val="auto"/>
                <w:w w:val="89"/>
              </w:rPr>
              <w:t>acceptable to the Landlord)</w:t>
            </w:r>
          </w:p>
        </w:tc>
      </w:tr>
      <w:tr>
        <w:trPr>
          <w:trHeight w:val="496"/>
        </w:trPr>
        <w:tc>
          <w:tcPr>
            <w:tcW w:w="3060" w:type="dxa"/>
            <w:vAlign w:val="bottom"/>
            <w:gridSpan w:val="2"/>
          </w:tcPr>
          <w:p>
            <w:pPr>
              <w:spacing w:after="0"/>
              <w:rPr>
                <w:sz w:val="20"/>
                <w:szCs w:val="20"/>
                <w:color w:val="auto"/>
              </w:rPr>
            </w:pPr>
            <w:r>
              <w:rPr>
                <w:rFonts w:ascii="Arial" w:cs="Arial" w:eastAsia="Arial" w:hAnsi="Arial"/>
                <w:sz w:val="16"/>
                <w:szCs w:val="16"/>
                <w:color w:val="auto"/>
              </w:rPr>
              <w:t>FAX NO. [(___) ___-____]</w:t>
            </w:r>
          </w:p>
        </w:tc>
        <w:tc>
          <w:tcPr>
            <w:tcW w:w="132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[Insert Bank Name And Address]</w:t>
            </w:r>
          </w:p>
        </w:tc>
      </w:tr>
      <w:tr>
        <w:trPr>
          <w:trHeight w:val="200"/>
        </w:trPr>
        <w:tc>
          <w:tcPr>
            <w:tcW w:w="3060" w:type="dxa"/>
            <w:vAlign w:val="bottom"/>
            <w:gridSpan w:val="2"/>
          </w:tcPr>
          <w:p>
            <w:pPr>
              <w:spacing w:after="0"/>
              <w:rPr>
                <w:sz w:val="20"/>
                <w:szCs w:val="20"/>
                <w:color w:val="auto"/>
              </w:rPr>
            </w:pPr>
            <w:r>
              <w:rPr>
                <w:rFonts w:ascii="Arial" w:cs="Arial" w:eastAsia="Arial" w:hAnsi="Arial"/>
                <w:sz w:val="16"/>
                <w:szCs w:val="16"/>
                <w:color w:val="auto"/>
              </w:rPr>
              <w:t>SWIFT: [Insert No., if any]</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55"/>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gridSpan w:val="2"/>
          </w:tcPr>
          <w:p>
            <w:pPr>
              <w:ind w:left="620"/>
              <w:spacing w:after="0"/>
              <w:rPr>
                <w:sz w:val="20"/>
                <w:szCs w:val="20"/>
                <w:color w:val="auto"/>
              </w:rPr>
            </w:pPr>
            <w:r>
              <w:rPr>
                <w:rFonts w:ascii="Arial" w:cs="Arial" w:eastAsia="Arial" w:hAnsi="Arial"/>
                <w:sz w:val="16"/>
                <w:szCs w:val="16"/>
                <w:color w:val="auto"/>
                <w:w w:val="96"/>
              </w:rPr>
              <w:t>DATE OF ISSUE:</w:t>
            </w:r>
          </w:p>
        </w:tc>
        <w:tc>
          <w:tcPr>
            <w:tcW w:w="1420" w:type="dxa"/>
            <w:vAlign w:val="bottom"/>
            <w:tcBorders>
              <w:bottom w:val="single" w:sz="8" w:color="auto"/>
            </w:tcBorders>
            <w:gridSpan w:val="3"/>
          </w:tcPr>
          <w:p>
            <w:pPr>
              <w:spacing w:after="0"/>
              <w:rPr>
                <w:sz w:val="24"/>
                <w:szCs w:val="24"/>
                <w:color w:val="auto"/>
              </w:rPr>
            </w:pPr>
          </w:p>
        </w:tc>
      </w:tr>
      <w:tr>
        <w:trPr>
          <w:trHeight w:val="380"/>
        </w:trPr>
        <w:tc>
          <w:tcPr>
            <w:tcW w:w="3060" w:type="dxa"/>
            <w:vAlign w:val="bottom"/>
            <w:gridSpan w:val="2"/>
          </w:tcPr>
          <w:p>
            <w:pPr>
              <w:spacing w:after="0"/>
              <w:rPr>
                <w:sz w:val="20"/>
                <w:szCs w:val="20"/>
                <w:color w:val="auto"/>
              </w:rPr>
            </w:pPr>
            <w:r>
              <w:rPr>
                <w:rFonts w:ascii="Arial" w:cs="Arial" w:eastAsia="Arial" w:hAnsi="Arial"/>
                <w:sz w:val="16"/>
                <w:szCs w:val="16"/>
                <w:color w:val="auto"/>
              </w:rPr>
              <w:t>BENEFICIARY:</w:t>
            </w:r>
          </w:p>
        </w:tc>
        <w:tc>
          <w:tcPr>
            <w:tcW w:w="132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APPLICANT:</w:t>
            </w:r>
          </w:p>
        </w:tc>
      </w:tr>
      <w:tr>
        <w:trPr>
          <w:trHeight w:val="200"/>
        </w:trPr>
        <w:tc>
          <w:tcPr>
            <w:tcW w:w="3060" w:type="dxa"/>
            <w:vAlign w:val="bottom"/>
            <w:gridSpan w:val="2"/>
          </w:tcPr>
          <w:p>
            <w:pPr>
              <w:spacing w:after="0"/>
              <w:rPr>
                <w:sz w:val="20"/>
                <w:szCs w:val="20"/>
                <w:color w:val="auto"/>
              </w:rPr>
            </w:pPr>
            <w:r>
              <w:rPr>
                <w:rFonts w:ascii="Arial" w:cs="Arial" w:eastAsia="Arial" w:hAnsi="Arial"/>
                <w:sz w:val="16"/>
                <w:szCs w:val="16"/>
                <w:color w:val="auto"/>
              </w:rPr>
              <w:t>[Insert Beneficiary Name And Address]</w:t>
            </w:r>
          </w:p>
        </w:tc>
        <w:tc>
          <w:tcPr>
            <w:tcW w:w="1320" w:type="dxa"/>
            <w:vAlign w:val="bottom"/>
          </w:tcPr>
          <w:p>
            <w:pPr>
              <w:spacing w:after="0"/>
              <w:rPr>
                <w:sz w:val="17"/>
                <w:szCs w:val="17"/>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[Insert Applicant Name And Address]</w:t>
            </w:r>
          </w:p>
        </w:tc>
      </w:tr>
      <w:tr>
        <w:trPr>
          <w:trHeight w:val="355"/>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40" w:type="dxa"/>
            <w:vAlign w:val="bottom"/>
            <w:gridSpan w:val="3"/>
          </w:tcPr>
          <w:p>
            <w:pPr>
              <w:ind w:left="620"/>
              <w:spacing w:after="0"/>
              <w:rPr>
                <w:sz w:val="20"/>
                <w:szCs w:val="20"/>
                <w:color w:val="auto"/>
              </w:rPr>
            </w:pPr>
            <w:r>
              <w:rPr>
                <w:rFonts w:ascii="Arial" w:cs="Arial" w:eastAsia="Arial" w:hAnsi="Arial"/>
                <w:sz w:val="16"/>
                <w:szCs w:val="16"/>
                <w:color w:val="auto"/>
                <w:w w:val="97"/>
              </w:rPr>
              <w:t>LETTER OF CREDIT NO.</w:t>
            </w: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380"/>
        </w:trPr>
        <w:tc>
          <w:tcPr>
            <w:tcW w:w="3060" w:type="dxa"/>
            <w:vAlign w:val="bottom"/>
            <w:gridSpan w:val="2"/>
          </w:tcPr>
          <w:p>
            <w:pPr>
              <w:spacing w:after="0"/>
              <w:rPr>
                <w:sz w:val="20"/>
                <w:szCs w:val="20"/>
                <w:color w:val="auto"/>
              </w:rPr>
            </w:pPr>
            <w:r>
              <w:rPr>
                <w:rFonts w:ascii="Arial" w:cs="Arial" w:eastAsia="Arial" w:hAnsi="Arial"/>
                <w:sz w:val="16"/>
                <w:szCs w:val="16"/>
                <w:color w:val="auto"/>
              </w:rPr>
              <w:t>EXPIRATION DATE:</w:t>
            </w:r>
          </w:p>
        </w:tc>
        <w:tc>
          <w:tcPr>
            <w:tcW w:w="132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AMOUNT AVAILABLE:</w:t>
            </w:r>
          </w:p>
        </w:tc>
      </w:tr>
      <w:tr>
        <w:trPr>
          <w:trHeight w:val="166"/>
        </w:trPr>
        <w:tc>
          <w:tcPr>
            <w:tcW w:w="780" w:type="dxa"/>
            <w:vAlign w:val="bottom"/>
            <w:tcBorders>
              <w:bottom w:val="single" w:sz="8" w:color="auto"/>
            </w:tcBorders>
          </w:tcPr>
          <w:p>
            <w:pPr>
              <w:spacing w:after="0"/>
              <w:rPr>
                <w:sz w:val="14"/>
                <w:szCs w:val="14"/>
                <w:color w:val="auto"/>
              </w:rPr>
            </w:pPr>
          </w:p>
        </w:tc>
        <w:tc>
          <w:tcPr>
            <w:tcW w:w="2280" w:type="dxa"/>
            <w:vAlign w:val="bottom"/>
          </w:tcPr>
          <w:p>
            <w:pPr>
              <w:ind w:left="60"/>
              <w:spacing w:after="0" w:line="166" w:lineRule="exact"/>
              <w:rPr>
                <w:sz w:val="20"/>
                <w:szCs w:val="20"/>
                <w:color w:val="auto"/>
              </w:rPr>
            </w:pPr>
            <w:r>
              <w:rPr>
                <w:rFonts w:ascii="Arial" w:cs="Arial" w:eastAsia="Arial" w:hAnsi="Arial"/>
                <w:sz w:val="16"/>
                <w:szCs w:val="16"/>
                <w:color w:val="auto"/>
              </w:rPr>
              <w:t>AT OUR COUNTERS</w:t>
            </w:r>
          </w:p>
        </w:tc>
        <w:tc>
          <w:tcPr>
            <w:tcW w:w="1320" w:type="dxa"/>
            <w:vAlign w:val="bottom"/>
          </w:tcPr>
          <w:p>
            <w:pPr>
              <w:spacing w:after="0"/>
              <w:rPr>
                <w:sz w:val="14"/>
                <w:szCs w:val="14"/>
                <w:color w:val="auto"/>
              </w:rPr>
            </w:pPr>
          </w:p>
        </w:tc>
        <w:tc>
          <w:tcPr>
            <w:tcW w:w="3280" w:type="dxa"/>
            <w:vAlign w:val="bottom"/>
            <w:gridSpan w:val="5"/>
          </w:tcPr>
          <w:p>
            <w:pPr>
              <w:ind w:left="620"/>
              <w:spacing w:after="0" w:line="166" w:lineRule="exact"/>
              <w:rPr>
                <w:sz w:val="20"/>
                <w:szCs w:val="20"/>
                <w:color w:val="auto"/>
              </w:rPr>
            </w:pPr>
            <w:r>
              <w:rPr>
                <w:rFonts w:ascii="Arial" w:cs="Arial" w:eastAsia="Arial" w:hAnsi="Arial"/>
                <w:sz w:val="16"/>
                <w:szCs w:val="16"/>
                <w:color w:val="auto"/>
              </w:rPr>
              <w:t>USD[Insert Dollar Amount]</w:t>
            </w:r>
          </w:p>
        </w:tc>
      </w:tr>
      <w:tr>
        <w:trPr>
          <w:trHeight w:val="203"/>
        </w:trPr>
        <w:tc>
          <w:tcPr>
            <w:tcW w:w="7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w w:val="94"/>
              </w:rPr>
              <w:t>(U.S. DOLLARS [Insert Dollar Amount])</w:t>
            </w: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LADIES AND GENTLEMEN: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WE HEREBY ESTABLISH OUR IRREVOCABLE STANDBY LETTER OF CREDIT NO. ___________ IN YOUR FAVOR FOR THE ACCOUNT</w:t>
      </w:r>
    </w:p>
    <w:p>
      <w:pPr>
        <w:spacing w:after="0" w:line="28"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 xml:space="preserve">OF [Insert Tenant’s Name], A [Insert Entity Type], UP TO THE AGGREGATE AMOUNT OF USD[Insert Dollar Amount] ([Insert Dollar Amount] U.S. DOLLARS) EFFECTIVE IMMEDIATELY AND EXPIRING ON </w:t>
      </w:r>
      <w:r>
        <w:rPr>
          <w:rFonts w:ascii="Arial" w:cs="Arial" w:eastAsia="Arial" w:hAnsi="Arial"/>
          <w:sz w:val="16"/>
          <w:szCs w:val="16"/>
          <w:u w:val="single" w:color="auto"/>
          <w:color w:val="auto"/>
        </w:rPr>
        <w:t>___(Expiration Date)___</w:t>
      </w:r>
      <w:r>
        <w:rPr>
          <w:rFonts w:ascii="Arial" w:cs="Arial" w:eastAsia="Arial" w:hAnsi="Arial"/>
          <w:sz w:val="16"/>
          <w:szCs w:val="16"/>
          <w:color w:val="auto"/>
        </w:rPr>
        <w:t xml:space="preserve"> AVAILABLE BY PAYMENT UPON PRESENTATION OF YOUR DRAFT AT SIGHT DRAWN ON [Insert Bank Name] WHEN ACCOMPANIED BY THE FOLLOWING DOCUMENT(S):</w:t>
      </w:r>
    </w:p>
    <w:p>
      <w:pPr>
        <w:spacing w:after="0" w:line="167" w:lineRule="exact"/>
        <w:rPr>
          <w:sz w:val="20"/>
          <w:szCs w:val="20"/>
          <w:color w:val="auto"/>
        </w:rPr>
      </w:pPr>
    </w:p>
    <w:p>
      <w:pPr>
        <w:ind w:left="540" w:hanging="162"/>
        <w:spacing w:after="0"/>
        <w:tabs>
          <w:tab w:leader="none" w:pos="540" w:val="left"/>
        </w:tabs>
        <w:numPr>
          <w:ilvl w:val="0"/>
          <w:numId w:val="519"/>
        </w:numPr>
        <w:rPr>
          <w:rFonts w:ascii="Arial" w:cs="Arial" w:eastAsia="Arial" w:hAnsi="Arial"/>
          <w:sz w:val="16"/>
          <w:szCs w:val="16"/>
          <w:b w:val="1"/>
          <w:bCs w:val="1"/>
          <w:color w:val="auto"/>
        </w:rPr>
      </w:pPr>
      <w:r>
        <w:rPr>
          <w:rFonts w:ascii="Arial" w:cs="Arial" w:eastAsia="Arial" w:hAnsi="Arial"/>
          <w:sz w:val="16"/>
          <w:szCs w:val="16"/>
          <w:b w:val="1"/>
          <w:bCs w:val="1"/>
          <w:color w:val="auto"/>
        </w:rPr>
        <w:t>THE ORIGINAL OF THIS IRREVOCABLE STANDBY LETTER OF CREDIT AND AMENDMENT(S), IF ANY.</w:t>
      </w:r>
    </w:p>
    <w:p>
      <w:pPr>
        <w:spacing w:after="0" w:line="193" w:lineRule="exact"/>
        <w:rPr>
          <w:rFonts w:ascii="Arial" w:cs="Arial" w:eastAsia="Arial" w:hAnsi="Arial"/>
          <w:sz w:val="16"/>
          <w:szCs w:val="16"/>
          <w:b w:val="1"/>
          <w:bCs w:val="1"/>
          <w:color w:val="auto"/>
        </w:rPr>
      </w:pPr>
    </w:p>
    <w:p>
      <w:pPr>
        <w:ind w:right="500" w:firstLine="378"/>
        <w:spacing w:after="0" w:line="272" w:lineRule="auto"/>
        <w:tabs>
          <w:tab w:leader="none" w:pos="542" w:val="left"/>
        </w:tabs>
        <w:numPr>
          <w:ilvl w:val="0"/>
          <w:numId w:val="519"/>
        </w:numPr>
        <w:rPr>
          <w:rFonts w:ascii="Arial" w:cs="Arial" w:eastAsia="Arial" w:hAnsi="Arial"/>
          <w:sz w:val="16"/>
          <w:szCs w:val="16"/>
          <w:b w:val="1"/>
          <w:bCs w:val="1"/>
          <w:color w:val="auto"/>
        </w:rPr>
      </w:pPr>
      <w:r>
        <w:rPr>
          <w:rFonts w:ascii="Arial" w:cs="Arial" w:eastAsia="Arial" w:hAnsi="Arial"/>
          <w:sz w:val="16"/>
          <w:szCs w:val="16"/>
          <w:b w:val="1"/>
          <w:bCs w:val="1"/>
          <w:color w:val="auto"/>
        </w:rPr>
        <w:t>BENEFICIARY’S SIGNED STATEMENT PURPORTEDLY SIGNED BY AN AUTHORIZED REPRESENTATIVE OF [Insert Landlord’s Name], A [Insert Entity Type] (“LANDLORD”) STATING THE FOLLOWING:</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UNDERSIGNED HEREBY CERTIFIES THAT THE LANDLORD, EITHER (A) UNDER THE LEASE (DEFINED BELOW), OR (B) AS</w:t>
      </w:r>
    </w:p>
    <w:p>
      <w:pPr>
        <w:spacing w:after="0" w:line="28" w:lineRule="exact"/>
        <w:rPr>
          <w:sz w:val="20"/>
          <w:szCs w:val="20"/>
          <w:color w:val="auto"/>
        </w:rPr>
      </w:pPr>
    </w:p>
    <w:p>
      <w:pPr>
        <w:ind w:left="380" w:right="80"/>
        <w:spacing w:after="0" w:line="247" w:lineRule="auto"/>
        <w:rPr>
          <w:sz w:val="20"/>
          <w:szCs w:val="20"/>
          <w:color w:val="auto"/>
        </w:rPr>
      </w:pPr>
      <w:r>
        <w:rPr>
          <w:rFonts w:ascii="Arial" w:cs="Arial" w:eastAsia="Arial" w:hAnsi="Arial"/>
          <w:sz w:val="16"/>
          <w:szCs w:val="16"/>
          <w:color w:val="auto"/>
        </w:rPr>
        <w:t>A RESULT OF THE TERMINATION OF SUCH LEASE, HAS THE RIGHT TO DRAW DOWN THE AMOUNT OF USD IN ACCORDANCE WITH THE TERMS OF THAT CERTAIN OFFICE LEASE DATED [Insert Lease Date], AS AMENDED (COLLECTIVELY, THE “LEASE”), OR SUCH AMOUNT CONSTITUTES DAMAGES OWING BY THE TENANT TO BENEFICIARY RESULTING FROM THE BREACH OF SUCH LEASE BY THE TENANT THEREUNDER, OR THE TERMINATION OF SUCH LEASE, AND SUCH AMOUNT REMAINS UNPAID AT THE TIME OF THIS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-502285</wp:posOffset>
            </wp:positionV>
            <wp:extent cx="499110"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49911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99" w:lineRule="exact"/>
        <w:rPr>
          <w:sz w:val="20"/>
          <w:szCs w:val="20"/>
          <w:color w:val="auto"/>
        </w:rPr>
      </w:pPr>
    </w:p>
    <w:p>
      <w:pPr>
        <w:ind w:left="380" w:right="60"/>
        <w:spacing w:after="0" w:line="256" w:lineRule="auto"/>
        <w:rPr>
          <w:sz w:val="20"/>
          <w:szCs w:val="20"/>
          <w:color w:val="auto"/>
        </w:rPr>
      </w:pPr>
      <w:r>
        <w:rPr>
          <w:rFonts w:ascii="Arial" w:cs="Arial" w:eastAsia="Arial" w:hAnsi="Arial"/>
          <w:sz w:val="16"/>
          <w:szCs w:val="16"/>
          <w:color w:val="auto"/>
        </w:rPr>
        <w:t>“THE UNDERSIGNED HEREBY CERTIFIES THAT WE HAVE RECEIVED A WRITTEN NOTICE OF [Insert Bank Name]’S ELECTION NOT TO EXTEND ITS STANDBY LETTER OF CREDIT NO. ___________ AND HAVE NOT RECEIVED A REPLACEMENT LETTER OF CREDIT WITHIN AT LEAST THIRTY (30) DAYS PRIOR TO THE PRESENT EXPIRATION DATE.”</w:t>
      </w:r>
    </w:p>
    <w:p>
      <w:pPr>
        <w:sectPr>
          <w:pgSz w:w="11900" w:h="16838" w:orient="portrait"/>
          <w:cols w:equalWidth="0" w:num="1">
            <w:col w:w="9620"/>
          </w:cols>
          <w:pgMar w:left="1140" w:top="238" w:right="1139" w:bottom="1440" w:gutter="0" w:footer="0" w:header="0"/>
        </w:sectPr>
      </w:pPr>
    </w:p>
    <w:bookmarkStart w:id="680" w:name="page681"/>
    <w:bookmarkEnd w:id="680"/>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OR</w:t>
      </w:r>
    </w:p>
    <w:p>
      <w:pPr>
        <w:spacing w:after="0" w:line="99" w:lineRule="exact"/>
        <w:rPr>
          <w:sz w:val="20"/>
          <w:szCs w:val="20"/>
          <w:color w:val="auto"/>
        </w:rPr>
      </w:pPr>
    </w:p>
    <w:p>
      <w:pPr>
        <w:jc w:val="both"/>
        <w:ind w:left="386" w:right="40"/>
        <w:spacing w:after="0" w:line="270" w:lineRule="auto"/>
        <w:rPr>
          <w:sz w:val="20"/>
          <w:szCs w:val="20"/>
          <w:color w:val="auto"/>
        </w:rPr>
      </w:pPr>
      <w:r>
        <w:rPr>
          <w:rFonts w:ascii="Arial" w:cs="Arial" w:eastAsia="Arial" w:hAnsi="Arial"/>
          <w:sz w:val="15"/>
          <w:szCs w:val="15"/>
          <w:color w:val="auto"/>
        </w:rPr>
        <w:t>“THE UNDERSIGNED HEREBY CERTIFIES THAT BENEFICIARY IS ENTITLED TO DRAW DOWN THE FULL AMOUNT OF LETTER OF CREDIT NO. ___________ AS THE RESULT OF THE FILING OF A VOLUNTARY PETITION UNDER THE U.S. BANKRUPTCY</w:t>
      </w:r>
    </w:p>
    <w:p>
      <w:pPr>
        <w:spacing w:after="0" w:line="1" w:lineRule="exact"/>
        <w:rPr>
          <w:sz w:val="20"/>
          <w:szCs w:val="20"/>
          <w:color w:val="auto"/>
        </w:rPr>
      </w:pPr>
    </w:p>
    <w:p>
      <w:pPr>
        <w:ind w:left="386" w:right="100"/>
        <w:spacing w:after="0" w:line="284" w:lineRule="auto"/>
        <w:rPr>
          <w:sz w:val="20"/>
          <w:szCs w:val="20"/>
          <w:color w:val="auto"/>
        </w:rPr>
      </w:pPr>
      <w:r>
        <w:rPr>
          <w:rFonts w:ascii="Arial" w:cs="Arial" w:eastAsia="Arial" w:hAnsi="Arial"/>
          <w:sz w:val="15"/>
          <w:szCs w:val="15"/>
          <w:color w:val="auto"/>
        </w:rPr>
        <w:t>CODE OR A STATE BANKRUPTCY CODE BY THE TENANT UNDER THAT CERTAIN OFFICE LEASE DATED [Insert Lease Date], AS AMENDED (COLLECTIVELY, THE “LEASE”), WHICH FILING HAS NOT BEEN DISMISSED AT THE TIME OF THIS DRAWING.”</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99" w:lineRule="exact"/>
        <w:rPr>
          <w:sz w:val="20"/>
          <w:szCs w:val="20"/>
          <w:color w:val="auto"/>
        </w:rPr>
      </w:pPr>
    </w:p>
    <w:p>
      <w:pPr>
        <w:jc w:val="both"/>
        <w:ind w:left="386" w:right="40"/>
        <w:spacing w:after="0" w:line="270" w:lineRule="auto"/>
        <w:rPr>
          <w:sz w:val="20"/>
          <w:szCs w:val="20"/>
          <w:color w:val="auto"/>
        </w:rPr>
      </w:pPr>
      <w:r>
        <w:rPr>
          <w:rFonts w:ascii="Arial" w:cs="Arial" w:eastAsia="Arial" w:hAnsi="Arial"/>
          <w:sz w:val="15"/>
          <w:szCs w:val="15"/>
          <w:color w:val="auto"/>
        </w:rPr>
        <w:t>“THE UNDERSIGNED HEREBY CERTIFIES THAT BENEFICIARY IS ENTITLED TO DRAW DOWN THE FULL AMOUNT OF LETTER OF CREDIT NO. ___________ AS THE RESULT OF AN INVOLUNTARY PETITION HAVING BEEN FILED UNDER THE U.S.</w:t>
      </w:r>
    </w:p>
    <w:p>
      <w:pPr>
        <w:spacing w:after="0" w:line="1" w:lineRule="exact"/>
        <w:rPr>
          <w:sz w:val="20"/>
          <w:szCs w:val="20"/>
          <w:color w:val="auto"/>
        </w:rPr>
      </w:pPr>
    </w:p>
    <w:p>
      <w:pPr>
        <w:jc w:val="both"/>
        <w:ind w:left="386" w:right="40"/>
        <w:spacing w:after="0" w:line="249" w:lineRule="auto"/>
        <w:rPr>
          <w:sz w:val="20"/>
          <w:szCs w:val="20"/>
          <w:color w:val="auto"/>
        </w:rPr>
      </w:pPr>
      <w:r>
        <w:rPr>
          <w:rFonts w:ascii="Arial" w:cs="Arial" w:eastAsia="Arial" w:hAnsi="Arial"/>
          <w:sz w:val="16"/>
          <w:szCs w:val="16"/>
          <w:color w:val="auto"/>
        </w:rPr>
        <w:t>BANKRUPTCY CODE OR A STATE BANKRUPTCY CODE AGAINST THE TENANT UNDER THAT CERTAIN OFFICE LEASE DATED [Insert Lease Date], AS AMENDED (COLLECTIVELY, THE “LEASE”), WHICH FILING HAS NOT BEEN DISMISSED AT THE TIME OF THIS DRAWING.”</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99" w:lineRule="exact"/>
        <w:rPr>
          <w:sz w:val="20"/>
          <w:szCs w:val="20"/>
          <w:color w:val="auto"/>
        </w:rPr>
      </w:pPr>
    </w:p>
    <w:p>
      <w:pPr>
        <w:ind w:left="386" w:right="40"/>
        <w:spacing w:after="0" w:line="281" w:lineRule="auto"/>
        <w:rPr>
          <w:sz w:val="20"/>
          <w:szCs w:val="20"/>
          <w:color w:val="auto"/>
        </w:rPr>
      </w:pPr>
      <w:r>
        <w:rPr>
          <w:rFonts w:ascii="Arial" w:cs="Arial" w:eastAsia="Arial" w:hAnsi="Arial"/>
          <w:sz w:val="15"/>
          <w:szCs w:val="15"/>
          <w:color w:val="auto"/>
        </w:rPr>
        <w:t>“THE UNDERSIGNED HEREBY CERTIFIES THAT BENEFICIARY IS ENTITLED TO DRAW DOWN THE FULL AMOUNT OF LETTER OF CREDIT NO. ________________ AS THE RESULT OF THE REJECTION, OR DEEMED REJECTION, OF THAT CERTAIN OFFICE LEASE DATED [Insert Lease Date], AS AMENDED, UNDER SECTION 365 OF THE U.S. BANKRUPTCY CODE.”</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6"/>
          <w:szCs w:val="16"/>
          <w:color w:val="auto"/>
        </w:rPr>
        <w:t>SPECIAL CONDITIONS:</w:t>
      </w:r>
    </w:p>
    <w:p>
      <w:pPr>
        <w:spacing w:after="0" w:line="193" w:lineRule="exact"/>
        <w:rPr>
          <w:sz w:val="20"/>
          <w:szCs w:val="20"/>
          <w:color w:val="auto"/>
        </w:rPr>
      </w:pPr>
    </w:p>
    <w:p>
      <w:pPr>
        <w:ind w:left="6" w:right="220"/>
        <w:spacing w:after="0" w:line="256" w:lineRule="auto"/>
        <w:rPr>
          <w:sz w:val="20"/>
          <w:szCs w:val="20"/>
          <w:color w:val="auto"/>
        </w:rPr>
      </w:pPr>
      <w:r>
        <w:rPr>
          <w:rFonts w:ascii="Arial" w:cs="Arial" w:eastAsia="Arial" w:hAnsi="Arial"/>
          <w:sz w:val="16"/>
          <w:szCs w:val="16"/>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66" w:lineRule="exact"/>
        <w:rPr>
          <w:sz w:val="20"/>
          <w:szCs w:val="20"/>
          <w:color w:val="auto"/>
        </w:rPr>
      </w:pPr>
    </w:p>
    <w:p>
      <w:pPr>
        <w:ind w:left="6" w:right="280"/>
        <w:spacing w:after="0" w:line="300" w:lineRule="auto"/>
        <w:rPr>
          <w:sz w:val="20"/>
          <w:szCs w:val="20"/>
          <w:color w:val="auto"/>
        </w:rPr>
      </w:pPr>
      <w:r>
        <w:rPr>
          <w:rFonts w:ascii="Arial" w:cs="Arial" w:eastAsia="Arial" w:hAnsi="Arial"/>
          <w:sz w:val="15"/>
          <w:szCs w:val="15"/>
          <w:color w:val="auto"/>
        </w:rPr>
        <w:t>ALL INFORMATION REQUIRED WHETHER INDICATED BY BLANKS, BRACKETS OR OTHERWISE, MUST BE COMPLETED AT THE TIME OF DRAWING. [Please Provide The Required Forms For Review, And Attach As Schedules To The Letter Of Credit.]</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color w:val="auto"/>
        </w:rPr>
        <w:t>ALL SIGNATURES MUST BE MANUALLY EXECUTED IN ORIGINALS.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ALL BANKING CHARGES ARE FOR THE APPLICANT’S ACCOUNT.</w:t>
      </w:r>
    </w:p>
    <w:p>
      <w:pPr>
        <w:spacing w:after="0" w:line="193" w:lineRule="exact"/>
        <w:rPr>
          <w:sz w:val="20"/>
          <w:szCs w:val="20"/>
          <w:color w:val="auto"/>
        </w:rPr>
      </w:pPr>
    </w:p>
    <w:p>
      <w:pPr>
        <w:ind w:left="6" w:right="180"/>
        <w:spacing w:after="0" w:line="270" w:lineRule="auto"/>
        <w:rPr>
          <w:sz w:val="20"/>
          <w:szCs w:val="20"/>
          <w:color w:val="auto"/>
        </w:rPr>
      </w:pPr>
      <w:r>
        <w:rPr>
          <w:rFonts w:ascii="Arial" w:cs="Arial" w:eastAsia="Arial" w:hAnsi="Arial"/>
          <w:sz w:val="15"/>
          <w:szCs w:val="15"/>
          <w:color w:val="auto"/>
        </w:rPr>
        <w:t>IT IS A CONDITION OF THIS STANDBY LETTER OF CREDIT THAT IT SHALL BE DEEMED AUTOMATICALLY EXTENDED WITHOUT AMENDMENT FOR A PERIOD OF ONE YEAR FROM THE PRESENT OR ANY FUTURE EXPIRATION DATE, UNLESS AT LEAST SIXTY</w:t>
      </w:r>
    </w:p>
    <w:p>
      <w:pPr>
        <w:spacing w:after="0" w:line="1" w:lineRule="exact"/>
        <w:rPr>
          <w:sz w:val="20"/>
          <w:szCs w:val="20"/>
          <w:color w:val="auto"/>
        </w:rPr>
      </w:pPr>
    </w:p>
    <w:p>
      <w:pPr>
        <w:ind w:left="6" w:hanging="6"/>
        <w:spacing w:after="0" w:line="266" w:lineRule="auto"/>
        <w:tabs>
          <w:tab w:leader="none" w:pos="307" w:val="left"/>
        </w:tabs>
        <w:numPr>
          <w:ilvl w:val="0"/>
          <w:numId w:val="520"/>
        </w:numPr>
        <w:rPr>
          <w:rFonts w:ascii="Arial" w:cs="Arial" w:eastAsia="Arial" w:hAnsi="Arial"/>
          <w:sz w:val="15"/>
          <w:szCs w:val="15"/>
          <w:color w:val="auto"/>
        </w:rPr>
      </w:pPr>
      <w:r>
        <w:rPr>
          <w:rFonts w:ascii="Arial" w:cs="Arial" w:eastAsia="Arial" w:hAnsi="Arial"/>
          <w:sz w:val="15"/>
          <w:szCs w:val="15"/>
          <w:color w:val="auto"/>
        </w:rPr>
        <w:t>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 FINAL EXPIRATION DATE OF ___ (60 days from the Lease Expiration Date).</w:t>
      </w:r>
    </w:p>
    <w:p>
      <w:pPr>
        <w:sectPr>
          <w:pgSz w:w="11900" w:h="16838" w:orient="portrait"/>
          <w:cols w:equalWidth="0" w:num="1">
            <w:col w:w="9566"/>
          </w:cols>
          <w:pgMar w:left="1134" w:top="256" w:right="1199" w:bottom="1440" w:gutter="0" w:footer="0" w:header="0"/>
        </w:sectPr>
      </w:pPr>
    </w:p>
    <w:bookmarkStart w:id="681" w:name="page682"/>
    <w:bookmarkEnd w:id="681"/>
    <w:p>
      <w:pPr>
        <w:ind w:right="160"/>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THIS LETTER OF CREDIT MAY BE TRANSFERRED SUCCESSIVELY IN WHOLE OR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74"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ALL DRAFTS REQUIRED UNDER THIS STANDBY LETTER OF CREDIT MUST BE MARKED: “DRAWN UNDER [Insert Bank Name] STANDBY LETTER OF CREDIT NO. ___________.”</w:t>
      </w:r>
    </w:p>
    <w:p>
      <w:pPr>
        <w:spacing w:after="0" w:line="158"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HEREBY AGREE WITH YOU THAT IF DRAFTS ARE PRESENTED TO [Insert Bank Name] UNDER THIS LETTER OF CREDIT AT OR PRIOR TO [Insert Time – (</w:t>
      </w:r>
      <w:r>
        <w:rPr>
          <w:rFonts w:ascii="Arial" w:cs="Arial" w:eastAsia="Arial" w:hAnsi="Arial"/>
          <w:sz w:val="15"/>
          <w:szCs w:val="15"/>
          <w:i w:val="1"/>
          <w:iCs w:val="1"/>
          <w:color w:val="auto"/>
        </w:rPr>
        <w:t>e.g.</w:t>
      </w:r>
      <w:r>
        <w:rPr>
          <w:rFonts w:ascii="Arial" w:cs="Arial" w:eastAsia="Arial" w:hAnsi="Arial"/>
          <w:sz w:val="15"/>
          <w:szCs w:val="15"/>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 – (</w:t>
      </w:r>
      <w:r>
        <w:rPr>
          <w:rFonts w:ascii="Arial" w:cs="Arial" w:eastAsia="Arial" w:hAnsi="Arial"/>
          <w:sz w:val="15"/>
          <w:szCs w:val="15"/>
          <w:i w:val="1"/>
          <w:iCs w:val="1"/>
          <w:color w:val="auto"/>
        </w:rPr>
        <w:t>e.g.</w:t>
      </w:r>
      <w:r>
        <w:rPr>
          <w:rFonts w:ascii="Arial" w:cs="Arial" w:eastAsia="Arial" w:hAnsi="Arial"/>
          <w:sz w:val="15"/>
          <w:szCs w:val="15"/>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61" w:lineRule="exact"/>
        <w:rPr>
          <w:sz w:val="20"/>
          <w:szCs w:val="20"/>
          <w:color w:val="auto"/>
        </w:rPr>
      </w:pPr>
    </w:p>
    <w:p>
      <w:pPr>
        <w:ind w:right="300"/>
        <w:spacing w:after="0" w:line="266" w:lineRule="auto"/>
        <w:rPr>
          <w:sz w:val="20"/>
          <w:szCs w:val="20"/>
          <w:color w:val="auto"/>
        </w:rPr>
      </w:pPr>
      <w:r>
        <w:rPr>
          <w:rFonts w:ascii="Arial" w:cs="Arial" w:eastAsia="Arial" w:hAnsi="Arial"/>
          <w:sz w:val="15"/>
          <w:szCs w:val="15"/>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 OF CREDIT TO OUR FACSIMILE NUMBER, [Insert Fax Number – (___) ___-____], ATTENTION: [Insert Appropriate</w:t>
      </w:r>
    </w:p>
    <w:p>
      <w:pPr>
        <w:spacing w:after="0" w:line="1" w:lineRule="exact"/>
        <w:rPr>
          <w:sz w:val="20"/>
          <w:szCs w:val="20"/>
          <w:color w:val="auto"/>
        </w:rPr>
      </w:pPr>
    </w:p>
    <w:p>
      <w:pPr>
        <w:ind w:right="180"/>
        <w:spacing w:after="0" w:line="302" w:lineRule="auto"/>
        <w:rPr>
          <w:sz w:val="20"/>
          <w:szCs w:val="20"/>
          <w:color w:val="auto"/>
        </w:rPr>
      </w:pPr>
      <w:r>
        <w:rPr>
          <w:rFonts w:ascii="Arial" w:cs="Arial" w:eastAsia="Arial" w:hAnsi="Arial"/>
          <w:sz w:val="13"/>
          <w:szCs w:val="13"/>
          <w:color w:val="auto"/>
        </w:rPr>
        <w:t>Recipient], WITH TELEPHONIC CONFIRMATION OF OUR RECEIPT OF SUCH FACSIMILE TRANSMISSION AT OUR TELEPHONE NUMBER [Insert Telephone Number – (___) ___-____] OR TO SUCH OTHER FACSIMILE OR TELEPHONE NUMBERS, AS TO WHICH YOU</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HAVE RECEIVED 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74"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WE HEREBY ENGAGE WITH YOU THAT ALL DOCUMENT(S) DRAWN UNDER AND IN COMPLIANCE WITH THE TERMS OF THIS STANDBY LETTER OF CREDIT WILL BE DULY HONORED IF DRAWN AND PRESENTED FOR PAYMENT AT OUR OFFICE LOCATED AT [Insert Bank Name], [Insert Bank Address], ATTN: [Insert Appropriate Recipient], ON OR BEFORE THE EXPIRATION DATE OF THIS CREDIT,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___(Expiration Date)___</w:t>
      </w:r>
      <w:r>
        <w:rPr>
          <w:rFonts w:ascii="Arial" w:cs="Arial" w:eastAsia="Arial" w:hAnsi="Arial"/>
          <w:sz w:val="16"/>
          <w:szCs w:val="16"/>
          <w:color w:val="auto"/>
        </w:rPr>
        <w:t>.</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ectPr>
          <w:pgSz w:w="11900" w:h="16838" w:orient="portrait"/>
          <w:cols w:equalWidth="0" w:num="1">
            <w:col w:w="9600"/>
          </w:cols>
          <w:pgMar w:left="1140" w:top="257" w:right="1159" w:bottom="1440" w:gutter="0" w:footer="0" w:header="0"/>
        </w:sectPr>
      </w:pPr>
    </w:p>
    <w:bookmarkStart w:id="682" w:name="page683"/>
    <w:bookmarkEnd w:id="682"/>
    <w:p>
      <w:pPr>
        <w:ind w:right="619"/>
        <w:spacing w:after="0" w:line="38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EXCEPT SO FAR AS OTHERWISE EXPRESSLY STATED HEREIN, THIS STANDBY LETTER OF CREDIT IS SUBJECT TO THE “INTERNATIONAL STANDBY PRACTICES” (ISP 98) INTERNATIONAL CHAMBER OF COMMERCE (PUBLICATION NO. 590).</w:t>
      </w:r>
    </w:p>
    <w:p>
      <w:pPr>
        <w:spacing w:after="0" w:line="11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of Issuing Bank)</w:t>
      </w:r>
    </w:p>
    <w:p>
      <w:pPr>
        <w:spacing w:after="0" w:line="20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10795</wp:posOffset>
            </wp:positionV>
            <wp:extent cx="2268220"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268220" cy="7620"/>
                    </a:xfrm>
                    <a:prstGeom prst="rect">
                      <a:avLst/>
                    </a:prstGeom>
                    <a:noFill/>
                  </pic:spPr>
                </pic:pic>
              </a:graphicData>
            </a:graphic>
          </wp:anchor>
        </w:drawing>
      </w:r>
    </w:p>
    <w:p>
      <w:pPr>
        <w:sectPr>
          <w:pgSz w:w="11900" w:h="16838" w:orient="portrait"/>
          <w:cols w:equalWidth="0" w:num="1">
            <w:col w:w="9319"/>
          </w:cols>
          <w:pgMar w:left="1140" w:top="257" w:right="1440" w:bottom="1440" w:gutter="0" w:footer="0" w:header="0"/>
        </w:sectPr>
      </w:pPr>
    </w:p>
    <w:bookmarkStart w:id="683" w:name="page684"/>
    <w:bookmarkEnd w:id="683"/>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I</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ASSIGNMENT OF LEASE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ASSIGNMENT OF LEASE</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ASSIGNMENT OF LEASE (this “Agreement”) is made as of this _____ day of __________, 20__ by and between THE COLUMN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GROUP, LLC, a Delaware limited liability company (“Assignor”) and __________________ (“Assignee”).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RECITALS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HCP OYSTER POINT III LLC, as landlord, and Assignor, as tenant, executed a lease dated ____________, 2016, for the lease of premises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known as Fifth Floor, 171 Oyster Point Boulevard, South San Francisco, California (the “Lease”).</w:t>
      </w:r>
    </w:p>
    <w:p>
      <w:pPr>
        <w:spacing w:after="0" w:line="182" w:lineRule="exact"/>
        <w:rPr>
          <w:sz w:val="20"/>
          <w:szCs w:val="20"/>
          <w:color w:val="auto"/>
        </w:rPr>
      </w:pPr>
    </w:p>
    <w:p>
      <w:pPr>
        <w:ind w:right="640" w:firstLine="385"/>
        <w:spacing w:after="0" w:line="266" w:lineRule="auto"/>
        <w:rPr>
          <w:sz w:val="20"/>
          <w:szCs w:val="20"/>
          <w:color w:val="auto"/>
        </w:rPr>
      </w:pPr>
      <w:r>
        <w:rPr>
          <w:rFonts w:ascii="Arial" w:cs="Arial" w:eastAsia="Arial" w:hAnsi="Arial"/>
          <w:sz w:val="16"/>
          <w:szCs w:val="16"/>
          <w:color w:val="auto"/>
        </w:rPr>
        <w:t>B. Assignor owns at least fifty percent (50%) of the preferred shares of Assignee, and Assignee has closed on an equity financing with a commitment of not less than Thirty Million Dollars ($30,000,000).</w:t>
      </w:r>
    </w:p>
    <w:p>
      <w:pPr>
        <w:spacing w:after="0" w:line="158" w:lineRule="exact"/>
        <w:rPr>
          <w:sz w:val="20"/>
          <w:szCs w:val="20"/>
          <w:color w:val="auto"/>
        </w:rPr>
      </w:pPr>
    </w:p>
    <w:p>
      <w:pPr>
        <w:ind w:right="80" w:firstLine="385"/>
        <w:spacing w:after="0" w:line="266" w:lineRule="auto"/>
        <w:rPr>
          <w:sz w:val="20"/>
          <w:szCs w:val="20"/>
          <w:color w:val="auto"/>
        </w:rPr>
      </w:pPr>
      <w:r>
        <w:rPr>
          <w:rFonts w:ascii="Arial" w:cs="Arial" w:eastAsia="Arial" w:hAnsi="Arial"/>
          <w:sz w:val="16"/>
          <w:szCs w:val="16"/>
          <w:color w:val="auto"/>
        </w:rPr>
        <w:t>C. Assignor desires to assign its interest in the Lease to Assignee in accordance with the terms of Section 14.9 of the Lease, and Assignee desires to assume the obligations of Assignor under the Lease accruing after such assignment.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NOW, THEREFORE, for and in consideration of the foregoing premises, the Lease and the mutual covenants and agreements set forth herein,</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Assignor and Assignee agree as follows:</w:t>
      </w:r>
    </w:p>
    <w:p>
      <w:pPr>
        <w:spacing w:after="0" w:line="182" w:lineRule="exact"/>
        <w:rPr>
          <w:sz w:val="20"/>
          <w:szCs w:val="20"/>
          <w:color w:val="auto"/>
        </w:rPr>
      </w:pPr>
    </w:p>
    <w:p>
      <w:pPr>
        <w:ind w:left="540" w:hanging="162"/>
        <w:spacing w:after="0"/>
        <w:tabs>
          <w:tab w:leader="none" w:pos="540" w:val="left"/>
        </w:tabs>
        <w:numPr>
          <w:ilvl w:val="0"/>
          <w:numId w:val="521"/>
        </w:numPr>
        <w:rPr>
          <w:rFonts w:ascii="Arial" w:cs="Arial" w:eastAsia="Arial" w:hAnsi="Arial"/>
          <w:sz w:val="15"/>
          <w:szCs w:val="15"/>
          <w:color w:val="auto"/>
        </w:rPr>
      </w:pPr>
      <w:r>
        <w:rPr>
          <w:rFonts w:ascii="Arial" w:cs="Arial" w:eastAsia="Arial" w:hAnsi="Arial"/>
          <w:sz w:val="15"/>
          <w:szCs w:val="15"/>
          <w:u w:val="single" w:color="auto"/>
          <w:color w:val="auto"/>
        </w:rPr>
        <w:t>Effective Date of Assignment</w:t>
      </w:r>
      <w:r>
        <w:rPr>
          <w:rFonts w:ascii="Arial" w:cs="Arial" w:eastAsia="Arial" w:hAnsi="Arial"/>
          <w:sz w:val="15"/>
          <w:szCs w:val="15"/>
          <w:color w:val="auto"/>
        </w:rPr>
        <w:t>. The assignment in this Agreement shall take effect on the date first set forth above (the “Effective Date”).</w:t>
      </w:r>
    </w:p>
    <w:p>
      <w:pPr>
        <w:spacing w:after="0" w:line="204" w:lineRule="exact"/>
        <w:rPr>
          <w:rFonts w:ascii="Arial" w:cs="Arial" w:eastAsia="Arial" w:hAnsi="Arial"/>
          <w:sz w:val="15"/>
          <w:szCs w:val="15"/>
          <w:color w:val="auto"/>
        </w:rPr>
      </w:pPr>
    </w:p>
    <w:p>
      <w:pPr>
        <w:jc w:val="both"/>
        <w:ind w:firstLine="378"/>
        <w:spacing w:after="0" w:line="253" w:lineRule="auto"/>
        <w:tabs>
          <w:tab w:leader="none" w:pos="542" w:val="left"/>
        </w:tabs>
        <w:numPr>
          <w:ilvl w:val="0"/>
          <w:numId w:val="521"/>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 of Lease</w:t>
      </w:r>
      <w:r>
        <w:rPr>
          <w:rFonts w:ascii="Arial" w:cs="Arial" w:eastAsia="Arial" w:hAnsi="Arial"/>
          <w:sz w:val="16"/>
          <w:szCs w:val="16"/>
          <w:color w:val="auto"/>
        </w:rPr>
        <w:t>. Assignor does by these presents grant, bargain and sell, convey, transfer and assign unto Assignee all of Assignor’s right, title and interest in and to the Lease. Assignee does hereby accept the assignment of Assignor’s right, title and interest in the Lease and assumes and agrees to pay and perform all of the terms, covenants, conditions, agreements and obligations of Assignor under the Lease accruing from and after the Effective Date.</w:t>
      </w:r>
    </w:p>
    <w:p>
      <w:pPr>
        <w:spacing w:after="0" w:line="167" w:lineRule="exact"/>
        <w:rPr>
          <w:rFonts w:ascii="Arial" w:cs="Arial" w:eastAsia="Arial" w:hAnsi="Arial"/>
          <w:sz w:val="16"/>
          <w:szCs w:val="16"/>
          <w:color w:val="auto"/>
        </w:rPr>
      </w:pPr>
    </w:p>
    <w:p>
      <w:pPr>
        <w:ind w:right="200" w:firstLine="378"/>
        <w:spacing w:after="0" w:line="253" w:lineRule="auto"/>
        <w:tabs>
          <w:tab w:leader="none" w:pos="542" w:val="left"/>
        </w:tabs>
        <w:numPr>
          <w:ilvl w:val="0"/>
          <w:numId w:val="52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Assignee shall defend, indemnify, protect and hold Assignor harmless from any and all losses, damages, claims, demands, liabilities, costs and expenses, including reasonable attorneys’ fees, arising from or based upon Assignee’s violation of the Lease or the negligence or willful misconduct of Assignee or its contractors, concessionaires, licensees, agents, servants, invitees, employees or anyone else for whom Assignee may be responsible after the Effective Date.</w:t>
      </w:r>
    </w:p>
    <w:p>
      <w:pPr>
        <w:sectPr>
          <w:pgSz w:w="11900" w:h="16838" w:orient="portrait"/>
          <w:cols w:equalWidth="0" w:num="1">
            <w:col w:w="9580"/>
          </w:cols>
          <w:pgMar w:left="1140" w:top="253" w:right="1179" w:bottom="1440" w:gutter="0" w:footer="0" w:header="0"/>
        </w:sectPr>
      </w:pPr>
    </w:p>
    <w:bookmarkStart w:id="684" w:name="page685"/>
    <w:bookmarkEnd w:id="684"/>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 WITNESS WHEREOF, Assignor and Assignee have executed this Agreement as of the day and year first above written.</w:t>
      </w:r>
    </w:p>
    <w:p>
      <w:pPr>
        <w:sectPr>
          <w:pgSz w:w="11900" w:h="16838" w:orient="portrait"/>
          <w:cols w:equalWidth="0" w:num="1">
            <w:col w:w="9019"/>
          </w:cols>
          <w:pgMar w:left="1440" w:top="256" w:right="1440" w:bottom="1440" w:gutter="0" w:footer="0" w:header="0"/>
        </w:sect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00"/>
        </w:trPr>
        <w:tc>
          <w:tcPr>
            <w:tcW w:w="3360" w:type="dxa"/>
            <w:vAlign w:val="bottom"/>
            <w:gridSpan w:val="2"/>
          </w:tcPr>
          <w:p>
            <w:pPr>
              <w:spacing w:after="0"/>
              <w:rPr>
                <w:sz w:val="20"/>
                <w:szCs w:val="20"/>
                <w:color w:val="auto"/>
              </w:rPr>
            </w:pPr>
            <w:r>
              <w:rPr>
                <w:rFonts w:ascii="Arial" w:cs="Arial" w:eastAsia="Arial" w:hAnsi="Arial"/>
                <w:sz w:val="16"/>
                <w:szCs w:val="16"/>
                <w:color w:val="auto"/>
              </w:rPr>
              <w:t>ASSIGNOR:</w:t>
            </w:r>
          </w:p>
        </w:tc>
        <w:tc>
          <w:tcPr>
            <w:tcW w:w="4420" w:type="dxa"/>
            <w:vAlign w:val="bottom"/>
            <w:gridSpan w:val="3"/>
          </w:tcPr>
          <w:p>
            <w:pPr>
              <w:ind w:left="1140"/>
              <w:spacing w:after="0"/>
              <w:rPr>
                <w:sz w:val="20"/>
                <w:szCs w:val="20"/>
                <w:color w:val="auto"/>
              </w:rPr>
            </w:pPr>
            <w:r>
              <w:rPr>
                <w:rFonts w:ascii="Arial" w:cs="Arial" w:eastAsia="Arial" w:hAnsi="Arial"/>
                <w:sz w:val="16"/>
                <w:szCs w:val="16"/>
                <w:color w:val="auto"/>
              </w:rPr>
              <w:t>ASSIGNEE:</w:t>
            </w:r>
          </w:p>
        </w:tc>
      </w:tr>
      <w:tr>
        <w:trPr>
          <w:trHeight w:val="377"/>
        </w:trPr>
        <w:tc>
          <w:tcPr>
            <w:tcW w:w="3360" w:type="dxa"/>
            <w:vAlign w:val="bottom"/>
            <w:gridSpan w:val="2"/>
          </w:tcPr>
          <w:p>
            <w:pPr>
              <w:spacing w:after="0"/>
              <w:rPr>
                <w:sz w:val="20"/>
                <w:szCs w:val="20"/>
                <w:color w:val="auto"/>
              </w:rPr>
            </w:pPr>
            <w:r>
              <w:rPr>
                <w:rFonts w:ascii="Arial" w:cs="Arial" w:eastAsia="Arial" w:hAnsi="Arial"/>
                <w:sz w:val="16"/>
                <w:szCs w:val="16"/>
                <w:color w:val="auto"/>
              </w:rPr>
              <w:t>THE COLUMN GROUP, LLC,</w:t>
            </w:r>
          </w:p>
        </w:tc>
        <w:tc>
          <w:tcPr>
            <w:tcW w:w="1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180"/>
        </w:trPr>
        <w:tc>
          <w:tcPr>
            <w:tcW w:w="3360" w:type="dxa"/>
            <w:vAlign w:val="bottom"/>
            <w:gridSpan w:val="2"/>
          </w:tcPr>
          <w:p>
            <w:pPr>
              <w:spacing w:after="0" w:line="181" w:lineRule="exact"/>
              <w:rPr>
                <w:sz w:val="20"/>
                <w:szCs w:val="20"/>
                <w:color w:val="auto"/>
              </w:rPr>
            </w:pPr>
            <w:r>
              <w:rPr>
                <w:rFonts w:ascii="Arial" w:cs="Arial" w:eastAsia="Arial" w:hAnsi="Arial"/>
                <w:sz w:val="16"/>
                <w:szCs w:val="16"/>
                <w:color w:val="auto"/>
              </w:rPr>
              <w:t>a Delaware limited liability company</w:t>
            </w: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78"/>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2920" w:type="dxa"/>
            <w:vAlign w:val="bottom"/>
            <w:tcBorders>
              <w:bottom w:val="single" w:sz="8" w:color="auto"/>
            </w:tcBorders>
          </w:tcPr>
          <w:p>
            <w:pPr>
              <w:spacing w:after="0"/>
              <w:rPr>
                <w:sz w:val="24"/>
                <w:szCs w:val="24"/>
                <w:color w:val="auto"/>
              </w:rPr>
            </w:pPr>
          </w:p>
        </w:tc>
        <w:tc>
          <w:tcPr>
            <w:tcW w:w="1580" w:type="dxa"/>
            <w:vAlign w:val="bottom"/>
            <w:gridSpan w:val="2"/>
          </w:tcPr>
          <w:p>
            <w:pPr>
              <w:ind w:left="1140"/>
              <w:spacing w:after="0"/>
              <w:rPr>
                <w:sz w:val="20"/>
                <w:szCs w:val="20"/>
                <w:color w:val="auto"/>
              </w:rPr>
            </w:pPr>
            <w:r>
              <w:rPr>
                <w:rFonts w:ascii="Arial" w:cs="Arial" w:eastAsia="Arial" w:hAnsi="Arial"/>
                <w:sz w:val="16"/>
                <w:szCs w:val="16"/>
                <w:color w:val="auto"/>
              </w:rPr>
              <w:t>By:</w:t>
            </w:r>
          </w:p>
        </w:tc>
        <w:tc>
          <w:tcPr>
            <w:tcW w:w="2840" w:type="dxa"/>
            <w:vAlign w:val="bottom"/>
            <w:tcBorders>
              <w:bottom w:val="single" w:sz="8" w:color="auto"/>
            </w:tcBorders>
          </w:tcPr>
          <w:p>
            <w:pPr>
              <w:spacing w:after="0"/>
              <w:rPr>
                <w:sz w:val="24"/>
                <w:szCs w:val="24"/>
                <w:color w:val="auto"/>
              </w:rPr>
            </w:pPr>
          </w:p>
        </w:tc>
      </w:tr>
      <w:tr>
        <w:trPr>
          <w:trHeight w:val="357"/>
        </w:trPr>
        <w:tc>
          <w:tcPr>
            <w:tcW w:w="3360" w:type="dxa"/>
            <w:vAlign w:val="bottom"/>
            <w:gridSpan w:val="2"/>
          </w:tcPr>
          <w:p>
            <w:pPr>
              <w:spacing w:after="0"/>
              <w:rPr>
                <w:sz w:val="20"/>
                <w:szCs w:val="20"/>
                <w:color w:val="auto"/>
              </w:rPr>
            </w:pPr>
            <w:r>
              <w:rPr>
                <w:rFonts w:ascii="Arial" w:cs="Arial" w:eastAsia="Arial" w:hAnsi="Arial"/>
                <w:sz w:val="16"/>
                <w:szCs w:val="16"/>
                <w:color w:val="auto"/>
              </w:rPr>
              <w:t>Name:</w:t>
            </w:r>
          </w:p>
        </w:tc>
        <w:tc>
          <w:tcPr>
            <w:tcW w:w="4420" w:type="dxa"/>
            <w:vAlign w:val="bottom"/>
            <w:gridSpan w:val="3"/>
          </w:tcPr>
          <w:p>
            <w:pPr>
              <w:ind w:left="1140"/>
              <w:spacing w:after="0"/>
              <w:rPr>
                <w:sz w:val="20"/>
                <w:szCs w:val="20"/>
                <w:color w:val="auto"/>
              </w:rPr>
            </w:pPr>
            <w:r>
              <w:rPr>
                <w:rFonts w:ascii="Arial" w:cs="Arial" w:eastAsia="Arial" w:hAnsi="Arial"/>
                <w:sz w:val="16"/>
                <w:szCs w:val="16"/>
                <w:color w:val="auto"/>
              </w:rPr>
              <w:t>Name:</w:t>
            </w:r>
          </w:p>
        </w:tc>
      </w:tr>
      <w:tr>
        <w:trPr>
          <w:trHeight w:val="181"/>
        </w:trPr>
        <w:tc>
          <w:tcPr>
            <w:tcW w:w="440" w:type="dxa"/>
            <w:vAlign w:val="bottom"/>
          </w:tcPr>
          <w:p>
            <w:pPr>
              <w:spacing w:after="0" w:line="180" w:lineRule="exact"/>
              <w:rPr>
                <w:sz w:val="20"/>
                <w:szCs w:val="20"/>
                <w:color w:val="auto"/>
              </w:rPr>
            </w:pPr>
            <w:r>
              <w:rPr>
                <w:rFonts w:ascii="Arial" w:cs="Arial" w:eastAsia="Arial" w:hAnsi="Arial"/>
                <w:sz w:val="16"/>
                <w:szCs w:val="16"/>
                <w:color w:val="auto"/>
              </w:rPr>
              <w:t>Title:</w:t>
            </w:r>
          </w:p>
        </w:tc>
        <w:tc>
          <w:tcPr>
            <w:tcW w:w="2920" w:type="dxa"/>
            <w:vAlign w:val="bottom"/>
            <w:tcBorders>
              <w:top w:val="single" w:sz="8" w:color="auto"/>
              <w:bottom w:val="single" w:sz="8" w:color="auto"/>
            </w:tcBorders>
          </w:tcPr>
          <w:p>
            <w:pPr>
              <w:spacing w:after="0"/>
              <w:rPr>
                <w:sz w:val="15"/>
                <w:szCs w:val="15"/>
                <w:color w:val="auto"/>
              </w:rPr>
            </w:pPr>
          </w:p>
        </w:tc>
        <w:tc>
          <w:tcPr>
            <w:tcW w:w="1580" w:type="dxa"/>
            <w:vAlign w:val="bottom"/>
            <w:gridSpan w:val="2"/>
          </w:tcPr>
          <w:p>
            <w:pPr>
              <w:ind w:left="1140"/>
              <w:spacing w:after="0" w:line="180" w:lineRule="exact"/>
              <w:rPr>
                <w:sz w:val="20"/>
                <w:szCs w:val="20"/>
                <w:color w:val="auto"/>
              </w:rPr>
            </w:pPr>
            <w:r>
              <w:rPr>
                <w:rFonts w:ascii="Arial" w:cs="Arial" w:eastAsia="Arial" w:hAnsi="Arial"/>
                <w:sz w:val="16"/>
                <w:szCs w:val="16"/>
                <w:color w:val="auto"/>
              </w:rPr>
              <w:t>Title:</w:t>
            </w:r>
          </w:p>
        </w:tc>
        <w:tc>
          <w:tcPr>
            <w:tcW w:w="2840" w:type="dxa"/>
            <w:vAlign w:val="bottom"/>
            <w:tcBorders>
              <w:top w:val="single" w:sz="8" w:color="auto"/>
              <w:bottom w:val="single" w:sz="8" w:color="auto"/>
            </w:tcBorders>
          </w:tcPr>
          <w:p>
            <w:pPr>
              <w:spacing w:after="0"/>
              <w:rPr>
                <w:sz w:val="15"/>
                <w:szCs w:val="15"/>
                <w:color w:val="auto"/>
              </w:rPr>
            </w:pPr>
          </w:p>
        </w:tc>
      </w:tr>
    </w:tbl>
    <w:p>
      <w:pPr>
        <w:sectPr>
          <w:pgSz w:w="11900" w:h="16838" w:orient="portrait"/>
          <w:cols w:equalWidth="0" w:num="1">
            <w:col w:w="9019"/>
          </w:cols>
          <w:pgMar w:left="1440" w:top="256" w:right="1440" w:bottom="1440" w:gutter="0" w:footer="0" w:header="0"/>
          <w:type w:val="continuous"/>
        </w:sectPr>
      </w:pPr>
    </w:p>
    <w:bookmarkStart w:id="685" w:name="page686"/>
    <w:bookmarkEnd w:id="685"/>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COVE AT OYSTER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HCP OYSTER POINT III LLC,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limited liability company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Landlord,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COLUMN GROUP, LLC,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limited liability company,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Tenant.</w:t>
      </w:r>
    </w:p>
    <w:p>
      <w:pPr>
        <w:sectPr>
          <w:pgSz w:w="11900" w:h="16838" w:orient="portrait"/>
          <w:cols w:equalWidth="0" w:num="1">
            <w:col w:w="9019"/>
          </w:cols>
          <w:pgMar w:left="1440" w:top="253" w:right="1440" w:bottom="1440" w:gutter="0" w:footer="0" w:header="0"/>
        </w:sectPr>
      </w:pPr>
    </w:p>
    <w:bookmarkStart w:id="686" w:name="page687"/>
    <w:bookmarkEnd w:id="686"/>
    <w:tbl>
      <w:tblPr>
        <w:tblLayout w:type="fixed"/>
        <w:tblInd w:w="6" w:type="dxa"/>
        <w:tblCellMar>
          <w:top w:w="0" w:type="dxa"/>
          <w:left w:w="0" w:type="dxa"/>
          <w:bottom w:w="0" w:type="dxa"/>
          <w:right w:w="0" w:type="dxa"/>
        </w:tblCellMar>
      </w:tblP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1.</w:t>
            </w:r>
          </w:p>
        </w:tc>
        <w:tc>
          <w:tcPr>
            <w:tcW w:w="7480" w:type="dxa"/>
            <w:vAlign w:val="bottom"/>
          </w:tcPr>
          <w:p>
            <w:pPr>
              <w:ind w:left="40"/>
              <w:spacing w:after="0"/>
              <w:rPr>
                <w:sz w:val="20"/>
                <w:szCs w:val="20"/>
                <w:color w:val="auto"/>
              </w:rPr>
            </w:pPr>
            <w:r>
              <w:rPr>
                <w:rFonts w:ascii="Arial" w:cs="Arial" w:eastAsia="Arial" w:hAnsi="Arial"/>
                <w:sz w:val="16"/>
                <w:szCs w:val="16"/>
                <w:color w:val="auto"/>
              </w:rPr>
              <w:t>PREMISES, BUILDING, PROJECT, AND COMMON AREAS</w:t>
            </w:r>
          </w:p>
        </w:tc>
        <w:tc>
          <w:tcPr>
            <w:tcW w:w="1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2.</w:t>
            </w:r>
          </w:p>
        </w:tc>
        <w:tc>
          <w:tcPr>
            <w:tcW w:w="7480" w:type="dxa"/>
            <w:vAlign w:val="bottom"/>
          </w:tcPr>
          <w:p>
            <w:pPr>
              <w:ind w:left="40"/>
              <w:spacing w:after="0"/>
              <w:rPr>
                <w:sz w:val="20"/>
                <w:szCs w:val="20"/>
                <w:color w:val="auto"/>
              </w:rPr>
            </w:pPr>
            <w:r>
              <w:rPr>
                <w:rFonts w:ascii="Arial" w:cs="Arial" w:eastAsia="Arial" w:hAnsi="Arial"/>
                <w:sz w:val="16"/>
                <w:szCs w:val="16"/>
                <w:color w:val="auto"/>
              </w:rPr>
              <w:t>LEASE TERM; OPTION TERM</w:t>
            </w:r>
          </w:p>
        </w:tc>
        <w:tc>
          <w:tcPr>
            <w:tcW w:w="1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3.</w:t>
            </w:r>
          </w:p>
        </w:tc>
        <w:tc>
          <w:tcPr>
            <w:tcW w:w="7480" w:type="dxa"/>
            <w:vAlign w:val="bottom"/>
          </w:tcPr>
          <w:p>
            <w:pPr>
              <w:ind w:left="40"/>
              <w:spacing w:after="0"/>
              <w:rPr>
                <w:sz w:val="20"/>
                <w:szCs w:val="20"/>
                <w:color w:val="auto"/>
              </w:rPr>
            </w:pPr>
            <w:r>
              <w:rPr>
                <w:rFonts w:ascii="Arial" w:cs="Arial" w:eastAsia="Arial" w:hAnsi="Arial"/>
                <w:sz w:val="16"/>
                <w:szCs w:val="16"/>
                <w:color w:val="auto"/>
              </w:rPr>
              <w:t>BASE RENT</w:t>
            </w:r>
          </w:p>
        </w:tc>
        <w:tc>
          <w:tcPr>
            <w:tcW w:w="1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4.</w:t>
            </w:r>
          </w:p>
        </w:tc>
        <w:tc>
          <w:tcPr>
            <w:tcW w:w="7480" w:type="dxa"/>
            <w:vAlign w:val="bottom"/>
          </w:tcPr>
          <w:p>
            <w:pPr>
              <w:ind w:left="40"/>
              <w:spacing w:after="0"/>
              <w:rPr>
                <w:sz w:val="20"/>
                <w:szCs w:val="20"/>
                <w:color w:val="auto"/>
              </w:rPr>
            </w:pPr>
            <w:r>
              <w:rPr>
                <w:rFonts w:ascii="Arial" w:cs="Arial" w:eastAsia="Arial" w:hAnsi="Arial"/>
                <w:sz w:val="16"/>
                <w:szCs w:val="16"/>
                <w:color w:val="auto"/>
              </w:rPr>
              <w:t>ADDITIONAL RENT</w:t>
            </w:r>
          </w:p>
        </w:tc>
        <w:tc>
          <w:tcPr>
            <w:tcW w:w="1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5.</w:t>
            </w:r>
          </w:p>
        </w:tc>
        <w:tc>
          <w:tcPr>
            <w:tcW w:w="7480" w:type="dxa"/>
            <w:vAlign w:val="bottom"/>
          </w:tcPr>
          <w:p>
            <w:pPr>
              <w:ind w:left="40"/>
              <w:spacing w:after="0"/>
              <w:rPr>
                <w:sz w:val="20"/>
                <w:szCs w:val="20"/>
                <w:color w:val="auto"/>
              </w:rPr>
            </w:pPr>
            <w:r>
              <w:rPr>
                <w:rFonts w:ascii="Arial" w:cs="Arial" w:eastAsia="Arial" w:hAnsi="Arial"/>
                <w:sz w:val="16"/>
                <w:szCs w:val="16"/>
                <w:color w:val="auto"/>
              </w:rPr>
              <w:t>USE OF PREMISES</w:t>
            </w:r>
          </w:p>
        </w:tc>
        <w:tc>
          <w:tcPr>
            <w:tcW w:w="1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6.</w:t>
            </w:r>
          </w:p>
        </w:tc>
        <w:tc>
          <w:tcPr>
            <w:tcW w:w="7480" w:type="dxa"/>
            <w:vAlign w:val="bottom"/>
          </w:tcPr>
          <w:p>
            <w:pPr>
              <w:ind w:left="40"/>
              <w:spacing w:after="0"/>
              <w:rPr>
                <w:sz w:val="20"/>
                <w:szCs w:val="20"/>
                <w:color w:val="auto"/>
              </w:rPr>
            </w:pPr>
            <w:r>
              <w:rPr>
                <w:rFonts w:ascii="Arial" w:cs="Arial" w:eastAsia="Arial" w:hAnsi="Arial"/>
                <w:sz w:val="16"/>
                <w:szCs w:val="16"/>
                <w:color w:val="auto"/>
              </w:rPr>
              <w:t>SERVICES AND UTILITIES</w:t>
            </w:r>
          </w:p>
        </w:tc>
        <w:tc>
          <w:tcPr>
            <w:tcW w:w="18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7.</w:t>
            </w:r>
          </w:p>
        </w:tc>
        <w:tc>
          <w:tcPr>
            <w:tcW w:w="7480" w:type="dxa"/>
            <w:vAlign w:val="bottom"/>
          </w:tcPr>
          <w:p>
            <w:pPr>
              <w:ind w:left="40"/>
              <w:spacing w:after="0"/>
              <w:rPr>
                <w:sz w:val="20"/>
                <w:szCs w:val="20"/>
                <w:color w:val="auto"/>
              </w:rPr>
            </w:pPr>
            <w:r>
              <w:rPr>
                <w:rFonts w:ascii="Arial" w:cs="Arial" w:eastAsia="Arial" w:hAnsi="Arial"/>
                <w:sz w:val="16"/>
                <w:szCs w:val="16"/>
                <w:color w:val="auto"/>
              </w:rPr>
              <w:t>REPAIRS</w:t>
            </w:r>
          </w:p>
        </w:tc>
        <w:tc>
          <w:tcPr>
            <w:tcW w:w="18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8.</w:t>
            </w:r>
          </w:p>
        </w:tc>
        <w:tc>
          <w:tcPr>
            <w:tcW w:w="7480" w:type="dxa"/>
            <w:vAlign w:val="bottom"/>
          </w:tcPr>
          <w:p>
            <w:pPr>
              <w:ind w:left="40"/>
              <w:spacing w:after="0"/>
              <w:rPr>
                <w:sz w:val="20"/>
                <w:szCs w:val="20"/>
                <w:color w:val="auto"/>
              </w:rPr>
            </w:pPr>
            <w:r>
              <w:rPr>
                <w:rFonts w:ascii="Arial" w:cs="Arial" w:eastAsia="Arial" w:hAnsi="Arial"/>
                <w:sz w:val="16"/>
                <w:szCs w:val="16"/>
                <w:color w:val="auto"/>
              </w:rPr>
              <w:t>ADDITIONS AND ALTERATIONS</w:t>
            </w:r>
          </w:p>
        </w:tc>
        <w:tc>
          <w:tcPr>
            <w:tcW w:w="1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9.</w:t>
            </w:r>
          </w:p>
        </w:tc>
        <w:tc>
          <w:tcPr>
            <w:tcW w:w="7480" w:type="dxa"/>
            <w:vAlign w:val="bottom"/>
          </w:tcPr>
          <w:p>
            <w:pPr>
              <w:ind w:left="40"/>
              <w:spacing w:after="0"/>
              <w:rPr>
                <w:sz w:val="20"/>
                <w:szCs w:val="20"/>
                <w:color w:val="auto"/>
              </w:rPr>
            </w:pPr>
            <w:r>
              <w:rPr>
                <w:rFonts w:ascii="Arial" w:cs="Arial" w:eastAsia="Arial" w:hAnsi="Arial"/>
                <w:sz w:val="16"/>
                <w:szCs w:val="16"/>
                <w:color w:val="auto"/>
              </w:rPr>
              <w:t>COVENANT AGAINST LIENS</w:t>
            </w:r>
          </w:p>
        </w:tc>
        <w:tc>
          <w:tcPr>
            <w:tcW w:w="18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10.</w:t>
            </w:r>
          </w:p>
        </w:tc>
        <w:tc>
          <w:tcPr>
            <w:tcW w:w="7480" w:type="dxa"/>
            <w:vAlign w:val="bottom"/>
          </w:tcPr>
          <w:p>
            <w:pPr>
              <w:ind w:left="40"/>
              <w:spacing w:after="0"/>
              <w:rPr>
                <w:sz w:val="20"/>
                <w:szCs w:val="20"/>
                <w:color w:val="auto"/>
              </w:rPr>
            </w:pPr>
            <w:r>
              <w:rPr>
                <w:rFonts w:ascii="Arial" w:cs="Arial" w:eastAsia="Arial" w:hAnsi="Arial"/>
                <w:sz w:val="16"/>
                <w:szCs w:val="16"/>
                <w:color w:val="auto"/>
              </w:rPr>
              <w:t>INSURANCE</w:t>
            </w:r>
          </w:p>
        </w:tc>
        <w:tc>
          <w:tcPr>
            <w:tcW w:w="18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11.</w:t>
            </w:r>
          </w:p>
        </w:tc>
        <w:tc>
          <w:tcPr>
            <w:tcW w:w="7480" w:type="dxa"/>
            <w:vAlign w:val="bottom"/>
          </w:tcPr>
          <w:p>
            <w:pPr>
              <w:ind w:left="40"/>
              <w:spacing w:after="0"/>
              <w:rPr>
                <w:sz w:val="20"/>
                <w:szCs w:val="20"/>
                <w:color w:val="auto"/>
              </w:rPr>
            </w:pPr>
            <w:r>
              <w:rPr>
                <w:rFonts w:ascii="Arial" w:cs="Arial" w:eastAsia="Arial" w:hAnsi="Arial"/>
                <w:sz w:val="16"/>
                <w:szCs w:val="16"/>
                <w:color w:val="auto"/>
              </w:rPr>
              <w:t>DAMAGE AND DESTRUCTION</w:t>
            </w:r>
          </w:p>
        </w:tc>
        <w:tc>
          <w:tcPr>
            <w:tcW w:w="18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12.</w:t>
            </w:r>
          </w:p>
        </w:tc>
        <w:tc>
          <w:tcPr>
            <w:tcW w:w="7480" w:type="dxa"/>
            <w:vAlign w:val="bottom"/>
          </w:tcPr>
          <w:p>
            <w:pPr>
              <w:ind w:left="40"/>
              <w:spacing w:after="0"/>
              <w:rPr>
                <w:sz w:val="20"/>
                <w:szCs w:val="20"/>
                <w:color w:val="auto"/>
              </w:rPr>
            </w:pPr>
            <w:r>
              <w:rPr>
                <w:rFonts w:ascii="Arial" w:cs="Arial" w:eastAsia="Arial" w:hAnsi="Arial"/>
                <w:sz w:val="16"/>
                <w:szCs w:val="16"/>
                <w:color w:val="auto"/>
              </w:rPr>
              <w:t>NONWAIVER</w:t>
            </w: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13.</w:t>
            </w:r>
          </w:p>
        </w:tc>
        <w:tc>
          <w:tcPr>
            <w:tcW w:w="7480" w:type="dxa"/>
            <w:vAlign w:val="bottom"/>
          </w:tcPr>
          <w:p>
            <w:pPr>
              <w:ind w:left="40"/>
              <w:spacing w:after="0"/>
              <w:rPr>
                <w:sz w:val="20"/>
                <w:szCs w:val="20"/>
                <w:color w:val="auto"/>
              </w:rPr>
            </w:pPr>
            <w:r>
              <w:rPr>
                <w:rFonts w:ascii="Arial" w:cs="Arial" w:eastAsia="Arial" w:hAnsi="Arial"/>
                <w:sz w:val="16"/>
                <w:szCs w:val="16"/>
                <w:color w:val="auto"/>
              </w:rPr>
              <w:t>CONDEMNATION</w:t>
            </w: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14.</w:t>
            </w:r>
          </w:p>
        </w:tc>
        <w:tc>
          <w:tcPr>
            <w:tcW w:w="7480" w:type="dxa"/>
            <w:vAlign w:val="bottom"/>
          </w:tcPr>
          <w:p>
            <w:pPr>
              <w:ind w:left="40"/>
              <w:spacing w:after="0"/>
              <w:rPr>
                <w:sz w:val="20"/>
                <w:szCs w:val="20"/>
                <w:color w:val="auto"/>
              </w:rPr>
            </w:pPr>
            <w:r>
              <w:rPr>
                <w:rFonts w:ascii="Arial" w:cs="Arial" w:eastAsia="Arial" w:hAnsi="Arial"/>
                <w:sz w:val="16"/>
                <w:szCs w:val="16"/>
                <w:color w:val="auto"/>
              </w:rPr>
              <w:t>ASSIGNMENT AND SUBLETTING</w:t>
            </w: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15.</w:t>
            </w:r>
          </w:p>
        </w:tc>
        <w:tc>
          <w:tcPr>
            <w:tcW w:w="7480" w:type="dxa"/>
            <w:vAlign w:val="bottom"/>
          </w:tcPr>
          <w:p>
            <w:pPr>
              <w:ind w:left="40"/>
              <w:spacing w:after="0"/>
              <w:rPr>
                <w:sz w:val="20"/>
                <w:szCs w:val="20"/>
                <w:color w:val="auto"/>
              </w:rPr>
            </w:pPr>
            <w:r>
              <w:rPr>
                <w:rFonts w:ascii="Arial" w:cs="Arial" w:eastAsia="Arial" w:hAnsi="Arial"/>
                <w:sz w:val="16"/>
                <w:szCs w:val="16"/>
                <w:color w:val="auto"/>
              </w:rPr>
              <w:t>SURRENDER OF PREMISES; OWNERSHIP AND REMOVAL OF TRADE FIXTURES</w:t>
            </w:r>
          </w:p>
        </w:tc>
        <w:tc>
          <w:tcPr>
            <w:tcW w:w="1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16.</w:t>
            </w:r>
          </w:p>
        </w:tc>
        <w:tc>
          <w:tcPr>
            <w:tcW w:w="7480" w:type="dxa"/>
            <w:vAlign w:val="bottom"/>
          </w:tcPr>
          <w:p>
            <w:pPr>
              <w:ind w:left="40"/>
              <w:spacing w:after="0"/>
              <w:rPr>
                <w:sz w:val="20"/>
                <w:szCs w:val="20"/>
                <w:color w:val="auto"/>
              </w:rPr>
            </w:pPr>
            <w:r>
              <w:rPr>
                <w:rFonts w:ascii="Arial" w:cs="Arial" w:eastAsia="Arial" w:hAnsi="Arial"/>
                <w:sz w:val="16"/>
                <w:szCs w:val="16"/>
                <w:color w:val="auto"/>
              </w:rPr>
              <w:t>HOLDING OVER</w:t>
            </w:r>
          </w:p>
        </w:tc>
        <w:tc>
          <w:tcPr>
            <w:tcW w:w="1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17.</w:t>
            </w:r>
          </w:p>
        </w:tc>
        <w:tc>
          <w:tcPr>
            <w:tcW w:w="7480" w:type="dxa"/>
            <w:vAlign w:val="bottom"/>
          </w:tcPr>
          <w:p>
            <w:pPr>
              <w:ind w:left="40"/>
              <w:spacing w:after="0"/>
              <w:rPr>
                <w:sz w:val="20"/>
                <w:szCs w:val="20"/>
                <w:color w:val="auto"/>
              </w:rPr>
            </w:pPr>
            <w:r>
              <w:rPr>
                <w:rFonts w:ascii="Arial" w:cs="Arial" w:eastAsia="Arial" w:hAnsi="Arial"/>
                <w:sz w:val="16"/>
                <w:szCs w:val="16"/>
                <w:color w:val="auto"/>
              </w:rPr>
              <w:t>ESTOPPEL CERTIFICATES</w:t>
            </w:r>
          </w:p>
        </w:tc>
        <w:tc>
          <w:tcPr>
            <w:tcW w:w="1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18.</w:t>
            </w:r>
          </w:p>
        </w:tc>
        <w:tc>
          <w:tcPr>
            <w:tcW w:w="7480" w:type="dxa"/>
            <w:vAlign w:val="bottom"/>
          </w:tcPr>
          <w:p>
            <w:pPr>
              <w:ind w:left="40"/>
              <w:spacing w:after="0"/>
              <w:rPr>
                <w:sz w:val="20"/>
                <w:szCs w:val="20"/>
                <w:color w:val="auto"/>
              </w:rPr>
            </w:pPr>
            <w:r>
              <w:rPr>
                <w:rFonts w:ascii="Arial" w:cs="Arial" w:eastAsia="Arial" w:hAnsi="Arial"/>
                <w:sz w:val="16"/>
                <w:szCs w:val="16"/>
                <w:color w:val="auto"/>
              </w:rPr>
              <w:t>SUBORDINATION</w:t>
            </w:r>
          </w:p>
        </w:tc>
        <w:tc>
          <w:tcPr>
            <w:tcW w:w="1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19.</w:t>
            </w:r>
          </w:p>
        </w:tc>
        <w:tc>
          <w:tcPr>
            <w:tcW w:w="7480" w:type="dxa"/>
            <w:vAlign w:val="bottom"/>
          </w:tcPr>
          <w:p>
            <w:pPr>
              <w:ind w:left="40"/>
              <w:spacing w:after="0"/>
              <w:rPr>
                <w:sz w:val="20"/>
                <w:szCs w:val="20"/>
                <w:color w:val="auto"/>
              </w:rPr>
            </w:pPr>
            <w:r>
              <w:rPr>
                <w:rFonts w:ascii="Arial" w:cs="Arial" w:eastAsia="Arial" w:hAnsi="Arial"/>
                <w:sz w:val="16"/>
                <w:szCs w:val="16"/>
                <w:color w:val="auto"/>
              </w:rPr>
              <w:t>DEFAULTS; REMEDIES</w:t>
            </w:r>
          </w:p>
        </w:tc>
        <w:tc>
          <w:tcPr>
            <w:tcW w:w="1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20.</w:t>
            </w:r>
          </w:p>
        </w:tc>
        <w:tc>
          <w:tcPr>
            <w:tcW w:w="7480" w:type="dxa"/>
            <w:vAlign w:val="bottom"/>
          </w:tcPr>
          <w:p>
            <w:pPr>
              <w:ind w:left="40"/>
              <w:spacing w:after="0"/>
              <w:rPr>
                <w:sz w:val="20"/>
                <w:szCs w:val="20"/>
                <w:color w:val="auto"/>
              </w:rPr>
            </w:pPr>
            <w:r>
              <w:rPr>
                <w:rFonts w:ascii="Arial" w:cs="Arial" w:eastAsia="Arial" w:hAnsi="Arial"/>
                <w:sz w:val="16"/>
                <w:szCs w:val="16"/>
                <w:color w:val="auto"/>
              </w:rPr>
              <w:t>COVENANT OF QUIET ENJOYMENT</w:t>
            </w:r>
          </w:p>
        </w:tc>
        <w:tc>
          <w:tcPr>
            <w:tcW w:w="18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21.</w:t>
            </w:r>
          </w:p>
        </w:tc>
        <w:tc>
          <w:tcPr>
            <w:tcW w:w="7480" w:type="dxa"/>
            <w:vAlign w:val="bottom"/>
          </w:tcPr>
          <w:p>
            <w:pPr>
              <w:ind w:left="40"/>
              <w:spacing w:after="0"/>
              <w:rPr>
                <w:sz w:val="20"/>
                <w:szCs w:val="20"/>
                <w:color w:val="auto"/>
              </w:rPr>
            </w:pPr>
            <w:r>
              <w:rPr>
                <w:rFonts w:ascii="Arial" w:cs="Arial" w:eastAsia="Arial" w:hAnsi="Arial"/>
                <w:sz w:val="16"/>
                <w:szCs w:val="16"/>
                <w:color w:val="auto"/>
              </w:rPr>
              <w:t>LETTER OF CREDIT</w:t>
            </w:r>
          </w:p>
        </w:tc>
        <w:tc>
          <w:tcPr>
            <w:tcW w:w="18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22.</w:t>
            </w:r>
          </w:p>
        </w:tc>
        <w:tc>
          <w:tcPr>
            <w:tcW w:w="7480" w:type="dxa"/>
            <w:vAlign w:val="bottom"/>
          </w:tcPr>
          <w:p>
            <w:pPr>
              <w:ind w:left="40"/>
              <w:spacing w:after="0"/>
              <w:rPr>
                <w:sz w:val="20"/>
                <w:szCs w:val="20"/>
                <w:color w:val="auto"/>
              </w:rPr>
            </w:pPr>
            <w:r>
              <w:rPr>
                <w:rFonts w:ascii="Arial" w:cs="Arial" w:eastAsia="Arial" w:hAnsi="Arial"/>
                <w:sz w:val="16"/>
                <w:szCs w:val="16"/>
                <w:color w:val="auto"/>
              </w:rPr>
              <w:t>COMMUNICATIONS AND COMPUTER LINE</w:t>
            </w:r>
          </w:p>
        </w:tc>
        <w:tc>
          <w:tcPr>
            <w:tcW w:w="18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23.</w:t>
            </w:r>
          </w:p>
        </w:tc>
        <w:tc>
          <w:tcPr>
            <w:tcW w:w="7480" w:type="dxa"/>
            <w:vAlign w:val="bottom"/>
          </w:tcPr>
          <w:p>
            <w:pPr>
              <w:ind w:left="40"/>
              <w:spacing w:after="0"/>
              <w:rPr>
                <w:sz w:val="20"/>
                <w:szCs w:val="20"/>
                <w:color w:val="auto"/>
              </w:rPr>
            </w:pPr>
            <w:r>
              <w:rPr>
                <w:rFonts w:ascii="Arial" w:cs="Arial" w:eastAsia="Arial" w:hAnsi="Arial"/>
                <w:sz w:val="16"/>
                <w:szCs w:val="16"/>
                <w:color w:val="auto"/>
              </w:rPr>
              <w:t>SIGNS</w:t>
            </w:r>
          </w:p>
        </w:tc>
        <w:tc>
          <w:tcPr>
            <w:tcW w:w="18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24.</w:t>
            </w:r>
          </w:p>
        </w:tc>
        <w:tc>
          <w:tcPr>
            <w:tcW w:w="7480" w:type="dxa"/>
            <w:vAlign w:val="bottom"/>
          </w:tcPr>
          <w:p>
            <w:pPr>
              <w:ind w:left="40"/>
              <w:spacing w:after="0"/>
              <w:rPr>
                <w:sz w:val="20"/>
                <w:szCs w:val="20"/>
                <w:color w:val="auto"/>
              </w:rPr>
            </w:pPr>
            <w:r>
              <w:rPr>
                <w:rFonts w:ascii="Arial" w:cs="Arial" w:eastAsia="Arial" w:hAnsi="Arial"/>
                <w:sz w:val="16"/>
                <w:szCs w:val="16"/>
                <w:color w:val="auto"/>
              </w:rPr>
              <w:t>COMPLIANCE WITH LAW</w:t>
            </w:r>
          </w:p>
        </w:tc>
        <w:tc>
          <w:tcPr>
            <w:tcW w:w="1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25.</w:t>
            </w:r>
          </w:p>
        </w:tc>
        <w:tc>
          <w:tcPr>
            <w:tcW w:w="7480" w:type="dxa"/>
            <w:vAlign w:val="bottom"/>
          </w:tcPr>
          <w:p>
            <w:pPr>
              <w:ind w:left="40"/>
              <w:spacing w:after="0"/>
              <w:rPr>
                <w:sz w:val="20"/>
                <w:szCs w:val="20"/>
                <w:color w:val="auto"/>
              </w:rPr>
            </w:pPr>
            <w:r>
              <w:rPr>
                <w:rFonts w:ascii="Arial" w:cs="Arial" w:eastAsia="Arial" w:hAnsi="Arial"/>
                <w:sz w:val="16"/>
                <w:szCs w:val="16"/>
                <w:color w:val="auto"/>
              </w:rPr>
              <w:t>LATE CHARGES</w:t>
            </w:r>
          </w:p>
        </w:tc>
        <w:tc>
          <w:tcPr>
            <w:tcW w:w="1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26.</w:t>
            </w:r>
          </w:p>
        </w:tc>
        <w:tc>
          <w:tcPr>
            <w:tcW w:w="7480" w:type="dxa"/>
            <w:vAlign w:val="bottom"/>
          </w:tcPr>
          <w:p>
            <w:pPr>
              <w:ind w:left="40"/>
              <w:spacing w:after="0"/>
              <w:rPr>
                <w:sz w:val="20"/>
                <w:szCs w:val="20"/>
                <w:color w:val="auto"/>
              </w:rPr>
            </w:pPr>
            <w:r>
              <w:rPr>
                <w:rFonts w:ascii="Arial" w:cs="Arial" w:eastAsia="Arial" w:hAnsi="Arial"/>
                <w:sz w:val="16"/>
                <w:szCs w:val="16"/>
                <w:color w:val="auto"/>
              </w:rPr>
              <w:t>LANDLORD’S RIGHT TO CURE DEFAULT; PAYMENTS BY TENANT</w:t>
            </w:r>
          </w:p>
        </w:tc>
        <w:tc>
          <w:tcPr>
            <w:tcW w:w="1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27.</w:t>
            </w:r>
          </w:p>
        </w:tc>
        <w:tc>
          <w:tcPr>
            <w:tcW w:w="7480" w:type="dxa"/>
            <w:vAlign w:val="bottom"/>
          </w:tcPr>
          <w:p>
            <w:pPr>
              <w:ind w:left="40"/>
              <w:spacing w:after="0"/>
              <w:rPr>
                <w:sz w:val="20"/>
                <w:szCs w:val="20"/>
                <w:color w:val="auto"/>
              </w:rPr>
            </w:pPr>
            <w:r>
              <w:rPr>
                <w:rFonts w:ascii="Arial" w:cs="Arial" w:eastAsia="Arial" w:hAnsi="Arial"/>
                <w:sz w:val="16"/>
                <w:szCs w:val="16"/>
                <w:color w:val="auto"/>
              </w:rPr>
              <w:t>ENTRY BY LANDLORD</w:t>
            </w:r>
          </w:p>
        </w:tc>
        <w:tc>
          <w:tcPr>
            <w:tcW w:w="18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28.</w:t>
            </w:r>
          </w:p>
        </w:tc>
        <w:tc>
          <w:tcPr>
            <w:tcW w:w="7480" w:type="dxa"/>
            <w:vAlign w:val="bottom"/>
          </w:tcPr>
          <w:p>
            <w:pPr>
              <w:ind w:left="40"/>
              <w:spacing w:after="0"/>
              <w:rPr>
                <w:sz w:val="20"/>
                <w:szCs w:val="20"/>
                <w:color w:val="auto"/>
              </w:rPr>
            </w:pPr>
            <w:r>
              <w:rPr>
                <w:rFonts w:ascii="Arial" w:cs="Arial" w:eastAsia="Arial" w:hAnsi="Arial"/>
                <w:sz w:val="16"/>
                <w:szCs w:val="16"/>
                <w:color w:val="auto"/>
              </w:rPr>
              <w:t>TENANT PARKING</w:t>
            </w:r>
          </w:p>
        </w:tc>
        <w:tc>
          <w:tcPr>
            <w:tcW w:w="18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4"/>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29.</w:t>
            </w:r>
          </w:p>
        </w:tc>
        <w:tc>
          <w:tcPr>
            <w:tcW w:w="7480" w:type="dxa"/>
            <w:vAlign w:val="bottom"/>
          </w:tcPr>
          <w:p>
            <w:pPr>
              <w:ind w:left="40"/>
              <w:spacing w:after="0"/>
              <w:rPr>
                <w:sz w:val="20"/>
                <w:szCs w:val="20"/>
                <w:color w:val="auto"/>
              </w:rPr>
            </w:pPr>
            <w:r>
              <w:rPr>
                <w:rFonts w:ascii="Arial" w:cs="Arial" w:eastAsia="Arial" w:hAnsi="Arial"/>
                <w:sz w:val="16"/>
                <w:szCs w:val="16"/>
                <w:color w:val="auto"/>
              </w:rPr>
              <w:t>MISCELLANEOUS PROVISIONS</w:t>
            </w:r>
          </w:p>
        </w:tc>
        <w:tc>
          <w:tcPr>
            <w:tcW w:w="184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EXHIBITS</w:t>
      </w:r>
    </w:p>
    <w:p>
      <w:pPr>
        <w:spacing w:after="0" w:line="193" w:lineRule="exact"/>
        <w:rPr>
          <w:sz w:val="20"/>
          <w:szCs w:val="20"/>
          <w:color w:val="auto"/>
        </w:rPr>
      </w:pPr>
    </w:p>
    <w:p>
      <w:pPr>
        <w:ind w:left="6" w:right="7460" w:hanging="6"/>
        <w:spacing w:after="0" w:line="270" w:lineRule="auto"/>
        <w:tabs>
          <w:tab w:leader="none" w:pos="348" w:val="left"/>
        </w:tabs>
        <w:numPr>
          <w:ilvl w:val="0"/>
          <w:numId w:val="522"/>
        </w:numPr>
        <w:rPr>
          <w:rFonts w:ascii="Arial" w:cs="Arial" w:eastAsia="Arial" w:hAnsi="Arial"/>
          <w:sz w:val="15"/>
          <w:szCs w:val="15"/>
          <w:color w:val="auto"/>
        </w:rPr>
      </w:pPr>
      <w:r>
        <w:rPr>
          <w:rFonts w:ascii="Arial" w:cs="Arial" w:eastAsia="Arial" w:hAnsi="Arial"/>
          <w:sz w:val="15"/>
          <w:szCs w:val="15"/>
          <w:color w:val="auto"/>
        </w:rPr>
        <w:t>OUTLINE OF PREMISES B TENANT WORK LETTER</w:t>
      </w:r>
    </w:p>
    <w:p>
      <w:pPr>
        <w:ind w:left="6"/>
        <w:spacing w:after="0"/>
        <w:rPr>
          <w:rFonts w:ascii="Arial" w:cs="Arial" w:eastAsia="Arial" w:hAnsi="Arial"/>
          <w:sz w:val="15"/>
          <w:szCs w:val="15"/>
          <w:color w:val="auto"/>
        </w:rPr>
      </w:pPr>
      <w:r>
        <w:rPr>
          <w:rFonts w:ascii="Arial" w:cs="Arial" w:eastAsia="Arial" w:hAnsi="Arial"/>
          <w:sz w:val="16"/>
          <w:szCs w:val="16"/>
          <w:color w:val="auto"/>
        </w:rPr>
        <w:t>C   FORM OF NOTICE OF LEASE TERM DATES</w:t>
      </w:r>
    </w:p>
    <w:p>
      <w:pPr>
        <w:spacing w:after="0" w:line="4" w:lineRule="exact"/>
        <w:rPr>
          <w:rFonts w:ascii="Arial" w:cs="Arial" w:eastAsia="Arial" w:hAnsi="Arial"/>
          <w:sz w:val="15"/>
          <w:szCs w:val="15"/>
          <w:color w:val="auto"/>
        </w:rPr>
      </w:pPr>
    </w:p>
    <w:p>
      <w:pPr>
        <w:ind w:left="6" w:right="5920"/>
        <w:spacing w:after="0" w:line="262" w:lineRule="auto"/>
        <w:rPr>
          <w:rFonts w:ascii="Arial" w:cs="Arial" w:eastAsia="Arial" w:hAnsi="Arial"/>
          <w:sz w:val="15"/>
          <w:szCs w:val="15"/>
          <w:color w:val="auto"/>
        </w:rPr>
      </w:pPr>
      <w:r>
        <w:rPr>
          <w:rFonts w:ascii="Arial" w:cs="Arial" w:eastAsia="Arial" w:hAnsi="Arial"/>
          <w:sz w:val="15"/>
          <w:szCs w:val="15"/>
          <w:color w:val="auto"/>
        </w:rPr>
        <w:t>D FORM OF TENANT’S ESTOPPEL CERTIFICATE E ENVIRONMENTAL QUESTIONNAIRE</w:t>
      </w:r>
    </w:p>
    <w:p>
      <w:pPr>
        <w:ind w:left="6"/>
        <w:spacing w:after="0"/>
        <w:rPr>
          <w:rFonts w:ascii="Arial" w:cs="Arial" w:eastAsia="Arial" w:hAnsi="Arial"/>
          <w:sz w:val="15"/>
          <w:szCs w:val="15"/>
          <w:color w:val="auto"/>
        </w:rPr>
      </w:pPr>
      <w:r>
        <w:rPr>
          <w:rFonts w:ascii="Arial" w:cs="Arial" w:eastAsia="Arial" w:hAnsi="Arial"/>
          <w:sz w:val="16"/>
          <w:szCs w:val="16"/>
          <w:color w:val="auto"/>
        </w:rPr>
        <w:t>F   TENANT’S PROPERTY</w:t>
      </w:r>
    </w:p>
    <w:p>
      <w:pPr>
        <w:spacing w:after="0" w:line="4" w:lineRule="exact"/>
        <w:rPr>
          <w:rFonts w:ascii="Arial" w:cs="Arial" w:eastAsia="Arial" w:hAnsi="Arial"/>
          <w:sz w:val="15"/>
          <w:szCs w:val="15"/>
          <w:color w:val="auto"/>
        </w:rPr>
      </w:pPr>
    </w:p>
    <w:p>
      <w:pPr>
        <w:ind w:left="6" w:right="4480"/>
        <w:spacing w:after="0" w:line="252" w:lineRule="auto"/>
        <w:rPr>
          <w:rFonts w:ascii="Arial" w:cs="Arial" w:eastAsia="Arial" w:hAnsi="Arial"/>
          <w:sz w:val="15"/>
          <w:szCs w:val="15"/>
          <w:color w:val="auto"/>
        </w:rPr>
      </w:pPr>
      <w:r>
        <w:rPr>
          <w:rFonts w:ascii="Arial" w:cs="Arial" w:eastAsia="Arial" w:hAnsi="Arial"/>
          <w:sz w:val="16"/>
          <w:szCs w:val="16"/>
          <w:color w:val="auto"/>
        </w:rPr>
        <w:t>G FORM OF AMENDMENT RE: ADDITIONAL MONTHLY BASE RENT H FORM OF LETTER OF CREDIT</w:t>
      </w:r>
    </w:p>
    <w:p>
      <w:pPr>
        <w:sectPr>
          <w:pgSz w:w="11900" w:h="16838" w:orient="portrait"/>
          <w:cols w:equalWidth="0" w:num="1">
            <w:col w:w="9566"/>
          </w:cols>
          <w:pgMar w:left="1134" w:top="253" w:right="1199" w:bottom="1440" w:gutter="0" w:footer="0" w:header="0"/>
        </w:sectPr>
      </w:pPr>
    </w:p>
    <w:bookmarkStart w:id="687" w:name="page688"/>
    <w:bookmarkEnd w:id="687"/>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Accountant</w:t>
            </w:r>
          </w:p>
        </w:tc>
        <w:tc>
          <w:tcPr>
            <w:tcW w:w="39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Advocate Arbitrators</w:t>
            </w:r>
          </w:p>
        </w:tc>
        <w:tc>
          <w:tcPr>
            <w:tcW w:w="3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Alterations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Base Building</w:t>
            </w:r>
          </w:p>
        </w:tc>
        <w:tc>
          <w:tcPr>
            <w:tcW w:w="39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Base Rent</w:t>
            </w:r>
          </w:p>
        </w:tc>
        <w:tc>
          <w:tcPr>
            <w:tcW w:w="3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Brokers</w:t>
            </w:r>
          </w:p>
        </w:tc>
        <w:tc>
          <w:tcPr>
            <w:tcW w:w="3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Building</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Building Systems</w:t>
            </w:r>
          </w:p>
        </w:tc>
        <w:tc>
          <w:tcPr>
            <w:tcW w:w="3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Common Areas</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Comparable Buildings</w:t>
            </w:r>
          </w:p>
        </w:tc>
        <w:tc>
          <w:tcPr>
            <w:tcW w:w="3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Contemplated Effective Date</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Contemplated Transfer Space</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Direct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Disputed Amounts</w:t>
            </w:r>
          </w:p>
        </w:tc>
        <w:tc>
          <w:tcPr>
            <w:tcW w:w="3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Energy Disclosure Information</w:t>
            </w:r>
          </w:p>
        </w:tc>
        <w:tc>
          <w:tcPr>
            <w:tcW w:w="3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Energy Disclosure Requirements</w:t>
            </w:r>
          </w:p>
        </w:tc>
        <w:tc>
          <w:tcPr>
            <w:tcW w:w="3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Estimate</w:t>
            </w:r>
          </w:p>
        </w:tc>
        <w:tc>
          <w:tcPr>
            <w:tcW w:w="3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Estimate Statement</w:t>
            </w:r>
          </w:p>
        </w:tc>
        <w:tc>
          <w:tcPr>
            <w:tcW w:w="3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Estimated Direct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Excepted Matters</w:t>
            </w:r>
          </w:p>
        </w:tc>
        <w:tc>
          <w:tcPr>
            <w:tcW w:w="39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Expense Year</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Force Majeure</w:t>
            </w:r>
          </w:p>
        </w:tc>
        <w:tc>
          <w:tcPr>
            <w:tcW w:w="3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Generator</w:t>
            </w:r>
          </w:p>
        </w:tc>
        <w:tc>
          <w:tcPr>
            <w:tcW w:w="3940" w:type="dxa"/>
            <w:vAlign w:val="bottom"/>
          </w:tcPr>
          <w:p>
            <w:pPr>
              <w:jc w:val="right"/>
              <w:spacing w:after="0"/>
              <w:rPr>
                <w:sz w:val="20"/>
                <w:szCs w:val="20"/>
                <w:color w:val="auto"/>
              </w:rPr>
            </w:pPr>
            <w:r>
              <w:rPr>
                <w:rFonts w:ascii="Arial" w:cs="Arial" w:eastAsia="Arial" w:hAnsi="Arial"/>
                <w:sz w:val="16"/>
                <w:szCs w:val="16"/>
                <w:color w:val="auto"/>
              </w:rPr>
              <w:t>18, 19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Intention to Transfer Notice</w:t>
            </w:r>
          </w:p>
        </w:tc>
        <w:tc>
          <w:tcPr>
            <w:tcW w:w="3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Landlord</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Landlord Parties</w:t>
            </w:r>
          </w:p>
        </w:tc>
        <w:tc>
          <w:tcPr>
            <w:tcW w:w="3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Landlord Repair Obligations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L-C</w:t>
            </w:r>
          </w:p>
        </w:tc>
        <w:tc>
          <w:tcPr>
            <w:tcW w:w="39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L-C Amount</w:t>
            </w:r>
          </w:p>
        </w:tc>
        <w:tc>
          <w:tcPr>
            <w:tcW w:w="39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Commencement Date</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Expiration Date</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Term</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Year</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Lines</w:t>
            </w:r>
          </w:p>
        </w:tc>
        <w:tc>
          <w:tcPr>
            <w:tcW w:w="3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Mail</w:t>
            </w:r>
          </w:p>
        </w:tc>
        <w:tc>
          <w:tcPr>
            <w:tcW w:w="3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Net Worth</w:t>
            </w:r>
          </w:p>
        </w:tc>
        <w:tc>
          <w:tcPr>
            <w:tcW w:w="3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Neutral Arbitrator</w:t>
            </w:r>
          </w:p>
        </w:tc>
        <w:tc>
          <w:tcPr>
            <w:tcW w:w="3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Nine Month Period</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Notices</w:t>
            </w:r>
          </w:p>
        </w:tc>
        <w:tc>
          <w:tcPr>
            <w:tcW w:w="3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Objectionable Name</w:t>
            </w:r>
          </w:p>
        </w:tc>
        <w:tc>
          <w:tcPr>
            <w:tcW w:w="3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Operating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Option Conditions</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Option Rent</w:t>
            </w:r>
          </w:p>
        </w:tc>
        <w:tc>
          <w:tcPr>
            <w:tcW w:w="3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Option Term</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Outside Agreement Date</w:t>
            </w:r>
          </w:p>
        </w:tc>
        <w:tc>
          <w:tcPr>
            <w:tcW w:w="3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Premises</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Project,</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Sign Specifications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Statement</w:t>
            </w:r>
          </w:p>
        </w:tc>
        <w:tc>
          <w:tcPr>
            <w:tcW w:w="3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Subject Space</w:t>
            </w:r>
          </w:p>
        </w:tc>
        <w:tc>
          <w:tcPr>
            <w:tcW w:w="3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Summary</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0"/>
        </w:trPr>
        <w:tc>
          <w:tcPr>
            <w:tcW w:w="5620" w:type="dxa"/>
            <w:vAlign w:val="bottom"/>
          </w:tcPr>
          <w:p>
            <w:pPr>
              <w:spacing w:after="0"/>
              <w:rPr>
                <w:sz w:val="20"/>
                <w:szCs w:val="20"/>
                <w:color w:val="auto"/>
              </w:rPr>
            </w:pPr>
            <w:r>
              <w:rPr>
                <w:rFonts w:ascii="Arial" w:cs="Arial" w:eastAsia="Arial" w:hAnsi="Arial"/>
                <w:sz w:val="16"/>
                <w:szCs w:val="16"/>
                <w:color w:val="auto"/>
              </w:rPr>
              <w:t>Tax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10</w:t>
            </w:r>
          </w:p>
        </w:tc>
      </w:tr>
    </w:tbl>
    <w:p>
      <w:pPr>
        <w:jc w:val="right"/>
        <w:spacing w:after="0"/>
        <w:rPr>
          <w:sz w:val="20"/>
          <w:szCs w:val="20"/>
          <w:color w:val="auto"/>
        </w:rPr>
        <w:sectPr>
          <w:pgSz w:w="11900" w:h="16838" w:orient="portrait"/>
          <w:cols w:equalWidth="0" w:num="1">
            <w:col w:w="9560"/>
          </w:cols>
          <w:pgMar w:left="1140" w:top="257" w:right="119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bookmarkStart w:id="688" w:name="page689"/>
    <w:bookmarkEnd w:id="688"/>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w:t>
            </w:r>
          </w:p>
        </w:tc>
        <w:tc>
          <w:tcPr>
            <w:tcW w:w="3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 Energy Use Disclosure</w:t>
            </w:r>
          </w:p>
        </w:tc>
        <w:tc>
          <w:tcPr>
            <w:tcW w:w="3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 Signage</w:t>
            </w:r>
          </w:p>
        </w:tc>
        <w:tc>
          <w:tcPr>
            <w:tcW w:w="3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 Work Letter</w:t>
            </w:r>
          </w:p>
        </w:tc>
        <w:tc>
          <w:tcPr>
            <w:tcW w:w="3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Tenant’s Accountant</w:t>
            </w:r>
          </w:p>
        </w:tc>
        <w:tc>
          <w:tcPr>
            <w:tcW w:w="3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Tenant’s Repair Obligations</w:t>
            </w:r>
          </w:p>
        </w:tc>
        <w:tc>
          <w:tcPr>
            <w:tcW w:w="3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Tenant’s Share</w:t>
            </w:r>
          </w:p>
        </w:tc>
        <w:tc>
          <w:tcPr>
            <w:tcW w:w="3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Transfer Notice</w:t>
            </w:r>
          </w:p>
        </w:tc>
        <w:tc>
          <w:tcPr>
            <w:tcW w:w="3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Transfer Premium</w:t>
            </w:r>
          </w:p>
        </w:tc>
        <w:tc>
          <w:tcPr>
            <w:tcW w:w="3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0"/>
        </w:trPr>
        <w:tc>
          <w:tcPr>
            <w:tcW w:w="5660" w:type="dxa"/>
            <w:vAlign w:val="bottom"/>
          </w:tcPr>
          <w:p>
            <w:pPr>
              <w:spacing w:after="0"/>
              <w:rPr>
                <w:sz w:val="20"/>
                <w:szCs w:val="20"/>
                <w:color w:val="auto"/>
              </w:rPr>
            </w:pPr>
            <w:r>
              <w:rPr>
                <w:rFonts w:ascii="Arial" w:cs="Arial" w:eastAsia="Arial" w:hAnsi="Arial"/>
                <w:sz w:val="16"/>
                <w:szCs w:val="16"/>
                <w:color w:val="auto"/>
              </w:rPr>
              <w:t>Transferee</w:t>
            </w:r>
          </w:p>
        </w:tc>
        <w:tc>
          <w:tcPr>
            <w:tcW w:w="3900" w:type="dxa"/>
            <w:vAlign w:val="bottom"/>
          </w:tcPr>
          <w:p>
            <w:pPr>
              <w:jc w:val="right"/>
              <w:spacing w:after="0"/>
              <w:rPr>
                <w:sz w:val="20"/>
                <w:szCs w:val="20"/>
                <w:color w:val="auto"/>
              </w:rPr>
            </w:pPr>
            <w:r>
              <w:rPr>
                <w:rFonts w:ascii="Arial" w:cs="Arial" w:eastAsia="Arial" w:hAnsi="Arial"/>
                <w:sz w:val="16"/>
                <w:szCs w:val="16"/>
                <w:color w:val="auto"/>
              </w:rPr>
              <w:t>26</w:t>
            </w:r>
          </w:p>
        </w:tc>
      </w:tr>
    </w:tbl>
    <w:p>
      <w:pPr>
        <w:jc w:val="right"/>
        <w:spacing w:after="0"/>
        <w:rPr>
          <w:sz w:val="20"/>
          <w:szCs w:val="20"/>
          <w:color w:val="auto"/>
        </w:rPr>
        <w:sectPr>
          <w:pgSz w:w="11900" w:h="16838" w:orient="portrait"/>
          <w:cols w:equalWidth="0" w:num="1">
            <w:col w:w="9560"/>
          </w:cols>
          <w:pgMar w:left="1140" w:top="256" w:right="119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90105" cy="34290"/>
                    </a:xfrm>
                    <a:prstGeom prst="rect">
                      <a:avLst/>
                    </a:prstGeom>
                    <a:noFill/>
                  </pic:spPr>
                </pic:pic>
              </a:graphicData>
            </a:graphic>
          </wp:anchor>
        </w:drawing>
      </w:r>
    </w:p>
    <w:bookmarkStart w:id="689" w:name="page690"/>
    <w:bookmarkEnd w:id="689"/>
    <w:p>
      <w:pPr>
        <w:jc w:val="right"/>
        <w:spacing w:after="0"/>
        <w:rPr>
          <w:sz w:val="20"/>
          <w:szCs w:val="20"/>
          <w:color w:val="auto"/>
        </w:rPr>
      </w:pPr>
      <w:r>
        <w:rPr>
          <w:rFonts w:ascii="Arial" w:cs="Arial" w:eastAsia="Arial" w:hAnsi="Arial"/>
          <w:sz w:val="16"/>
          <w:szCs w:val="16"/>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148590</wp:posOffset>
            </wp:positionV>
            <wp:extent cx="2028825" cy="43434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02882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INDUSTRIAL LEASE – MULTI-TENANT</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by and between</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TERRENO PARK UNION CITY LLC</w:t>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“LANDLORD”</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and</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TENAYA THERAPEUTICS, INC.</w:t>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“TENANT”</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 xml:space="preserve">Dated: </w:t>
      </w:r>
      <w:r>
        <w:rPr>
          <w:rFonts w:ascii="Arial" w:cs="Arial" w:eastAsia="Arial" w:hAnsi="Arial"/>
          <w:sz w:val="16"/>
          <w:szCs w:val="16"/>
          <w:color w:val="auto"/>
        </w:rPr>
        <w:t>February 12, 2021</w:t>
      </w:r>
    </w:p>
    <w:p>
      <w:pPr>
        <w:sectPr>
          <w:pgSz w:w="11900" w:h="16838" w:orient="portrait"/>
          <w:cols w:equalWidth="0" w:num="1">
            <w:col w:w="9320"/>
          </w:cols>
          <w:pgMar w:left="1440" w:top="123" w:right="1139" w:bottom="1440" w:gutter="0" w:footer="0" w:header="0"/>
        </w:sectPr>
      </w:pPr>
    </w:p>
    <w:bookmarkStart w:id="690" w:name="page691"/>
    <w:bookmarkEnd w:id="690"/>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TERRENO REALTY CORPORATION</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INDUSTRIAL LEASE</w:t>
      </w:r>
    </w:p>
    <w:p>
      <w:pPr>
        <w:spacing w:after="0" w:line="178" w:lineRule="exact"/>
        <w:rPr>
          <w:sz w:val="20"/>
          <w:szCs w:val="20"/>
          <w:color w:val="auto"/>
        </w:rPr>
      </w:pPr>
    </w:p>
    <w:p>
      <w:pPr>
        <w:ind w:left="166" w:hanging="166"/>
        <w:spacing w:after="0"/>
        <w:tabs>
          <w:tab w:leader="none" w:pos="166" w:val="left"/>
        </w:tabs>
        <w:numPr>
          <w:ilvl w:val="0"/>
          <w:numId w:val="5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Basic Provisions </w:t>
      </w:r>
      <w:r>
        <w:rPr>
          <w:rFonts w:ascii="Arial" w:cs="Arial" w:eastAsia="Arial" w:hAnsi="Arial"/>
          <w:sz w:val="16"/>
          <w:szCs w:val="16"/>
          <w:color w:val="auto"/>
        </w:rPr>
        <w:t>(“Basic Provisions”).</w:t>
      </w:r>
    </w:p>
    <w:p>
      <w:pPr>
        <w:spacing w:after="0" w:line="197" w:lineRule="exact"/>
        <w:rPr>
          <w:sz w:val="20"/>
          <w:szCs w:val="20"/>
          <w:color w:val="auto"/>
        </w:rPr>
      </w:pPr>
    </w:p>
    <w:p>
      <w:pPr>
        <w:ind w:left="6" w:right="260" w:firstLine="385"/>
        <w:spacing w:after="0" w:line="383"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Parties:</w:t>
      </w:r>
      <w:r>
        <w:rPr>
          <w:rFonts w:ascii="Arial" w:cs="Arial" w:eastAsia="Arial" w:hAnsi="Arial"/>
          <w:sz w:val="13"/>
          <w:szCs w:val="13"/>
          <w:color w:val="auto"/>
        </w:rPr>
        <w:t xml:space="preserve"> This Lease (“Lease”) dated February 12, 2021, is made by and between Terreno Park Union City LLC, a Delaware limited liability company (“Landlord”) and Tenaya Therapeutics, Inc., a Delaware corporation (“Tenant”) (collectively, the “Parties” or individually, a “Party”).</w:t>
      </w:r>
    </w:p>
    <w:p>
      <w:pPr>
        <w:spacing w:after="0" w:line="89" w:lineRule="exact"/>
        <w:rPr>
          <w:sz w:val="20"/>
          <w:szCs w:val="20"/>
          <w:color w:val="auto"/>
        </w:rPr>
      </w:pPr>
    </w:p>
    <w:p>
      <w:pPr>
        <w:ind w:left="6" w:right="580" w:firstLine="385"/>
        <w:spacing w:after="0" w:line="383"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Premises</w:t>
      </w:r>
      <w:r>
        <w:rPr>
          <w:rFonts w:ascii="Arial" w:cs="Arial" w:eastAsia="Arial" w:hAnsi="Arial"/>
          <w:sz w:val="13"/>
          <w:szCs w:val="13"/>
          <w:color w:val="auto"/>
        </w:rPr>
        <w:t xml:space="preserve"> The premises (“Premises”), which are the subject of this Lease, are commonly known as 33498 Central Avenue, Union City, CA 94587 and are located in the industrial center known as Central Pacific Business Park (“Industrial Center”). The Premises are:</w:t>
      </w:r>
    </w:p>
    <w:p>
      <w:pPr>
        <w:spacing w:after="0" w:line="89"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Approximately 94,046 rentable square feet of space as depicted on Exhibit A. This space is a part of the building (“Building”) which is also identified on Exhibit A.</w:t>
      </w:r>
    </w:p>
    <w:p>
      <w:pPr>
        <w:spacing w:after="0" w:line="158" w:lineRule="exact"/>
        <w:rPr>
          <w:sz w:val="20"/>
          <w:szCs w:val="20"/>
          <w:color w:val="auto"/>
        </w:rPr>
      </w:pPr>
    </w:p>
    <w:p>
      <w:pPr>
        <w:ind w:left="6"/>
        <w:spacing w:after="0" w:line="267" w:lineRule="auto"/>
        <w:rPr>
          <w:sz w:val="20"/>
          <w:szCs w:val="20"/>
          <w:color w:val="auto"/>
        </w:rPr>
      </w:pPr>
      <w:r>
        <w:rPr>
          <w:rFonts w:ascii="Arial" w:cs="Arial" w:eastAsia="Arial" w:hAnsi="Arial"/>
          <w:sz w:val="15"/>
          <w:szCs w:val="15"/>
          <w:color w:val="auto"/>
        </w:rPr>
        <w:t>If the Premises are all of the Building, there shall, for purposes of this Lease, be no distinction between the words “Premises” or “Building.” Tenant shall have nonexclusive rights to the Common Areas (as defined in Paragraph 2.2 below) but shall not have any rights to the roof, exterior walls, or utility raceways of the Building without prior notice to Landlord or to any other buildings in the Industrial Center. The Industrial Center consists of the Premises, the Building, the Common Areas, the land upon which they are located, and all other buildings and improvements within the boundaries of the Industrial Center. Parking for automobiles for the Premises shall be on an unassigned and unreserved basis in locations in the Industrial Center determined by Landlord. No overnight truck parking shall be allowed except to the extent that the Premises include truck loading doors in which event one truck may be parked overnight in front of each loading door. Notwithstanding the foregoing, Tenant shall have the right to park passenger vehicles overnight as required in connection with its normal operations.</w:t>
      </w:r>
    </w:p>
    <w:p>
      <w:pPr>
        <w:spacing w:after="0" w:line="163" w:lineRule="exact"/>
        <w:rPr>
          <w:sz w:val="20"/>
          <w:szCs w:val="20"/>
          <w:color w:val="auto"/>
        </w:rPr>
      </w:pPr>
    </w:p>
    <w:p>
      <w:pPr>
        <w:ind w:left="6" w:right="200" w:firstLine="385"/>
        <w:spacing w:after="0" w:line="319"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Term</w:t>
      </w:r>
      <w:r>
        <w:rPr>
          <w:rFonts w:ascii="Arial" w:cs="Arial" w:eastAsia="Arial" w:hAnsi="Arial"/>
          <w:sz w:val="13"/>
          <w:szCs w:val="13"/>
          <w:color w:val="auto"/>
        </w:rPr>
        <w:t>: Ten (10) years and Three (3) months (“Term”) commencing on the later of (i) May 1, 2021, and (ii) the date by which the Premises is delivered to Tenant in the required condition (“Commencement Date”) and ending ten (10) years and three (3) months after the Commencement Date (“Expiration Date”). Notwithstanding the foregoing, Tenant acknowledges and agrees that (i) there is an existing tenant (“Existing Tenant”) in the Premises whose lease expires March 31, 2021, (ii) Landlord shall use commercially reasonable efforts to recover possession of the Premises prior to May 1, 2021, and (iii) if Landlord is unable to recover possession of the Premises prior to May 1, 2021, as set forth above, and deliver the Premises to Tenant in the required condition, the Commencement Date shall be the date on which the Premises is delivered to Tenant in the required condition.</w:t>
      </w:r>
    </w:p>
    <w:p>
      <w:pPr>
        <w:spacing w:after="0" w:line="128" w:lineRule="exact"/>
        <w:rPr>
          <w:sz w:val="20"/>
          <w:szCs w:val="20"/>
          <w:color w:val="auto"/>
        </w:rPr>
      </w:pPr>
    </w:p>
    <w:p>
      <w:pPr>
        <w:ind w:left="6" w:right="220" w:firstLine="385"/>
        <w:spacing w:after="0" w:line="25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Base Rent</w:t>
      </w:r>
      <w:r>
        <w:rPr>
          <w:rFonts w:ascii="Arial" w:cs="Arial" w:eastAsia="Arial" w:hAnsi="Arial"/>
          <w:sz w:val="16"/>
          <w:szCs w:val="16"/>
          <w:color w:val="auto"/>
        </w:rPr>
        <w:t>: $100,629.22 per month plus, if applicable, sales, use or rental tax (“Base Rent”). $125,081.18 plus, if applicable, sales, use or rental tax, is payable on execution of this Lease for Base Rent for the period which is the fourth (4</w:t>
      </w:r>
      <w:r>
        <w:rPr>
          <w:rFonts w:ascii="Arial" w:cs="Arial" w:eastAsia="Arial" w:hAnsi="Arial"/>
          <w:sz w:val="13"/>
          <w:szCs w:val="13"/>
          <w:color w:val="auto"/>
        </w:rPr>
        <w:t>th</w:t>
      </w:r>
      <w:r>
        <w:rPr>
          <w:rFonts w:ascii="Arial" w:cs="Arial" w:eastAsia="Arial" w:hAnsi="Arial"/>
          <w:sz w:val="16"/>
          <w:szCs w:val="16"/>
          <w:color w:val="auto"/>
        </w:rPr>
        <w:t>) month of the Term and Additional Rent (per Paragraph 1.6(b) below) for the period which is the first (1</w:t>
      </w:r>
      <w:r>
        <w:rPr>
          <w:rFonts w:ascii="Arial" w:cs="Arial" w:eastAsia="Arial" w:hAnsi="Arial"/>
          <w:sz w:val="13"/>
          <w:szCs w:val="13"/>
          <w:color w:val="auto"/>
        </w:rPr>
        <w:t>st</w:t>
      </w:r>
      <w:r>
        <w:rPr>
          <w:rFonts w:ascii="Arial" w:cs="Arial" w:eastAsia="Arial" w:hAnsi="Arial"/>
          <w:sz w:val="16"/>
          <w:szCs w:val="16"/>
          <w:color w:val="auto"/>
        </w:rPr>
        <w:t>) month of the Term. On and after the thirteenth (13</w:t>
      </w:r>
      <w:r>
        <w:rPr>
          <w:rFonts w:ascii="Arial" w:cs="Arial" w:eastAsia="Arial" w:hAnsi="Arial"/>
          <w:sz w:val="13"/>
          <w:szCs w:val="13"/>
          <w:color w:val="auto"/>
        </w:rPr>
        <w:t>th</w:t>
      </w:r>
      <w:r>
        <w:rPr>
          <w:rFonts w:ascii="Arial" w:cs="Arial" w:eastAsia="Arial" w:hAnsi="Arial"/>
          <w:sz w:val="16"/>
          <w:szCs w:val="16"/>
          <w:color w:val="auto"/>
        </w:rPr>
        <w:t>) month of the Term Base Rent shall increase as follows:</w:t>
      </w:r>
    </w:p>
    <w:p>
      <w:pPr>
        <w:spacing w:after="0" w:line="202" w:lineRule="exact"/>
        <w:rPr>
          <w:sz w:val="20"/>
          <w:szCs w:val="20"/>
          <w:color w:val="auto"/>
        </w:rPr>
      </w:pPr>
    </w:p>
    <w:tbl>
      <w:tblPr>
        <w:tblLayout w:type="fixed"/>
        <w:tblInd w:w="1546" w:type="dxa"/>
        <w:tblCellMar>
          <w:top w:w="0" w:type="dxa"/>
          <w:left w:w="0" w:type="dxa"/>
          <w:bottom w:w="0" w:type="dxa"/>
          <w:right w:w="0" w:type="dxa"/>
        </w:tblCellMar>
      </w:tblPr>
      <w:tr>
        <w:trPr>
          <w:trHeight w:val="19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13</w:t>
            </w:r>
            <w:r>
              <w:rPr>
                <w:rFonts w:ascii="Arial" w:cs="Arial" w:eastAsia="Arial" w:hAnsi="Arial"/>
                <w:sz w:val="13"/>
                <w:szCs w:val="13"/>
                <w:color w:val="auto"/>
              </w:rPr>
              <w:t>th</w:t>
            </w:r>
            <w:r>
              <w:rPr>
                <w:rFonts w:ascii="Arial" w:cs="Arial" w:eastAsia="Arial" w:hAnsi="Arial"/>
                <w:sz w:val="16"/>
                <w:szCs w:val="16"/>
                <w:color w:val="auto"/>
              </w:rPr>
              <w:t xml:space="preserve"> Month through 24</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$103,648.10</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25</w:t>
            </w:r>
            <w:r>
              <w:rPr>
                <w:rFonts w:ascii="Arial" w:cs="Arial" w:eastAsia="Arial" w:hAnsi="Arial"/>
                <w:sz w:val="13"/>
                <w:szCs w:val="13"/>
                <w:color w:val="auto"/>
              </w:rPr>
              <w:t>th</w:t>
            </w:r>
            <w:r>
              <w:rPr>
                <w:rFonts w:ascii="Arial" w:cs="Arial" w:eastAsia="Arial" w:hAnsi="Arial"/>
                <w:sz w:val="16"/>
                <w:szCs w:val="16"/>
                <w:color w:val="auto"/>
              </w:rPr>
              <w:t xml:space="preserve"> Month through 36</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$106,757.54</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37</w:t>
            </w:r>
            <w:r>
              <w:rPr>
                <w:rFonts w:ascii="Arial" w:cs="Arial" w:eastAsia="Arial" w:hAnsi="Arial"/>
                <w:sz w:val="13"/>
                <w:szCs w:val="13"/>
                <w:color w:val="auto"/>
              </w:rPr>
              <w:t>th</w:t>
            </w:r>
            <w:r>
              <w:rPr>
                <w:rFonts w:ascii="Arial" w:cs="Arial" w:eastAsia="Arial" w:hAnsi="Arial"/>
                <w:sz w:val="16"/>
                <w:szCs w:val="16"/>
                <w:color w:val="auto"/>
              </w:rPr>
              <w:t xml:space="preserve"> Month through 48th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$109,960.27</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49</w:t>
            </w:r>
            <w:r>
              <w:rPr>
                <w:rFonts w:ascii="Arial" w:cs="Arial" w:eastAsia="Arial" w:hAnsi="Arial"/>
                <w:sz w:val="13"/>
                <w:szCs w:val="13"/>
                <w:color w:val="auto"/>
              </w:rPr>
              <w:t>th</w:t>
            </w:r>
            <w:r>
              <w:rPr>
                <w:rFonts w:ascii="Arial" w:cs="Arial" w:eastAsia="Arial" w:hAnsi="Arial"/>
                <w:sz w:val="16"/>
                <w:szCs w:val="16"/>
                <w:color w:val="auto"/>
              </w:rPr>
              <w:t xml:space="preserve"> Month through 60</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$113,259.08</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61</w:t>
            </w:r>
            <w:r>
              <w:rPr>
                <w:rFonts w:ascii="Arial" w:cs="Arial" w:eastAsia="Arial" w:hAnsi="Arial"/>
                <w:sz w:val="13"/>
                <w:szCs w:val="13"/>
                <w:color w:val="auto"/>
              </w:rPr>
              <w:t>st</w:t>
            </w:r>
            <w:r>
              <w:rPr>
                <w:rFonts w:ascii="Arial" w:cs="Arial" w:eastAsia="Arial" w:hAnsi="Arial"/>
                <w:sz w:val="16"/>
                <w:szCs w:val="16"/>
                <w:color w:val="auto"/>
              </w:rPr>
              <w:t xml:space="preserve"> Month through 72</w:t>
            </w:r>
            <w:r>
              <w:rPr>
                <w:rFonts w:ascii="Arial" w:cs="Arial" w:eastAsia="Arial" w:hAnsi="Arial"/>
                <w:sz w:val="13"/>
                <w:szCs w:val="13"/>
                <w:color w:val="auto"/>
              </w:rPr>
              <w:t>nd</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$116,656.85</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73</w:t>
            </w:r>
            <w:r>
              <w:rPr>
                <w:rFonts w:ascii="Arial" w:cs="Arial" w:eastAsia="Arial" w:hAnsi="Arial"/>
                <w:sz w:val="13"/>
                <w:szCs w:val="13"/>
                <w:color w:val="auto"/>
              </w:rPr>
              <w:t>rd</w:t>
            </w:r>
            <w:r>
              <w:rPr>
                <w:rFonts w:ascii="Arial" w:cs="Arial" w:eastAsia="Arial" w:hAnsi="Arial"/>
                <w:sz w:val="16"/>
                <w:szCs w:val="16"/>
                <w:color w:val="auto"/>
              </w:rPr>
              <w:t xml:space="preserve"> Month through 84</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$120,156.56</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85</w:t>
            </w:r>
            <w:r>
              <w:rPr>
                <w:rFonts w:ascii="Arial" w:cs="Arial" w:eastAsia="Arial" w:hAnsi="Arial"/>
                <w:sz w:val="13"/>
                <w:szCs w:val="13"/>
                <w:color w:val="auto"/>
              </w:rPr>
              <w:t>th</w:t>
            </w:r>
            <w:r>
              <w:rPr>
                <w:rFonts w:ascii="Arial" w:cs="Arial" w:eastAsia="Arial" w:hAnsi="Arial"/>
                <w:sz w:val="16"/>
                <w:szCs w:val="16"/>
                <w:color w:val="auto"/>
              </w:rPr>
              <w:t xml:space="preserve"> Month through 96</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$123,761.26</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97</w:t>
            </w:r>
            <w:r>
              <w:rPr>
                <w:rFonts w:ascii="Arial" w:cs="Arial" w:eastAsia="Arial" w:hAnsi="Arial"/>
                <w:sz w:val="13"/>
                <w:szCs w:val="13"/>
                <w:color w:val="auto"/>
              </w:rPr>
              <w:t>th</w:t>
            </w:r>
            <w:r>
              <w:rPr>
                <w:rFonts w:ascii="Arial" w:cs="Arial" w:eastAsia="Arial" w:hAnsi="Arial"/>
                <w:sz w:val="16"/>
                <w:szCs w:val="16"/>
                <w:color w:val="auto"/>
              </w:rPr>
              <w:t xml:space="preserve"> Month through 108</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$127,474.10</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109</w:t>
            </w:r>
            <w:r>
              <w:rPr>
                <w:rFonts w:ascii="Arial" w:cs="Arial" w:eastAsia="Arial" w:hAnsi="Arial"/>
                <w:sz w:val="13"/>
                <w:szCs w:val="13"/>
                <w:color w:val="auto"/>
              </w:rPr>
              <w:t>th</w:t>
            </w:r>
            <w:r>
              <w:rPr>
                <w:rFonts w:ascii="Arial" w:cs="Arial" w:eastAsia="Arial" w:hAnsi="Arial"/>
                <w:sz w:val="16"/>
                <w:szCs w:val="16"/>
                <w:color w:val="auto"/>
              </w:rPr>
              <w:t xml:space="preserve"> Month through 120</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$131,298.32</w:t>
            </w: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121</w:t>
            </w:r>
            <w:r>
              <w:rPr>
                <w:rFonts w:ascii="Arial" w:cs="Arial" w:eastAsia="Arial" w:hAnsi="Arial"/>
                <w:sz w:val="13"/>
                <w:szCs w:val="13"/>
                <w:color w:val="auto"/>
              </w:rPr>
              <w:t>st</w:t>
            </w:r>
            <w:r>
              <w:rPr>
                <w:rFonts w:ascii="Arial" w:cs="Arial" w:eastAsia="Arial" w:hAnsi="Arial"/>
                <w:sz w:val="16"/>
                <w:szCs w:val="16"/>
                <w:color w:val="auto"/>
              </w:rPr>
              <w:t xml:space="preserve"> Month through 123</w:t>
            </w:r>
            <w:r>
              <w:rPr>
                <w:rFonts w:ascii="Arial" w:cs="Arial" w:eastAsia="Arial" w:hAnsi="Arial"/>
                <w:sz w:val="13"/>
                <w:szCs w:val="13"/>
                <w:color w:val="auto"/>
              </w:rPr>
              <w:t>rd</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$135,237.27</w:t>
            </w:r>
          </w:p>
        </w:tc>
      </w:tr>
    </w:tbl>
    <w:p>
      <w:pPr>
        <w:spacing w:after="0" w:line="165" w:lineRule="exact"/>
        <w:rPr>
          <w:sz w:val="20"/>
          <w:szCs w:val="20"/>
          <w:color w:val="auto"/>
        </w:rPr>
      </w:pPr>
    </w:p>
    <w:p>
      <w:pPr>
        <w:jc w:val="both"/>
        <w:ind w:left="6" w:right="300" w:firstLine="385"/>
        <w:spacing w:after="0" w:line="343" w:lineRule="auto"/>
        <w:rPr>
          <w:sz w:val="20"/>
          <w:szCs w:val="20"/>
          <w:color w:val="auto"/>
        </w:rPr>
      </w:pPr>
      <w:r>
        <w:rPr>
          <w:rFonts w:ascii="Arial" w:cs="Arial" w:eastAsia="Arial" w:hAnsi="Arial"/>
          <w:sz w:val="13"/>
          <w:szCs w:val="13"/>
          <w:color w:val="auto"/>
        </w:rPr>
        <w:t>Notwithstanding the foregoing, Base Rent only for the period from May 1, 2021 through and including July 31, 2021 shall be abated (“Abated Rent”) provided if Tenant is in Default under this Lease at any time, the unamortized amount of the Abated Rent shall become immediately due and payable without further notice from Landlord and pursuant to the Early Possession and Inducement Recapture Addendum to this Lease.</w:t>
      </w:r>
    </w:p>
    <w:p>
      <w:pPr>
        <w:spacing w:after="0" w:line="114" w:lineRule="exact"/>
        <w:rPr>
          <w:sz w:val="20"/>
          <w:szCs w:val="20"/>
          <w:color w:val="auto"/>
        </w:rPr>
      </w:pPr>
    </w:p>
    <w:p>
      <w:pPr>
        <w:ind w:left="6" w:right="360" w:firstLine="385"/>
        <w:spacing w:after="0" w:line="26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Tenant’s Share of Operating Expenses</w:t>
      </w:r>
      <w:r>
        <w:rPr>
          <w:rFonts w:ascii="Arial" w:cs="Arial" w:eastAsia="Arial" w:hAnsi="Arial"/>
          <w:sz w:val="16"/>
          <w:szCs w:val="16"/>
          <w:color w:val="auto"/>
        </w:rPr>
        <w:t>: Tenant’s percentage share of the Operating Expenses set forth in Paragraph 4.2 shall be as follows (“Tenant’s Share”):</w:t>
      </w:r>
    </w:p>
    <w:p>
      <w:pPr>
        <w:spacing w:after="0" w:line="194" w:lineRule="exact"/>
        <w:rPr>
          <w:sz w:val="20"/>
          <w:szCs w:val="20"/>
          <w:color w:val="auto"/>
        </w:rPr>
      </w:pPr>
    </w:p>
    <w:tbl>
      <w:tblPr>
        <w:tblLayout w:type="fixed"/>
        <w:tblInd w:w="1546" w:type="dxa"/>
        <w:tblCellMar>
          <w:top w:w="0" w:type="dxa"/>
          <w:left w:w="0" w:type="dxa"/>
          <w:bottom w:w="0" w:type="dxa"/>
          <w:right w:w="0" w:type="dxa"/>
        </w:tblCellMar>
      </w:tblPr>
      <w:tr>
        <w:trPr>
          <w:trHeight w:val="189"/>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(a)   Industrial Center and Common Area 31.28%</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(b)   Building</w:t>
            </w:r>
          </w:p>
        </w:tc>
        <w:tc>
          <w:tcPr>
            <w:tcW w:w="19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165" w:lineRule="exact"/>
        <w:rPr>
          <w:sz w:val="20"/>
          <w:szCs w:val="20"/>
          <w:color w:val="auto"/>
        </w:rPr>
      </w:pPr>
    </w:p>
    <w:p>
      <w:pPr>
        <w:ind w:left="386"/>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Tenant’s Estimated Monthly Rent Payment</w:t>
      </w:r>
      <w:r>
        <w:rPr>
          <w:rFonts w:ascii="Arial" w:cs="Arial" w:eastAsia="Arial" w:hAnsi="Arial"/>
          <w:sz w:val="13"/>
          <w:szCs w:val="13"/>
          <w:color w:val="auto"/>
        </w:rPr>
        <w:t>: Following is the estimated monthly Rent payment to Landlord pursuant to the provisions of this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Lease. This estimate is made at the inception of the Lease and is subject to adjustment pursuant to the provisions of this Lease:</w:t>
      </w:r>
    </w:p>
    <w:p>
      <w:pPr>
        <w:spacing w:after="0" w:line="218" w:lineRule="exact"/>
        <w:rPr>
          <w:sz w:val="20"/>
          <w:szCs w:val="20"/>
          <w:color w:val="auto"/>
        </w:rPr>
      </w:pPr>
    </w:p>
    <w:tbl>
      <w:tblPr>
        <w:tblLayout w:type="fixed"/>
        <w:tblInd w:w="1546" w:type="dxa"/>
        <w:tblCellMar>
          <w:top w:w="0" w:type="dxa"/>
          <w:left w:w="0" w:type="dxa"/>
          <w:bottom w:w="0" w:type="dxa"/>
          <w:right w:w="0" w:type="dxa"/>
        </w:tblCellMar>
      </w:tblPr>
      <w:tr>
        <w:trPr>
          <w:trHeight w:val="189"/>
        </w:trPr>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(a)</w:t>
            </w: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Base Rent (Paragraph 4.1)</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100,629.22</w:t>
            </w:r>
          </w:p>
        </w:tc>
      </w:tr>
      <w:tr>
        <w:trPr>
          <w:trHeight w:val="189"/>
        </w:trPr>
        <w:tc>
          <w:tcPr>
            <w:tcW w:w="300" w:type="dxa"/>
            <w:vAlign w:val="bottom"/>
          </w:tcPr>
          <w:p>
            <w:pPr>
              <w:spacing w:after="0"/>
              <w:rPr>
                <w:sz w:val="20"/>
                <w:szCs w:val="20"/>
                <w:color w:val="auto"/>
              </w:rPr>
            </w:pPr>
            <w:r>
              <w:rPr>
                <w:rFonts w:ascii="Arial" w:cs="Arial" w:eastAsia="Arial" w:hAnsi="Arial"/>
                <w:sz w:val="16"/>
                <w:szCs w:val="16"/>
                <w:color w:val="auto"/>
              </w:rPr>
              <w:t>(b)</w:t>
            </w:r>
          </w:p>
        </w:tc>
        <w:tc>
          <w:tcPr>
            <w:tcW w:w="2660" w:type="dxa"/>
            <w:vAlign w:val="bottom"/>
          </w:tcPr>
          <w:p>
            <w:pPr>
              <w:ind w:left="140"/>
              <w:spacing w:after="0"/>
              <w:rPr>
                <w:sz w:val="20"/>
                <w:szCs w:val="20"/>
                <w:color w:val="auto"/>
              </w:rPr>
            </w:pPr>
            <w:r>
              <w:rPr>
                <w:rFonts w:ascii="Arial" w:cs="Arial" w:eastAsia="Arial" w:hAnsi="Arial"/>
                <w:sz w:val="16"/>
                <w:szCs w:val="16"/>
                <w:color w:val="auto"/>
                <w:w w:val="95"/>
              </w:rPr>
              <w:t>Operating Expenses (Paragraph 4.2)</w:t>
            </w:r>
          </w:p>
        </w:tc>
        <w:tc>
          <w:tcPr>
            <w:tcW w:w="2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24,451.96</w:t>
            </w:r>
          </w:p>
        </w:tc>
      </w:tr>
      <w:tr>
        <w:trPr>
          <w:trHeight w:val="189"/>
        </w:trPr>
        <w:tc>
          <w:tcPr>
            <w:tcW w:w="300" w:type="dxa"/>
            <w:vAlign w:val="bottom"/>
            <w:shd w:val="clear" w:color="auto" w:fill="CCEEFF"/>
          </w:tcPr>
          <w:p>
            <w:pPr>
              <w:spacing w:after="0"/>
              <w:rPr>
                <w:sz w:val="16"/>
                <w:szCs w:val="16"/>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Landlord Insurance (Paragraph 8.3)</w:t>
            </w:r>
          </w:p>
        </w:tc>
        <w:tc>
          <w:tcPr>
            <w:tcW w:w="2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0"/>
        </w:trPr>
        <w:tc>
          <w:tcPr>
            <w:tcW w:w="300" w:type="dxa"/>
            <w:vAlign w:val="bottom"/>
          </w:tcPr>
          <w:p>
            <w:pPr>
              <w:spacing w:after="0"/>
              <w:rPr>
                <w:sz w:val="17"/>
                <w:szCs w:val="17"/>
                <w:color w:val="auto"/>
              </w:rPr>
            </w:pPr>
          </w:p>
        </w:tc>
        <w:tc>
          <w:tcPr>
            <w:tcW w:w="2660" w:type="dxa"/>
            <w:vAlign w:val="bottom"/>
          </w:tcPr>
          <w:p>
            <w:pPr>
              <w:ind w:left="140"/>
              <w:spacing w:after="0"/>
              <w:rPr>
                <w:sz w:val="20"/>
                <w:szCs w:val="20"/>
                <w:color w:val="auto"/>
              </w:rPr>
            </w:pPr>
            <w:r>
              <w:rPr>
                <w:rFonts w:ascii="Arial" w:cs="Arial" w:eastAsia="Arial" w:hAnsi="Arial"/>
                <w:sz w:val="16"/>
                <w:szCs w:val="16"/>
                <w:color w:val="auto"/>
                <w:w w:val="96"/>
              </w:rPr>
              <w:t>Real Property Taxes (Paragraph 10)</w:t>
            </w:r>
          </w:p>
        </w:tc>
        <w:tc>
          <w:tcPr>
            <w:tcW w:w="2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3"/>
        </w:trPr>
        <w:tc>
          <w:tcPr>
            <w:tcW w:w="3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89"/>
        </w:trPr>
        <w:tc>
          <w:tcPr>
            <w:tcW w:w="300" w:type="dxa"/>
            <w:vAlign w:val="bottom"/>
            <w:shd w:val="clear" w:color="auto" w:fill="CCEEFF"/>
          </w:tcPr>
          <w:p>
            <w:pPr>
              <w:spacing w:after="0"/>
              <w:rPr>
                <w:sz w:val="16"/>
                <w:szCs w:val="16"/>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Monthly Payment</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125,081.18</w:t>
            </w:r>
          </w:p>
        </w:tc>
      </w:tr>
      <w:tr>
        <w:trPr>
          <w:trHeight w:val="317"/>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20" w:type="dxa"/>
            <w:vAlign w:val="bottom"/>
          </w:tcPr>
          <w:p>
            <w:pPr>
              <w:jc w:val="right"/>
              <w:ind w:right="2401"/>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24"/>
                <w:szCs w:val="24"/>
                <w:color w:val="auto"/>
              </w:rPr>
            </w:pPr>
          </w:p>
        </w:tc>
      </w:tr>
    </w:tbl>
    <w:p>
      <w:pPr>
        <w:sectPr>
          <w:pgSz w:w="11900" w:h="16838" w:orient="portrait"/>
          <w:cols w:equalWidth="0" w:num="1">
            <w:col w:w="9626"/>
          </w:cols>
          <w:pgMar w:left="1134" w:top="252" w:right="1139" w:bottom="1440" w:gutter="0" w:footer="0" w:header="0"/>
        </w:sectPr>
      </w:pPr>
    </w:p>
    <w:bookmarkStart w:id="691" w:name="page692"/>
    <w:bookmarkEnd w:id="691"/>
    <w:p>
      <w:pPr>
        <w:ind w:right="240" w:firstLine="385"/>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1.7 </w:t>
      </w:r>
      <w:r>
        <w:rPr>
          <w:rFonts w:ascii="Arial" w:cs="Arial" w:eastAsia="Arial" w:hAnsi="Arial"/>
          <w:sz w:val="16"/>
          <w:szCs w:val="16"/>
          <w:u w:val="single" w:color="auto"/>
          <w:color w:val="auto"/>
        </w:rPr>
        <w:t>Security Deposit</w:t>
      </w:r>
      <w:r>
        <w:rPr>
          <w:rFonts w:ascii="Arial" w:cs="Arial" w:eastAsia="Arial" w:hAnsi="Arial"/>
          <w:sz w:val="16"/>
          <w:szCs w:val="16"/>
          <w:color w:val="auto"/>
        </w:rPr>
        <w:t>: $3,250,000.00 (“Security Deposit”) payable on execution. Notwithstanding the foregoing, provided Tenant has made all payments of Base Rent and Additional Rent and has not been otherwise in Default under the Lease as of each of the following dates, May 1, 2024, May 1, 2025, May 1, 2026 and May 1, 2027, Landlord shall refund to Tenant $500,000.00 on each occasion. Any remaining portion of the Security Deposit shall be the Security Deposit for the remainder of the Term.</w:t>
      </w:r>
    </w:p>
    <w:p>
      <w:pPr>
        <w:spacing w:after="0" w:line="167"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u w:val="single" w:color="auto"/>
          <w:color w:val="auto"/>
        </w:rPr>
        <w:t>Permitted Use</w:t>
      </w:r>
      <w:r>
        <w:rPr>
          <w:rFonts w:ascii="Arial" w:cs="Arial" w:eastAsia="Arial" w:hAnsi="Arial"/>
          <w:sz w:val="16"/>
          <w:szCs w:val="16"/>
          <w:color w:val="auto"/>
        </w:rPr>
        <w:t xml:space="preserve"> (“Permitted Use”): General office, laboratory, research and development, manufacturing, and all other uses permitted by the City of Union City and all agencies and governmental authorities having jurisdiction thereof.</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Guarantor</w:t>
      </w:r>
      <w:r>
        <w:rPr>
          <w:rFonts w:ascii="Arial" w:cs="Arial" w:eastAsia="Arial" w:hAnsi="Arial"/>
          <w:sz w:val="16"/>
          <w:szCs w:val="16"/>
          <w:color w:val="auto"/>
        </w:rPr>
        <w:t>: Not applicable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Addenda</w:t>
      </w:r>
      <w:r>
        <w:rPr>
          <w:rFonts w:ascii="Arial" w:cs="Arial" w:eastAsia="Arial" w:hAnsi="Arial"/>
          <w:sz w:val="16"/>
          <w:szCs w:val="16"/>
          <w:color w:val="auto"/>
        </w:rPr>
        <w:t>: Attached hereto are the following Addenda, all of which constitute a part of this Lease:</w:t>
      </w:r>
    </w:p>
    <w:p>
      <w:pPr>
        <w:spacing w:after="0" w:line="99" w:lineRule="exact"/>
        <w:rPr>
          <w:sz w:val="20"/>
          <w:szCs w:val="20"/>
          <w:color w:val="auto"/>
        </w:rPr>
      </w:pPr>
    </w:p>
    <w:p>
      <w:pPr>
        <w:ind w:left="1080" w:hanging="220"/>
        <w:spacing w:after="0"/>
        <w:tabs>
          <w:tab w:leader="none" w:pos="108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Addendum 1: Landlord’s Remedies in the Event of Tenant Default</w:t>
      </w:r>
    </w:p>
    <w:p>
      <w:pPr>
        <w:spacing w:after="0" w:line="16" w:lineRule="exact"/>
        <w:rPr>
          <w:rFonts w:ascii="Arial" w:cs="Arial" w:eastAsia="Arial" w:hAnsi="Arial"/>
          <w:sz w:val="16"/>
          <w:szCs w:val="16"/>
          <w:color w:val="auto"/>
        </w:rPr>
      </w:pPr>
    </w:p>
    <w:p>
      <w:pPr>
        <w:ind w:left="1080" w:hanging="220"/>
        <w:spacing w:after="0"/>
        <w:tabs>
          <w:tab w:leader="none" w:pos="108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Addendum 2: Tenant Improvement Addendum</w:t>
      </w:r>
    </w:p>
    <w:p>
      <w:pPr>
        <w:spacing w:after="0" w:line="4" w:lineRule="exact"/>
        <w:rPr>
          <w:rFonts w:ascii="Arial" w:cs="Arial" w:eastAsia="Arial" w:hAnsi="Arial"/>
          <w:sz w:val="16"/>
          <w:szCs w:val="16"/>
          <w:color w:val="auto"/>
        </w:rPr>
      </w:pPr>
    </w:p>
    <w:p>
      <w:pPr>
        <w:ind w:left="1080" w:hanging="220"/>
        <w:spacing w:after="0"/>
        <w:tabs>
          <w:tab w:leader="none" w:pos="108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Addendum 3: Intentionally Deleted</w:t>
      </w:r>
    </w:p>
    <w:p>
      <w:pPr>
        <w:spacing w:after="0" w:line="4" w:lineRule="exact"/>
        <w:rPr>
          <w:rFonts w:ascii="Arial" w:cs="Arial" w:eastAsia="Arial" w:hAnsi="Arial"/>
          <w:sz w:val="16"/>
          <w:szCs w:val="16"/>
          <w:color w:val="auto"/>
        </w:rPr>
      </w:pPr>
    </w:p>
    <w:p>
      <w:pPr>
        <w:ind w:left="1080" w:hanging="220"/>
        <w:spacing w:after="0"/>
        <w:tabs>
          <w:tab w:leader="none" w:pos="108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Addendum 4: Option to Extend Addendum</w:t>
      </w:r>
    </w:p>
    <w:p>
      <w:pPr>
        <w:spacing w:after="0" w:line="4" w:lineRule="exact"/>
        <w:rPr>
          <w:rFonts w:ascii="Arial" w:cs="Arial" w:eastAsia="Arial" w:hAnsi="Arial"/>
          <w:sz w:val="16"/>
          <w:szCs w:val="16"/>
          <w:color w:val="auto"/>
        </w:rPr>
      </w:pPr>
    </w:p>
    <w:p>
      <w:pPr>
        <w:ind w:left="1080" w:hanging="220"/>
        <w:spacing w:after="0"/>
        <w:tabs>
          <w:tab w:leader="none" w:pos="108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Addendum 5: Early Possession and Inducement Recapture Addendum</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Exhibits</w:t>
      </w:r>
      <w:r>
        <w:rPr>
          <w:rFonts w:ascii="Arial" w:cs="Arial" w:eastAsia="Arial" w:hAnsi="Arial"/>
          <w:sz w:val="16"/>
          <w:szCs w:val="16"/>
          <w:color w:val="auto"/>
        </w:rPr>
        <w:t>: Attached hereto are the following Exhibits, all of which constitute a part of this Lease:</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A: Description of Premises.</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B: Commencement Date Certificate.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C: Tenant Move-in and Lease Renewal Environmental Questionnaire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D: Move-Out Standards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E: Rules and Regulations</w:t>
      </w:r>
    </w:p>
    <w:p>
      <w:pPr>
        <w:spacing w:after="0" w:line="182"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Address for Rent Payments:</w:t>
      </w:r>
      <w:r>
        <w:rPr>
          <w:rFonts w:ascii="Arial" w:cs="Arial" w:eastAsia="Arial" w:hAnsi="Arial"/>
          <w:sz w:val="16"/>
          <w:szCs w:val="16"/>
          <w:color w:val="auto"/>
        </w:rPr>
        <w:t xml:space="preserve"> All amounts payable by Tenant to Landlord shall, until further notice from Landlord, be paid to Terreno Park Union City LLC at the following address:</w:t>
      </w:r>
    </w:p>
    <w:p>
      <w:pPr>
        <w:spacing w:after="0" w:line="6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Terreno Park Union City LLC</w:t>
      </w:r>
    </w:p>
    <w:p>
      <w:pPr>
        <w:spacing w:after="0" w:line="1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 Colliers International</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1850 Mt. Diablo Blvd., Ste. 200</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Walnut Creek, CA 94596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Premises and Common Areas.</w:t>
      </w:r>
    </w:p>
    <w:p>
      <w:pPr>
        <w:spacing w:after="0" w:line="197" w:lineRule="exact"/>
        <w:rPr>
          <w:sz w:val="20"/>
          <w:szCs w:val="20"/>
          <w:color w:val="auto"/>
        </w:rPr>
      </w:pPr>
    </w:p>
    <w:p>
      <w:pPr>
        <w:ind w:right="60" w:firstLine="385"/>
        <w:spacing w:after="0" w:line="312"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Letting</w:t>
      </w:r>
      <w:r>
        <w:rPr>
          <w:rFonts w:ascii="Arial" w:cs="Arial" w:eastAsia="Arial" w:hAnsi="Arial"/>
          <w:sz w:val="13"/>
          <w:szCs w:val="13"/>
          <w:color w:val="auto"/>
        </w:rPr>
        <w:t>. Landlord hereby leases to Tenant and Tenant hereby leases from Landlord the Premises upon all of the terms, covenants, and conditions, set forth in this Lease. In addition, Tenant shall have the exclusive right to use the outdoor area located immediately adjacent to the loading dock serving the Premises (the “Storage Area”) for the installation, storage, maintenance and repair of Tenant’s personal property and equipment including, without limitation, emergency generator(s) and chiller(s), subject to Landlord’s prior written consent. Tenant shall have the right to take all actions reasonably necessary to ensure its use of the Storage Area is not subject to unreasonable interference including, without limitation, installing fencing, making pavement markings, and implementing access control measures. All provisions of this Lease relating to use, insurance, repair, maintenance and surrender shall apply to the Storage Area as if it were part of the Premises. Any statement of square footage set forth in this Lease or that may have been used in calculating Base Rent and/or Operating Expenses is an approximation which Landlord and Tenant agree is reasonable, and the Base Rent and Tenant’s Share based thereon is not subject to revision whether or not the actual square footage is more or less.</w:t>
      </w:r>
    </w:p>
    <w:p>
      <w:pPr>
        <w:spacing w:after="0" w:line="137" w:lineRule="exact"/>
        <w:rPr>
          <w:sz w:val="20"/>
          <w:szCs w:val="20"/>
          <w:color w:val="auto"/>
        </w:rPr>
      </w:pPr>
    </w:p>
    <w:p>
      <w:pPr>
        <w:jc w:val="both"/>
        <w:ind w:right="180" w:firstLine="385"/>
        <w:spacing w:after="0" w:line="281"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Common Areas - Definition</w:t>
      </w:r>
      <w:r>
        <w:rPr>
          <w:rFonts w:ascii="Arial" w:cs="Arial" w:eastAsia="Arial" w:hAnsi="Arial"/>
          <w:sz w:val="15"/>
          <w:szCs w:val="15"/>
          <w:color w:val="auto"/>
        </w:rPr>
        <w:t>. “Common Areas” are all areas and facilities outside the Premises and within the exterior boundary line of the Industrial Center that are provided and designated by the Landlord from time to time for the general nonexclusive use of Landlord, Tenant, and other tenants of the Industrial Center and their respective employees, suppliers, shippers, tenants, contractors, and invitees.</w:t>
      </w:r>
    </w:p>
    <w:p>
      <w:pPr>
        <w:spacing w:after="0" w:line="149" w:lineRule="exact"/>
        <w:rPr>
          <w:sz w:val="20"/>
          <w:szCs w:val="20"/>
          <w:color w:val="auto"/>
        </w:rPr>
      </w:pPr>
    </w:p>
    <w:p>
      <w:pPr>
        <w:ind w:right="120" w:firstLine="385"/>
        <w:spacing w:after="0" w:line="329"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Common Areas - Tenant’s Rights</w:t>
      </w:r>
      <w:r>
        <w:rPr>
          <w:rFonts w:ascii="Arial" w:cs="Arial" w:eastAsia="Arial" w:hAnsi="Arial"/>
          <w:sz w:val="13"/>
          <w:szCs w:val="13"/>
          <w:color w:val="auto"/>
        </w:rPr>
        <w:t>. Landlord hereby grants to Tenant, for the benefit of Tenant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Landlord under the terms hereof or under the terms of any rules and regulations or covenants, conditions, and restrictions governing the use of the Industrial Center.</w:t>
      </w:r>
    </w:p>
    <w:p>
      <w:pPr>
        <w:spacing w:after="0" w:line="123" w:lineRule="exact"/>
        <w:rPr>
          <w:sz w:val="20"/>
          <w:szCs w:val="20"/>
          <w:color w:val="auto"/>
        </w:rPr>
      </w:pPr>
    </w:p>
    <w:p>
      <w:pPr>
        <w:ind w:firstLine="385"/>
        <w:spacing w:after="0" w:line="25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Common Areas - Rules and Regulations</w:t>
      </w:r>
      <w:r>
        <w:rPr>
          <w:rFonts w:ascii="Arial" w:cs="Arial" w:eastAsia="Arial" w:hAnsi="Arial"/>
          <w:sz w:val="16"/>
          <w:szCs w:val="16"/>
          <w:color w:val="auto"/>
        </w:rPr>
        <w:t>. Landlord shall have the exclusive control and management of the Common Areas and shall have the right, from time to time, to establish, modify, amend, and enforce reasonable Rules and Regulations with respect thereto in accordance with Paragraph 16.19.</w:t>
      </w:r>
    </w:p>
    <w:p>
      <w:pPr>
        <w:spacing w:after="0" w:line="166" w:lineRule="exact"/>
        <w:rPr>
          <w:sz w:val="20"/>
          <w:szCs w:val="20"/>
          <w:color w:val="auto"/>
        </w:rPr>
      </w:pPr>
    </w:p>
    <w:p>
      <w:pPr>
        <w:ind w:right="180" w:firstLine="385"/>
        <w:spacing w:after="0" w:line="26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Common Area Changes</w:t>
      </w:r>
      <w:r>
        <w:rPr>
          <w:rFonts w:ascii="Arial" w:cs="Arial" w:eastAsia="Arial" w:hAnsi="Arial"/>
          <w:sz w:val="16"/>
          <w:szCs w:val="16"/>
          <w:color w:val="auto"/>
        </w:rPr>
        <w:t>. Provided the same do not materially impair access to the Premises or the Storage Area and do not reduce Tenant’s parking rights, Landlord shall have the right, in Landlord’s sole discretion, from time to time:</w:t>
      </w:r>
    </w:p>
    <w:p>
      <w:pPr>
        <w:spacing w:after="0" w:line="158" w:lineRule="exact"/>
        <w:rPr>
          <w:sz w:val="20"/>
          <w:szCs w:val="20"/>
          <w:color w:val="auto"/>
        </w:rPr>
      </w:pPr>
    </w:p>
    <w:p>
      <w:pPr>
        <w:ind w:right="20" w:firstLine="860"/>
        <w:spacing w:after="0" w:line="256" w:lineRule="auto"/>
        <w:tabs>
          <w:tab w:leader="none" w:pos="1079"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To make changes to the Common Areas, including, without limitation, changes in the locations, size, shape, and number of driveways, entrances, parking spaces, parking areas, loading and unloading areas, ingress, egress, direction of traffic, landscaped areas, walkways, and utility raceways;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540"/>
          </w:cols>
          <w:pgMar w:left="1140" w:top="256" w:right="1219" w:bottom="1440" w:gutter="0" w:footer="0" w:header="0"/>
        </w:sectPr>
      </w:pPr>
    </w:p>
    <w:bookmarkStart w:id="692" w:name="page693"/>
    <w:bookmarkEnd w:id="692"/>
    <w:p>
      <w:pPr>
        <w:ind w:left="8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90105" cy="34290"/>
                    </a:xfrm>
                    <a:prstGeom prst="rect">
                      <a:avLst/>
                    </a:prstGeom>
                    <a:noFill/>
                  </pic:spPr>
                </pic:pic>
              </a:graphicData>
            </a:graphic>
          </wp:anchor>
        </w:drawing>
        <w:t>(b) To close temporarily any of the Common Areas for maintenance purposes so long as reasonable access to the Premises remains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available;</w:t>
      </w:r>
    </w:p>
    <w:p>
      <w:pPr>
        <w:spacing w:after="0" w:line="182" w:lineRule="exact"/>
        <w:rPr>
          <w:sz w:val="20"/>
          <w:szCs w:val="20"/>
          <w:color w:val="auto"/>
        </w:rPr>
      </w:pPr>
    </w:p>
    <w:p>
      <w:pPr>
        <w:ind w:left="1080" w:hanging="220"/>
        <w:spacing w:after="0"/>
        <w:tabs>
          <w:tab w:leader="none" w:pos="10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To designate other land outside the boundaries of the Industrial Center to be a part of the Common Areas;</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To add additional buildings and improvements to the Common Areas;</w:t>
      </w:r>
    </w:p>
    <w:p>
      <w:pPr>
        <w:spacing w:after="0" w:line="193" w:lineRule="exact"/>
        <w:rPr>
          <w:rFonts w:ascii="Arial" w:cs="Arial" w:eastAsia="Arial" w:hAnsi="Arial"/>
          <w:sz w:val="16"/>
          <w:szCs w:val="16"/>
          <w:color w:val="auto"/>
        </w:rPr>
      </w:pPr>
    </w:p>
    <w:p>
      <w:pPr>
        <w:ind w:right="260" w:firstLine="860"/>
        <w:spacing w:after="0" w:line="266" w:lineRule="auto"/>
        <w:tabs>
          <w:tab w:leader="none" w:pos="1079"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Industrial Center, or any portion thereof; and</w:t>
      </w:r>
    </w:p>
    <w:p>
      <w:pPr>
        <w:spacing w:after="0" w:line="158" w:lineRule="exact"/>
        <w:rPr>
          <w:rFonts w:ascii="Arial" w:cs="Arial" w:eastAsia="Arial" w:hAnsi="Arial"/>
          <w:sz w:val="16"/>
          <w:szCs w:val="16"/>
          <w:color w:val="auto"/>
        </w:rPr>
      </w:pPr>
    </w:p>
    <w:p>
      <w:pPr>
        <w:ind w:right="180" w:firstLine="860"/>
        <w:spacing w:after="0" w:line="266" w:lineRule="auto"/>
        <w:tabs>
          <w:tab w:leader="none" w:pos="1062"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To do and perform such other acts and make such other changes in, to, or with respect to the Common Areas and Industrial Center as Landlord may, in the exercise of sound business judgment, deem to be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Term.</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Term</w:t>
      </w:r>
      <w:r>
        <w:rPr>
          <w:rFonts w:ascii="Arial" w:cs="Arial" w:eastAsia="Arial" w:hAnsi="Arial"/>
          <w:sz w:val="16"/>
          <w:szCs w:val="16"/>
          <w:color w:val="auto"/>
        </w:rPr>
        <w:t>. The Commencement Date, Expiration Date, and Term of this Lease are as specified in Paragraph 1.3.</w:t>
      </w:r>
    </w:p>
    <w:p>
      <w:pPr>
        <w:spacing w:after="0" w:line="193" w:lineRule="exact"/>
        <w:rPr>
          <w:sz w:val="20"/>
          <w:szCs w:val="20"/>
          <w:color w:val="auto"/>
        </w:rPr>
      </w:pPr>
    </w:p>
    <w:p>
      <w:pPr>
        <w:ind w:firstLine="385"/>
        <w:spacing w:after="0" w:line="311"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Delay in Possession</w:t>
      </w:r>
      <w:r>
        <w:rPr>
          <w:rFonts w:ascii="Arial" w:cs="Arial" w:eastAsia="Arial" w:hAnsi="Arial"/>
          <w:sz w:val="13"/>
          <w:szCs w:val="13"/>
          <w:color w:val="auto"/>
        </w:rPr>
        <w:t>. Landlord shall use commercially reasonable efforts to deliver possession of the Premises to Tenant on May 1, 2021. Landlord shall deliver possession of the Premises to Tenant in good, vacant condition, with the roof water-tight, and in compliance with all Applicable Requirements. If for any reason Landlord cannot deliver possession of the Premises to Tenant by the Commencement Date, Landlord shall not be subject to any liability therefor, nor shall such failure affect the validity of this Lease or the obligations of Tenant hereunder. In such case, Tenant shall not, except as otherwise provided herein, be obligated to pay Rent or perform any other obligation of Tenant under the terms of this Lease until Landlord delivers possession of the Premises to Tenant. The term of the Lease shall commence on the Commencement Date. Notwithstanding anything to the contrary herein, if the Commencement Date has not occurred for any reason whatsoever on or before May 1, 2021, then, in addition to Tenant’s other rights or remedies, the date Tenant is otherwise obliged to commence payment of Rent shall be delayed by one day for each day that the Commencement Date is delayed beyond such date, and if the Commencement Date has not occurred for any reason whatsoever on or before July 1, 2021, Tenant may terminate this Lease by written notice to Landlord, whereupon any monies previously paid by Tenant to Landlord shall be reimbursed to Tenant.</w:t>
      </w:r>
    </w:p>
    <w:p>
      <w:pPr>
        <w:spacing w:after="0" w:line="138" w:lineRule="exact"/>
        <w:rPr>
          <w:sz w:val="20"/>
          <w:szCs w:val="20"/>
          <w:color w:val="auto"/>
        </w:rPr>
      </w:pPr>
    </w:p>
    <w:p>
      <w:pPr>
        <w:ind w:right="820" w:firstLine="385"/>
        <w:spacing w:after="0" w:line="26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Commencement Date Certificate</w:t>
      </w:r>
      <w:r>
        <w:rPr>
          <w:rFonts w:ascii="Arial" w:cs="Arial" w:eastAsia="Arial" w:hAnsi="Arial"/>
          <w:sz w:val="16"/>
          <w:szCs w:val="16"/>
          <w:color w:val="auto"/>
        </w:rPr>
        <w:t>. At the request of Landlord, Tenant shall execute and deliver to Landlord a completed certificate (“Commencement Date Certificate”) in the form attached hereto as Exhibit B.</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Rent.</w:t>
      </w:r>
    </w:p>
    <w:p>
      <w:pPr>
        <w:spacing w:after="0" w:line="197" w:lineRule="exact"/>
        <w:rPr>
          <w:sz w:val="20"/>
          <w:szCs w:val="20"/>
          <w:color w:val="auto"/>
        </w:rPr>
      </w:pPr>
    </w:p>
    <w:p>
      <w:pPr>
        <w:ind w:right="120" w:firstLine="385"/>
        <w:spacing w:after="0" w:line="268"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Base Rent</w:t>
      </w:r>
      <w:r>
        <w:rPr>
          <w:rFonts w:ascii="Arial" w:cs="Arial" w:eastAsia="Arial" w:hAnsi="Arial"/>
          <w:sz w:val="15"/>
          <w:szCs w:val="15"/>
          <w:color w:val="auto"/>
        </w:rPr>
        <w:t>. Tenant shall pay to Landlord Base Rent plus, if applicable sales, use or rental tax and other monetary obligations of Tenant to Landlord under the terms of this Lease (such other monetary obligations are herein referred to as “Additional Rent”) in lawful money of the United States, without offset or deduction, in advance on or before the first day of each month. Base Rent and Additional Rent for any period during the term hereof which is for less than one full month shall be prorated based upon the actual number of days of the month involved. Payment of Base Rent and Additional Rent shall be made to Landlord at its address stated herein or to such other persons or at such other addresses as Landlord may from time to time designate in writing to Tenant. Base Rent and Additional Rent are collectively referred to as “Rent.” All monetary obligations of Tenant to Landlord under the terms of this Lease are deemed to be Rent.</w:t>
      </w:r>
    </w:p>
    <w:p>
      <w:pPr>
        <w:spacing w:after="0" w:line="161" w:lineRule="exact"/>
        <w:rPr>
          <w:sz w:val="20"/>
          <w:szCs w:val="20"/>
          <w:color w:val="auto"/>
        </w:rPr>
      </w:pPr>
    </w:p>
    <w:p>
      <w:pPr>
        <w:ind w:right="40" w:firstLine="385"/>
        <w:spacing w:after="0" w:line="26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Operating Expenses</w:t>
      </w:r>
      <w:r>
        <w:rPr>
          <w:rFonts w:ascii="Arial" w:cs="Arial" w:eastAsia="Arial" w:hAnsi="Arial"/>
          <w:sz w:val="16"/>
          <w:szCs w:val="16"/>
          <w:color w:val="auto"/>
        </w:rPr>
        <w:t>. Tenant shall pay to Landlord on the first day of each month during the term hereof, in addition to the Base Rent, Tenant’s Share of all Operating Expenses in accordance with the following provisions:</w:t>
      </w:r>
    </w:p>
    <w:p>
      <w:pPr>
        <w:spacing w:after="0" w:line="158" w:lineRule="exact"/>
        <w:rPr>
          <w:sz w:val="20"/>
          <w:szCs w:val="20"/>
          <w:color w:val="auto"/>
        </w:rPr>
      </w:pPr>
    </w:p>
    <w:p>
      <w:pPr>
        <w:ind w:right="40" w:firstLine="860"/>
        <w:spacing w:after="0" w:line="266" w:lineRule="auto"/>
        <w:tabs>
          <w:tab w:leader="none" w:pos="1079" w:val="left"/>
        </w:tabs>
        <w:numPr>
          <w:ilvl w:val="0"/>
          <w:numId w:val="527"/>
        </w:numPr>
        <w:rPr>
          <w:rFonts w:ascii="Arial" w:cs="Arial" w:eastAsia="Arial" w:hAnsi="Arial"/>
          <w:sz w:val="16"/>
          <w:szCs w:val="16"/>
          <w:color w:val="auto"/>
        </w:rPr>
      </w:pPr>
      <w:r>
        <w:rPr>
          <w:rFonts w:ascii="Arial" w:cs="Arial" w:eastAsia="Arial" w:hAnsi="Arial"/>
          <w:sz w:val="16"/>
          <w:szCs w:val="16"/>
          <w:color w:val="auto"/>
        </w:rPr>
        <w:t>“Operating Expenses” are all costs incurred by Landlord relating to the ownership and operation of the Industrial Center, Building, and Premises including, but not limited to, the following:</w:t>
      </w:r>
    </w:p>
    <w:p>
      <w:pPr>
        <w:spacing w:after="0" w:line="158" w:lineRule="exact"/>
        <w:rPr>
          <w:rFonts w:ascii="Arial" w:cs="Arial" w:eastAsia="Arial" w:hAnsi="Arial"/>
          <w:sz w:val="16"/>
          <w:szCs w:val="16"/>
          <w:color w:val="auto"/>
        </w:rPr>
      </w:pPr>
    </w:p>
    <w:p>
      <w:pPr>
        <w:ind w:right="140" w:firstLine="1244"/>
        <w:spacing w:after="0" w:line="343" w:lineRule="auto"/>
        <w:tabs>
          <w:tab w:leader="none" w:pos="1438" w:val="left"/>
        </w:tabs>
        <w:numPr>
          <w:ilvl w:val="1"/>
          <w:numId w:val="527"/>
        </w:numPr>
        <w:rPr>
          <w:rFonts w:ascii="Arial" w:cs="Arial" w:eastAsia="Arial" w:hAnsi="Arial"/>
          <w:sz w:val="13"/>
          <w:szCs w:val="13"/>
          <w:color w:val="auto"/>
        </w:rPr>
      </w:pPr>
      <w:r>
        <w:rPr>
          <w:rFonts w:ascii="Arial" w:cs="Arial" w:eastAsia="Arial" w:hAnsi="Arial"/>
          <w:sz w:val="13"/>
          <w:szCs w:val="13"/>
          <w:color w:val="auto"/>
        </w:rPr>
        <w:t>Expenses relating to the operation, repair, maintenance, and replacement of the Common Areas in a neat, clean, good order, and condition, including parking areas, loading and unloading areas, trash areas, roadways, sidewalks, walkways, parkways, driveways, rail spurs, landscaped areas, striping, bumpers, irrigation systems, drainage systems, lighting facilities, fences and gates, exterior signs, and tenant directories.</w:t>
      </w:r>
    </w:p>
    <w:p>
      <w:pPr>
        <w:spacing w:after="0" w:line="113" w:lineRule="exact"/>
        <w:rPr>
          <w:rFonts w:ascii="Arial" w:cs="Arial" w:eastAsia="Arial" w:hAnsi="Arial"/>
          <w:sz w:val="13"/>
          <w:szCs w:val="13"/>
          <w:color w:val="auto"/>
        </w:rPr>
      </w:pPr>
    </w:p>
    <w:p>
      <w:pPr>
        <w:ind w:left="1480" w:hanging="236"/>
        <w:spacing w:after="0"/>
        <w:tabs>
          <w:tab w:leader="none" w:pos="1480" w:val="left"/>
        </w:tabs>
        <w:numPr>
          <w:ilvl w:val="1"/>
          <w:numId w:val="527"/>
        </w:numPr>
        <w:rPr>
          <w:rFonts w:ascii="Arial" w:cs="Arial" w:eastAsia="Arial" w:hAnsi="Arial"/>
          <w:sz w:val="13"/>
          <w:szCs w:val="13"/>
          <w:color w:val="auto"/>
        </w:rPr>
      </w:pPr>
      <w:r>
        <w:rPr>
          <w:rFonts w:ascii="Arial" w:cs="Arial" w:eastAsia="Arial" w:hAnsi="Arial"/>
          <w:sz w:val="13"/>
          <w:szCs w:val="13"/>
          <w:color w:val="auto"/>
        </w:rPr>
        <w:t>Water, gas, electricity, telephone, and other utilities servicing the Common Areas or not paid for directly by other tenants of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Industrial Center.</w:t>
      </w:r>
    </w:p>
    <w:p>
      <w:pPr>
        <w:spacing w:after="0" w:line="181" w:lineRule="exact"/>
        <w:rPr>
          <w:rFonts w:ascii="Arial" w:cs="Arial" w:eastAsia="Arial" w:hAnsi="Arial"/>
          <w:sz w:val="13"/>
          <w:szCs w:val="13"/>
          <w:color w:val="auto"/>
        </w:rPr>
      </w:pPr>
    </w:p>
    <w:p>
      <w:pPr>
        <w:ind w:left="1520" w:hanging="276"/>
        <w:spacing w:after="0"/>
        <w:tabs>
          <w:tab w:leader="none" w:pos="1520" w:val="left"/>
        </w:tabs>
        <w:numPr>
          <w:ilvl w:val="1"/>
          <w:numId w:val="527"/>
        </w:numPr>
        <w:rPr>
          <w:rFonts w:ascii="Arial" w:cs="Arial" w:eastAsia="Arial" w:hAnsi="Arial"/>
          <w:sz w:val="13"/>
          <w:szCs w:val="13"/>
          <w:color w:val="auto"/>
        </w:rPr>
      </w:pPr>
      <w:r>
        <w:rPr>
          <w:rFonts w:ascii="Arial" w:cs="Arial" w:eastAsia="Arial" w:hAnsi="Arial"/>
          <w:sz w:val="13"/>
          <w:szCs w:val="13"/>
          <w:color w:val="auto"/>
        </w:rPr>
        <w:t>Trash disposal (except within the Premises), janitorial services, snow removal, property management, and security services.</w:t>
      </w:r>
    </w:p>
    <w:p>
      <w:pPr>
        <w:spacing w:after="0" w:line="227" w:lineRule="exact"/>
        <w:rPr>
          <w:rFonts w:ascii="Arial" w:cs="Arial" w:eastAsia="Arial" w:hAnsi="Arial"/>
          <w:sz w:val="13"/>
          <w:szCs w:val="13"/>
          <w:color w:val="auto"/>
        </w:rPr>
      </w:pPr>
    </w:p>
    <w:p>
      <w:pPr>
        <w:ind w:left="1520" w:hanging="276"/>
        <w:spacing w:after="0"/>
        <w:tabs>
          <w:tab w:leader="none" w:pos="152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Intentionally deleted.</w:t>
      </w:r>
    </w:p>
    <w:p>
      <w:pPr>
        <w:spacing w:after="0" w:line="193" w:lineRule="exact"/>
        <w:rPr>
          <w:rFonts w:ascii="Arial" w:cs="Arial" w:eastAsia="Arial" w:hAnsi="Arial"/>
          <w:sz w:val="16"/>
          <w:szCs w:val="16"/>
          <w:color w:val="auto"/>
        </w:rPr>
      </w:pPr>
    </w:p>
    <w:p>
      <w:pPr>
        <w:ind w:left="1460" w:hanging="216"/>
        <w:spacing w:after="0"/>
        <w:tabs>
          <w:tab w:leader="none" w:pos="146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Real Property Taxes.</w:t>
      </w:r>
    </w:p>
    <w:p>
      <w:pPr>
        <w:spacing w:after="0" w:line="193" w:lineRule="exact"/>
        <w:rPr>
          <w:rFonts w:ascii="Arial" w:cs="Arial" w:eastAsia="Arial" w:hAnsi="Arial"/>
          <w:sz w:val="16"/>
          <w:szCs w:val="16"/>
          <w:color w:val="auto"/>
        </w:rPr>
      </w:pPr>
    </w:p>
    <w:p>
      <w:pPr>
        <w:ind w:right="580" w:firstLine="1244"/>
        <w:spacing w:after="0" w:line="266" w:lineRule="auto"/>
        <w:tabs>
          <w:tab w:leader="none" w:pos="1517" w:val="left"/>
        </w:tabs>
        <w:numPr>
          <w:ilvl w:val="1"/>
          <w:numId w:val="527"/>
        </w:numPr>
        <w:rPr>
          <w:rFonts w:ascii="Arial" w:cs="Arial" w:eastAsia="Arial" w:hAnsi="Arial"/>
          <w:sz w:val="16"/>
          <w:szCs w:val="16"/>
          <w:color w:val="auto"/>
        </w:rPr>
      </w:pPr>
      <w:r>
        <w:rPr>
          <w:rFonts w:ascii="Arial" w:cs="Arial" w:eastAsia="Arial" w:hAnsi="Arial"/>
          <w:sz w:val="16"/>
          <w:szCs w:val="16"/>
          <w:color w:val="auto"/>
        </w:rPr>
        <w:t>Premiums for the insurance policies maintained by Landlord under Paragraph 8 hereof including, but not limited to any environmental monitoring and insurance programs.</w:t>
      </w:r>
    </w:p>
    <w:p>
      <w:pPr>
        <w:spacing w:after="0" w:line="158" w:lineRule="exact"/>
        <w:rPr>
          <w:rFonts w:ascii="Arial" w:cs="Arial" w:eastAsia="Arial" w:hAnsi="Arial"/>
          <w:sz w:val="16"/>
          <w:szCs w:val="16"/>
          <w:color w:val="auto"/>
        </w:rPr>
      </w:pPr>
    </w:p>
    <w:p>
      <w:pPr>
        <w:ind w:right="60" w:firstLine="1244"/>
        <w:spacing w:after="0" w:line="253" w:lineRule="auto"/>
        <w:tabs>
          <w:tab w:leader="none" w:pos="156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Monthly amortization of capital improvements to the Common Areas and the Building. The monthly amortization of any given capital improvement shall be the sum of the (a) quotient obtained by dividing the cost of the capital improvement by Landlord’s reasonable estimate of the number of months of useful life of such improvement plus (b) an amount equal to the cost of the capital improvement times 1/12 of the lesser of 8% or the maximum annual interest rate permitted by law.</w:t>
      </w:r>
    </w:p>
    <w:p>
      <w:pPr>
        <w:spacing w:after="0" w:line="167" w:lineRule="exact"/>
        <w:rPr>
          <w:rFonts w:ascii="Arial" w:cs="Arial" w:eastAsia="Arial" w:hAnsi="Arial"/>
          <w:sz w:val="16"/>
          <w:szCs w:val="16"/>
          <w:color w:val="auto"/>
        </w:rPr>
      </w:pPr>
    </w:p>
    <w:p>
      <w:pPr>
        <w:ind w:right="640" w:firstLine="1244"/>
        <w:spacing w:after="0" w:line="266" w:lineRule="auto"/>
        <w:tabs>
          <w:tab w:leader="none" w:pos="1604" w:val="left"/>
        </w:tabs>
        <w:numPr>
          <w:ilvl w:val="1"/>
          <w:numId w:val="527"/>
        </w:numPr>
        <w:rPr>
          <w:rFonts w:ascii="Arial" w:cs="Arial" w:eastAsia="Arial" w:hAnsi="Arial"/>
          <w:sz w:val="16"/>
          <w:szCs w:val="16"/>
          <w:color w:val="auto"/>
        </w:rPr>
      </w:pPr>
      <w:r>
        <w:rPr>
          <w:rFonts w:ascii="Arial" w:cs="Arial" w:eastAsia="Arial" w:hAnsi="Arial"/>
          <w:sz w:val="16"/>
          <w:szCs w:val="16"/>
          <w:color w:val="auto"/>
        </w:rPr>
        <w:t>Maintenance of the Building including, but not limited to, painting, caulking, and repair and replacement of Building components, including, but not limited to, roof membrane, elevators, and fire detection and sprinkler systems.</w:t>
      </w:r>
    </w:p>
    <w:p>
      <w:pPr>
        <w:spacing w:after="0" w:line="158" w:lineRule="exact"/>
        <w:rPr>
          <w:rFonts w:ascii="Arial" w:cs="Arial" w:eastAsia="Arial" w:hAnsi="Arial"/>
          <w:sz w:val="16"/>
          <w:szCs w:val="16"/>
          <w:color w:val="auto"/>
        </w:rPr>
      </w:pPr>
    </w:p>
    <w:p>
      <w:pPr>
        <w:ind w:left="1520" w:hanging="276"/>
        <w:spacing w:after="0"/>
        <w:tabs>
          <w:tab w:leader="none" w:pos="152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Heating, ventilating, and air conditioning systems (“HVAC”).</w:t>
      </w:r>
    </w:p>
    <w:p>
      <w:pPr>
        <w:sectPr>
          <w:pgSz w:w="11900" w:h="16838" w:orient="portrait"/>
          <w:cols w:equalWidth="0" w:num="1">
            <w:col w:w="9600"/>
          </w:cols>
          <w:pgMar w:left="1140" w:top="256" w:right="1159" w:bottom="1440" w:gutter="0" w:footer="0" w:header="0"/>
        </w:sectPr>
      </w:pPr>
    </w:p>
    <w:bookmarkStart w:id="693" w:name="page694"/>
    <w:bookmarkEnd w:id="693"/>
    <w:p>
      <w:pPr>
        <w:ind w:left="124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(x) If Tenant fails to maintain the Premises, any expense incurred by Landlord for such maintenance.</w:t>
      </w:r>
    </w:p>
    <w:p>
      <w:pPr>
        <w:spacing w:after="0" w:line="193" w:lineRule="exact"/>
        <w:rPr>
          <w:sz w:val="20"/>
          <w:szCs w:val="20"/>
          <w:color w:val="auto"/>
        </w:rPr>
      </w:pPr>
    </w:p>
    <w:p>
      <w:pPr>
        <w:ind w:left="6"/>
        <w:spacing w:after="0" w:line="304" w:lineRule="auto"/>
        <w:rPr>
          <w:sz w:val="20"/>
          <w:szCs w:val="20"/>
          <w:color w:val="auto"/>
        </w:rPr>
      </w:pPr>
      <w:r>
        <w:rPr>
          <w:rFonts w:ascii="Arial" w:cs="Arial" w:eastAsia="Arial" w:hAnsi="Arial"/>
          <w:sz w:val="13"/>
          <w:szCs w:val="13"/>
          <w:color w:val="auto"/>
        </w:rPr>
        <w:t>Notwithstanding anything to the contrary herein, Operating Expenses shall not include and Tenant shall in no event have any obligation to perform or to pay directly, or to reimburse Landlord for, all or any portion of the following: (a) costs occasioned by casualties or condemnation (which costs are addressed in Paragraph 9.2); (b) costs to correct any construction defect in the Industrial Center or to comply with any Applicable Requirement applicable to the Industrial Center on the Commencement Date except for those costs arising from Tenant’s specific use of the Premises or any improvements made by or for Tenant; (c) increases in insurance costs caused by the activities of another occupant of the Industrial Center; (d) costs incurred in connection with the presence of any Hazardous Substance, except to the extent caused by the release or emission of the Hazardous Substance in question by Tenant or the exacerbation of any condition caused by the activities of Tenant or any improvements installed by or for Tenant; (e) interest, charges and fees incurred on debt and rent under any lease that is superior to this Lease; (f) expense reserves; (g) costs which could properly be capitalized under generally accepted accounting principles (including insurance deductibles), except to the extent amortized as set forth in subpart (vii) above; (h) costs for services not provided to Tenant under this Lease or of a nature that are payable directly by Tenant under this Lease;</w:t>
      </w:r>
    </w:p>
    <w:p>
      <w:pPr>
        <w:spacing w:after="0" w:line="4" w:lineRule="exact"/>
        <w:rPr>
          <w:sz w:val="20"/>
          <w:szCs w:val="20"/>
          <w:color w:val="auto"/>
        </w:rPr>
      </w:pPr>
    </w:p>
    <w:p>
      <w:pPr>
        <w:ind w:left="6" w:right="40" w:hanging="6"/>
        <w:spacing w:after="0" w:line="249" w:lineRule="auto"/>
        <w:tabs>
          <w:tab w:leader="none" w:pos="194" w:val="left"/>
        </w:tabs>
        <w:numPr>
          <w:ilvl w:val="0"/>
          <w:numId w:val="528"/>
        </w:numPr>
        <w:rPr>
          <w:rFonts w:ascii="Arial" w:cs="Arial" w:eastAsia="Arial" w:hAnsi="Arial"/>
          <w:sz w:val="16"/>
          <w:szCs w:val="16"/>
          <w:color w:val="auto"/>
        </w:rPr>
      </w:pPr>
      <w:r>
        <w:rPr>
          <w:rFonts w:ascii="Arial" w:cs="Arial" w:eastAsia="Arial" w:hAnsi="Arial"/>
          <w:sz w:val="16"/>
          <w:szCs w:val="16"/>
          <w:color w:val="auto"/>
        </w:rPr>
        <w:t>co-insurance payments; (j) profit or compensation retained by Landlord or its affiliates for management and administration of the Industrial Center in excess of amounts charged by other institutional landlords leasing comparable space in the vicinity of the Premises; and (k) costs to construct new buildings or facilities at the Industrial Center.</w:t>
      </w:r>
    </w:p>
    <w:p>
      <w:pPr>
        <w:spacing w:after="0" w:line="170" w:lineRule="exact"/>
        <w:rPr>
          <w:rFonts w:ascii="Arial" w:cs="Arial" w:eastAsia="Arial" w:hAnsi="Arial"/>
          <w:sz w:val="16"/>
          <w:szCs w:val="16"/>
          <w:color w:val="auto"/>
        </w:rPr>
      </w:pPr>
    </w:p>
    <w:p>
      <w:pPr>
        <w:ind w:left="6" w:right="240" w:firstLine="860"/>
        <w:spacing w:after="0" w:line="329" w:lineRule="auto"/>
        <w:tabs>
          <w:tab w:leader="none" w:pos="1094" w:val="left"/>
        </w:tabs>
        <w:numPr>
          <w:ilvl w:val="1"/>
          <w:numId w:val="528"/>
        </w:numPr>
        <w:rPr>
          <w:rFonts w:ascii="Arial" w:cs="Arial" w:eastAsia="Arial" w:hAnsi="Arial"/>
          <w:sz w:val="13"/>
          <w:szCs w:val="13"/>
          <w:color w:val="auto"/>
        </w:rPr>
      </w:pPr>
      <w:r>
        <w:rPr>
          <w:rFonts w:ascii="Arial" w:cs="Arial" w:eastAsia="Arial" w:hAnsi="Arial"/>
          <w:sz w:val="13"/>
          <w:szCs w:val="13"/>
          <w:color w:val="auto"/>
        </w:rPr>
        <w:t>Tenant’s Share of Operating Expenses that are not specifically attributed to the Premises or Building (“Common Area Operating Expenses”) shall be that percentage shown in Paragraph 1.5(a). Tenant’s Share of Operating Expenses that are attributable to the Building (“Building Operating Expenses”) shall be that percentage shown in Paragraph 1.5(b). Landlord in its reasonable discretion shall determine which Operating Expenses are Common Area Operating Expenses, Building Operating Expenses, or expenses to be entirely borne by Tenant.</w:t>
      </w:r>
    </w:p>
    <w:p>
      <w:pPr>
        <w:spacing w:after="0" w:line="123" w:lineRule="exact"/>
        <w:rPr>
          <w:rFonts w:ascii="Arial" w:cs="Arial" w:eastAsia="Arial" w:hAnsi="Arial"/>
          <w:sz w:val="13"/>
          <w:szCs w:val="13"/>
          <w:color w:val="auto"/>
        </w:rPr>
      </w:pPr>
    </w:p>
    <w:p>
      <w:pPr>
        <w:ind w:left="6" w:right="440" w:firstLine="860"/>
        <w:spacing w:after="0" w:line="266" w:lineRule="auto"/>
        <w:tabs>
          <w:tab w:leader="none" w:pos="1086" w:val="left"/>
        </w:tabs>
        <w:numPr>
          <w:ilvl w:val="1"/>
          <w:numId w:val="528"/>
        </w:numPr>
        <w:rPr>
          <w:rFonts w:ascii="Arial" w:cs="Arial" w:eastAsia="Arial" w:hAnsi="Arial"/>
          <w:sz w:val="16"/>
          <w:szCs w:val="16"/>
          <w:color w:val="auto"/>
        </w:rPr>
      </w:pPr>
      <w:r>
        <w:rPr>
          <w:rFonts w:ascii="Arial" w:cs="Arial" w:eastAsia="Arial" w:hAnsi="Arial"/>
          <w:sz w:val="16"/>
          <w:szCs w:val="16"/>
          <w:color w:val="auto"/>
        </w:rPr>
        <w:t>The inclusion of the improvements, facilities, and services set forth in Subparagraph 4.2(a) shall not impose any obligation upon Landlord either to have said improvements or facilities or to provide those services.</w:t>
      </w:r>
    </w:p>
    <w:p>
      <w:pPr>
        <w:spacing w:after="0" w:line="158" w:lineRule="exact"/>
        <w:rPr>
          <w:rFonts w:ascii="Arial" w:cs="Arial" w:eastAsia="Arial" w:hAnsi="Arial"/>
          <w:sz w:val="16"/>
          <w:szCs w:val="16"/>
          <w:color w:val="auto"/>
        </w:rPr>
      </w:pPr>
    </w:p>
    <w:p>
      <w:pPr>
        <w:ind w:left="6" w:firstLine="860"/>
        <w:spacing w:after="0" w:line="266" w:lineRule="auto"/>
        <w:tabs>
          <w:tab w:leader="none" w:pos="1094" w:val="left"/>
        </w:tabs>
        <w:numPr>
          <w:ilvl w:val="1"/>
          <w:numId w:val="528"/>
        </w:numPr>
        <w:rPr>
          <w:rFonts w:ascii="Arial" w:cs="Arial" w:eastAsia="Arial" w:hAnsi="Arial"/>
          <w:sz w:val="15"/>
          <w:szCs w:val="15"/>
          <w:color w:val="auto"/>
        </w:rPr>
      </w:pPr>
      <w:r>
        <w:rPr>
          <w:rFonts w:ascii="Arial" w:cs="Arial" w:eastAsia="Arial" w:hAnsi="Arial"/>
          <w:sz w:val="15"/>
          <w:szCs w:val="15"/>
          <w:color w:val="auto"/>
        </w:rPr>
        <w:t>Tenant shall pay monthly in advance, on the same day that the Base Rent is due, Tenant’s Share of estimated Operating Expenses in the amount set forth in Paragraph 1.6. Landlord shall deliver to Tenant within 90 days after the expiration of each calendar year a reasonably detailed statement showing Tenant’s Share of the actual Operating Expenses incurred during the preceding year. If Tenant’s estimated payments under this Paragraph 4.2(d) during the preceding year exceed Tenant’s Share as indicated on said statement, Tenant shall be credited the amount of such overpayment against Tenant’s Share of Operating Expenses next becoming due or, if the Term has expired, Landlord shall refund such amount to Tenant within thirty (30) days. If Tenant’s estimated payments under this Paragraph 4.2(d) during said preceding year were less than Tenant’s Share as indicated on said statement, Tenant shall pay to Landlord the amount of the deficiency within 30 days after delivery by Landlord to Tenant of said statement. At any time Landlord may adjust the amount of the estimated Tenant’s Share of Operating Expenses to reflect Landlord’s estimate of such expenses for the year. Tenant or its authorized representative shall have the right to inspect the books of Landlord, for the purpose of verifying the information contained in the statement.</w:t>
      </w:r>
    </w:p>
    <w:p>
      <w:pPr>
        <w:spacing w:after="0" w:line="159" w:lineRule="exact"/>
        <w:rPr>
          <w:sz w:val="20"/>
          <w:szCs w:val="20"/>
          <w:color w:val="auto"/>
        </w:rPr>
      </w:pPr>
    </w:p>
    <w:p>
      <w:pPr>
        <w:ind w:left="6" w:right="100" w:hanging="6"/>
        <w:spacing w:after="0" w:line="266" w:lineRule="auto"/>
        <w:tabs>
          <w:tab w:leader="none" w:pos="163" w:val="left"/>
        </w:tabs>
        <w:numPr>
          <w:ilvl w:val="0"/>
          <w:numId w:val="5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Security Deposit. </w:t>
      </w:r>
      <w:r>
        <w:rPr>
          <w:rFonts w:ascii="Arial" w:cs="Arial" w:eastAsia="Arial" w:hAnsi="Arial"/>
          <w:sz w:val="15"/>
          <w:szCs w:val="15"/>
          <w:color w:val="auto"/>
        </w:rPr>
        <w:t>Tenant shall deposit with Landlord upon Tenant’s execution hereof the Security Deposit set forth in Paragraph 1.7 as security for</w:t>
      </w:r>
      <w:r>
        <w:rPr>
          <w:rFonts w:ascii="Arial" w:cs="Arial" w:eastAsia="Arial" w:hAnsi="Arial"/>
          <w:sz w:val="15"/>
          <w:szCs w:val="15"/>
          <w:b w:val="1"/>
          <w:bCs w:val="1"/>
          <w:color w:val="auto"/>
        </w:rPr>
        <w:t xml:space="preserve"> </w:t>
      </w:r>
      <w:r>
        <w:rPr>
          <w:rFonts w:ascii="Arial" w:cs="Arial" w:eastAsia="Arial" w:hAnsi="Arial"/>
          <w:sz w:val="15"/>
          <w:szCs w:val="15"/>
          <w:color w:val="auto"/>
        </w:rPr>
        <w:t>Tenant’s faithful performance of Tenant’s obligations under this Lease. If Tenant fails to pay Base Rent or Additional Rent within any applicable notice and cure period or otherwise Defaults under this Lease (as defined in Paragraph 13.1), Landlord may use the Security Deposit for the payment of any amount due Landlord or to reimburse or compensate Landlord for any liability, cost, expense, loss, or damage (including attorneys’ fees) which Landlord may suffer or incur by reason thereof. Tenant shall on demand pay Landlord the amount so used or applied so as to restore the Security Deposit to the amount set forth in Paragraph 1.7. Landlord shall not be required to keep all or any part of the Security Deposit separate from its general accounts. Landlord shall, at the expiration or earlier termination of the term hereof and after Tenant has vacated the Premises return to Tenant that portion of the Security Deposit not used or applied by Landlord. No part of the Security Deposit shall be considered to be held in trust, to bear interest, or to be prepayment for any monies to be paid by Tenant under this Lease. Notwithstanding anything to the contrary, Tenant hereby specifically acknowledges and agrees that Landlord may hold and apply the Security Deposit against future rent damages incurred by Landlord in the event of a default by Tenant under this Lease and Tenant specifically waives the provisions of California Civil Code Section 1950.7 or any statute which would prevent Landlord from making such application.</w:t>
      </w:r>
    </w:p>
    <w:p>
      <w:pPr>
        <w:spacing w:after="0" w:line="158" w:lineRule="exact"/>
        <w:rPr>
          <w:rFonts w:ascii="Arial" w:cs="Arial" w:eastAsia="Arial" w:hAnsi="Arial"/>
          <w:sz w:val="15"/>
          <w:szCs w:val="15"/>
          <w:b w:val="1"/>
          <w:bCs w:val="1"/>
          <w:color w:val="auto"/>
        </w:rPr>
      </w:pPr>
    </w:p>
    <w:p>
      <w:pPr>
        <w:ind w:left="166" w:hanging="166"/>
        <w:spacing w:after="0"/>
        <w:tabs>
          <w:tab w:leader="none" w:pos="166" w:val="left"/>
        </w:tabs>
        <w:numPr>
          <w:ilvl w:val="0"/>
          <w:numId w:val="529"/>
        </w:numPr>
        <w:rPr>
          <w:rFonts w:ascii="Arial" w:cs="Arial" w:eastAsia="Arial" w:hAnsi="Arial"/>
          <w:sz w:val="16"/>
          <w:szCs w:val="16"/>
          <w:b w:val="1"/>
          <w:bCs w:val="1"/>
          <w:color w:val="auto"/>
        </w:rPr>
      </w:pPr>
      <w:r>
        <w:rPr>
          <w:rFonts w:ascii="Arial" w:cs="Arial" w:eastAsia="Arial" w:hAnsi="Arial"/>
          <w:sz w:val="16"/>
          <w:szCs w:val="16"/>
          <w:b w:val="1"/>
          <w:bCs w:val="1"/>
          <w:color w:val="auto"/>
        </w:rPr>
        <w:t>Use.</w:t>
      </w:r>
    </w:p>
    <w:p>
      <w:pPr>
        <w:spacing w:after="0" w:line="197" w:lineRule="exact"/>
        <w:rPr>
          <w:sz w:val="20"/>
          <w:szCs w:val="20"/>
          <w:color w:val="auto"/>
        </w:rPr>
      </w:pPr>
    </w:p>
    <w:p>
      <w:pPr>
        <w:ind w:left="6" w:right="100" w:firstLine="385"/>
        <w:spacing w:after="0" w:line="323"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Permitted Use</w:t>
      </w:r>
      <w:r>
        <w:rPr>
          <w:rFonts w:ascii="Arial" w:cs="Arial" w:eastAsia="Arial" w:hAnsi="Arial"/>
          <w:sz w:val="13"/>
          <w:szCs w:val="13"/>
          <w:color w:val="auto"/>
        </w:rPr>
        <w:t>. Tenant shall use and occupy the Premises only for the Permitted Use set forth in Paragraph 1.8. Tenant shall not commit any nuisance, permit the emission of any objectionable noise or odor, suffer any waste, make any use of the Premises which is contrary to any law or ordinance, or which will invalidate or increase the premiums for any of Landlord’s insurance. For the avoidance of doubt, the Permitted Use will not invalidate or increase the premiums for any of Landlord’s insurance. Tenant shall not service, maintain, or repair vehicles on the Premises, Building, or Common Areas. Tenant shall not store foods, pallets, drums, or any other materials outside the Premises.</w:t>
      </w:r>
    </w:p>
    <w:p>
      <w:pPr>
        <w:spacing w:after="0" w:line="126"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w:t>
      </w:r>
    </w:p>
    <w:p>
      <w:pPr>
        <w:spacing w:after="0" w:line="193" w:lineRule="exact"/>
        <w:rPr>
          <w:sz w:val="20"/>
          <w:szCs w:val="20"/>
          <w:color w:val="auto"/>
        </w:rPr>
      </w:pPr>
    </w:p>
    <w:p>
      <w:pPr>
        <w:ind w:left="6" w:right="540" w:firstLine="860"/>
        <w:spacing w:after="0" w:line="266" w:lineRule="auto"/>
        <w:tabs>
          <w:tab w:leader="none" w:pos="1085" w:val="left"/>
        </w:tabs>
        <w:numPr>
          <w:ilvl w:val="0"/>
          <w:numId w:val="530"/>
        </w:numPr>
        <w:rPr>
          <w:rFonts w:ascii="Arial" w:cs="Arial" w:eastAsia="Arial" w:hAnsi="Arial"/>
          <w:sz w:val="16"/>
          <w:szCs w:val="16"/>
          <w:color w:val="auto"/>
        </w:rPr>
      </w:pPr>
      <w:r>
        <w:rPr>
          <w:rFonts w:ascii="Arial" w:cs="Arial" w:eastAsia="Arial" w:hAnsi="Arial"/>
          <w:sz w:val="16"/>
          <w:szCs w:val="16"/>
          <w:u w:val="single" w:color="auto"/>
          <w:color w:val="auto"/>
        </w:rPr>
        <w:t>Reportable Uses Require Consent</w:t>
      </w:r>
      <w:r>
        <w:rPr>
          <w:rFonts w:ascii="Arial" w:cs="Arial" w:eastAsia="Arial" w:hAnsi="Arial"/>
          <w:sz w:val="16"/>
          <w:szCs w:val="16"/>
          <w:color w:val="auto"/>
        </w:rPr>
        <w:t>. The term, “Hazardous Substance,” as used in this Lease, shall mean any product, substance, chemical, material, or waste whose presence, nature,</w:t>
      </w:r>
    </w:p>
    <w:p>
      <w:pPr>
        <w:sectPr>
          <w:pgSz w:w="11900" w:h="16838" w:orient="portrait"/>
          <w:cols w:equalWidth="0" w:num="1">
            <w:col w:w="9606"/>
          </w:cols>
          <w:pgMar w:left="1134" w:top="257" w:right="1159" w:bottom="1440" w:gutter="0" w:footer="0" w:header="0"/>
        </w:sectPr>
      </w:pPr>
    </w:p>
    <w:bookmarkStart w:id="694" w:name="page695"/>
    <w:bookmarkEnd w:id="694"/>
    <w:p>
      <w:pPr>
        <w:ind w:left="6" w:right="26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quantity, and/or intensity of existence, use, manufacture, disposal, transportation, spill, release, or effect, either by itself or in combination with other materials expected to be on the Premises, is either: (i) potentially injurious to the public health, safety or welfare, the environment, or the Premises;</w:t>
      </w:r>
    </w:p>
    <w:p>
      <w:pPr>
        <w:spacing w:after="0" w:line="1" w:lineRule="exact"/>
        <w:rPr>
          <w:sz w:val="20"/>
          <w:szCs w:val="20"/>
          <w:color w:val="auto"/>
        </w:rPr>
      </w:pPr>
    </w:p>
    <w:p>
      <w:pPr>
        <w:ind w:left="6" w:right="40" w:hanging="6"/>
        <w:spacing w:after="0" w:line="308" w:lineRule="auto"/>
        <w:tabs>
          <w:tab w:leader="none" w:pos="237" w:val="left"/>
        </w:tabs>
        <w:numPr>
          <w:ilvl w:val="0"/>
          <w:numId w:val="531"/>
        </w:numPr>
        <w:rPr>
          <w:rFonts w:ascii="Arial" w:cs="Arial" w:eastAsia="Arial" w:hAnsi="Arial"/>
          <w:sz w:val="13"/>
          <w:szCs w:val="13"/>
          <w:color w:val="auto"/>
        </w:rPr>
      </w:pPr>
      <w:r>
        <w:rPr>
          <w:rFonts w:ascii="Arial" w:cs="Arial" w:eastAsia="Arial" w:hAnsi="Arial"/>
          <w:sz w:val="13"/>
          <w:szCs w:val="13"/>
          <w:color w:val="auto"/>
        </w:rPr>
        <w:t>regulated or monitored by any governmental authority; or (iii) a basis for potential liability of Landlord to any governmental agency or third party under any applicable statute or common law theory. Hazardous Substance shall include, but not be limited to, hydrocarbons, petroleum, gasoline, crude oil, or any products or by-products thereof and per- and polyfluoroalkyl substances (PFAS) which are a group of stable man-made chemicals that allow them to repel both water and oil including perfluorooctanoic acid (PFOA) and perfluorooctanesulfonic acid (PFOS). Tenant shall not engage in any activity in or about the Premises which constitutes a Reportable Use (as hereinafter defined) of Hazardous Substances without the express prior written consent of Landlord and compliance in a timely manner (at Tenant’s sole cost and expense) with all Applicable Requirements (as defined in Paragraph 6.3). “Reportable Use”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 (iii) the presence in, on, or about the Premises of a Hazardous Substance with respect to which any Applicable Requirements require that a notice be given to persons entering or occupying the Premises or neighboring properties. Notwithstanding the foregoing, Tenant may, without Landlord’s prior consent, in compliance with all Applicable Requirements, use any ordinary and customary materials reasonably required to be used by Tenant in the normal course of the Permitted Use, so long as such use does not expose the Premises or neighboring properties to any meaningful risk of contamination or damage, or expose Landlord to any liability therefor.</w:t>
      </w:r>
    </w:p>
    <w:p>
      <w:pPr>
        <w:spacing w:after="0" w:line="327" w:lineRule="exact"/>
        <w:rPr>
          <w:rFonts w:ascii="Arial" w:cs="Arial" w:eastAsia="Arial" w:hAnsi="Arial"/>
          <w:sz w:val="13"/>
          <w:szCs w:val="13"/>
          <w:color w:val="auto"/>
        </w:rPr>
      </w:pPr>
    </w:p>
    <w:p>
      <w:pPr>
        <w:ind w:left="6" w:firstLine="860"/>
        <w:spacing w:after="0" w:line="270" w:lineRule="auto"/>
        <w:tabs>
          <w:tab w:leader="none" w:pos="1094" w:val="left"/>
        </w:tabs>
        <w:numPr>
          <w:ilvl w:val="1"/>
          <w:numId w:val="531"/>
        </w:numPr>
        <w:rPr>
          <w:rFonts w:ascii="Arial" w:cs="Arial" w:eastAsia="Arial" w:hAnsi="Arial"/>
          <w:sz w:val="15"/>
          <w:szCs w:val="15"/>
          <w:color w:val="auto"/>
        </w:rPr>
      </w:pPr>
      <w:r>
        <w:rPr>
          <w:rFonts w:ascii="Arial" w:cs="Arial" w:eastAsia="Arial" w:hAnsi="Arial"/>
          <w:sz w:val="15"/>
          <w:szCs w:val="15"/>
          <w:u w:val="single" w:color="auto"/>
          <w:color w:val="auto"/>
        </w:rPr>
        <w:t>Duty to Inform Landlord</w:t>
      </w:r>
      <w:r>
        <w:rPr>
          <w:rFonts w:ascii="Arial" w:cs="Arial" w:eastAsia="Arial" w:hAnsi="Arial"/>
          <w:sz w:val="15"/>
          <w:szCs w:val="15"/>
          <w:color w:val="auto"/>
        </w:rPr>
        <w:t>. If Tenant knows, or has reasonable cause to believe, that a Hazardous Substance is located in, under, or about the Premises or the Building in violation of Applicable Requirements, Tenant shall immediately give Landlord written notice thereof, together with a copy of any statement, report, notice, registration, application, permit, business plan, license, claim, action, or proceeding given to, or received from, any governmental authority or private party concerning the presence, spill, release, discharge of, or exposure to such Hazardous Substance. Tenant shall not cause or permit any Hazardous Substance to be spilled or released in, on, under, or about the Premises (including, without limitation, through the plumbing or sanitary sewer system) in violation of Applicable Requirements.</w:t>
      </w:r>
    </w:p>
    <w:p>
      <w:pPr>
        <w:spacing w:after="0" w:line="156" w:lineRule="exact"/>
        <w:rPr>
          <w:rFonts w:ascii="Arial" w:cs="Arial" w:eastAsia="Arial" w:hAnsi="Arial"/>
          <w:sz w:val="15"/>
          <w:szCs w:val="15"/>
          <w:color w:val="auto"/>
        </w:rPr>
      </w:pPr>
    </w:p>
    <w:p>
      <w:pPr>
        <w:ind w:left="6" w:right="20" w:firstLine="860"/>
        <w:spacing w:after="0" w:line="312" w:lineRule="auto"/>
        <w:tabs>
          <w:tab w:leader="none" w:pos="1085" w:val="left"/>
        </w:tabs>
        <w:numPr>
          <w:ilvl w:val="1"/>
          <w:numId w:val="531"/>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Tenant shall indemnify, protect, defend, and hold Landlord, Landlord’s affiliates, Lenders, and the officers, directors, shareholders, partners, employees, managers, independent contractors, attorneys, and agents of the foregoing (“Landlord Entities”) and the Premises harmless from and against any and all damages, liabilities, judgments, costs, claims, liens, expenses, penalties, loss of permits, and attorneys’ and consultants’ fees arising out of or involving any Hazardous Substance on or brought onto the Premises by or for Tenant or by any of Tenant’s employees, agents, contractors, servants, visitors, suppliers, or invitees (such employees, agents, contractors, servants, visitors, suppliers, and invitees as herein collectively referred to as “Tenant Entities”) in violation of Applicable Requirements. Tenant’s obligations under this Paragraph 6.2(c) 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Tenant’s obligations under this Paragraph 6.2(c) shall survive the Expiration Date or earlier termination of this Lease.</w:t>
      </w:r>
    </w:p>
    <w:p>
      <w:pPr>
        <w:spacing w:after="0" w:line="137" w:lineRule="exact"/>
        <w:rPr>
          <w:sz w:val="20"/>
          <w:szCs w:val="20"/>
          <w:color w:val="auto"/>
        </w:rPr>
      </w:pPr>
    </w:p>
    <w:p>
      <w:pPr>
        <w:ind w:left="6" w:firstLine="385"/>
        <w:spacing w:after="0" w:line="310"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Tenant’s Compliance with Requirements</w:t>
      </w:r>
      <w:r>
        <w:rPr>
          <w:rFonts w:ascii="Arial" w:cs="Arial" w:eastAsia="Arial" w:hAnsi="Arial"/>
          <w:sz w:val="13"/>
          <w:szCs w:val="13"/>
          <w:color w:val="auto"/>
        </w:rPr>
        <w:t>. Tenant shall, at Tenant’s sole cost and expense, fully, diligently, and in a timely manner comply with all “Applicable Requirements,” which term is used in this Lease to mean all laws, rules, regulations, ordinances, directives, covenants, easements, and restrictions of record, permits, and the requirements of any applicable fire insurance underwriter or rating bureau, relating in any manner to the Premises (including but not limited to matters pertaining to (a) industrial hygiene, (b) environmental conditions on, in, under, or about the Premises, including soil and groundwater conditions, caused by or for Tenant and (c) the use, generation, manufacture, production, installation, maintenance, removal, transportation, storage, spill, or release of any Hazardous Substance by or for Tenant), now in effect or which may hereafter come into effect. Tenant shall, within 5 days after receipt of Landlord’s written request, provide Landlord with copies of all documents and information evidencing Tenant’s compliance with any Applicable Requirements, and shall immediately upon receipt notify Landlord in writing (with copies of any documents involved) of any threatened or actual claim, notice, citation, warning, complaint, or report pertaining to or involving failure by Tenant or the Premises to comply with any Applicable Requirements. Notwithstanding anything to the contrary herein, Tenant shall not be required to comply with or cause the Premises to comply with any Applicable Requirements requiring the construction of alterations unless such compliance is necessitated due to Tenant’s particular use of the Premises or any alterations or improvements to the Premises made by or for Tenant.</w:t>
      </w:r>
    </w:p>
    <w:p>
      <w:pPr>
        <w:spacing w:after="0" w:line="328" w:lineRule="exact"/>
        <w:rPr>
          <w:sz w:val="20"/>
          <w:szCs w:val="20"/>
          <w:color w:val="auto"/>
        </w:rPr>
      </w:pPr>
    </w:p>
    <w:p>
      <w:pPr>
        <w:ind w:left="6" w:firstLine="385"/>
        <w:spacing w:after="0" w:line="270"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Inspection; Compliance with Law</w:t>
      </w:r>
      <w:r>
        <w:rPr>
          <w:rFonts w:ascii="Arial" w:cs="Arial" w:eastAsia="Arial" w:hAnsi="Arial"/>
          <w:sz w:val="15"/>
          <w:szCs w:val="15"/>
          <w:color w:val="auto"/>
        </w:rPr>
        <w:t>. In addition to Landlord’s environmental monitoring and insurance program, the cost of which is included in Operating Expenses, Landlord and the holders of any mortgages, deeds of trust, or ground leases on the Premises (“Lenders”) shall have the right to enter the Premises at any time in the case of an emergency, and otherwise at reasonable times and in accordance with Paragraph 16.14, for the purpose of inspecting the condition of the Premises and for verifying compliance by Tenant with this Lease and all Applicable Requirements. Landlord shall be entitled to employ experts and/or consultants in connection therewith to advise Landlord with respect to Tenant’s installation, operation, use, monitoring, maintenance, or removal of any Hazardous Substance</w:t>
      </w:r>
    </w:p>
    <w:p>
      <w:pPr>
        <w:sectPr>
          <w:pgSz w:w="11900" w:h="16838" w:orient="portrait"/>
          <w:cols w:equalWidth="0" w:num="1">
            <w:col w:w="9606"/>
          </w:cols>
          <w:pgMar w:left="1134" w:top="257" w:right="1159" w:bottom="1440" w:gutter="0" w:footer="0" w:header="0"/>
        </w:sectPr>
      </w:pPr>
    </w:p>
    <w:bookmarkStart w:id="695" w:name="page696"/>
    <w:bookmarkEnd w:id="695"/>
    <w:p>
      <w:pPr>
        <w:spacing w:after="0" w:line="31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on or from the Premises. The cost and expenses of any such inspections shall be paid by the party requesting same unless a violation of Applicable Requirements by or for Tenant exists or is imminent in which case Tenant shall, upon request, reimburse Landlord or Landlord’s Lender, as the case may be, for the costs and expenses of such inspections. Within fifteen (15) days of Landlord’s written request, Tenant agrees to deliver to Landlord such information and/or documents as Landlord requires for Landlord to comply with California Public Resources Code Section 25402.10, or successor statute(s), and California Energy Commission adopted regulations set forth in California Code of Regulations, Title 20, Division 2, Chapter 4, Article 9, Sections 1680-1685, and successor and related California Code of Regulations, relating to commercial building energy ratings. Landlord makes the following statement based on Landlord’s actual knowledge in order to comply with California Civil Code Section 1938: The Building and Premises have not undergone an inspection by a Certified Access Specialist (CASp). A CASp can inspect the Premises and determine whether the Premises comply with all of the applicable construction-related accessibility standards under state law. Although state law does not require a CASp inspection of the Premises, the commercial property owner or lessor may not prohibit the lessee or tenant from obtaining a CASp inspection of the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Maintenance, Repairs, Trade Fixtures and Alterations.</w:t>
      </w:r>
    </w:p>
    <w:p>
      <w:pPr>
        <w:spacing w:after="0" w:line="197"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Tenant’s Obligations</w:t>
      </w:r>
      <w:r>
        <w:rPr>
          <w:rFonts w:ascii="Arial" w:cs="Arial" w:eastAsia="Arial" w:hAnsi="Arial"/>
          <w:sz w:val="13"/>
          <w:szCs w:val="13"/>
          <w:color w:val="auto"/>
        </w:rPr>
        <w:t>. Subject to the provisions of Paragraph 7.2 (Landlord’s Obligations), Paragraph 9 (Damage or Destruction), and Paragraph 14 (Condemnation), Tenant shall, at Tenant’s sole cost and expense and at all times, keep the Premises and every part thereof in good order, condition, and repair (whether or not such portion of the Premises requiring repair, or the means of repairing the same, are reasonably or readily accessible to Tenant and whether or not the need for such repairs occurs as a result of Tenant’s use, any prior use, the elements, or the age of such portion of the Premises) including, without limiting the generality of the foregoing, all equipment or facilities specifically serving the Premises, such as plumbing, heating, ventilating and air conditioning systems, electrical, lighting facilities, boilers, fired or unfired pressure vessels, fire hose connectors if within the Premises, fixtures, interior walls, interior surfaces of exterior walls, ceilings, floors, windows, doors, plate glass, and skylights, but excluding any items which are the responsibility of Landlord pursuant to Paragraph 7.2 below. Tenant’s obligations shall include restorations, replacements, or renewals when necessary to keep the Premises and all improvements thereon or a part thereof in good order, condition, and state of repair including, but not limited to a obtaining and maintaining, at Tenant’s sole cost and expense, a service contract (“HVAC Contract”), with a licensed HVAC contractor (“HVAC Contractor”) approved by Landlord in advance, providing for the maintenance and repair of the HVAC and providing for at least quarterly maintenance of the HVAC by the HVAC Contractor. If Tenant fails to obtain or maintain the HVAC Contract, fails to perform any maintenance or repairs suggested or required by the HVAC Contractor, or fails to perform any of Tenant’s Obligations under this Paragraph 7.1, after five (5) days written notice from Landlord to Tenant, Landlord may, at Tenant’s sole cost and expense plus an administrative fee payable by Tenant to Landlord, as Rent, equal to fifteen percent (15%) of such cost and expense, obtain and maintain the HVAC Contract, authorize or perform any repairs or maintenance suggested or required by the HVAC Contractor, perform such Tenant’s Obligations or authorize or perform any repairs, replacements or maintenance which would be Tenant’s Obligations as deemed reasonably necessary by Landlord.</w:t>
      </w:r>
    </w:p>
    <w:p>
      <w:pPr>
        <w:spacing w:after="0" w:line="326" w:lineRule="exact"/>
        <w:rPr>
          <w:sz w:val="20"/>
          <w:szCs w:val="20"/>
          <w:color w:val="auto"/>
        </w:rPr>
      </w:pPr>
    </w:p>
    <w:p>
      <w:pPr>
        <w:ind w:right="60" w:firstLine="385"/>
        <w:spacing w:after="0" w:line="267"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Landlord’s Obligations</w:t>
      </w:r>
      <w:r>
        <w:rPr>
          <w:rFonts w:ascii="Arial" w:cs="Arial" w:eastAsia="Arial" w:hAnsi="Arial"/>
          <w:sz w:val="15"/>
          <w:szCs w:val="15"/>
          <w:color w:val="auto"/>
        </w:rPr>
        <w:t>. Subject to the provisions of Paragraph 6 (Use), Paragraph 7.1 (Tenant’s Obligations), Paragraph 9 (Damage or Destruction), and Paragraph 14 (Condemnation), Landlord, at its expense and not subject to the reimbursement requirements of Paragraph 4.2, shall keep in good order, condition, and repair the roof structure, foundations and exterior walls of the Building and utility systems within the Industrial Center, except to the extent that any repair was caused by the negligent or intentional acts or omissions of Tenant or its agents and Landlord is unable to collect on any insurance coverage which would reimburse Landlord for such repair; provided, that, Landlord shall be responsible for such repair if Landlord’s inability to collect on such insurance coverage is caused by Landlord’s failure to maintain the insurance required hereunder. Landlord, subject to reimbursement pursuant to Paragraph 4.2, shall keep in good order, condition, and repair the Building roof membrane and Common Areas. Notwithstanding anything to the contrary herein, all capital improvements, repairs and replacements to the Building or the Common Areas shall be performed by Landlord and amortized in the manner set forth in Paragraph 4.2(a)(vii) of this Lease.</w:t>
      </w:r>
    </w:p>
    <w:p>
      <w:pPr>
        <w:spacing w:after="0" w:line="159" w:lineRule="exact"/>
        <w:rPr>
          <w:sz w:val="20"/>
          <w:szCs w:val="20"/>
          <w:color w:val="auto"/>
        </w:rPr>
      </w:pPr>
    </w:p>
    <w:p>
      <w:pPr>
        <w:ind w:right="40" w:firstLine="385"/>
        <w:spacing w:after="0" w:line="272"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Alterations</w:t>
      </w:r>
      <w:r>
        <w:rPr>
          <w:rFonts w:ascii="Arial" w:cs="Arial" w:eastAsia="Arial" w:hAnsi="Arial"/>
          <w:sz w:val="15"/>
          <w:szCs w:val="15"/>
          <w:color w:val="auto"/>
        </w:rPr>
        <w:t>. Tenant shall not make nor cause to be made any alterations or installations in, on, under, or about the Premises without Landlord’s prior written consent, which shall not be unreasonably withheld, conditioned, or delayed. Notwithstanding anything to the contrary herein, Tenant’s trade fixtures, furniture, equipment and other personal property installed in the Premises including, without limitation, any programmable oligonucleotide delivery systems (collectively, “Tenant’s Property”) shall at all times be and remain Tenant’s property. At any time Tenant may remove Tenant’s Property from the Premises, provided that Tenant repairs all damage caused by such removal.</w:t>
      </w:r>
    </w:p>
    <w:p>
      <w:pPr>
        <w:spacing w:after="0" w:line="154" w:lineRule="exact"/>
        <w:rPr>
          <w:sz w:val="20"/>
          <w:szCs w:val="20"/>
          <w:color w:val="auto"/>
        </w:rPr>
      </w:pPr>
    </w:p>
    <w:p>
      <w:pPr>
        <w:ind w:right="140" w:firstLine="385"/>
        <w:spacing w:after="0" w:line="25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Surrender/Restoration</w:t>
      </w:r>
      <w:r>
        <w:rPr>
          <w:rFonts w:ascii="Arial" w:cs="Arial" w:eastAsia="Arial" w:hAnsi="Arial"/>
          <w:sz w:val="16"/>
          <w:szCs w:val="16"/>
          <w:color w:val="auto"/>
        </w:rPr>
        <w:t>. Tenant shall surrender the Premises by the end of the last day of the Lease term or any earlier termination date, clean and free of debris and in good operating order, condition, and state of repair, ordinary wear and tear, casualty, condemnation, and repairs that Tenant is not responsible for hereunder excepted and in accordance with the Move-Out Standards, Exhibit D to this Lease. Without limiting the generality of the above, Tenant shall remove all tenant improvements designated by Landlord in Landlord’s sole discretion at the time it provides its consent thereto), personal</w:t>
      </w:r>
    </w:p>
    <w:p>
      <w:pPr>
        <w:sectPr>
          <w:pgSz w:w="11900" w:h="16838" w:orient="portrait"/>
          <w:cols w:equalWidth="0" w:num="1">
            <w:col w:w="9600"/>
          </w:cols>
          <w:pgMar w:left="1140" w:top="257" w:right="1159" w:bottom="1440" w:gutter="0" w:footer="0" w:header="0"/>
        </w:sectPr>
      </w:pPr>
    </w:p>
    <w:bookmarkStart w:id="696" w:name="page697"/>
    <w:bookmarkEnd w:id="696"/>
    <w:p>
      <w:pPr>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property, trade fixtures, and floor bolts, patch all floors, and cause all lights to be in good operating condition. Further, pursuant to Tenant’s maintenance, repair and replacement obligations under Section 7.1 of this Lease and subject to the foregoing limitations in this Section 7.4, on surrender of the Premises, the Storage Area shall be in good order and condition with all improvements removed to the extent specifically set forth in this Lease and all damage repaired.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Insurance; Indemnity.</w:t>
      </w:r>
    </w:p>
    <w:p>
      <w:pPr>
        <w:spacing w:after="0" w:line="197" w:lineRule="exact"/>
        <w:rPr>
          <w:sz w:val="20"/>
          <w:szCs w:val="20"/>
          <w:color w:val="auto"/>
        </w:rPr>
      </w:pPr>
    </w:p>
    <w:p>
      <w:pPr>
        <w:ind w:right="40" w:firstLine="385"/>
        <w:spacing w:after="0" w:line="281"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Payment of Premiums</w:t>
      </w:r>
      <w:r>
        <w:rPr>
          <w:rFonts w:ascii="Arial" w:cs="Arial" w:eastAsia="Arial" w:hAnsi="Arial"/>
          <w:sz w:val="15"/>
          <w:szCs w:val="15"/>
          <w:color w:val="auto"/>
        </w:rPr>
        <w:t>. The cost of the premiums for the insurance policies maintained by Landlord under this Paragraph 8 shall be a Common Area Operating Expense reimbursable pursuant to Paragraph 4.2 hereof. Premiums for policy periods commencing prior to, or extending beyond, the term of this Lease shall be prorated to coincide with the corresponding Commencement Date and Expiration Date.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Tenant’s Insurance</w:t>
      </w:r>
      <w:r>
        <w:rPr>
          <w:rFonts w:ascii="Arial" w:cs="Arial" w:eastAsia="Arial" w:hAnsi="Arial"/>
          <w:sz w:val="16"/>
          <w:szCs w:val="16"/>
          <w:color w:val="auto"/>
        </w:rPr>
        <w:t>.</w:t>
      </w:r>
    </w:p>
    <w:p>
      <w:pPr>
        <w:spacing w:after="0" w:line="193" w:lineRule="exact"/>
        <w:rPr>
          <w:sz w:val="20"/>
          <w:szCs w:val="20"/>
          <w:color w:val="auto"/>
        </w:rPr>
      </w:pPr>
    </w:p>
    <w:p>
      <w:pPr>
        <w:ind w:right="560" w:firstLine="860"/>
        <w:spacing w:after="0" w:line="300" w:lineRule="auto"/>
        <w:tabs>
          <w:tab w:leader="none" w:pos="1079" w:val="left"/>
        </w:tabs>
        <w:numPr>
          <w:ilvl w:val="0"/>
          <w:numId w:val="532"/>
        </w:numPr>
        <w:rPr>
          <w:rFonts w:ascii="Arial" w:cs="Arial" w:eastAsia="Arial" w:hAnsi="Arial"/>
          <w:sz w:val="15"/>
          <w:szCs w:val="15"/>
          <w:color w:val="auto"/>
        </w:rPr>
      </w:pPr>
      <w:r>
        <w:rPr>
          <w:rFonts w:ascii="Arial" w:cs="Arial" w:eastAsia="Arial" w:hAnsi="Arial"/>
          <w:sz w:val="15"/>
          <w:szCs w:val="15"/>
          <w:color w:val="auto"/>
        </w:rPr>
        <w:t>At its sole cost and expense, Tenant shall maintain in full force and effect during the Term of the Lease the following insurance coverages insuring against claims which may arise from or in connection with the Tenant’s operation and use of the Premises.</w:t>
      </w:r>
    </w:p>
    <w:p>
      <w:pPr>
        <w:spacing w:after="0" w:line="134" w:lineRule="exact"/>
        <w:rPr>
          <w:rFonts w:ascii="Arial" w:cs="Arial" w:eastAsia="Arial" w:hAnsi="Arial"/>
          <w:sz w:val="15"/>
          <w:szCs w:val="15"/>
          <w:color w:val="auto"/>
        </w:rPr>
      </w:pPr>
    </w:p>
    <w:p>
      <w:pPr>
        <w:ind w:right="20" w:firstLine="1244"/>
        <w:spacing w:after="0" w:line="343" w:lineRule="auto"/>
        <w:tabs>
          <w:tab w:leader="none" w:pos="1438" w:val="left"/>
        </w:tabs>
        <w:numPr>
          <w:ilvl w:val="1"/>
          <w:numId w:val="532"/>
        </w:numPr>
        <w:rPr>
          <w:rFonts w:ascii="Arial" w:cs="Arial" w:eastAsia="Arial" w:hAnsi="Arial"/>
          <w:sz w:val="13"/>
          <w:szCs w:val="13"/>
          <w:color w:val="auto"/>
        </w:rPr>
      </w:pPr>
      <w:r>
        <w:rPr>
          <w:rFonts w:ascii="Arial" w:cs="Arial" w:eastAsia="Arial" w:hAnsi="Arial"/>
          <w:sz w:val="13"/>
          <w:szCs w:val="13"/>
          <w:color w:val="auto"/>
        </w:rPr>
        <w:t>Commercial General Liability insurance with minimum limits of $2,000,000 per occurrence and $4,000,000 general aggregate for bodily injury, personal injury, and property damage. Such insurance shall be endorsed to include Landlord and Landlord Entities as additional insureds, shall be primary and noncontributory with any Landlord insurance, and shall provide severability of interests between or among insureds.</w:t>
      </w:r>
    </w:p>
    <w:p>
      <w:pPr>
        <w:spacing w:after="0" w:line="113" w:lineRule="exact"/>
        <w:rPr>
          <w:rFonts w:ascii="Arial" w:cs="Arial" w:eastAsia="Arial" w:hAnsi="Arial"/>
          <w:sz w:val="13"/>
          <w:szCs w:val="13"/>
          <w:color w:val="auto"/>
        </w:rPr>
      </w:pPr>
    </w:p>
    <w:p>
      <w:pPr>
        <w:ind w:left="1480" w:hanging="236"/>
        <w:spacing w:after="0"/>
        <w:tabs>
          <w:tab w:leader="none" w:pos="1480" w:val="left"/>
        </w:tabs>
        <w:numPr>
          <w:ilvl w:val="1"/>
          <w:numId w:val="532"/>
        </w:numPr>
        <w:rPr>
          <w:rFonts w:ascii="Arial" w:cs="Arial" w:eastAsia="Arial" w:hAnsi="Arial"/>
          <w:sz w:val="13"/>
          <w:szCs w:val="13"/>
          <w:color w:val="auto"/>
        </w:rPr>
      </w:pPr>
      <w:r>
        <w:rPr>
          <w:rFonts w:ascii="Arial" w:cs="Arial" w:eastAsia="Arial" w:hAnsi="Arial"/>
          <w:sz w:val="13"/>
          <w:szCs w:val="13"/>
          <w:color w:val="auto"/>
        </w:rPr>
        <w:t>Workers’ Compensation insurance with statutory limits and Employers Liability with a $1,000,000 per accident limit for bodily</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injury or disease.</w:t>
      </w:r>
    </w:p>
    <w:p>
      <w:pPr>
        <w:spacing w:after="0" w:line="181" w:lineRule="exact"/>
        <w:rPr>
          <w:rFonts w:ascii="Arial" w:cs="Arial" w:eastAsia="Arial" w:hAnsi="Arial"/>
          <w:sz w:val="13"/>
          <w:szCs w:val="13"/>
          <w:color w:val="auto"/>
        </w:rPr>
      </w:pPr>
    </w:p>
    <w:p>
      <w:pPr>
        <w:ind w:firstLine="1244"/>
        <w:spacing w:after="0" w:line="266" w:lineRule="auto"/>
        <w:tabs>
          <w:tab w:leader="none" w:pos="1525" w:val="left"/>
        </w:tabs>
        <w:numPr>
          <w:ilvl w:val="1"/>
          <w:numId w:val="532"/>
        </w:numPr>
        <w:rPr>
          <w:rFonts w:ascii="Arial" w:cs="Arial" w:eastAsia="Arial" w:hAnsi="Arial"/>
          <w:sz w:val="16"/>
          <w:szCs w:val="16"/>
          <w:color w:val="auto"/>
        </w:rPr>
      </w:pPr>
      <w:r>
        <w:rPr>
          <w:rFonts w:ascii="Arial" w:cs="Arial" w:eastAsia="Arial" w:hAnsi="Arial"/>
          <w:sz w:val="16"/>
          <w:szCs w:val="16"/>
          <w:color w:val="auto"/>
        </w:rPr>
        <w:t>Automobile liability insurance covering all owned, nonowned, and hired vehicles with a $1,000,000 per accident limit for bodily injury and property damage.</w:t>
      </w:r>
    </w:p>
    <w:p>
      <w:pPr>
        <w:spacing w:after="0" w:line="158" w:lineRule="exact"/>
        <w:rPr>
          <w:rFonts w:ascii="Arial" w:cs="Arial" w:eastAsia="Arial" w:hAnsi="Arial"/>
          <w:sz w:val="16"/>
          <w:szCs w:val="16"/>
          <w:color w:val="auto"/>
        </w:rPr>
      </w:pPr>
    </w:p>
    <w:p>
      <w:pPr>
        <w:ind w:right="260" w:firstLine="1244"/>
        <w:spacing w:after="0" w:line="343" w:lineRule="auto"/>
        <w:tabs>
          <w:tab w:leader="none" w:pos="1517" w:val="left"/>
        </w:tabs>
        <w:numPr>
          <w:ilvl w:val="1"/>
          <w:numId w:val="532"/>
        </w:numPr>
        <w:rPr>
          <w:rFonts w:ascii="Arial" w:cs="Arial" w:eastAsia="Arial" w:hAnsi="Arial"/>
          <w:sz w:val="13"/>
          <w:szCs w:val="13"/>
          <w:color w:val="auto"/>
        </w:rPr>
      </w:pPr>
      <w:r>
        <w:rPr>
          <w:rFonts w:ascii="Arial" w:cs="Arial" w:eastAsia="Arial" w:hAnsi="Arial"/>
          <w:sz w:val="13"/>
          <w:szCs w:val="13"/>
          <w:color w:val="auto"/>
        </w:rPr>
        <w:t>Property insurance against “all risks” at least as broad as the current ISO Special Form policy, for loss to any tenant improvements or betterments installed by or for Tenant, floor and wall coverings, and business personal property on a full insurable replacement cost basis with no coinsurance clause, and Business Income insurance covering at least six months of loss of income and continuing expense.</w:t>
      </w:r>
    </w:p>
    <w:p>
      <w:pPr>
        <w:spacing w:after="0" w:line="113" w:lineRule="exact"/>
        <w:rPr>
          <w:rFonts w:ascii="Arial" w:cs="Arial" w:eastAsia="Arial" w:hAnsi="Arial"/>
          <w:sz w:val="13"/>
          <w:szCs w:val="13"/>
          <w:color w:val="auto"/>
        </w:rPr>
      </w:pPr>
    </w:p>
    <w:p>
      <w:pPr>
        <w:ind w:right="220" w:firstLine="860"/>
        <w:spacing w:after="0" w:line="266" w:lineRule="auto"/>
        <w:tabs>
          <w:tab w:leader="none" w:pos="1088"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Tenant shall deliver to Landlord certificates of all insurance reflecting evidence of required coverages prior to initial occupancy, and annually thereafter.</w:t>
      </w:r>
    </w:p>
    <w:p>
      <w:pPr>
        <w:spacing w:after="0" w:line="158" w:lineRule="exact"/>
        <w:rPr>
          <w:rFonts w:ascii="Arial" w:cs="Arial" w:eastAsia="Arial" w:hAnsi="Arial"/>
          <w:sz w:val="16"/>
          <w:szCs w:val="16"/>
          <w:color w:val="auto"/>
        </w:rPr>
      </w:pPr>
    </w:p>
    <w:p>
      <w:pPr>
        <w:ind w:right="180" w:firstLine="860"/>
        <w:spacing w:after="0" w:line="343" w:lineRule="auto"/>
        <w:tabs>
          <w:tab w:leader="none" w:pos="1079" w:val="left"/>
        </w:tabs>
        <w:numPr>
          <w:ilvl w:val="0"/>
          <w:numId w:val="532"/>
        </w:numPr>
        <w:rPr>
          <w:rFonts w:ascii="Arial" w:cs="Arial" w:eastAsia="Arial" w:hAnsi="Arial"/>
          <w:sz w:val="13"/>
          <w:szCs w:val="13"/>
          <w:color w:val="auto"/>
        </w:rPr>
      </w:pPr>
      <w:r>
        <w:rPr>
          <w:rFonts w:ascii="Arial" w:cs="Arial" w:eastAsia="Arial" w:hAnsi="Arial"/>
          <w:sz w:val="13"/>
          <w:szCs w:val="13"/>
          <w:color w:val="auto"/>
        </w:rPr>
        <w:t>If, in the reasonable opinion of Landlord’s insurance advisor, the amount or scope of such coverage is deemed inadequate at any time during the Term, Tenant shall increase such coverage to such reasonable amounts or scope as Landlord’s advisor deems adequate; provided that such increase is consistent with the requirements of other institutional landlords leasing industrial space in the vicinity of the Premises.</w:t>
      </w:r>
    </w:p>
    <w:p>
      <w:pPr>
        <w:spacing w:after="0" w:line="113" w:lineRule="exact"/>
        <w:rPr>
          <w:rFonts w:ascii="Arial" w:cs="Arial" w:eastAsia="Arial" w:hAnsi="Arial"/>
          <w:sz w:val="13"/>
          <w:szCs w:val="13"/>
          <w:color w:val="auto"/>
        </w:rPr>
      </w:pPr>
    </w:p>
    <w:p>
      <w:pPr>
        <w:jc w:val="both"/>
        <w:ind w:right="40" w:firstLine="860"/>
        <w:spacing w:after="0" w:line="256" w:lineRule="auto"/>
        <w:tabs>
          <w:tab w:leader="none" w:pos="1088" w:val="left"/>
        </w:tabs>
        <w:numPr>
          <w:ilvl w:val="0"/>
          <w:numId w:val="532"/>
        </w:numPr>
        <w:rPr>
          <w:rFonts w:ascii="Arial" w:cs="Arial" w:eastAsia="Arial" w:hAnsi="Arial"/>
          <w:sz w:val="16"/>
          <w:szCs w:val="16"/>
          <w:color w:val="auto"/>
        </w:rPr>
      </w:pPr>
      <w:r>
        <w:rPr>
          <w:rFonts w:ascii="Arial" w:cs="Arial" w:eastAsia="Arial" w:hAnsi="Arial"/>
          <w:sz w:val="16"/>
          <w:szCs w:val="16"/>
          <w:color w:val="auto"/>
        </w:rPr>
        <w:t>All insurance required under Paragraph 8.2 (i) shall be issued by insurers licensed to do business in the state in which the Premises are located and which are rated A:VII or better by Best’s Key Rating Guide and (ii) Tenant shall provide at least 30-days prior notification of cancellation or material reduction in coverage to said additional insureds.</w:t>
      </w:r>
    </w:p>
    <w:p>
      <w:pPr>
        <w:spacing w:after="0" w:line="166" w:lineRule="exact"/>
        <w:rPr>
          <w:sz w:val="20"/>
          <w:szCs w:val="20"/>
          <w:color w:val="auto"/>
        </w:rPr>
      </w:pPr>
    </w:p>
    <w:p>
      <w:pPr>
        <w:ind w:right="20" w:firstLine="385"/>
        <w:spacing w:after="0" w:line="272"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Landlord’s Insurance</w:t>
      </w:r>
      <w:r>
        <w:rPr>
          <w:rFonts w:ascii="Arial" w:cs="Arial" w:eastAsia="Arial" w:hAnsi="Arial"/>
          <w:sz w:val="15"/>
          <w:szCs w:val="15"/>
          <w:color w:val="auto"/>
        </w:rPr>
        <w:t>. Landlord shall be obligated to, maintain “all risks” coverage as broad as the current ISO Special Form policy, including earthquake and flood, covering the buildings within the Industrial Center, Commercial General Liability insurance, and such other insurance in such amounts and covering such other liability or hazards as deemed appropriate by Landlord. The amount and scope of coverage of Landlord’s insurance shall be determined by Landlord from time to time in its sole discretion and shall be subject to such deductible amounts as Landlord may elect. Landlord shall have the right to reduce or terminate any insurance or coverage not otherwise required herein.</w:t>
      </w:r>
    </w:p>
    <w:p>
      <w:pPr>
        <w:spacing w:after="0" w:line="154" w:lineRule="exact"/>
        <w:rPr>
          <w:sz w:val="20"/>
          <w:szCs w:val="20"/>
          <w:color w:val="auto"/>
        </w:rPr>
      </w:pPr>
    </w:p>
    <w:p>
      <w:pPr>
        <w:ind w:right="60" w:firstLine="385"/>
        <w:spacing w:after="0" w:line="25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Waiver of Subrogation</w:t>
      </w:r>
      <w:r>
        <w:rPr>
          <w:rFonts w:ascii="Arial" w:cs="Arial" w:eastAsia="Arial" w:hAnsi="Arial"/>
          <w:sz w:val="16"/>
          <w:szCs w:val="16"/>
          <w:color w:val="auto"/>
        </w:rPr>
        <w:t>. Notwithstanding anything to the contrary herein, to the extent permitted by law and with permission of their insurance carriers, Landlord and Tenant each waive and release any right to recover against the other on account of any and all claims Landlord or Tenant may have against the other that arise from a risk that is covered by property insurance actually carried, required to be carried hereunder, or which would normally be covered by “all risk” property insurance. All of Landlord’s and Tenant’s repair and indemnity obligations under this Lease shall be subject to the waiver and release contained in this paragraph.</w:t>
      </w:r>
    </w:p>
    <w:p>
      <w:pPr>
        <w:spacing w:after="0" w:line="170" w:lineRule="exact"/>
        <w:rPr>
          <w:sz w:val="20"/>
          <w:szCs w:val="20"/>
          <w:color w:val="auto"/>
        </w:rPr>
      </w:pPr>
    </w:p>
    <w:p>
      <w:pPr>
        <w:ind w:right="220" w:firstLine="385"/>
        <w:spacing w:after="0" w:line="25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Indemnity</w:t>
      </w:r>
      <w:r>
        <w:rPr>
          <w:rFonts w:ascii="Arial" w:cs="Arial" w:eastAsia="Arial" w:hAnsi="Arial"/>
          <w:sz w:val="16"/>
          <w:szCs w:val="16"/>
          <w:color w:val="auto"/>
        </w:rPr>
        <w:t>. Except to the extent caused by Landlord’s or the Landlord Entities’ negligence, willful misconduct, or violation of this Lease, Tenant shall protect, defend, indemnify, and hold Landlord and Landlord Entities harmless from and against any and all loss, claims, liability, or costs (including court costs and attorneys’ fees) incurred by reason of:</w:t>
      </w:r>
    </w:p>
    <w:p>
      <w:pPr>
        <w:spacing w:after="0" w:line="166" w:lineRule="exact"/>
        <w:rPr>
          <w:sz w:val="20"/>
          <w:szCs w:val="20"/>
          <w:color w:val="auto"/>
        </w:rPr>
      </w:pPr>
    </w:p>
    <w:p>
      <w:pPr>
        <w:ind w:right="40" w:firstLine="860"/>
        <w:spacing w:after="0" w:line="253" w:lineRule="auto"/>
        <w:tabs>
          <w:tab w:leader="none" w:pos="1079"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any damage to any property (including but not limited to property of any Landlord Entity) or death, bodily, or personal injury to any person occurring in or about the Premises, the Building, or the Industrial Center to the extent that such injury or damage shall be caused by or arise from any actual or alleged act, neglect, fault, or omission by or of Tenant, its agents, servants, employees, invitees, contractors, suppliers, subtenants, or visitors;</w:t>
      </w:r>
    </w:p>
    <w:p>
      <w:pPr>
        <w:spacing w:after="0" w:line="167" w:lineRule="exact"/>
        <w:rPr>
          <w:rFonts w:ascii="Arial" w:cs="Arial" w:eastAsia="Arial" w:hAnsi="Arial"/>
          <w:sz w:val="16"/>
          <w:szCs w:val="16"/>
          <w:color w:val="auto"/>
        </w:rPr>
      </w:pPr>
    </w:p>
    <w:p>
      <w:pPr>
        <w:ind w:right="180" w:firstLine="860"/>
        <w:spacing w:after="0" w:line="266" w:lineRule="auto"/>
        <w:tabs>
          <w:tab w:leader="none" w:pos="1088" w:val="left"/>
        </w:tabs>
        <w:numPr>
          <w:ilvl w:val="0"/>
          <w:numId w:val="533"/>
        </w:numPr>
        <w:rPr>
          <w:rFonts w:ascii="Arial" w:cs="Arial" w:eastAsia="Arial" w:hAnsi="Arial"/>
          <w:sz w:val="16"/>
          <w:szCs w:val="16"/>
          <w:color w:val="auto"/>
        </w:rPr>
      </w:pPr>
      <w:r>
        <w:rPr>
          <w:rFonts w:ascii="Arial" w:cs="Arial" w:eastAsia="Arial" w:hAnsi="Arial"/>
          <w:sz w:val="16"/>
          <w:szCs w:val="16"/>
          <w:color w:val="auto"/>
        </w:rPr>
        <w:t>the conduct or management of any work or anything whatsoever done by the Tenant on or about the Premises or from transactions of the Tenant concerning the Premises;</w:t>
      </w:r>
    </w:p>
    <w:p>
      <w:pPr>
        <w:spacing w:after="0" w:line="158" w:lineRule="exact"/>
        <w:rPr>
          <w:rFonts w:ascii="Arial" w:cs="Arial" w:eastAsia="Arial" w:hAnsi="Arial"/>
          <w:sz w:val="16"/>
          <w:szCs w:val="16"/>
          <w:color w:val="auto"/>
        </w:rPr>
      </w:pPr>
    </w:p>
    <w:p>
      <w:pPr>
        <w:ind w:right="280" w:firstLine="860"/>
        <w:spacing w:after="0" w:line="266" w:lineRule="auto"/>
        <w:tabs>
          <w:tab w:leader="none" w:pos="1079" w:val="left"/>
        </w:tabs>
        <w:numPr>
          <w:ilvl w:val="0"/>
          <w:numId w:val="533"/>
        </w:numPr>
        <w:rPr>
          <w:rFonts w:ascii="Arial" w:cs="Arial" w:eastAsia="Arial" w:hAnsi="Arial"/>
          <w:sz w:val="16"/>
          <w:szCs w:val="16"/>
          <w:color w:val="auto"/>
        </w:rPr>
      </w:pPr>
      <w:r>
        <w:rPr>
          <w:rFonts w:ascii="Arial" w:cs="Arial" w:eastAsia="Arial" w:hAnsi="Arial"/>
          <w:sz w:val="16"/>
          <w:szCs w:val="16"/>
          <w:color w:val="auto"/>
        </w:rPr>
        <w:t>Tenant’s failure to comply with any and all governmental laws, ordinances, and regulations applicable to the condition or use of the Premises or its occupancy; or</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0"/>
          <w:numId w:val="533"/>
        </w:numPr>
        <w:rPr>
          <w:rFonts w:ascii="Arial" w:cs="Arial" w:eastAsia="Arial" w:hAnsi="Arial"/>
          <w:sz w:val="13"/>
          <w:szCs w:val="13"/>
          <w:color w:val="auto"/>
        </w:rPr>
      </w:pPr>
      <w:r>
        <w:rPr>
          <w:rFonts w:ascii="Arial" w:cs="Arial" w:eastAsia="Arial" w:hAnsi="Arial"/>
          <w:sz w:val="13"/>
          <w:szCs w:val="13"/>
          <w:color w:val="auto"/>
        </w:rPr>
        <w:t>any breach or default on the part of Tenant in the performance of any covenant or agreement to be performed pursuant to this Lease.</w:t>
      </w:r>
    </w:p>
    <w:p>
      <w:pPr>
        <w:spacing w:after="0" w:line="228" w:lineRule="exact"/>
        <w:rPr>
          <w:sz w:val="20"/>
          <w:szCs w:val="20"/>
          <w:color w:val="auto"/>
        </w:rPr>
      </w:pPr>
    </w:p>
    <w:p>
      <w:pPr>
        <w:ind w:right="60" w:firstLine="866"/>
        <w:spacing w:after="0" w:line="266" w:lineRule="auto"/>
        <w:rPr>
          <w:sz w:val="20"/>
          <w:szCs w:val="20"/>
          <w:color w:val="auto"/>
        </w:rPr>
      </w:pPr>
      <w:r>
        <w:rPr>
          <w:rFonts w:ascii="Arial" w:cs="Arial" w:eastAsia="Arial" w:hAnsi="Arial"/>
          <w:sz w:val="16"/>
          <w:szCs w:val="16"/>
          <w:color w:val="auto"/>
        </w:rPr>
        <w:t>The provisions of this Paragraph 8.5 shall, with respect to any claims or liability accruing prior to such termination, survive the Expiration Date or earlier termination of this Lease.</w:t>
      </w:r>
    </w:p>
    <w:p>
      <w:pPr>
        <w:sectPr>
          <w:pgSz w:w="11900" w:h="16838" w:orient="portrait"/>
          <w:cols w:equalWidth="0" w:num="1">
            <w:col w:w="9620"/>
          </w:cols>
          <w:pgMar w:left="1140" w:top="256" w:right="1139" w:bottom="1440" w:gutter="0" w:footer="0" w:header="0"/>
        </w:sectPr>
      </w:pPr>
    </w:p>
    <w:bookmarkStart w:id="697" w:name="page698"/>
    <w:bookmarkEnd w:id="697"/>
    <w:p>
      <w:pPr>
        <w:ind w:left="6" w:right="160" w:firstLine="385"/>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8.6 </w:t>
      </w:r>
      <w:r>
        <w:rPr>
          <w:rFonts w:ascii="Arial" w:cs="Arial" w:eastAsia="Arial" w:hAnsi="Arial"/>
          <w:sz w:val="13"/>
          <w:szCs w:val="13"/>
          <w:u w:val="single" w:color="auto"/>
          <w:color w:val="auto"/>
        </w:rPr>
        <w:t>Exemption of Landlord from Liability</w:t>
      </w:r>
      <w:r>
        <w:rPr>
          <w:rFonts w:ascii="Arial" w:cs="Arial" w:eastAsia="Arial" w:hAnsi="Arial"/>
          <w:sz w:val="13"/>
          <w:szCs w:val="13"/>
          <w:color w:val="auto"/>
        </w:rPr>
        <w:t>. Except to the extent caused by the gross negligence or willful misconduct of Landlord or Landlord’s violation of this Lease, neither Landlord nor Landlord Entities shall be liable for and Tenant waives any claims against Landlord and Landlord Entities for injury or damage to the person or the property of Tenant, Tenant’s employees, contractors, invitees, customers or any other person in or about the Premises, Building or Industrial Center from any cause whatsoever, including, but not limited to, damage or injury which is caused by or results from</w:t>
      </w:r>
    </w:p>
    <w:p>
      <w:pPr>
        <w:spacing w:after="0" w:line="1" w:lineRule="exact"/>
        <w:rPr>
          <w:sz w:val="20"/>
          <w:szCs w:val="20"/>
          <w:color w:val="auto"/>
        </w:rPr>
      </w:pPr>
    </w:p>
    <w:p>
      <w:pPr>
        <w:ind w:left="6" w:right="60" w:hanging="6"/>
        <w:spacing w:after="0" w:line="246" w:lineRule="auto"/>
        <w:tabs>
          <w:tab w:leader="none" w:pos="194" w:val="left"/>
        </w:tabs>
        <w:numPr>
          <w:ilvl w:val="0"/>
          <w:numId w:val="534"/>
        </w:numPr>
        <w:rPr>
          <w:rFonts w:ascii="Arial" w:cs="Arial" w:eastAsia="Arial" w:hAnsi="Arial"/>
          <w:sz w:val="16"/>
          <w:szCs w:val="16"/>
          <w:color w:val="auto"/>
        </w:rPr>
      </w:pPr>
      <w:r>
        <w:rPr>
          <w:rFonts w:ascii="Arial" w:cs="Arial" w:eastAsia="Arial" w:hAnsi="Arial"/>
          <w:sz w:val="16"/>
          <w:szCs w:val="16"/>
          <w:color w:val="auto"/>
        </w:rPr>
        <w:t>fire, steam, electricity, gas, water or rain, or from the breakage, leakage, obstruction or other defects of pipes, fire sprinklers, wires, appliances, plumbing, heating, ventilating, air conditioning or lighting fixtures or (ii) from the condition of the Premises, other portions of the Building or Industrial Center. Landlord shall not be liable for any damages arising from any act or neglect of any other tenants of Landlord or any subtenant or assignee of such other tenants nor from the failure by Landlord to enforce the provisions of any other lease in the Industrial Center. Notwithstanding Landlord’s negligence, gross negligence, or breach of this Lease, Landlord shall under no circumstances be liable for (a) injury to Tenant’s business, for any loss of income or profit therefrom or any indirect, consequential or punitive damages or (b) any damage to property or injury to persons arising from any act of God or war, violence or insurrection including, but not limited to, those caused by earthquakes, hurricanes, storms, drought, floods, acts of terrorism, and/or riots.</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9. Damage or Destruction.</w:t>
      </w:r>
    </w:p>
    <w:p>
      <w:pPr>
        <w:spacing w:after="0" w:line="197" w:lineRule="exact"/>
        <w:rPr>
          <w:sz w:val="20"/>
          <w:szCs w:val="20"/>
          <w:color w:val="auto"/>
        </w:rPr>
      </w:pPr>
    </w:p>
    <w:p>
      <w:pPr>
        <w:ind w:left="6" w:firstLine="385"/>
        <w:spacing w:after="0" w:line="310"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Termination Right</w:t>
      </w:r>
      <w:r>
        <w:rPr>
          <w:rFonts w:ascii="Arial" w:cs="Arial" w:eastAsia="Arial" w:hAnsi="Arial"/>
          <w:sz w:val="13"/>
          <w:szCs w:val="13"/>
          <w:color w:val="auto"/>
        </w:rPr>
        <w:t>. Tenant shall give Landlord immediate written notice of any damage to the Premises. Subject to the provisions of Paragraph 9.2, if the Premises or the Building shall be damaged to such an extent that there is substantial interference for a period exceeding 270 consecutive days with the conduct by Tenant of its business at the Premises, Tenant, at any time prior to commencement of repair of the Premises and following 10 days written notice to Landlord, may terminate this Lease effective 30 days after delivery of such notice to Landlord. Such termination shall not excuse the performance by Tenant of those covenants which under the terms hereof survive termination. Rent shall be abated in proportion to the degree of interference during the period that there is such substantial interference with the conduct of Tenant’s business at the Premises. Abatement of rent and Tenant’s right of termination pursuant to this provision shall be Tenant’s sole remedy for failure of Landlord to keep in good order, condition, and repair the foundations and exterior walls of the Building, Building roof, utility systems outside the Building, the Common Areas, and HVAC. In the event Tenant does not terminate the Lease pursuant to this Paragraph 9.1, Landlord shall restore the Premises to the condition existing prior to the damage as soon as reasonably practicable. Notwithstanding the foregoing, to the extent insurance proceeds actually received by Landlord are insufficient to restore such damage and such insufficiency is not caused by Landlord’s failure to maintain the insurance required under this Lease, Landlord shall have the right to terminate this Lease upon notice to Tenant unless Tenant agrees to pay such deficiency.</w:t>
      </w:r>
    </w:p>
    <w:p>
      <w:pPr>
        <w:spacing w:after="0" w:line="328" w:lineRule="exact"/>
        <w:rPr>
          <w:sz w:val="20"/>
          <w:szCs w:val="20"/>
          <w:color w:val="auto"/>
        </w:rPr>
      </w:pPr>
    </w:p>
    <w:p>
      <w:pPr>
        <w:ind w:left="6" w:right="200" w:firstLine="385"/>
        <w:spacing w:after="0" w:line="25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Damage Caused by Tenant</w:t>
      </w:r>
      <w:r>
        <w:rPr>
          <w:rFonts w:ascii="Arial" w:cs="Arial" w:eastAsia="Arial" w:hAnsi="Arial"/>
          <w:sz w:val="16"/>
          <w:szCs w:val="16"/>
          <w:color w:val="auto"/>
        </w:rPr>
        <w:t>. Tenant’s termination rights under Paragraph 9.1 shall not apply if the damage to the Premises or Building is the result of the willful misconduct of Tenant or of any of Tenant’s agents, employees, customers, invitees, or contractors (“Tenant Acts”). Any damage resulting from a Tenant Act shall be promptly repaired by Tenant. Landlord at its option may at Tenant’s expense repair any damage caused by Tenant Acts. Tenant shall continue to pay all rent and other sums due hereunder and shall be liable to Landlord for all damages that Landlord may sustain resulting from a Tenant Act.</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10. Real Property Taxes.</w:t>
      </w:r>
    </w:p>
    <w:p>
      <w:pPr>
        <w:spacing w:after="0" w:line="197" w:lineRule="exact"/>
        <w:rPr>
          <w:sz w:val="20"/>
          <w:szCs w:val="20"/>
          <w:color w:val="auto"/>
        </w:rPr>
      </w:pPr>
    </w:p>
    <w:p>
      <w:pPr>
        <w:ind w:left="6" w:right="260" w:firstLine="385"/>
        <w:spacing w:after="0" w:line="383"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Payment of Real Property Taxes</w:t>
      </w:r>
      <w:r>
        <w:rPr>
          <w:rFonts w:ascii="Arial" w:cs="Arial" w:eastAsia="Arial" w:hAnsi="Arial"/>
          <w:sz w:val="13"/>
          <w:szCs w:val="13"/>
          <w:color w:val="auto"/>
        </w:rPr>
        <w:t>. Landlord shall pay the Real Property Taxes due and payable during the term of this Lease and, except as otherwise provided in Paragraph 10.3, such payments shall be a Common Area Operating Expense reimbursable pursuant to Paragraph 4.2.</w:t>
      </w:r>
    </w:p>
    <w:p>
      <w:pPr>
        <w:spacing w:after="0" w:line="89" w:lineRule="exact"/>
        <w:rPr>
          <w:sz w:val="20"/>
          <w:szCs w:val="20"/>
          <w:color w:val="auto"/>
        </w:rPr>
      </w:pPr>
    </w:p>
    <w:p>
      <w:pPr>
        <w:ind w:left="6" w:right="120" w:firstLine="385"/>
        <w:spacing w:after="0" w:line="311"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Real Property Tax Definition</w:t>
      </w:r>
      <w:r>
        <w:rPr>
          <w:rFonts w:ascii="Arial" w:cs="Arial" w:eastAsia="Arial" w:hAnsi="Arial"/>
          <w:sz w:val="13"/>
          <w:szCs w:val="13"/>
          <w:color w:val="auto"/>
        </w:rPr>
        <w:t>. As used herein, the term “Real Property Taxes” is any form of tax or assessment, general, special, ordinary, or extraordinary, imposed or levied upon (a) the Industrial Center or Building, (b) any interest of Landlord in the Industrial Center or Building,</w:t>
      </w:r>
    </w:p>
    <w:p>
      <w:pPr>
        <w:spacing w:after="0" w:line="1" w:lineRule="exact"/>
        <w:rPr>
          <w:sz w:val="20"/>
          <w:szCs w:val="20"/>
          <w:color w:val="auto"/>
        </w:rPr>
      </w:pPr>
    </w:p>
    <w:p>
      <w:pPr>
        <w:ind w:left="6" w:hanging="6"/>
        <w:spacing w:after="0" w:line="247" w:lineRule="auto"/>
        <w:tabs>
          <w:tab w:leader="none" w:pos="22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Landlord’s right to rent or other income from the Industrial Center or Building, and/or (d) Landlord’s business of leasing the Premises including, but not limited to, any tax on receipts or rent. Real Property Taxes include (a) any license fee, commercial rental tax, excise tax, improvement bond or bonds, levy, or tax; (b) any tax or charge which replaces or is in addition to any of such above-described “Real Property Taxes,” and (c) any fees, expenses, or costs (including attorneys’ fees, expert fees, and the like) incurred by Landlord in protesting or contesting any assessments levied or any tax rate. Real Property Taxes for tax years commencing prior to, or extending beyond, the term of this Lease shall be prorated to coincide with the corresponding Commencement Date and Expiration Date.</w:t>
      </w:r>
    </w:p>
    <w:p>
      <w:pPr>
        <w:spacing w:after="0" w:line="173" w:lineRule="exact"/>
        <w:rPr>
          <w:sz w:val="20"/>
          <w:szCs w:val="20"/>
          <w:color w:val="auto"/>
        </w:rPr>
      </w:pPr>
    </w:p>
    <w:p>
      <w:pPr>
        <w:ind w:left="6" w:right="40" w:firstLine="385"/>
        <w:spacing w:after="0" w:line="253"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Additional Improvements</w:t>
      </w:r>
      <w:r>
        <w:rPr>
          <w:rFonts w:ascii="Arial" w:cs="Arial" w:eastAsia="Arial" w:hAnsi="Arial"/>
          <w:sz w:val="16"/>
          <w:szCs w:val="16"/>
          <w:color w:val="auto"/>
        </w:rPr>
        <w:t>. Operating Expenses shall not include Real Property Taxes attributable to improvements placed upon the Industrial Center by other tenants or by Landlord for the exclusive enjoyment of such other tenants. Tenant shall, however, pay to Landlord at the time Operating Expenses are payable under Paragraph 4.2, the entirety of any increase in Real Property Taxes if assessed by reason of improvements placed upon the Premises by Tenant or at Tenant’s request.</w:t>
      </w:r>
    </w:p>
    <w:p>
      <w:pPr>
        <w:spacing w:after="0" w:line="167" w:lineRule="exact"/>
        <w:rPr>
          <w:sz w:val="20"/>
          <w:szCs w:val="20"/>
          <w:color w:val="auto"/>
        </w:rPr>
      </w:pPr>
    </w:p>
    <w:p>
      <w:pPr>
        <w:ind w:left="6" w:right="60" w:firstLine="385"/>
        <w:spacing w:after="0" w:line="26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Joint Assessment</w:t>
      </w:r>
      <w:r>
        <w:rPr>
          <w:rFonts w:ascii="Arial" w:cs="Arial" w:eastAsia="Arial" w:hAnsi="Arial"/>
          <w:sz w:val="16"/>
          <w:szCs w:val="16"/>
          <w:color w:val="auto"/>
        </w:rPr>
        <w:t>. If the Building is not separately assessed, Real Property Taxes allocated to the Building shall be an equitable proportion of the Real Property Taxes for all of the land and improvements included within the tax parcel assessed.</w:t>
      </w:r>
    </w:p>
    <w:p>
      <w:pPr>
        <w:spacing w:after="0" w:line="158" w:lineRule="exact"/>
        <w:rPr>
          <w:sz w:val="20"/>
          <w:szCs w:val="20"/>
          <w:color w:val="auto"/>
        </w:rPr>
      </w:pPr>
    </w:p>
    <w:p>
      <w:pPr>
        <w:ind w:left="6" w:right="240" w:firstLine="385"/>
        <w:spacing w:after="0" w:line="383"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Tenant’s Property Taxes</w:t>
      </w:r>
      <w:r>
        <w:rPr>
          <w:rFonts w:ascii="Arial" w:cs="Arial" w:eastAsia="Arial" w:hAnsi="Arial"/>
          <w:sz w:val="13"/>
          <w:szCs w:val="13"/>
          <w:color w:val="auto"/>
        </w:rPr>
        <w:t>. Tenant shall pay prior to delinquency all taxes assessed against and levied upon Tenant’s improvements, fixtures, furnishings, equipment, and all personal property of Tenant contained in the Premises or stored within the Industrial Center.</w:t>
      </w:r>
    </w:p>
    <w:p>
      <w:pPr>
        <w:sectPr>
          <w:pgSz w:w="11900" w:h="16838" w:orient="portrait"/>
          <w:cols w:equalWidth="0" w:num="1">
            <w:col w:w="9626"/>
          </w:cols>
          <w:pgMar w:left="1134" w:top="256" w:right="1139" w:bottom="1440" w:gutter="0" w:footer="0" w:header="0"/>
        </w:sectPr>
      </w:pPr>
    </w:p>
    <w:bookmarkStart w:id="698" w:name="page699"/>
    <w:bookmarkEnd w:id="698"/>
    <w:p>
      <w:pPr>
        <w:ind w:left="6" w:right="100" w:hanging="6"/>
        <w:spacing w:after="0" w:line="390" w:lineRule="auto"/>
        <w:tabs>
          <w:tab w:leader="none" w:pos="233" w:val="left"/>
        </w:tabs>
        <w:numPr>
          <w:ilvl w:val="0"/>
          <w:numId w:val="536"/>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Utilities. </w:t>
      </w:r>
      <w:r>
        <w:rPr>
          <w:rFonts w:ascii="Arial" w:cs="Arial" w:eastAsia="Arial" w:hAnsi="Arial"/>
          <w:sz w:val="13"/>
          <w:szCs w:val="13"/>
          <w:color w:val="auto"/>
        </w:rPr>
        <w:t>Tenant shall pay directly to any public utility provider or to Landlord, if Landlord provides such services, for all utilities and 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supplied to the Premises, including but not limited to electricity, telephone, security, gas, and cleaning of the Premises, together with any taxes thereon.</w:t>
      </w:r>
    </w:p>
    <w:p>
      <w:pPr>
        <w:spacing w:after="0" w:line="80" w:lineRule="exact"/>
        <w:rPr>
          <w:rFonts w:ascii="Arial" w:cs="Arial" w:eastAsia="Arial" w:hAnsi="Arial"/>
          <w:sz w:val="13"/>
          <w:szCs w:val="13"/>
          <w:b w:val="1"/>
          <w:bCs w:val="1"/>
          <w:color w:val="auto"/>
        </w:rPr>
      </w:pPr>
    </w:p>
    <w:p>
      <w:pPr>
        <w:ind w:left="226" w:hanging="226"/>
        <w:spacing w:after="0"/>
        <w:tabs>
          <w:tab w:leader="none" w:pos="226" w:val="left"/>
        </w:tabs>
        <w:numPr>
          <w:ilvl w:val="0"/>
          <w:numId w:val="536"/>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 and Subletting</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Landlord’s Consent Required</w:t>
      </w:r>
      <w:r>
        <w:rPr>
          <w:rFonts w:ascii="Arial" w:cs="Arial" w:eastAsia="Arial" w:hAnsi="Arial"/>
          <w:sz w:val="16"/>
          <w:szCs w:val="16"/>
          <w:color w:val="auto"/>
        </w:rPr>
        <w:t>.</w:t>
      </w:r>
    </w:p>
    <w:p>
      <w:pPr>
        <w:spacing w:after="0" w:line="193" w:lineRule="exact"/>
        <w:rPr>
          <w:sz w:val="20"/>
          <w:szCs w:val="20"/>
          <w:color w:val="auto"/>
        </w:rPr>
      </w:pPr>
    </w:p>
    <w:p>
      <w:pPr>
        <w:ind w:left="6" w:right="20" w:firstLine="860"/>
        <w:spacing w:after="0" w:line="308" w:lineRule="auto"/>
        <w:tabs>
          <w:tab w:leader="none" w:pos="1086" w:val="left"/>
        </w:tabs>
        <w:numPr>
          <w:ilvl w:val="1"/>
          <w:numId w:val="537"/>
        </w:numPr>
        <w:rPr>
          <w:rFonts w:ascii="Arial" w:cs="Arial" w:eastAsia="Arial" w:hAnsi="Arial"/>
          <w:sz w:val="13"/>
          <w:szCs w:val="13"/>
          <w:color w:val="auto"/>
        </w:rPr>
      </w:pPr>
      <w:r>
        <w:rPr>
          <w:rFonts w:ascii="Arial" w:cs="Arial" w:eastAsia="Arial" w:hAnsi="Arial"/>
          <w:sz w:val="13"/>
          <w:szCs w:val="13"/>
          <w:color w:val="auto"/>
        </w:rPr>
        <w:t>Tenant shall not assign, transfer, mortgage, or otherwise transfer or encumber (collectively, “assign”) or sublet all or any part of Tenant’s interest in this Lease or in the Premises without Landlord’s prior written consent, which consent shall not be unreasonably withheld, conditioned or delayed. Relevant criteria in determining reasonability of consent include, but are not limited to, credit history of a proposed assignee or sublessee, references from prior landlords, any change or intensification of use of the Premises or the Common Areas, and any limitations imposed by the Internal Revenue Code and the Regulations promulgated thereunder relating to Real Estate Investment Trusts. Assignment or sublet shall not release Tenant from its obligations hereunder. Tenant shall not (i) sublet, assign, or enter into other arrangements in which the amounts to be paid by the sublessee or assignee thereunder would be based, in whole or in part, on the income or profits derived by the business activities of the sublessee or assignee; (ii) sublet the Premises or assign this Lease to any person or entity in which Landlord owns an interest, directly or indirectly (by applying constructive ownership rules set forth in Section 856(d)(5) of the Internal Revenue Code (the “Code”); or (iii) sublet the Premises or assign this Lease in any other manner which could cause any portion of the amounts received by Landlord pursuant to this Lease or any sublease to fail to qualify as “rents from real property” within the meaning of Section 856(d) of the Code, or which could cause any other income received by Landlord to fail to qualify as income described in Section 856(c)(2) of the Code. The requirements of this Section 12.1 shall apply to any further subleasing by any subtenant. Notwithstanding the foregoing, in the event of any assignment or subletting to which Landlord consents, Landlord shall receive fifty percent (50%), in the event of a sublease, of any rent received by Tenant above the rent then being paid by Tenant to Landlord less any legal fees, tenant improvement costs, commissions or marketing expense paid by Tenant for such sublease. In addition, Landlord shall receive fifty percent (50%), in the event of an assignment, of any profit derived by Tenant from such assignment less any legal fees, tenant improvements costs, commissions or marketing expense paid by Tenant for such assignment.</w:t>
      </w:r>
    </w:p>
    <w:p>
      <w:pPr>
        <w:spacing w:after="0" w:line="200" w:lineRule="exact"/>
        <w:rPr>
          <w:rFonts w:ascii="Arial" w:cs="Arial" w:eastAsia="Arial" w:hAnsi="Arial"/>
          <w:sz w:val="13"/>
          <w:szCs w:val="13"/>
          <w:color w:val="auto"/>
        </w:rPr>
      </w:pPr>
    </w:p>
    <w:p>
      <w:pPr>
        <w:spacing w:after="0" w:line="317" w:lineRule="exact"/>
        <w:rPr>
          <w:rFonts w:ascii="Arial" w:cs="Arial" w:eastAsia="Arial" w:hAnsi="Arial"/>
          <w:sz w:val="13"/>
          <w:szCs w:val="13"/>
          <w:color w:val="auto"/>
        </w:rPr>
      </w:pPr>
    </w:p>
    <w:p>
      <w:pPr>
        <w:ind w:left="6" w:right="160" w:firstLine="860"/>
        <w:spacing w:after="0" w:line="266" w:lineRule="auto"/>
        <w:tabs>
          <w:tab w:leader="none" w:pos="1094" w:val="left"/>
        </w:tabs>
        <w:numPr>
          <w:ilvl w:val="1"/>
          <w:numId w:val="537"/>
        </w:numPr>
        <w:rPr>
          <w:rFonts w:ascii="Arial" w:cs="Arial" w:eastAsia="Arial" w:hAnsi="Arial"/>
          <w:sz w:val="16"/>
          <w:szCs w:val="16"/>
          <w:color w:val="auto"/>
        </w:rPr>
      </w:pPr>
      <w:r>
        <w:rPr>
          <w:rFonts w:ascii="Arial" w:cs="Arial" w:eastAsia="Arial" w:hAnsi="Arial"/>
          <w:sz w:val="16"/>
          <w:szCs w:val="16"/>
          <w:color w:val="auto"/>
        </w:rPr>
        <w:t>A change in the control of Tenant shall constitute an assignment requiring Landlord’s consent. The transfer, on a cumulative basis, of 50% or more of the voting control of Tenant shall constitute a change in control for this purpose.</w:t>
      </w:r>
    </w:p>
    <w:p>
      <w:pPr>
        <w:spacing w:after="0" w:line="158" w:lineRule="exact"/>
        <w:rPr>
          <w:rFonts w:ascii="Arial" w:cs="Arial" w:eastAsia="Arial" w:hAnsi="Arial"/>
          <w:sz w:val="16"/>
          <w:szCs w:val="16"/>
          <w:color w:val="auto"/>
        </w:rPr>
      </w:pPr>
    </w:p>
    <w:p>
      <w:pPr>
        <w:ind w:left="6" w:right="20" w:firstLine="860"/>
        <w:spacing w:after="0" w:line="272" w:lineRule="auto"/>
        <w:tabs>
          <w:tab w:leader="none" w:pos="1086" w:val="left"/>
        </w:tabs>
        <w:numPr>
          <w:ilvl w:val="1"/>
          <w:numId w:val="537"/>
        </w:numPr>
        <w:rPr>
          <w:rFonts w:ascii="Arial" w:cs="Arial" w:eastAsia="Arial" w:hAnsi="Arial"/>
          <w:sz w:val="15"/>
          <w:szCs w:val="15"/>
          <w:color w:val="auto"/>
        </w:rPr>
      </w:pPr>
      <w:r>
        <w:rPr>
          <w:rFonts w:ascii="Arial" w:cs="Arial" w:eastAsia="Arial" w:hAnsi="Arial"/>
          <w:sz w:val="15"/>
          <w:szCs w:val="15"/>
          <w:color w:val="auto"/>
        </w:rPr>
        <w:t>Notwithstanding anything to the contrary herein, Tenant may, without Landlord’s prior written consent but with not less than 20 days’ prior written notice detailing the nature of the transaction, without constituting an assignment or sublease hereunder, and without being subject to Landlord’s profit sharing rights, (1) undergo a change of control, or (2) sublet the Premises or assign this Lease to (a) an entity controlling, controlled by or under common control with Tenant, (b) an entity related to Tenant by merger, consolidation or reorganization, or (c) a purchaser of a substantial portion of Tenant’s assets provided such transferee has an equity valuation equal to or greater than $200,000,000.</w:t>
      </w:r>
    </w:p>
    <w:p>
      <w:pPr>
        <w:spacing w:after="0" w:line="150" w:lineRule="exact"/>
        <w:rPr>
          <w:rFonts w:ascii="Arial" w:cs="Arial" w:eastAsia="Arial" w:hAnsi="Arial"/>
          <w:sz w:val="15"/>
          <w:szCs w:val="15"/>
          <w:color w:val="auto"/>
        </w:rPr>
      </w:pPr>
    </w:p>
    <w:p>
      <w:pPr>
        <w:ind w:left="226" w:hanging="226"/>
        <w:spacing w:after="0"/>
        <w:tabs>
          <w:tab w:leader="none" w:pos="226" w:val="left"/>
        </w:tabs>
        <w:numPr>
          <w:ilvl w:val="0"/>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Default; Remedies.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Default</w:t>
      </w:r>
      <w:r>
        <w:rPr>
          <w:rFonts w:ascii="Arial" w:cs="Arial" w:eastAsia="Arial" w:hAnsi="Arial"/>
          <w:sz w:val="15"/>
          <w:szCs w:val="15"/>
          <w:color w:val="auto"/>
        </w:rPr>
        <w:t>. The occurrence of any one of the following events shall constitute an event of default on the part of Tenant (“Default”):</w:t>
      </w:r>
    </w:p>
    <w:p>
      <w:pPr>
        <w:spacing w:after="0" w:line="205" w:lineRule="exact"/>
        <w:rPr>
          <w:sz w:val="20"/>
          <w:szCs w:val="20"/>
          <w:color w:val="auto"/>
        </w:rPr>
      </w:pPr>
    </w:p>
    <w:p>
      <w:pPr>
        <w:ind w:left="1086" w:hanging="220"/>
        <w:spacing w:after="0"/>
        <w:tabs>
          <w:tab w:leader="none" w:pos="108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The abandonment of the Premises by Tenant;</w:t>
      </w:r>
    </w:p>
    <w:p>
      <w:pPr>
        <w:spacing w:after="0" w:line="193" w:lineRule="exact"/>
        <w:rPr>
          <w:rFonts w:ascii="Arial" w:cs="Arial" w:eastAsia="Arial" w:hAnsi="Arial"/>
          <w:sz w:val="16"/>
          <w:szCs w:val="16"/>
          <w:color w:val="auto"/>
        </w:rPr>
      </w:pPr>
    </w:p>
    <w:p>
      <w:pPr>
        <w:ind w:left="6" w:right="160" w:firstLine="860"/>
        <w:spacing w:after="0" w:line="266" w:lineRule="auto"/>
        <w:tabs>
          <w:tab w:leader="none" w:pos="1094" w:val="left"/>
        </w:tabs>
        <w:numPr>
          <w:ilvl w:val="0"/>
          <w:numId w:val="539"/>
        </w:numPr>
        <w:rPr>
          <w:rFonts w:ascii="Arial" w:cs="Arial" w:eastAsia="Arial" w:hAnsi="Arial"/>
          <w:sz w:val="16"/>
          <w:szCs w:val="16"/>
          <w:color w:val="auto"/>
        </w:rPr>
      </w:pPr>
      <w:r>
        <w:rPr>
          <w:rFonts w:ascii="Arial" w:cs="Arial" w:eastAsia="Arial" w:hAnsi="Arial"/>
          <w:sz w:val="16"/>
          <w:szCs w:val="16"/>
          <w:color w:val="auto"/>
        </w:rPr>
        <w:t>Failure to pay any installment of Base Rent, Additional Rent, or any other monies due and payable hereunder, said failure continuing for a period of 3 days after notice from Landlord that the same is delinquent;</w:t>
      </w:r>
    </w:p>
    <w:p>
      <w:pPr>
        <w:spacing w:after="0" w:line="158" w:lineRule="exact"/>
        <w:rPr>
          <w:rFonts w:ascii="Arial" w:cs="Arial" w:eastAsia="Arial" w:hAnsi="Arial"/>
          <w:sz w:val="16"/>
          <w:szCs w:val="16"/>
          <w:color w:val="auto"/>
        </w:rPr>
      </w:pPr>
    </w:p>
    <w:p>
      <w:pPr>
        <w:ind w:left="1086" w:hanging="220"/>
        <w:spacing w:after="0"/>
        <w:tabs>
          <w:tab w:leader="none" w:pos="108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A general assignment by Tenant or any guarantor for the benefit of creditors;</w:t>
      </w:r>
    </w:p>
    <w:p>
      <w:pPr>
        <w:spacing w:after="0" w:line="193" w:lineRule="exact"/>
        <w:rPr>
          <w:rFonts w:ascii="Arial" w:cs="Arial" w:eastAsia="Arial" w:hAnsi="Arial"/>
          <w:sz w:val="16"/>
          <w:szCs w:val="16"/>
          <w:color w:val="auto"/>
        </w:rPr>
      </w:pPr>
    </w:p>
    <w:p>
      <w:pPr>
        <w:jc w:val="both"/>
        <w:ind w:left="6" w:right="140" w:firstLine="860"/>
        <w:spacing w:after="0" w:line="256" w:lineRule="auto"/>
        <w:tabs>
          <w:tab w:leader="none" w:pos="1094"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The filing of a voluntary petition of bankruptcy by Tenant or any guarantor; the filing of a voluntary petition for an arrangement; the filing of a petition, voluntary or involuntary, for reorganization; or the filing of an involuntary petition by Tenant’s creditors or guarantors to the extent the same is not dismissed within sixty (60) days;</w:t>
      </w:r>
    </w:p>
    <w:p>
      <w:pPr>
        <w:spacing w:after="0" w:line="165" w:lineRule="exact"/>
        <w:rPr>
          <w:rFonts w:ascii="Arial" w:cs="Arial" w:eastAsia="Arial" w:hAnsi="Arial"/>
          <w:sz w:val="16"/>
          <w:szCs w:val="16"/>
          <w:color w:val="auto"/>
        </w:rPr>
      </w:pPr>
    </w:p>
    <w:p>
      <w:pPr>
        <w:ind w:left="6" w:right="220" w:firstLine="860"/>
        <w:spacing w:after="0" w:line="266" w:lineRule="auto"/>
        <w:tabs>
          <w:tab w:leader="none" w:pos="108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Receivership, attachment, or other judicial seizure of the Premises or all or substantially all of Tenant’s assets on the Premises to the extent the same is not dismissed within sixty (60) days;</w:t>
      </w:r>
    </w:p>
    <w:p>
      <w:pPr>
        <w:spacing w:after="0" w:line="158" w:lineRule="exact"/>
        <w:rPr>
          <w:rFonts w:ascii="Arial" w:cs="Arial" w:eastAsia="Arial" w:hAnsi="Arial"/>
          <w:sz w:val="16"/>
          <w:szCs w:val="16"/>
          <w:color w:val="auto"/>
        </w:rPr>
      </w:pPr>
    </w:p>
    <w:p>
      <w:pPr>
        <w:ind w:left="1066" w:hanging="200"/>
        <w:spacing w:after="0"/>
        <w:tabs>
          <w:tab w:leader="none" w:pos="106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Failure of Tenant to maintain insurance as required by Paragraph 8.2;</w:t>
      </w:r>
    </w:p>
    <w:p>
      <w:pPr>
        <w:spacing w:after="0" w:line="193" w:lineRule="exact"/>
        <w:rPr>
          <w:rFonts w:ascii="Arial" w:cs="Arial" w:eastAsia="Arial" w:hAnsi="Arial"/>
          <w:sz w:val="16"/>
          <w:szCs w:val="16"/>
          <w:color w:val="auto"/>
        </w:rPr>
      </w:pPr>
    </w:p>
    <w:p>
      <w:pPr>
        <w:ind w:left="1086" w:hanging="220"/>
        <w:spacing w:after="0"/>
        <w:tabs>
          <w:tab w:leader="none" w:pos="1086" w:val="left"/>
        </w:tabs>
        <w:numPr>
          <w:ilvl w:val="0"/>
          <w:numId w:val="539"/>
        </w:numPr>
        <w:rPr>
          <w:rFonts w:ascii="Arial" w:cs="Arial" w:eastAsia="Arial" w:hAnsi="Arial"/>
          <w:sz w:val="13"/>
          <w:szCs w:val="13"/>
          <w:color w:val="auto"/>
        </w:rPr>
      </w:pPr>
      <w:r>
        <w:rPr>
          <w:rFonts w:ascii="Arial" w:cs="Arial" w:eastAsia="Arial" w:hAnsi="Arial"/>
          <w:sz w:val="13"/>
          <w:szCs w:val="13"/>
          <w:color w:val="auto"/>
        </w:rPr>
        <w:t>Any breach by Tenant of its covenants under Paragraph 6.2, if such breach continues for a period of 10 days after notice from Landlord</w:t>
      </w:r>
    </w:p>
    <w:p>
      <w:pPr>
        <w:spacing w:after="0" w:line="50"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6"/>
          <w:szCs w:val="16"/>
          <w:color w:val="auto"/>
        </w:rPr>
        <w:t>of the same;</w:t>
      </w:r>
    </w:p>
    <w:p>
      <w:pPr>
        <w:spacing w:after="0" w:line="181" w:lineRule="exact"/>
        <w:rPr>
          <w:rFonts w:ascii="Arial" w:cs="Arial" w:eastAsia="Arial" w:hAnsi="Arial"/>
          <w:sz w:val="13"/>
          <w:szCs w:val="13"/>
          <w:color w:val="auto"/>
        </w:rPr>
      </w:pPr>
    </w:p>
    <w:p>
      <w:pPr>
        <w:ind w:left="6" w:firstLine="860"/>
        <w:spacing w:after="0" w:line="251" w:lineRule="auto"/>
        <w:tabs>
          <w:tab w:leader="none" w:pos="1094" w:val="left"/>
        </w:tabs>
        <w:numPr>
          <w:ilvl w:val="0"/>
          <w:numId w:val="539"/>
        </w:numPr>
        <w:rPr>
          <w:rFonts w:ascii="Arial" w:cs="Arial" w:eastAsia="Arial" w:hAnsi="Arial"/>
          <w:sz w:val="16"/>
          <w:szCs w:val="16"/>
          <w:color w:val="auto"/>
        </w:rPr>
      </w:pPr>
      <w:r>
        <w:rPr>
          <w:rFonts w:ascii="Arial" w:cs="Arial" w:eastAsia="Arial" w:hAnsi="Arial"/>
          <w:sz w:val="16"/>
          <w:szCs w:val="16"/>
          <w:color w:val="auto"/>
        </w:rPr>
        <w:t>Failure in the performance of any of Tenant’s covenants, agreements, or obligations hereunder (except those failures specified as events of Default in other Paragraphs of this Paragraph 13.1 which shall be governed by such other Paragraphs), which failure continues for 20 days after written notice thereof from Landlord to Tenant; provided that, if Tenant has exercised reasonable diligence to cure such failure and such failure cannot be cured within such 20-day period despite reasonable diligence, Tenant shall not be in default under this subparagraph unless Tenant fails thereafter diligently and continuously to prosecute the cure to completion;</w:t>
      </w:r>
    </w:p>
    <w:p>
      <w:pPr>
        <w:spacing w:after="0" w:line="169" w:lineRule="exact"/>
        <w:rPr>
          <w:rFonts w:ascii="Arial" w:cs="Arial" w:eastAsia="Arial" w:hAnsi="Arial"/>
          <w:sz w:val="16"/>
          <w:szCs w:val="16"/>
          <w:color w:val="auto"/>
        </w:rPr>
      </w:pPr>
    </w:p>
    <w:p>
      <w:pPr>
        <w:ind w:left="1046" w:hanging="180"/>
        <w:spacing w:after="0"/>
        <w:tabs>
          <w:tab w:leader="none" w:pos="104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intentionally deleted; and</w:t>
      </w:r>
    </w:p>
    <w:p>
      <w:pPr>
        <w:spacing w:after="0" w:line="193" w:lineRule="exact"/>
        <w:rPr>
          <w:rFonts w:ascii="Arial" w:cs="Arial" w:eastAsia="Arial" w:hAnsi="Arial"/>
          <w:sz w:val="16"/>
          <w:szCs w:val="16"/>
          <w:color w:val="auto"/>
        </w:rPr>
      </w:pPr>
    </w:p>
    <w:p>
      <w:pPr>
        <w:ind w:left="6" w:right="440" w:firstLine="860"/>
        <w:spacing w:after="0" w:line="266" w:lineRule="auto"/>
        <w:tabs>
          <w:tab w:leader="none" w:pos="106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The default of any guarantors of Tenant’s obligations hereunder under any guaranty of this Lease, or the attempted repudiation or revocation of any such guaranty.</w:t>
      </w:r>
    </w:p>
    <w:p>
      <w:pPr>
        <w:spacing w:after="0" w:line="158" w:lineRule="exact"/>
        <w:rPr>
          <w:sz w:val="20"/>
          <w:szCs w:val="20"/>
          <w:color w:val="auto"/>
        </w:rPr>
      </w:pPr>
    </w:p>
    <w:p>
      <w:pPr>
        <w:ind w:left="6" w:right="400" w:firstLine="385"/>
        <w:spacing w:after="0" w:line="266" w:lineRule="auto"/>
        <w:rPr>
          <w:sz w:val="20"/>
          <w:szCs w:val="20"/>
          <w:color w:val="auto"/>
        </w:rPr>
      </w:pPr>
      <w:r>
        <w:rPr>
          <w:rFonts w:ascii="Arial" w:cs="Arial" w:eastAsia="Arial" w:hAnsi="Arial"/>
          <w:sz w:val="16"/>
          <w:szCs w:val="16"/>
          <w:color w:val="auto"/>
        </w:rPr>
        <w:t>13.2 In the event of any Default by Tenant, Landlord shall have the remedies set forth in the Addendum attached hereto entitled “Landlord’s Remedies in Event of Tenant Default.”</w:t>
      </w:r>
    </w:p>
    <w:p>
      <w:pPr>
        <w:sectPr>
          <w:pgSz w:w="11900" w:h="16838" w:orient="portrait"/>
          <w:cols w:equalWidth="0" w:num="1">
            <w:col w:w="9606"/>
          </w:cols>
          <w:pgMar w:left="1134" w:top="253" w:right="1159" w:bottom="1440" w:gutter="0" w:footer="0" w:header="0"/>
        </w:sectPr>
      </w:pPr>
    </w:p>
    <w:bookmarkStart w:id="699" w:name="page700"/>
    <w:bookmarkEnd w:id="699"/>
    <w:p>
      <w:pPr>
        <w:ind w:left="6" w:right="40" w:firstLine="385"/>
        <w:spacing w:after="0" w:line="31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13.3 </w:t>
      </w:r>
      <w:r>
        <w:rPr>
          <w:rFonts w:ascii="Arial" w:cs="Arial" w:eastAsia="Arial" w:hAnsi="Arial"/>
          <w:sz w:val="13"/>
          <w:szCs w:val="13"/>
          <w:u w:val="single" w:color="auto"/>
          <w:color w:val="auto"/>
        </w:rPr>
        <w:t>Late Charges</w:t>
      </w:r>
      <w:r>
        <w:rPr>
          <w:rFonts w:ascii="Arial" w:cs="Arial" w:eastAsia="Arial" w:hAnsi="Arial"/>
          <w:sz w:val="13"/>
          <w:szCs w:val="13"/>
          <w:color w:val="auto"/>
        </w:rPr>
        <w:t>. Tenant hereby acknowledges that late payment by Tenant to Landlord of Rent and other sums due hereunder will cause Landlord to incur costs not contemplated by this Lease, the exact amount of which will be extremely difficult to ascertain. Such costs include, but are not limited to, processing and accounting charges. Accordingly, if any installment of Rent or other sum due from Tenant shall not be received by Landlord or Landlord’s designee within 4 days after such amount shall be due, then, without any requirement for notice to Tenant, Tenant shall pay to Landlord a late charge equal to 5% of such overdue amount.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 In addition, should Landlord be unable to negotiate any payment made by Tenant on the first attempt by Landlord and without any notice to Tenant, Tenant shall pay to Landlord a fee of $50.00 per item which the parties hereby agree represents a fair and reasonable estimate of the costs Landlord will incur by reason of Landlord’s inability to negotiate such item(s). Notwithstanding anything to the contrary herein, before assessing a late charge, fee or interest for the first time in any thirty-six (36) month period, Landlord shall provide Tenant written notice of the delinquency, and shall waive such late charge if Tenant pays such delinquency within five (5) days thereafter.</w:t>
      </w:r>
    </w:p>
    <w:p>
      <w:pPr>
        <w:spacing w:after="0" w:line="328" w:lineRule="exact"/>
        <w:rPr>
          <w:sz w:val="20"/>
          <w:szCs w:val="20"/>
          <w:color w:val="auto"/>
        </w:rPr>
      </w:pPr>
    </w:p>
    <w:p>
      <w:pPr>
        <w:ind w:left="6" w:firstLine="385"/>
        <w:spacing w:after="0" w:line="323" w:lineRule="auto"/>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u w:val="single" w:color="auto"/>
          <w:color w:val="auto"/>
        </w:rPr>
        <w:t>Landlord’s Default</w:t>
      </w:r>
      <w:r>
        <w:rPr>
          <w:rFonts w:ascii="Arial" w:cs="Arial" w:eastAsia="Arial" w:hAnsi="Arial"/>
          <w:sz w:val="13"/>
          <w:szCs w:val="13"/>
          <w:color w:val="auto"/>
        </w:rPr>
        <w:t>. If Landlord fails to perform any of its obligations under this Lease and (except in case of emergency posing an immediate threat to persons or property, in which case no prior notice shall be required) fails to cure such default within thirty (30) days after written notice from Tenant specifying the nature of such default where such default could reasonably be cured within said thirty (30) day period, or fails to commence such cure within said thirty (30) day period and thereafter continuously with due diligence prosecute such cure to completion where such default could not reasonably be cured within said thirty (30) day period, then Landlord shall be in default under this Lease.</w:t>
      </w:r>
    </w:p>
    <w:p>
      <w:pPr>
        <w:spacing w:after="0" w:line="122" w:lineRule="exact"/>
        <w:rPr>
          <w:sz w:val="20"/>
          <w:szCs w:val="20"/>
          <w:color w:val="auto"/>
        </w:rPr>
      </w:pPr>
    </w:p>
    <w:p>
      <w:pPr>
        <w:ind w:left="6" w:right="20" w:hanging="6"/>
        <w:spacing w:after="0" w:line="310" w:lineRule="auto"/>
        <w:tabs>
          <w:tab w:leader="none" w:pos="242" w:val="left"/>
        </w:tabs>
        <w:numPr>
          <w:ilvl w:val="0"/>
          <w:numId w:val="5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Condemnation. </w:t>
      </w:r>
      <w:r>
        <w:rPr>
          <w:rFonts w:ascii="Arial" w:cs="Arial" w:eastAsia="Arial" w:hAnsi="Arial"/>
          <w:sz w:val="13"/>
          <w:szCs w:val="13"/>
          <w:color w:val="auto"/>
        </w:rPr>
        <w:t>If the Premises or any portion thereof are taken under the power of eminent domain or sold under the threat of exercise of said</w:t>
      </w:r>
      <w:r>
        <w:rPr>
          <w:rFonts w:ascii="Arial" w:cs="Arial" w:eastAsia="Arial" w:hAnsi="Arial"/>
          <w:sz w:val="13"/>
          <w:szCs w:val="13"/>
          <w:b w:val="1"/>
          <w:bCs w:val="1"/>
          <w:color w:val="auto"/>
        </w:rPr>
        <w:t xml:space="preserve"> </w:t>
      </w:r>
      <w:r>
        <w:rPr>
          <w:rFonts w:ascii="Arial" w:cs="Arial" w:eastAsia="Arial" w:hAnsi="Arial"/>
          <w:sz w:val="13"/>
          <w:szCs w:val="13"/>
          <w:color w:val="auto"/>
        </w:rPr>
        <w:t>power (all of which are herein called “condemnation”), this Lease shall terminate as to the part so taken as of the date the condemning authority takes title or possession, whichever first occurs. If more than 10% of the floor area of the Premises, or more than 25% of the portion of the Common Areas designated for Tenant’s parking, is taken by condemnation, Tenant may, at Tenant’s option, to be exercised in writing within 10 days after Landlord shall have given Tenant written notice of such taking (or in the absence of such notice, within 10 days after the condemning authority shall have taken possession), terminate this Lease as of the date the condemning authority takes such possession. If Tenant does not terminate this Lease in accordance with the foregoing, this Lease shall remain in full force and effect as to the portion of the Premises remaining, except that the Base Rent shall be reduced in the same proportion as the rentable floor area of the Premises taken bears to the total rentable floor area of the Premises. No reduction of Base Rent shall occur if the condemnation does not apply to any portion of the Premises. Any award for the taking of all or any part of the Premises under the power of eminent domain or any payment made under threat of the exercise of such power shall be the property of Landlord; provided, however, that Tenant shall be entitled to any compensation, separately awarded to Tenant, for Tenant’s relocation expenses and/or loss of Tenant’s trade fixtures and improvements. In the event that this Lease is not terminated by reason of such condemnation, Landlord shall to the extent of its net severance damages in the condemnation matter, repair any damage to the Premises caused by such condemnation authority.</w:t>
      </w:r>
    </w:p>
    <w:p>
      <w:pPr>
        <w:spacing w:after="0" w:line="323" w:lineRule="exact"/>
        <w:rPr>
          <w:rFonts w:ascii="Arial" w:cs="Arial" w:eastAsia="Arial" w:hAnsi="Arial"/>
          <w:sz w:val="13"/>
          <w:szCs w:val="13"/>
          <w:b w:val="1"/>
          <w:bCs w:val="1"/>
          <w:color w:val="auto"/>
        </w:rPr>
      </w:pPr>
    </w:p>
    <w:p>
      <w:pPr>
        <w:ind w:left="226" w:hanging="226"/>
        <w:spacing w:after="0"/>
        <w:tabs>
          <w:tab w:leader="none" w:pos="226" w:val="left"/>
        </w:tabs>
        <w:numPr>
          <w:ilvl w:val="0"/>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Estoppel Certificate and Financial Statements.</w:t>
      </w:r>
    </w:p>
    <w:p>
      <w:pPr>
        <w:spacing w:after="0" w:line="197" w:lineRule="exact"/>
        <w:rPr>
          <w:sz w:val="20"/>
          <w:szCs w:val="20"/>
          <w:color w:val="auto"/>
        </w:rPr>
      </w:pPr>
    </w:p>
    <w:p>
      <w:pPr>
        <w:ind w:left="6" w:right="20" w:firstLine="385"/>
        <w:spacing w:after="0" w:line="268" w:lineRule="auto"/>
        <w:rPr>
          <w:sz w:val="20"/>
          <w:szCs w:val="20"/>
          <w:color w:val="auto"/>
        </w:rPr>
      </w:pPr>
      <w:r>
        <w:rPr>
          <w:rFonts w:ascii="Arial" w:cs="Arial" w:eastAsia="Arial" w:hAnsi="Arial"/>
          <w:sz w:val="15"/>
          <w:szCs w:val="15"/>
          <w:color w:val="auto"/>
        </w:rPr>
        <w:t xml:space="preserve">15.1 </w:t>
      </w:r>
      <w:r>
        <w:rPr>
          <w:rFonts w:ascii="Arial" w:cs="Arial" w:eastAsia="Arial" w:hAnsi="Arial"/>
          <w:sz w:val="15"/>
          <w:szCs w:val="15"/>
          <w:u w:val="single" w:color="auto"/>
          <w:color w:val="auto"/>
        </w:rPr>
        <w:t>Estoppel Certificate</w:t>
      </w:r>
      <w:r>
        <w:rPr>
          <w:rFonts w:ascii="Arial" w:cs="Arial" w:eastAsia="Arial" w:hAnsi="Arial"/>
          <w:sz w:val="15"/>
          <w:szCs w:val="15"/>
          <w:color w:val="auto"/>
        </w:rPr>
        <w:t>. Each party (herein referred to as “Responding Party”) shall within 10 days after written notice from the other Party (the “Requesting Party”) execute, acknowledge, and deliver to the Requesting Party, to the extent it can truthfully do so, an estoppel certificate in a form reasonably acceptable to the Requesting Party, or any of Landlord’s lenders or any prospective purchasers of the Premises or the Industrial Center as the case may be, plus such additional information, confirmation, and statements as be reasonably requested by the Requesting Party. Should Tenant fail to deliver an executed and acknowledged estoppel certificate to Landlord as prescribed herein, Tenant hereby authorizes Landlord to act as Tenant’s attorney-in-fact in executing such estoppel certificate or, at Landlord’s option, Tenant shall pay a fee of $100.00 per day (“Estoppel Delay Fee”) for each day after the 10 days’ written notice in which Tenant fails to comply with this requirement.</w:t>
      </w:r>
    </w:p>
    <w:p>
      <w:pPr>
        <w:spacing w:after="0" w:line="161" w:lineRule="exact"/>
        <w:rPr>
          <w:sz w:val="20"/>
          <w:szCs w:val="20"/>
          <w:color w:val="auto"/>
        </w:rPr>
      </w:pPr>
    </w:p>
    <w:p>
      <w:pPr>
        <w:ind w:left="6" w:right="40" w:firstLine="385"/>
        <w:spacing w:after="0" w:line="314"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Financial Statement</w:t>
      </w:r>
      <w:r>
        <w:rPr>
          <w:rFonts w:ascii="Arial" w:cs="Arial" w:eastAsia="Arial" w:hAnsi="Arial"/>
          <w:sz w:val="13"/>
          <w:szCs w:val="13"/>
          <w:color w:val="auto"/>
        </w:rPr>
        <w:t>. If Landlord desires to finance, refinance, or sell the Building, Industrial Center, or any part thereof, Tenant and all Guarantors shall deliver to any potential lender or purchaser designated by Landlord the most recently prepared financial statements of Tenant and such Guarantors as may be reasonably required by such lender or purchaser, including but not limited to Tenant’s financial statements for the past 3 years. All such financial statements shall be received by Landlord and such lender or purchaser in confidence and shall be used only for the purposes herein set forth. Notwithstanding anything to the contrary, Tenant acknowledges and agrees that any financial statements submitted by Tenant to Landlord are being relied upon by Landlord in entering into this Lease and extending any credit to Tenant and to the extent that such financial statements are materially false or incorrect and Tenant submitted such statements with knowledge of such false or incorrect information, Landlord, upon such discovery, may terminate this Lease. Further, Landlord specifically reserves all rights it may have to object to a discharge or reorganization by Tenant in any bankruptcy proceeding filed by or against Tenant based upon such materially false or incorrect financial statements.</w:t>
      </w:r>
    </w:p>
    <w:p>
      <w:pPr>
        <w:spacing w:after="0" w:line="31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16. Additional Covenants and Provisions.</w:t>
      </w:r>
    </w:p>
    <w:p>
      <w:pPr>
        <w:spacing w:after="0" w:line="197" w:lineRule="exact"/>
        <w:rPr>
          <w:sz w:val="20"/>
          <w:szCs w:val="20"/>
          <w:color w:val="auto"/>
        </w:rPr>
      </w:pPr>
    </w:p>
    <w:p>
      <w:pPr>
        <w:ind w:left="6" w:right="120" w:firstLine="385"/>
        <w:spacing w:after="0" w:line="266"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of any provision of this Lease, as determined by a court of competent jurisdiction, shall not affect the validity of any other provision hereof.</w:t>
      </w:r>
    </w:p>
    <w:p>
      <w:pPr>
        <w:sectPr>
          <w:pgSz w:w="11900" w:h="16838" w:orient="portrait"/>
          <w:cols w:equalWidth="0" w:num="1">
            <w:col w:w="9626"/>
          </w:cols>
          <w:pgMar w:left="1134" w:top="257" w:right="1139" w:bottom="1440" w:gutter="0" w:footer="0" w:header="0"/>
        </w:sectPr>
      </w:pPr>
    </w:p>
    <w:bookmarkStart w:id="700" w:name="page701"/>
    <w:bookmarkEnd w:id="700"/>
    <w:p>
      <w:pPr>
        <w:ind w:right="100" w:firstLine="385"/>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16.2 </w:t>
      </w:r>
      <w:r>
        <w:rPr>
          <w:rFonts w:ascii="Arial" w:cs="Arial" w:eastAsia="Arial" w:hAnsi="Arial"/>
          <w:sz w:val="16"/>
          <w:szCs w:val="16"/>
          <w:u w:val="single" w:color="auto"/>
          <w:color w:val="auto"/>
        </w:rPr>
        <w:t>Interest on Past-Due Obligations</w:t>
      </w:r>
      <w:r>
        <w:rPr>
          <w:rFonts w:ascii="Arial" w:cs="Arial" w:eastAsia="Arial" w:hAnsi="Arial"/>
          <w:sz w:val="16"/>
          <w:szCs w:val="16"/>
          <w:color w:val="auto"/>
        </w:rPr>
        <w:t>. Any monetary payment due Landlord hereunder not received by Landlord within 10 days following the date on which it was due shall bear interest from the date due at 12% per annum, but not exceeding the maximum rate allowed by law in addition to the late charge provided for in Paragraph 13.3.</w:t>
      </w:r>
    </w:p>
    <w:p>
      <w:pPr>
        <w:spacing w:after="0" w:line="166" w:lineRule="exact"/>
        <w:rPr>
          <w:sz w:val="20"/>
          <w:szCs w:val="20"/>
          <w:color w:val="auto"/>
        </w:rPr>
      </w:pPr>
    </w:p>
    <w:p>
      <w:pPr>
        <w:ind w:right="180" w:firstLine="385"/>
        <w:spacing w:after="0" w:line="266"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of the essence with respect to the performance of all obligations to be performed or observed by the Parties under this Lease.</w:t>
      </w:r>
    </w:p>
    <w:p>
      <w:pPr>
        <w:spacing w:after="0" w:line="158" w:lineRule="exact"/>
        <w:rPr>
          <w:sz w:val="20"/>
          <w:szCs w:val="20"/>
          <w:color w:val="auto"/>
        </w:rPr>
      </w:pPr>
    </w:p>
    <w:p>
      <w:pPr>
        <w:jc w:val="both"/>
        <w:ind w:right="140" w:firstLine="385"/>
        <w:spacing w:after="0" w:line="329" w:lineRule="auto"/>
        <w:rPr>
          <w:sz w:val="20"/>
          <w:szCs w:val="20"/>
          <w:color w:val="auto"/>
        </w:rPr>
      </w:pPr>
      <w:r>
        <w:rPr>
          <w:rFonts w:ascii="Arial" w:cs="Arial" w:eastAsia="Arial" w:hAnsi="Arial"/>
          <w:sz w:val="13"/>
          <w:szCs w:val="13"/>
          <w:color w:val="auto"/>
        </w:rPr>
        <w:t xml:space="preserve">16.4 </w:t>
      </w:r>
      <w:r>
        <w:rPr>
          <w:rFonts w:ascii="Arial" w:cs="Arial" w:eastAsia="Arial" w:hAnsi="Arial"/>
          <w:sz w:val="13"/>
          <w:szCs w:val="13"/>
          <w:u w:val="single" w:color="auto"/>
          <w:color w:val="auto"/>
        </w:rPr>
        <w:t>Landlord Liability</w:t>
      </w:r>
      <w:r>
        <w:rPr>
          <w:rFonts w:ascii="Arial" w:cs="Arial" w:eastAsia="Arial" w:hAnsi="Arial"/>
          <w:sz w:val="13"/>
          <w:szCs w:val="13"/>
          <w:color w:val="auto"/>
        </w:rPr>
        <w:t>. Tenant, its successors, and assigns shall not assert nor seek to enforce any claim for breach of this Lease against any of Landlord’s assets other than Landlord’s interest in the Industrial Center. Tenant agrees to look solely to such interest for the satisfaction of any liability or claim against Landlord under this Lease. In no event whatsoever shall Landlord (which term shall include, without limitation, any general or limited partner, trustees, beneficiaries, officers, directors, or stockholders of Landlord) ever be personally liable for any such liability.</w:t>
      </w:r>
    </w:p>
    <w:p>
      <w:pPr>
        <w:spacing w:after="0" w:line="123" w:lineRule="exact"/>
        <w:rPr>
          <w:sz w:val="20"/>
          <w:szCs w:val="20"/>
          <w:color w:val="auto"/>
        </w:rPr>
      </w:pPr>
    </w:p>
    <w:p>
      <w:pPr>
        <w:ind w:right="360" w:firstLine="385"/>
        <w:spacing w:after="0" w:line="266"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No Prior or Other Agreements</w:t>
      </w:r>
      <w:r>
        <w:rPr>
          <w:rFonts w:ascii="Arial" w:cs="Arial" w:eastAsia="Arial" w:hAnsi="Arial"/>
          <w:sz w:val="16"/>
          <w:szCs w:val="16"/>
          <w:color w:val="auto"/>
        </w:rPr>
        <w:t>. This Lease contains all agreements between the Parties with respect to any matter mentioned herein, and supersedes all prior or contemporaneous oral or written agreements or understandings.</w:t>
      </w:r>
    </w:p>
    <w:p>
      <w:pPr>
        <w:spacing w:after="0" w:line="158" w:lineRule="exact"/>
        <w:rPr>
          <w:sz w:val="20"/>
          <w:szCs w:val="20"/>
          <w:color w:val="auto"/>
        </w:rPr>
      </w:pPr>
    </w:p>
    <w:p>
      <w:pPr>
        <w:ind w:right="40" w:firstLine="385"/>
        <w:spacing w:after="0" w:line="270" w:lineRule="auto"/>
        <w:rPr>
          <w:sz w:val="20"/>
          <w:szCs w:val="20"/>
          <w:color w:val="auto"/>
        </w:rPr>
      </w:pPr>
      <w:r>
        <w:rPr>
          <w:rFonts w:ascii="Arial" w:cs="Arial" w:eastAsia="Arial" w:hAnsi="Arial"/>
          <w:sz w:val="15"/>
          <w:szCs w:val="15"/>
          <w:color w:val="auto"/>
        </w:rPr>
        <w:t xml:space="preserve">16.6 </w:t>
      </w:r>
      <w:r>
        <w:rPr>
          <w:rFonts w:ascii="Arial" w:cs="Arial" w:eastAsia="Arial" w:hAnsi="Arial"/>
          <w:sz w:val="15"/>
          <w:szCs w:val="15"/>
          <w:u w:val="single" w:color="auto"/>
          <w:color w:val="auto"/>
        </w:rPr>
        <w:t>Notice Requirements</w:t>
      </w:r>
      <w:r>
        <w:rPr>
          <w:rFonts w:ascii="Arial" w:cs="Arial" w:eastAsia="Arial" w:hAnsi="Arial"/>
          <w:sz w:val="15"/>
          <w:szCs w:val="15"/>
          <w:color w:val="auto"/>
        </w:rPr>
        <w:t>. All notices required or permitted by this Lease shall be in writing and may be delivered in person (by hand, messenger, or courier service) or may be sent by regular, certified, or registered mail or by any nationally recognized overnight courier that guarantee next-day delivery, with postage prepaid. The addresses noted adjacent to a Party’s signature on this Lease shall be that Party’s address for delivery or mailing of notice purposes. Either Party may by written notice to the other specify a different address for notice purposes. A copy of all notices required or permitted to be given to Landlord hereunder shall be concurrently transmitted to such party or parties at such addresses as Landlord may from time to time hereafter designate by written notice to Tenant.</w:t>
      </w:r>
    </w:p>
    <w:p>
      <w:pPr>
        <w:spacing w:after="0" w:line="156" w:lineRule="exact"/>
        <w:rPr>
          <w:sz w:val="20"/>
          <w:szCs w:val="20"/>
          <w:color w:val="auto"/>
        </w:rPr>
      </w:pPr>
    </w:p>
    <w:p>
      <w:pPr>
        <w:ind w:right="80" w:firstLine="385"/>
        <w:spacing w:after="0" w:line="251" w:lineRule="auto"/>
        <w:rPr>
          <w:sz w:val="20"/>
          <w:szCs w:val="20"/>
          <w:color w:val="auto"/>
        </w:rPr>
      </w:pPr>
      <w:r>
        <w:rPr>
          <w:rFonts w:ascii="Arial" w:cs="Arial" w:eastAsia="Arial" w:hAnsi="Arial"/>
          <w:sz w:val="16"/>
          <w:szCs w:val="16"/>
          <w:color w:val="auto"/>
        </w:rPr>
        <w:t xml:space="preserve">16.7 </w:t>
      </w:r>
      <w:r>
        <w:rPr>
          <w:rFonts w:ascii="Arial" w:cs="Arial" w:eastAsia="Arial" w:hAnsi="Arial"/>
          <w:sz w:val="16"/>
          <w:szCs w:val="16"/>
          <w:u w:val="single" w:color="auto"/>
          <w:color w:val="auto"/>
        </w:rPr>
        <w:t>Date of Notice</w:t>
      </w:r>
      <w:r>
        <w:rPr>
          <w:rFonts w:ascii="Arial" w:cs="Arial" w:eastAsia="Arial" w:hAnsi="Arial"/>
          <w:sz w:val="16"/>
          <w:szCs w:val="16"/>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48 hours after the same is addressed as required herein and mailed with postage prepaid. Notices delivered by an overnight courier that guarantees next-day delivery shall be deemed given 24 hours after delivery of the same to the courier. If notice is received or deemed received on a Saturday, Sunday, or legal holiday, it shall be deemed received on the next business day.</w:t>
      </w:r>
    </w:p>
    <w:p>
      <w:pPr>
        <w:spacing w:after="0" w:line="170" w:lineRule="exact"/>
        <w:rPr>
          <w:sz w:val="20"/>
          <w:szCs w:val="20"/>
          <w:color w:val="auto"/>
        </w:rPr>
      </w:pPr>
    </w:p>
    <w:p>
      <w:pPr>
        <w:ind w:right="20" w:firstLine="385"/>
        <w:spacing w:after="0" w:line="329" w:lineRule="auto"/>
        <w:rPr>
          <w:sz w:val="20"/>
          <w:szCs w:val="20"/>
          <w:color w:val="auto"/>
        </w:rPr>
      </w:pPr>
      <w:r>
        <w:rPr>
          <w:rFonts w:ascii="Arial" w:cs="Arial" w:eastAsia="Arial" w:hAnsi="Arial"/>
          <w:sz w:val="13"/>
          <w:szCs w:val="13"/>
          <w:color w:val="auto"/>
        </w:rPr>
        <w:t xml:space="preserve">16.8 </w:t>
      </w:r>
      <w:r>
        <w:rPr>
          <w:rFonts w:ascii="Arial" w:cs="Arial" w:eastAsia="Arial" w:hAnsi="Arial"/>
          <w:sz w:val="13"/>
          <w:szCs w:val="13"/>
          <w:u w:val="single" w:color="auto"/>
          <w:color w:val="auto"/>
        </w:rPr>
        <w:t>Waivers</w:t>
      </w:r>
      <w:r>
        <w:rPr>
          <w:rFonts w:ascii="Arial" w:cs="Arial" w:eastAsia="Arial" w:hAnsi="Arial"/>
          <w:sz w:val="13"/>
          <w:szCs w:val="13"/>
          <w:color w:val="auto"/>
        </w:rPr>
        <w:t>. No waiver by Landlord of a Default by Tenant shall be deemed a waiver of any other term, covenant, or condition hereof, or of any subsequent Default by Tenant of the same or any other term, covenant, or condition hereof. In addition the acceptance by Landlord of any rent or other payment after it is due, whether or not a notice of default has been served or any action has been filed by Landlord thereon, shall not be deemed a waiver of Landlord’s rights to proceed on any notice of default or action which has been filed against Tenant based upon Tenant’s breach of the Lease.</w:t>
      </w:r>
    </w:p>
    <w:p>
      <w:pPr>
        <w:spacing w:after="0" w:line="123" w:lineRule="exact"/>
        <w:rPr>
          <w:sz w:val="20"/>
          <w:szCs w:val="20"/>
          <w:color w:val="auto"/>
        </w:rPr>
      </w:pPr>
    </w:p>
    <w:p>
      <w:pPr>
        <w:ind w:right="180" w:firstLine="385"/>
        <w:spacing w:after="0" w:line="268" w:lineRule="auto"/>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u w:val="single" w:color="auto"/>
          <w:color w:val="auto"/>
        </w:rPr>
        <w:t>Holdover</w:t>
      </w:r>
      <w:r>
        <w:rPr>
          <w:rFonts w:ascii="Arial" w:cs="Arial" w:eastAsia="Arial" w:hAnsi="Arial"/>
          <w:sz w:val="15"/>
          <w:szCs w:val="15"/>
          <w:color w:val="auto"/>
        </w:rPr>
        <w:t>. Tenant has no right to retain possession of the Premises or any part thereof beyond the expiration or earlier termination of this Lease. If Tenant holds over with or without the consent of Landlord: (a) the Base Rent payable shall be increased to 150% of the Base Rent applicable during the month immediately preceding such expiration or earlier termination; and (b) all other terms and conditions of this Lease shall continue to apply. Nothing contained herein shall be construed as consent by Landlord to any holding over by Tenant. Tenant shall indemnify, defend, and hold Landlord harmless from and against any and all claims, demands, actions, losses, damages, obligations, costs, and expenses, including, without limitation, attorneys’ fees incurred or suffered by Landlord by reason of Tenant’s failure to surrender the Premises on the expiration or earlier termination of this Lease in accordance with the provisions of this Lease.</w:t>
      </w:r>
    </w:p>
    <w:p>
      <w:pPr>
        <w:spacing w:after="0" w:line="161" w:lineRule="exact"/>
        <w:rPr>
          <w:sz w:val="20"/>
          <w:szCs w:val="20"/>
          <w:color w:val="auto"/>
        </w:rPr>
      </w:pPr>
    </w:p>
    <w:p>
      <w:pPr>
        <w:ind w:right="340" w:firstLine="385"/>
        <w:spacing w:after="0" w:line="266"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Cumulative Remedies</w:t>
      </w:r>
      <w:r>
        <w:rPr>
          <w:rFonts w:ascii="Arial" w:cs="Arial" w:eastAsia="Arial" w:hAnsi="Arial"/>
          <w:sz w:val="16"/>
          <w:szCs w:val="16"/>
          <w:color w:val="auto"/>
        </w:rPr>
        <w:t>. No remedy or election hereunder shall be deemed exclusive but shall, wherever possible, be cumulative with all other remedies in law or in equity.</w:t>
      </w:r>
    </w:p>
    <w:p>
      <w:pPr>
        <w:spacing w:after="0" w:line="158" w:lineRule="exact"/>
        <w:rPr>
          <w:sz w:val="20"/>
          <w:szCs w:val="20"/>
          <w:color w:val="auto"/>
        </w:rPr>
      </w:pPr>
    </w:p>
    <w:p>
      <w:pPr>
        <w:jc w:val="both"/>
        <w:ind w:right="80" w:firstLine="385"/>
        <w:spacing w:after="0" w:line="256" w:lineRule="auto"/>
        <w:rPr>
          <w:sz w:val="20"/>
          <w:szCs w:val="20"/>
          <w:color w:val="auto"/>
        </w:rPr>
      </w:pPr>
      <w:r>
        <w:rPr>
          <w:rFonts w:ascii="Arial" w:cs="Arial" w:eastAsia="Arial" w:hAnsi="Arial"/>
          <w:sz w:val="16"/>
          <w:szCs w:val="16"/>
          <w:color w:val="auto"/>
        </w:rPr>
        <w:t xml:space="preserve">16.11 </w:t>
      </w:r>
      <w:r>
        <w:rPr>
          <w:rFonts w:ascii="Arial" w:cs="Arial" w:eastAsia="Arial" w:hAnsi="Arial"/>
          <w:sz w:val="16"/>
          <w:szCs w:val="16"/>
          <w:u w:val="single" w:color="auto"/>
          <w:color w:val="auto"/>
        </w:rPr>
        <w:t>Binding Effect: Choice of Law</w:t>
      </w:r>
      <w:r>
        <w:rPr>
          <w:rFonts w:ascii="Arial" w:cs="Arial" w:eastAsia="Arial" w:hAnsi="Arial"/>
          <w:sz w:val="16"/>
          <w:szCs w:val="16"/>
          <w:color w:val="auto"/>
        </w:rPr>
        <w:t>. 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w:t>
      </w:r>
    </w:p>
    <w:p>
      <w:pPr>
        <w:spacing w:after="0" w:line="166" w:lineRule="exact"/>
        <w:rPr>
          <w:sz w:val="20"/>
          <w:szCs w:val="20"/>
          <w:color w:val="auto"/>
        </w:rPr>
      </w:pPr>
    </w:p>
    <w:p>
      <w:pPr>
        <w:ind w:firstLine="385"/>
        <w:spacing w:after="0" w:line="250"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Landlord</w:t>
      </w:r>
      <w:r>
        <w:rPr>
          <w:rFonts w:ascii="Arial" w:cs="Arial" w:eastAsia="Arial" w:hAnsi="Arial"/>
          <w:sz w:val="16"/>
          <w:szCs w:val="16"/>
          <w:color w:val="auto"/>
        </w:rPr>
        <w:t>. The covenants and obligations contained in this Lease on the part of Landlord are binding on Landlord, its successors, and assigns only during their respective period of ownership of an interest in the Building. In the event of any transfer or transfers of such title to the Building and following the assumption or assumptions of Landlord’s obligations hereunder, Landlord (and, in the case of any subsequent transfers or conveyances, the then grantor) shall be concurrently freed and relieved from and after the date of such transfer or conveyance, without any further instrument or agreement, of all liability with respect to the performance of any covenants or obligations on the part of Landlord contained in this Lease thereafter to be performed.</w:t>
      </w:r>
    </w:p>
    <w:p>
      <w:pPr>
        <w:spacing w:after="0" w:line="171" w:lineRule="exact"/>
        <w:rPr>
          <w:sz w:val="20"/>
          <w:szCs w:val="20"/>
          <w:color w:val="auto"/>
        </w:rPr>
      </w:pPr>
    </w:p>
    <w:p>
      <w:pPr>
        <w:ind w:right="40" w:firstLine="385"/>
        <w:spacing w:after="0" w:line="318" w:lineRule="auto"/>
        <w:rPr>
          <w:sz w:val="20"/>
          <w:szCs w:val="20"/>
          <w:color w:val="auto"/>
        </w:rPr>
      </w:pPr>
      <w:r>
        <w:rPr>
          <w:rFonts w:ascii="Arial" w:cs="Arial" w:eastAsia="Arial" w:hAnsi="Arial"/>
          <w:sz w:val="13"/>
          <w:szCs w:val="13"/>
          <w:color w:val="auto"/>
        </w:rPr>
        <w:t xml:space="preserve">16.13 </w:t>
      </w:r>
      <w:r>
        <w:rPr>
          <w:rFonts w:ascii="Arial" w:cs="Arial" w:eastAsia="Arial" w:hAnsi="Arial"/>
          <w:sz w:val="13"/>
          <w:szCs w:val="13"/>
          <w:u w:val="single" w:color="auto"/>
          <w:color w:val="auto"/>
        </w:rPr>
        <w:t>Attorneys’ Fees and Other Costs</w:t>
      </w:r>
      <w:r>
        <w:rPr>
          <w:rFonts w:ascii="Arial" w:cs="Arial" w:eastAsia="Arial" w:hAnsi="Arial"/>
          <w:sz w:val="13"/>
          <w:szCs w:val="13"/>
          <w:color w:val="auto"/>
        </w:rPr>
        <w:t>. If any Party brings an action or proceeding to enforce the terms hereof or declare rights hereunder, the Prevailing Party (as hereafter defined) in any such proceeding shall be entitled to reasonable attorneys’ fees. The term “Prevailing Party” shall include, without limitation, a Party who substantially obtains or defeats the relief sought. Landlord shall be entitled to attorneys’ fees, costs, and expenses incurred in the preparation and service of notices of Default and consultations in connection therewith, whether or not a legal action is subsequently commenced in connection with such Default or resulting breach, to the extent set forth in subpart (i) of Addendum 1 to this Lease. Tenant shall reimburse Landlord on demand for all actual reasonable legal, engineering, and other professional services expenses incurred by Landlord in connection with all requests by Tenant or any lender of Tenant for consent, waiver or approval of any kind.</w:t>
      </w:r>
    </w:p>
    <w:p>
      <w:pPr>
        <w:sectPr>
          <w:pgSz w:w="11900" w:h="16838" w:orient="portrait"/>
          <w:cols w:equalWidth="0" w:num="1">
            <w:col w:w="9620"/>
          </w:cols>
          <w:pgMar w:left="1140" w:top="257" w:right="1139" w:bottom="1440" w:gutter="0" w:footer="0" w:header="0"/>
        </w:sectPr>
      </w:pPr>
    </w:p>
    <w:bookmarkStart w:id="701" w:name="page702"/>
    <w:bookmarkEnd w:id="701"/>
    <w:p>
      <w:pPr>
        <w:ind w:firstLine="385"/>
        <w:spacing w:after="0" w:line="31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16.14 </w:t>
      </w:r>
      <w:r>
        <w:rPr>
          <w:rFonts w:ascii="Arial" w:cs="Arial" w:eastAsia="Arial" w:hAnsi="Arial"/>
          <w:sz w:val="13"/>
          <w:szCs w:val="13"/>
          <w:u w:val="single" w:color="auto"/>
          <w:color w:val="auto"/>
        </w:rPr>
        <w:t>Landlord’s Access; Showing Premises; Repairs</w:t>
      </w:r>
      <w:r>
        <w:rPr>
          <w:rFonts w:ascii="Arial" w:cs="Arial" w:eastAsia="Arial" w:hAnsi="Arial"/>
          <w:sz w:val="13"/>
          <w:szCs w:val="13"/>
          <w:color w:val="auto"/>
        </w:rPr>
        <w:t>. Landlord and Landlord’s agents shall have the right to enter the Premises at any time, in the case of an emergency, and otherwise at reasonable times upon 1 business day prior notice for the purpose of showing the same to prospective purchasers, lenders, or tenants, and making such alterations, repairs, improvements, or additions to the Premises or to the Building, as Landlord is required to perform hereunder. Landlord may at any time place on or about the Premises or Building any ordinary “For Sale” signs , and Landlord may at any time during the last 180 days of the Term hereof place on or about the Premises any ordinary “For Lease” signs. Notwithstanding and in addition to any other obligation of Tenant under this Lease to cooperate with Landlord, Tenant specifically acknowledges and agrees that it shall cooperate with Landlord in making the Premises available for showing to prospective tenants during the last 180 days of the Term and during any Default by Tenant. All such activities of Landlord shall be without abatement of rent or liability to Tenant. Any entry by Landlord and Landlord’s agents shall not materially impair Tenant’s operations more than reasonably necessary, and shall comply with Tenant’s reasonable security measures.</w:t>
      </w:r>
    </w:p>
    <w:p>
      <w:pPr>
        <w:spacing w:after="0" w:line="322" w:lineRule="exact"/>
        <w:rPr>
          <w:sz w:val="20"/>
          <w:szCs w:val="20"/>
          <w:color w:val="auto"/>
        </w:rPr>
      </w:pPr>
    </w:p>
    <w:p>
      <w:pPr>
        <w:ind w:right="20" w:firstLine="385"/>
        <w:spacing w:after="0" w:line="270" w:lineRule="auto"/>
        <w:rPr>
          <w:sz w:val="20"/>
          <w:szCs w:val="20"/>
          <w:color w:val="auto"/>
        </w:rPr>
      </w:pPr>
      <w:r>
        <w:rPr>
          <w:rFonts w:ascii="Arial" w:cs="Arial" w:eastAsia="Arial" w:hAnsi="Arial"/>
          <w:sz w:val="15"/>
          <w:szCs w:val="15"/>
          <w:color w:val="auto"/>
        </w:rPr>
        <w:t xml:space="preserve">16.15 </w:t>
      </w:r>
      <w:r>
        <w:rPr>
          <w:rFonts w:ascii="Arial" w:cs="Arial" w:eastAsia="Arial" w:hAnsi="Arial"/>
          <w:sz w:val="15"/>
          <w:szCs w:val="15"/>
          <w:u w:val="single" w:color="auto"/>
          <w:color w:val="auto"/>
        </w:rPr>
        <w:t>Signs</w:t>
      </w:r>
      <w:r>
        <w:rPr>
          <w:rFonts w:ascii="Arial" w:cs="Arial" w:eastAsia="Arial" w:hAnsi="Arial"/>
          <w:sz w:val="15"/>
          <w:szCs w:val="15"/>
          <w:color w:val="auto"/>
        </w:rPr>
        <w:t>. Tenant shall not place any signs at or upon the exterior of the Premises or the Building, except that Tenant may, with Landlord’s prior written consent, install (but not on the roof) such signs as are reasonably required to advertise Tenant’s own business so long as such signs are in a location approved by Landlord and comply with sign ordinances and the signage criteria established for the Industrial Center by Landlord. Notwithstanding anything to the contrary, Landlord may place its then customary identification signage and graphics on the Building and Premises provided they do not interfere with any Tenant signs which have been approved by Landlord. Landlord hereby approves Tenant’s installation of such signage on the Building’s façade comparable to that of the existing tenant.</w:t>
      </w:r>
    </w:p>
    <w:p>
      <w:pPr>
        <w:spacing w:after="0" w:line="156" w:lineRule="exact"/>
        <w:rPr>
          <w:sz w:val="20"/>
          <w:szCs w:val="20"/>
          <w:color w:val="auto"/>
        </w:rPr>
      </w:pPr>
    </w:p>
    <w:p>
      <w:pPr>
        <w:ind w:right="100" w:firstLine="385"/>
        <w:spacing w:after="0" w:line="250" w:lineRule="auto"/>
        <w:rPr>
          <w:sz w:val="20"/>
          <w:szCs w:val="20"/>
          <w:color w:val="auto"/>
        </w:rPr>
      </w:pPr>
      <w:r>
        <w:rPr>
          <w:rFonts w:ascii="Arial" w:cs="Arial" w:eastAsia="Arial" w:hAnsi="Arial"/>
          <w:sz w:val="16"/>
          <w:szCs w:val="16"/>
          <w:color w:val="auto"/>
        </w:rPr>
        <w:t xml:space="preserve">16.16 </w:t>
      </w:r>
      <w:r>
        <w:rPr>
          <w:rFonts w:ascii="Arial" w:cs="Arial" w:eastAsia="Arial" w:hAnsi="Arial"/>
          <w:sz w:val="16"/>
          <w:szCs w:val="16"/>
          <w:u w:val="single" w:color="auto"/>
          <w:color w:val="auto"/>
        </w:rPr>
        <w:t>Termination; Merger</w:t>
      </w:r>
      <w:r>
        <w:rPr>
          <w:rFonts w:ascii="Arial" w:cs="Arial" w:eastAsia="Arial" w:hAnsi="Arial"/>
          <w:sz w:val="16"/>
          <w:szCs w:val="16"/>
          <w:color w:val="auto"/>
        </w:rPr>
        <w:t>. Unless specifically stated otherwise in writing by Landlord, the voluntary or other surrender of this Lease by Tenant, the mutual termination or cancellation hereof, or a termination hereof by Landlord for Default by Tenant, shall automatically terminate any sublease or lesser estate in the Premises; provided, however, Landlord shall, in the event of any such surrender, termination, or cancellation, have the option to continue any one or all of any existing subtenancies. Landlord’s failure within 10 days following any such event to make a written election to the contrary by written notice to the holder of any such lesser interest shall constitute Landlord’s election to have such event constitute the termination of such interest.</w:t>
      </w:r>
    </w:p>
    <w:p>
      <w:pPr>
        <w:spacing w:after="0" w:line="171" w:lineRule="exact"/>
        <w:rPr>
          <w:sz w:val="20"/>
          <w:szCs w:val="20"/>
          <w:color w:val="auto"/>
        </w:rPr>
      </w:pPr>
    </w:p>
    <w:p>
      <w:pPr>
        <w:jc w:val="both"/>
        <w:ind w:right="540" w:firstLine="385"/>
        <w:spacing w:after="0" w:line="281" w:lineRule="auto"/>
        <w:rPr>
          <w:sz w:val="20"/>
          <w:szCs w:val="20"/>
          <w:color w:val="auto"/>
        </w:rPr>
      </w:pPr>
      <w:r>
        <w:rPr>
          <w:rFonts w:ascii="Arial" w:cs="Arial" w:eastAsia="Arial" w:hAnsi="Arial"/>
          <w:sz w:val="15"/>
          <w:szCs w:val="15"/>
          <w:color w:val="auto"/>
        </w:rPr>
        <w:t xml:space="preserve">16.17 </w:t>
      </w:r>
      <w:r>
        <w:rPr>
          <w:rFonts w:ascii="Arial" w:cs="Arial" w:eastAsia="Arial" w:hAnsi="Arial"/>
          <w:sz w:val="15"/>
          <w:szCs w:val="15"/>
          <w:u w:val="single" w:color="auto"/>
          <w:color w:val="auto"/>
        </w:rPr>
        <w:t>Quiet Possession</w:t>
      </w:r>
      <w:r>
        <w:rPr>
          <w:rFonts w:ascii="Arial" w:cs="Arial" w:eastAsia="Arial" w:hAnsi="Arial"/>
          <w:sz w:val="15"/>
          <w:szCs w:val="15"/>
          <w:color w:val="auto"/>
        </w:rPr>
        <w:t>. Upon payment by Tenant of the Base Rent and Additional Rent for the Premises and the performance of all of the covenants, conditions, and provisions on Tenant’s part to be observed and performed under this Lease, Tenant shall have quiet possession of the Premises for the entire term hereof, subject to all of the provisions of this Lease.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16.18 </w:t>
      </w:r>
      <w:r>
        <w:rPr>
          <w:rFonts w:ascii="Arial" w:cs="Arial" w:eastAsia="Arial" w:hAnsi="Arial"/>
          <w:sz w:val="16"/>
          <w:szCs w:val="16"/>
          <w:u w:val="single" w:color="auto"/>
          <w:color w:val="auto"/>
        </w:rPr>
        <w:t>Subordination; Attornment; Non-Disturbance</w:t>
      </w:r>
      <w:r>
        <w:rPr>
          <w:rFonts w:ascii="Arial" w:cs="Arial" w:eastAsia="Arial" w:hAnsi="Arial"/>
          <w:sz w:val="16"/>
          <w:szCs w:val="16"/>
          <w:color w:val="auto"/>
        </w:rPr>
        <w:t>.</w:t>
      </w:r>
    </w:p>
    <w:p>
      <w:pPr>
        <w:spacing w:after="0" w:line="193" w:lineRule="exact"/>
        <w:rPr>
          <w:sz w:val="20"/>
          <w:szCs w:val="20"/>
          <w:color w:val="auto"/>
        </w:rPr>
      </w:pPr>
    </w:p>
    <w:p>
      <w:pPr>
        <w:ind w:right="40" w:firstLine="860"/>
        <w:spacing w:after="0" w:line="311" w:lineRule="auto"/>
        <w:tabs>
          <w:tab w:leader="none" w:pos="1079" w:val="left"/>
        </w:tabs>
        <w:numPr>
          <w:ilvl w:val="0"/>
          <w:numId w:val="541"/>
        </w:numPr>
        <w:rPr>
          <w:rFonts w:ascii="Arial" w:cs="Arial" w:eastAsia="Arial" w:hAnsi="Arial"/>
          <w:sz w:val="13"/>
          <w:szCs w:val="13"/>
          <w:color w:val="auto"/>
        </w:rPr>
      </w:pPr>
      <w:r>
        <w:rPr>
          <w:rFonts w:ascii="Arial" w:cs="Arial" w:eastAsia="Arial" w:hAnsi="Arial"/>
          <w:sz w:val="13"/>
          <w:szCs w:val="13"/>
          <w:u w:val="single" w:color="auto"/>
          <w:color w:val="auto"/>
        </w:rPr>
        <w:t>Subordination</w:t>
      </w:r>
      <w:r>
        <w:rPr>
          <w:rFonts w:ascii="Arial" w:cs="Arial" w:eastAsia="Arial" w:hAnsi="Arial"/>
          <w:sz w:val="13"/>
          <w:szCs w:val="13"/>
          <w:color w:val="auto"/>
        </w:rPr>
        <w:t>. This Lease shall be subject and subordinate to any ground lease, mortgage, deed of trust, or other hypothecation or mortgage (collectively, “Mortgage”) now or hereafter placed by Landlord upon the real property of which the Premises are a part, to any and all advances made on the security thereof, and to all renewals, modifications, consolidations, replacements, and extensions thereof. Tenant agrees that any person holding any Mortgage shall have no duty, liability, or obligation to perform any of the obligations of Landlord under this Lease. In the event of Landlord’s default with respect to any such obligation, Tenant will give any Lender, whose name and address have previously been furnished in writing to Tenant, notice of a default by Landlord. Tenant may not exercise any remedies for default by Landlord unless and until Landlord and the Lender shall have received written notice of such default and a reasonable time (not less than 60 days) shall thereafter have elapsed without the default having been cured. If any Lender shall elect to have this Lease superior to the lien of its Mortgage and shall give written notice thereof to Tenant, this Lease shall be deemed prior to such Mortgage. The provisions of a Mortgage relating to the disposition of condemnation and insurance proceeds shall prevail over any contrary provisions contained in this Lease. Landlord represents and warrants that there is no Mortgage affecting the Premises as of the date hereof.</w:t>
      </w:r>
    </w:p>
    <w:p>
      <w:pPr>
        <w:spacing w:after="0" w:line="137" w:lineRule="exact"/>
        <w:rPr>
          <w:rFonts w:ascii="Arial" w:cs="Arial" w:eastAsia="Arial" w:hAnsi="Arial"/>
          <w:sz w:val="13"/>
          <w:szCs w:val="13"/>
          <w:color w:val="auto"/>
        </w:rPr>
      </w:pPr>
    </w:p>
    <w:p>
      <w:pPr>
        <w:ind w:right="20" w:firstLine="860"/>
        <w:spacing w:after="0" w:line="251" w:lineRule="auto"/>
        <w:tabs>
          <w:tab w:leader="none" w:pos="1088" w:val="left"/>
        </w:tabs>
        <w:numPr>
          <w:ilvl w:val="0"/>
          <w:numId w:val="541"/>
        </w:numPr>
        <w:rPr>
          <w:rFonts w:ascii="Arial" w:cs="Arial" w:eastAsia="Arial" w:hAnsi="Arial"/>
          <w:sz w:val="16"/>
          <w:szCs w:val="16"/>
          <w:color w:val="auto"/>
        </w:rPr>
      </w:pPr>
      <w:r>
        <w:rPr>
          <w:rFonts w:ascii="Arial" w:cs="Arial" w:eastAsia="Arial" w:hAnsi="Arial"/>
          <w:sz w:val="16"/>
          <w:szCs w:val="16"/>
          <w:u w:val="single" w:color="auto"/>
          <w:color w:val="auto"/>
        </w:rPr>
        <w:t>Attornment</w:t>
      </w:r>
      <w:r>
        <w:rPr>
          <w:rFonts w:ascii="Arial" w:cs="Arial" w:eastAsia="Arial" w:hAnsi="Arial"/>
          <w:sz w:val="16"/>
          <w:szCs w:val="16"/>
          <w:color w:val="auto"/>
        </w:rPr>
        <w:t>. Subject to the nondisturbance provisions of subparagraph (c) of this Paragraph 16.18, Tenant agrees to attorn to a Lender or any other party who acquires ownership of the Premises by reason of a foreclosure of a Mortgage. In the event of such foreclosure, such new owner shall not: (i) be liable for any act or omission of any prior landlord or with respect to events occurring prior to acquisition of ownership, (ii) be subject to any offsets or defenses which Tenant might have against any prior Landlord, or (iii) be liable for security deposits or be bound by prepayment of more than one month’s rent unless, in each case, actually received.</w:t>
      </w:r>
    </w:p>
    <w:p>
      <w:pPr>
        <w:spacing w:after="0" w:line="169" w:lineRule="exact"/>
        <w:rPr>
          <w:rFonts w:ascii="Arial" w:cs="Arial" w:eastAsia="Arial" w:hAnsi="Arial"/>
          <w:sz w:val="16"/>
          <w:szCs w:val="16"/>
          <w:color w:val="auto"/>
        </w:rPr>
      </w:pPr>
    </w:p>
    <w:p>
      <w:pPr>
        <w:ind w:right="20" w:firstLine="860"/>
        <w:spacing w:after="0" w:line="323" w:lineRule="auto"/>
        <w:tabs>
          <w:tab w:leader="none" w:pos="1079" w:val="left"/>
        </w:tabs>
        <w:numPr>
          <w:ilvl w:val="0"/>
          <w:numId w:val="541"/>
        </w:numPr>
        <w:rPr>
          <w:rFonts w:ascii="Arial" w:cs="Arial" w:eastAsia="Arial" w:hAnsi="Arial"/>
          <w:sz w:val="13"/>
          <w:szCs w:val="13"/>
          <w:color w:val="auto"/>
        </w:rPr>
      </w:pPr>
      <w:r>
        <w:rPr>
          <w:rFonts w:ascii="Arial" w:cs="Arial" w:eastAsia="Arial" w:hAnsi="Arial"/>
          <w:sz w:val="13"/>
          <w:szCs w:val="13"/>
          <w:u w:val="single" w:color="auto"/>
          <w:color w:val="auto"/>
        </w:rPr>
        <w:t>Non-Disturbance</w:t>
      </w:r>
      <w:r>
        <w:rPr>
          <w:rFonts w:ascii="Arial" w:cs="Arial" w:eastAsia="Arial" w:hAnsi="Arial"/>
          <w:sz w:val="13"/>
          <w:szCs w:val="13"/>
          <w:color w:val="auto"/>
        </w:rPr>
        <w:t>. With respect to a Mortgage entered into by Landlord after the execution of this Lease, this Lease shall be subject and subordinate to such Mortgage. Notwithstanding the foregoing, Landlord shall use commercially reasonable efforts to obtain a “nondisturbance agreement” from the Mortgage holder providing that Tenant’s possession pursuant to this Lease will not be disturbed so long as Tenant is not in default and attorns to the record owner of the Premises. Notwithstanding anything to the contrary herein, the subordination of this Lease to any Mortgage shall be conditioned upon Tenant’s receipt from any Mortgage holder of such a “nondisturbance agreement” on the lender’s then current form.</w:t>
      </w:r>
    </w:p>
    <w:p>
      <w:pPr>
        <w:spacing w:after="0" w:line="125" w:lineRule="exact"/>
        <w:rPr>
          <w:rFonts w:ascii="Arial" w:cs="Arial" w:eastAsia="Arial" w:hAnsi="Arial"/>
          <w:sz w:val="13"/>
          <w:szCs w:val="13"/>
          <w:color w:val="auto"/>
        </w:rPr>
      </w:pPr>
    </w:p>
    <w:p>
      <w:pPr>
        <w:ind w:right="80" w:firstLine="860"/>
        <w:spacing w:after="0" w:line="251" w:lineRule="auto"/>
        <w:tabs>
          <w:tab w:leader="none" w:pos="1088" w:val="left"/>
        </w:tabs>
        <w:numPr>
          <w:ilvl w:val="0"/>
          <w:numId w:val="541"/>
        </w:numPr>
        <w:rPr>
          <w:rFonts w:ascii="Arial" w:cs="Arial" w:eastAsia="Arial" w:hAnsi="Arial"/>
          <w:sz w:val="16"/>
          <w:szCs w:val="16"/>
          <w:color w:val="auto"/>
        </w:rPr>
      </w:pPr>
      <w:r>
        <w:rPr>
          <w:rFonts w:ascii="Arial" w:cs="Arial" w:eastAsia="Arial" w:hAnsi="Arial"/>
          <w:sz w:val="16"/>
          <w:szCs w:val="16"/>
          <w:u w:val="single" w:color="auto"/>
          <w:color w:val="auto"/>
        </w:rPr>
        <w:t>Self-Executing</w:t>
      </w:r>
      <w:r>
        <w:rPr>
          <w:rFonts w:ascii="Arial" w:cs="Arial" w:eastAsia="Arial" w:hAnsi="Arial"/>
          <w:sz w:val="16"/>
          <w:szCs w:val="16"/>
          <w:color w:val="auto"/>
        </w:rPr>
        <w:t>. The agreements contained in this Paragraph 16.18 shall be effective without the execution of any further documents; provided, however, that upon written request from Landlord or a Lender in connection with a sale, financing, or refinancing of Premises, Tenant and Landlord shall execute such further writings as may be reasonably required to separately document any such subordination or nonsubordination, attornment, and/or nondisturbance agreement, as is provided for herein. Landlord is hereby irrevocably vested with full power to subordinate this Lease to a Mortgage.</w:t>
      </w:r>
    </w:p>
    <w:p>
      <w:pPr>
        <w:sectPr>
          <w:pgSz w:w="11900" w:h="16838" w:orient="portrait"/>
          <w:cols w:equalWidth="0" w:num="1">
            <w:col w:w="9600"/>
          </w:cols>
          <w:pgMar w:left="1140" w:top="255" w:right="1159" w:bottom="1440" w:gutter="0" w:footer="0" w:header="0"/>
        </w:sectPr>
      </w:pPr>
    </w:p>
    <w:bookmarkStart w:id="702" w:name="page703"/>
    <w:bookmarkEnd w:id="702"/>
    <w:p>
      <w:pPr>
        <w:ind w:right="140" w:firstLine="385"/>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16.19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agrees that it will abide by, and to cause its employees, suppliers, shippers, customers, tenants, contractors, and invitees to abide by the Rules and Regulations attached hereto as Exhibit “E”, and any reasonable and non-discriminatory amendments thereto (“Rules and Regulations”) which Landlord may make from time to time for the management, safety, care, and cleanliness of the Common Areas, the parking and unloading of vehicles, and the preservation of good order, as well as for the convenience of other occupants or tenants of the Building and the Industrial Center and their invitees. Landlord shall not be responsible to Tenant for the noncompliance with said Rules and Regulations by other tenants of the Industrial Center.</w:t>
      </w:r>
    </w:p>
    <w:p>
      <w:pPr>
        <w:spacing w:after="0" w:line="171" w:lineRule="exact"/>
        <w:rPr>
          <w:sz w:val="20"/>
          <w:szCs w:val="20"/>
          <w:color w:val="auto"/>
        </w:rPr>
      </w:pPr>
    </w:p>
    <w:p>
      <w:pPr>
        <w:ind w:right="100" w:firstLine="385"/>
        <w:spacing w:after="0" w:line="256" w:lineRule="auto"/>
        <w:rPr>
          <w:sz w:val="20"/>
          <w:szCs w:val="20"/>
          <w:color w:val="auto"/>
        </w:rPr>
      </w:pPr>
      <w:r>
        <w:rPr>
          <w:rFonts w:ascii="Arial" w:cs="Arial" w:eastAsia="Arial" w:hAnsi="Arial"/>
          <w:sz w:val="16"/>
          <w:szCs w:val="16"/>
          <w:color w:val="auto"/>
        </w:rPr>
        <w:t xml:space="preserve">16.20 </w:t>
      </w:r>
      <w:r>
        <w:rPr>
          <w:rFonts w:ascii="Arial" w:cs="Arial" w:eastAsia="Arial" w:hAnsi="Arial"/>
          <w:sz w:val="16"/>
          <w:szCs w:val="16"/>
          <w:u w:val="single" w:color="auto"/>
          <w:color w:val="auto"/>
        </w:rPr>
        <w:t>Security Measures</w:t>
      </w:r>
      <w:r>
        <w:rPr>
          <w:rFonts w:ascii="Arial" w:cs="Arial" w:eastAsia="Arial" w:hAnsi="Arial"/>
          <w:sz w:val="16"/>
          <w:szCs w:val="16"/>
          <w:color w:val="auto"/>
        </w:rPr>
        <w:t>. Tenant acknowledges that the rental payable to Landlord hereunder does not include the cost of guard service or other security measures. Landlord has no obligations to provide same. Tenant assumes all responsibility for the protection of the Premises, Tenant, its agents, and invitees and their property from the acts of third parties.</w:t>
      </w:r>
    </w:p>
    <w:p>
      <w:pPr>
        <w:spacing w:after="0" w:line="166" w:lineRule="exact"/>
        <w:rPr>
          <w:sz w:val="20"/>
          <w:szCs w:val="20"/>
          <w:color w:val="auto"/>
        </w:rPr>
      </w:pPr>
    </w:p>
    <w:p>
      <w:pPr>
        <w:ind w:right="160" w:firstLine="385"/>
        <w:spacing w:after="0" w:line="270" w:lineRule="auto"/>
        <w:rPr>
          <w:sz w:val="20"/>
          <w:szCs w:val="20"/>
          <w:color w:val="auto"/>
        </w:rPr>
      </w:pPr>
      <w:r>
        <w:rPr>
          <w:rFonts w:ascii="Arial" w:cs="Arial" w:eastAsia="Arial" w:hAnsi="Arial"/>
          <w:sz w:val="15"/>
          <w:szCs w:val="15"/>
          <w:color w:val="auto"/>
        </w:rPr>
        <w:t xml:space="preserve">16.21 </w:t>
      </w:r>
      <w:r>
        <w:rPr>
          <w:rFonts w:ascii="Arial" w:cs="Arial" w:eastAsia="Arial" w:hAnsi="Arial"/>
          <w:sz w:val="15"/>
          <w:szCs w:val="15"/>
          <w:u w:val="single" w:color="auto"/>
          <w:color w:val="auto"/>
        </w:rPr>
        <w:t>Reservations</w:t>
      </w:r>
      <w:r>
        <w:rPr>
          <w:rFonts w:ascii="Arial" w:cs="Arial" w:eastAsia="Arial" w:hAnsi="Arial"/>
          <w:sz w:val="15"/>
          <w:szCs w:val="15"/>
          <w:color w:val="auto"/>
        </w:rPr>
        <w:t>. Landlord reserves the right to grant such easements that Landlord deems necessary and to cause the recordation of parcel maps, so long as such easements and maps do not unreasonably interfere with the use of the Premises, Storage Area, or the parking areas by Tenant. Tenant agrees to sign any documents reasonably requested by Landlord to effectuate any such easements or maps. Landlord may not, at any time following the execution of this Lease, either directly or through Landlord’s agents, identify Tenant’s name in any marketing materials relating to the Building or Landlord’s portfolio and/or make press releases or other announcements regarding the leasing of the Premises by Tenant, without Tenant’s prior written consent, which may be withheld in its sole discretion.</w:t>
      </w:r>
    </w:p>
    <w:p>
      <w:pPr>
        <w:spacing w:after="0" w:line="156" w:lineRule="exact"/>
        <w:rPr>
          <w:sz w:val="20"/>
          <w:szCs w:val="20"/>
          <w:color w:val="auto"/>
        </w:rPr>
      </w:pPr>
    </w:p>
    <w:p>
      <w:pPr>
        <w:ind w:right="100" w:firstLine="385"/>
        <w:spacing w:after="0" w:line="266" w:lineRule="auto"/>
        <w:rPr>
          <w:sz w:val="20"/>
          <w:szCs w:val="20"/>
          <w:color w:val="auto"/>
        </w:rPr>
      </w:pPr>
      <w:r>
        <w:rPr>
          <w:rFonts w:ascii="Arial" w:cs="Arial" w:eastAsia="Arial" w:hAnsi="Arial"/>
          <w:sz w:val="16"/>
          <w:szCs w:val="16"/>
          <w:color w:val="auto"/>
        </w:rPr>
        <w:t xml:space="preserve">16.22 </w:t>
      </w:r>
      <w:r>
        <w:rPr>
          <w:rFonts w:ascii="Arial" w:cs="Arial" w:eastAsia="Arial" w:hAnsi="Arial"/>
          <w:sz w:val="16"/>
          <w:szCs w:val="16"/>
          <w:u w:val="single" w:color="auto"/>
          <w:color w:val="auto"/>
        </w:rPr>
        <w:t>Conflict</w:t>
      </w:r>
      <w:r>
        <w:rPr>
          <w:rFonts w:ascii="Arial" w:cs="Arial" w:eastAsia="Arial" w:hAnsi="Arial"/>
          <w:sz w:val="16"/>
          <w:szCs w:val="16"/>
          <w:color w:val="auto"/>
        </w:rPr>
        <w:t>. Any conflict between the printed provisions of this Lease and the typewritten or handwritten provisions shall be controlled by the typewritten or handwritten provisions.</w:t>
      </w:r>
    </w:p>
    <w:p>
      <w:pPr>
        <w:spacing w:after="0" w:line="158" w:lineRule="exact"/>
        <w:rPr>
          <w:sz w:val="20"/>
          <w:szCs w:val="20"/>
          <w:color w:val="auto"/>
        </w:rPr>
      </w:pPr>
    </w:p>
    <w:p>
      <w:pPr>
        <w:ind w:right="280" w:firstLine="385"/>
        <w:spacing w:after="0" w:line="383" w:lineRule="auto"/>
        <w:rPr>
          <w:sz w:val="20"/>
          <w:szCs w:val="20"/>
          <w:color w:val="auto"/>
        </w:rPr>
      </w:pPr>
      <w:r>
        <w:rPr>
          <w:rFonts w:ascii="Arial" w:cs="Arial" w:eastAsia="Arial" w:hAnsi="Arial"/>
          <w:sz w:val="13"/>
          <w:szCs w:val="13"/>
          <w:color w:val="auto"/>
        </w:rPr>
        <w:t xml:space="preserve">16.23 </w:t>
      </w:r>
      <w:r>
        <w:rPr>
          <w:rFonts w:ascii="Arial" w:cs="Arial" w:eastAsia="Arial" w:hAnsi="Arial"/>
          <w:sz w:val="13"/>
          <w:szCs w:val="13"/>
          <w:u w:val="single" w:color="auto"/>
          <w:color w:val="auto"/>
        </w:rPr>
        <w:t>Offer</w:t>
      </w:r>
      <w:r>
        <w:rPr>
          <w:rFonts w:ascii="Arial" w:cs="Arial" w:eastAsia="Arial" w:hAnsi="Arial"/>
          <w:sz w:val="13"/>
          <w:szCs w:val="13"/>
          <w:color w:val="auto"/>
        </w:rPr>
        <w:t>. Preparation of this Lease by either Landlord or Tenant or Landlord’s agent or Tenant’s agent and submission of same to Tenant or Landlord shall not be deemed an offer to lease. This Lease is not intended to be binding until executed and delivered by all Parties hereto.</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16.24 </w:t>
      </w:r>
      <w:r>
        <w:rPr>
          <w:rFonts w:ascii="Arial" w:cs="Arial" w:eastAsia="Arial" w:hAnsi="Arial"/>
          <w:sz w:val="16"/>
          <w:szCs w:val="16"/>
          <w:u w:val="single" w:color="auto"/>
          <w:color w:val="auto"/>
        </w:rPr>
        <w:t>Amendments</w:t>
      </w:r>
      <w:r>
        <w:rPr>
          <w:rFonts w:ascii="Arial" w:cs="Arial" w:eastAsia="Arial" w:hAnsi="Arial"/>
          <w:sz w:val="16"/>
          <w:szCs w:val="16"/>
          <w:color w:val="auto"/>
        </w:rPr>
        <w:t>. This Lease may be modified only in writing, signed by the parties in interest at the time of the modification.</w:t>
      </w:r>
    </w:p>
    <w:p>
      <w:pPr>
        <w:spacing w:after="0" w:line="193" w:lineRule="exact"/>
        <w:rPr>
          <w:sz w:val="20"/>
          <w:szCs w:val="20"/>
          <w:color w:val="auto"/>
        </w:rPr>
      </w:pPr>
    </w:p>
    <w:p>
      <w:pPr>
        <w:ind w:firstLine="385"/>
        <w:spacing w:after="0" w:line="300" w:lineRule="auto"/>
        <w:rPr>
          <w:sz w:val="20"/>
          <w:szCs w:val="20"/>
          <w:color w:val="auto"/>
        </w:rPr>
      </w:pPr>
      <w:r>
        <w:rPr>
          <w:rFonts w:ascii="Arial" w:cs="Arial" w:eastAsia="Arial" w:hAnsi="Arial"/>
          <w:sz w:val="15"/>
          <w:szCs w:val="15"/>
          <w:color w:val="auto"/>
        </w:rPr>
        <w:t xml:space="preserve">16.25 </w:t>
      </w:r>
      <w:r>
        <w:rPr>
          <w:rFonts w:ascii="Arial" w:cs="Arial" w:eastAsia="Arial" w:hAnsi="Arial"/>
          <w:sz w:val="15"/>
          <w:szCs w:val="15"/>
          <w:u w:val="single" w:color="auto"/>
          <w:color w:val="auto"/>
        </w:rPr>
        <w:t>Multiple Parties</w:t>
      </w:r>
      <w:r>
        <w:rPr>
          <w:rFonts w:ascii="Arial" w:cs="Arial" w:eastAsia="Arial" w:hAnsi="Arial"/>
          <w:sz w:val="15"/>
          <w:szCs w:val="15"/>
          <w:color w:val="auto"/>
        </w:rPr>
        <w:t>. Except as otherwise expressly provided herein, if more than one person or entity is named herein as Tenant, the obligations of such persons shall be the joint and several responsibility of all persons or entities named herein as such Tenant.</w:t>
      </w:r>
    </w:p>
    <w:p>
      <w:pPr>
        <w:spacing w:after="0" w:line="135" w:lineRule="exact"/>
        <w:rPr>
          <w:sz w:val="20"/>
          <w:szCs w:val="20"/>
          <w:color w:val="auto"/>
        </w:rPr>
      </w:pPr>
    </w:p>
    <w:p>
      <w:pPr>
        <w:ind w:right="80" w:firstLine="385"/>
        <w:spacing w:after="0" w:line="266" w:lineRule="auto"/>
        <w:rPr>
          <w:sz w:val="20"/>
          <w:szCs w:val="20"/>
          <w:color w:val="auto"/>
        </w:rPr>
      </w:pPr>
      <w:r>
        <w:rPr>
          <w:rFonts w:ascii="Arial" w:cs="Arial" w:eastAsia="Arial" w:hAnsi="Arial"/>
          <w:sz w:val="16"/>
          <w:szCs w:val="16"/>
          <w:color w:val="auto"/>
        </w:rPr>
        <w:t xml:space="preserve">16.26 </w:t>
      </w:r>
      <w:r>
        <w:rPr>
          <w:rFonts w:ascii="Arial" w:cs="Arial" w:eastAsia="Arial" w:hAnsi="Arial"/>
          <w:sz w:val="16"/>
          <w:szCs w:val="16"/>
          <w:u w:val="single" w:color="auto"/>
          <w:color w:val="auto"/>
        </w:rPr>
        <w:t>Authority</w:t>
      </w:r>
      <w:r>
        <w:rPr>
          <w:rFonts w:ascii="Arial" w:cs="Arial" w:eastAsia="Arial" w:hAnsi="Arial"/>
          <w:sz w:val="16"/>
          <w:szCs w:val="16"/>
          <w:color w:val="auto"/>
        </w:rPr>
        <w:t>. Landlord or Tenant warrants and represents that each person signing on behalf of such party is authorized to execute and deliver this Lease and to make it a binding obligation of Landlord or Tenant.</w:t>
      </w:r>
    </w:p>
    <w:p>
      <w:pPr>
        <w:spacing w:after="0" w:line="158" w:lineRule="exact"/>
        <w:rPr>
          <w:sz w:val="20"/>
          <w:szCs w:val="20"/>
          <w:color w:val="auto"/>
        </w:rPr>
      </w:pPr>
    </w:p>
    <w:p>
      <w:pPr>
        <w:ind w:right="220" w:firstLine="385"/>
        <w:spacing w:after="0" w:line="323" w:lineRule="auto"/>
        <w:rPr>
          <w:sz w:val="20"/>
          <w:szCs w:val="20"/>
          <w:color w:val="auto"/>
        </w:rPr>
      </w:pPr>
      <w:r>
        <w:rPr>
          <w:rFonts w:ascii="Arial" w:cs="Arial" w:eastAsia="Arial" w:hAnsi="Arial"/>
          <w:sz w:val="13"/>
          <w:szCs w:val="13"/>
          <w:color w:val="auto"/>
        </w:rPr>
        <w:t xml:space="preserve">16.27 </w:t>
      </w:r>
      <w:r>
        <w:rPr>
          <w:rFonts w:ascii="Arial" w:cs="Arial" w:eastAsia="Arial" w:hAnsi="Arial"/>
          <w:sz w:val="13"/>
          <w:szCs w:val="13"/>
          <w:u w:val="single" w:color="auto"/>
          <w:color w:val="auto"/>
        </w:rPr>
        <w:t>Broker’s Fees</w:t>
      </w:r>
      <w:r>
        <w:rPr>
          <w:rFonts w:ascii="Arial" w:cs="Arial" w:eastAsia="Arial" w:hAnsi="Arial"/>
          <w:sz w:val="13"/>
          <w:szCs w:val="13"/>
          <w:color w:val="auto"/>
        </w:rPr>
        <w:t>. Except for Colliers International, who represents Landlord, and Newmark, who represents Tenant, who shall be paid by separate agreement with Landlord, Tenant represents and warrants that it has dealt with no broker, agent or other person in connection with this transaction and that no broker, agent or other person brought about this transaction and Tenant shall indemnify, defend, protect and hold Landlord harmless from and against any claims, losses, liabilities, demands, costs, expenses or causes of action by any broker, agent or other person claiming a commission or other form of compensation by virtue of having dealt with Tenant with regard to this leasing transaction.</w:t>
      </w:r>
    </w:p>
    <w:p>
      <w:pPr>
        <w:spacing w:after="0" w:line="126" w:lineRule="exact"/>
        <w:rPr>
          <w:sz w:val="20"/>
          <w:szCs w:val="20"/>
          <w:color w:val="auto"/>
        </w:rPr>
      </w:pPr>
    </w:p>
    <w:p>
      <w:pPr>
        <w:ind w:right="60" w:firstLine="385"/>
        <w:spacing w:after="0" w:line="300" w:lineRule="auto"/>
        <w:rPr>
          <w:sz w:val="20"/>
          <w:szCs w:val="20"/>
          <w:color w:val="auto"/>
        </w:rPr>
      </w:pPr>
      <w:r>
        <w:rPr>
          <w:rFonts w:ascii="Arial" w:cs="Arial" w:eastAsia="Arial" w:hAnsi="Arial"/>
          <w:sz w:val="15"/>
          <w:szCs w:val="15"/>
          <w:color w:val="auto"/>
        </w:rPr>
        <w:t xml:space="preserve">16.28 </w:t>
      </w:r>
      <w:r>
        <w:rPr>
          <w:rFonts w:ascii="Arial" w:cs="Arial" w:eastAsia="Arial" w:hAnsi="Arial"/>
          <w:sz w:val="15"/>
          <w:szCs w:val="15"/>
          <w:u w:val="single" w:color="auto"/>
          <w:color w:val="auto"/>
        </w:rPr>
        <w:t>No Partnership</w:t>
      </w:r>
      <w:r>
        <w:rPr>
          <w:rFonts w:ascii="Arial" w:cs="Arial" w:eastAsia="Arial" w:hAnsi="Arial"/>
          <w:sz w:val="15"/>
          <w:szCs w:val="15"/>
          <w:color w:val="auto"/>
        </w:rPr>
        <w:t>. Nothing in this Lease creates any relationship between the parties other than that of landlord and tenant, and nothing in this Lease constitutes the Landlord a partner of Tenant or a joint venturer or member of a common enterprise with Tenant.</w:t>
      </w:r>
    </w:p>
    <w:p>
      <w:pPr>
        <w:spacing w:after="0" w:line="135" w:lineRule="exact"/>
        <w:rPr>
          <w:sz w:val="20"/>
          <w:szCs w:val="20"/>
          <w:color w:val="auto"/>
        </w:rPr>
      </w:pPr>
    </w:p>
    <w:p>
      <w:pPr>
        <w:ind w:right="260" w:firstLine="385"/>
        <w:spacing w:after="0" w:line="266" w:lineRule="auto"/>
        <w:rPr>
          <w:sz w:val="20"/>
          <w:szCs w:val="20"/>
          <w:color w:val="auto"/>
        </w:rPr>
      </w:pPr>
      <w:r>
        <w:rPr>
          <w:rFonts w:ascii="Arial" w:cs="Arial" w:eastAsia="Arial" w:hAnsi="Arial"/>
          <w:sz w:val="16"/>
          <w:szCs w:val="16"/>
          <w:color w:val="auto"/>
        </w:rPr>
        <w:t xml:space="preserve">16.29 </w:t>
      </w:r>
      <w:r>
        <w:rPr>
          <w:rFonts w:ascii="Arial" w:cs="Arial" w:eastAsia="Arial" w:hAnsi="Arial"/>
          <w:sz w:val="16"/>
          <w:szCs w:val="16"/>
          <w:u w:val="single" w:color="auto"/>
          <w:color w:val="auto"/>
        </w:rPr>
        <w:t>Lease Captions</w:t>
      </w:r>
      <w:r>
        <w:rPr>
          <w:rFonts w:ascii="Arial" w:cs="Arial" w:eastAsia="Arial" w:hAnsi="Arial"/>
          <w:sz w:val="16"/>
          <w:szCs w:val="16"/>
          <w:color w:val="auto"/>
        </w:rPr>
        <w:t>. The captions of this Lease are for convenience only and are not a part of this Lease, and do not in any way define, limit, describe, or amplify the terms or provisions of this Lease or the scope or intent thereof.</w:t>
      </w:r>
    </w:p>
    <w:p>
      <w:pPr>
        <w:spacing w:after="0" w:line="158" w:lineRule="exact"/>
        <w:rPr>
          <w:sz w:val="20"/>
          <w:szCs w:val="20"/>
          <w:color w:val="auto"/>
        </w:rPr>
      </w:pPr>
    </w:p>
    <w:p>
      <w:pPr>
        <w:jc w:val="both"/>
        <w:ind w:right="20" w:firstLine="385"/>
        <w:spacing w:after="0" w:line="256" w:lineRule="auto"/>
        <w:rPr>
          <w:sz w:val="20"/>
          <w:szCs w:val="20"/>
          <w:color w:val="auto"/>
        </w:rPr>
      </w:pPr>
      <w:r>
        <w:rPr>
          <w:rFonts w:ascii="Arial" w:cs="Arial" w:eastAsia="Arial" w:hAnsi="Arial"/>
          <w:sz w:val="16"/>
          <w:szCs w:val="16"/>
          <w:color w:val="auto"/>
        </w:rPr>
        <w:t xml:space="preserve">16.30 </w:t>
      </w:r>
      <w:r>
        <w:rPr>
          <w:rFonts w:ascii="Arial" w:cs="Arial" w:eastAsia="Arial" w:hAnsi="Arial"/>
          <w:sz w:val="16"/>
          <w:szCs w:val="16"/>
          <w:u w:val="single" w:color="auto"/>
          <w:color w:val="auto"/>
        </w:rPr>
        <w:t>Counterparts and Electronic Signatures</w:t>
      </w:r>
      <w:r>
        <w:rPr>
          <w:rFonts w:ascii="Arial" w:cs="Arial" w:eastAsia="Arial" w:hAnsi="Arial"/>
          <w:sz w:val="16"/>
          <w:szCs w:val="16"/>
          <w:color w:val="auto"/>
        </w:rPr>
        <w:t>. This Lease may be executed in multiple counterparts, each of which shall constitute an original, but all of which taken together shall constitute one and the same agreement. Electronic signatures by PDF via email or facsimile shall be treated as originals for all purposes.</w:t>
      </w:r>
    </w:p>
    <w:p>
      <w:pPr>
        <w:spacing w:after="0" w:line="166" w:lineRule="exact"/>
        <w:rPr>
          <w:sz w:val="20"/>
          <w:szCs w:val="20"/>
          <w:color w:val="auto"/>
        </w:rPr>
      </w:pPr>
    </w:p>
    <w:p>
      <w:pPr>
        <w:jc w:val="both"/>
        <w:ind w:right="280" w:firstLine="385"/>
        <w:spacing w:after="0" w:line="256" w:lineRule="auto"/>
        <w:rPr>
          <w:sz w:val="20"/>
          <w:szCs w:val="20"/>
          <w:color w:val="auto"/>
        </w:rPr>
      </w:pPr>
      <w:r>
        <w:rPr>
          <w:rFonts w:ascii="Arial" w:cs="Arial" w:eastAsia="Arial" w:hAnsi="Arial"/>
          <w:sz w:val="16"/>
          <w:szCs w:val="16"/>
          <w:color w:val="auto"/>
        </w:rPr>
        <w:t xml:space="preserve">16.31 </w:t>
      </w: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acknowledge that this Lease is the result of negotiations between the parties, and in construing any ambiguity hereunder no presumption shall be made in favor of either party. No inference shall be made from any item, which has been stricken from this Lease other than the deletion of such item.</w:t>
      </w:r>
    </w:p>
    <w:p>
      <w:pPr>
        <w:spacing w:after="0" w:line="166" w:lineRule="exact"/>
        <w:rPr>
          <w:sz w:val="20"/>
          <w:szCs w:val="20"/>
          <w:color w:val="auto"/>
        </w:rPr>
      </w:pPr>
    </w:p>
    <w:p>
      <w:pPr>
        <w:ind w:right="360" w:firstLine="385"/>
        <w:spacing w:after="0" w:line="266" w:lineRule="auto"/>
        <w:rPr>
          <w:sz w:val="20"/>
          <w:szCs w:val="20"/>
          <w:color w:val="auto"/>
        </w:rPr>
      </w:pPr>
      <w:r>
        <w:rPr>
          <w:rFonts w:ascii="Arial" w:cs="Arial" w:eastAsia="Arial" w:hAnsi="Arial"/>
          <w:sz w:val="16"/>
          <w:szCs w:val="16"/>
          <w:color w:val="auto"/>
        </w:rPr>
        <w:t xml:space="preserve">16.32 </w:t>
      </w:r>
      <w:r>
        <w:rPr>
          <w:rFonts w:ascii="Arial" w:cs="Arial" w:eastAsia="Arial" w:hAnsi="Arial"/>
          <w:sz w:val="16"/>
          <w:szCs w:val="16"/>
          <w:u w:val="single" w:color="auto"/>
          <w:color w:val="auto"/>
        </w:rPr>
        <w:t>Recording</w:t>
      </w:r>
      <w:r>
        <w:rPr>
          <w:rFonts w:ascii="Arial" w:cs="Arial" w:eastAsia="Arial" w:hAnsi="Arial"/>
          <w:sz w:val="16"/>
          <w:szCs w:val="16"/>
          <w:color w:val="auto"/>
        </w:rPr>
        <w:t>. Neither Tenant nor anyone claiming under Tenant shall record this Lease or any memorandum hereof in any public records without the prior written consent of Landlord.</w:t>
      </w:r>
    </w:p>
    <w:p>
      <w:pPr>
        <w:spacing w:after="0" w:line="158" w:lineRule="exact"/>
        <w:rPr>
          <w:sz w:val="20"/>
          <w:szCs w:val="20"/>
          <w:color w:val="auto"/>
        </w:rPr>
      </w:pPr>
    </w:p>
    <w:p>
      <w:pPr>
        <w:ind w:right="240" w:firstLine="385"/>
        <w:spacing w:after="0" w:line="272" w:lineRule="auto"/>
        <w:rPr>
          <w:sz w:val="20"/>
          <w:szCs w:val="20"/>
          <w:color w:val="auto"/>
        </w:rPr>
      </w:pPr>
      <w:r>
        <w:rPr>
          <w:rFonts w:ascii="Arial" w:cs="Arial" w:eastAsia="Arial" w:hAnsi="Arial"/>
          <w:sz w:val="15"/>
          <w:szCs w:val="15"/>
          <w:color w:val="auto"/>
        </w:rPr>
        <w:t xml:space="preserve">16.33 </w:t>
      </w:r>
      <w:r>
        <w:rPr>
          <w:rFonts w:ascii="Arial" w:cs="Arial" w:eastAsia="Arial" w:hAnsi="Arial"/>
          <w:sz w:val="15"/>
          <w:szCs w:val="15"/>
          <w:u w:val="single" w:color="auto"/>
          <w:color w:val="auto"/>
        </w:rPr>
        <w:t>Force Majeure</w:t>
      </w:r>
      <w:r>
        <w:rPr>
          <w:rFonts w:ascii="Arial" w:cs="Arial" w:eastAsia="Arial" w:hAnsi="Arial"/>
          <w:sz w:val="15"/>
          <w:szCs w:val="15"/>
          <w:color w:val="auto"/>
        </w:rPr>
        <w:t>. Whenever a period of time is herein prescribed for the taking of any action by Landlord or Tenant, as the case may be, Landlord or Tenant, as applicable, shall not be liable or responsible for, and there shall be excluded from the computation of such period of time, any delays due to strikes, riots, acts of God, shortages of labor or materials, war, Applicable Requirements, or any other cause whatsoever completely beyond the control of Landlord or Tenant, as applicable. The foregoing provisions of this Paragraph are inapplicable to any payments of money due under this Lease and shall not affect Tenant’s rights under Paragraphs 3.2 and 9.1 above.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16.34 </w:t>
      </w:r>
      <w:r>
        <w:rPr>
          <w:rFonts w:ascii="Arial" w:cs="Arial" w:eastAsia="Arial" w:hAnsi="Arial"/>
          <w:sz w:val="16"/>
          <w:szCs w:val="16"/>
          <w:u w:val="single" w:color="auto"/>
          <w:color w:val="auto"/>
        </w:rPr>
        <w:t>Patriot Act</w:t>
      </w:r>
      <w:r>
        <w:rPr>
          <w:rFonts w:ascii="Arial" w:cs="Arial" w:eastAsia="Arial" w:hAnsi="Arial"/>
          <w:sz w:val="16"/>
          <w:szCs w:val="16"/>
          <w:color w:val="auto"/>
        </w:rPr>
        <w:t>.</w:t>
      </w:r>
    </w:p>
    <w:p>
      <w:pPr>
        <w:spacing w:after="0" w:line="193" w:lineRule="exact"/>
        <w:rPr>
          <w:sz w:val="20"/>
          <w:szCs w:val="20"/>
          <w:color w:val="auto"/>
        </w:rPr>
      </w:pPr>
    </w:p>
    <w:p>
      <w:pPr>
        <w:ind w:right="20" w:firstLine="860"/>
        <w:spacing w:after="0" w:line="307" w:lineRule="auto"/>
        <w:tabs>
          <w:tab w:leader="none" w:pos="1079" w:val="left"/>
        </w:tabs>
        <w:numPr>
          <w:ilvl w:val="0"/>
          <w:numId w:val="542"/>
        </w:numPr>
        <w:rPr>
          <w:rFonts w:ascii="Arial" w:cs="Arial" w:eastAsia="Arial" w:hAnsi="Arial"/>
          <w:sz w:val="13"/>
          <w:szCs w:val="13"/>
          <w:color w:val="auto"/>
        </w:rPr>
      </w:pPr>
      <w:r>
        <w:rPr>
          <w:rFonts w:ascii="Arial" w:cs="Arial" w:eastAsia="Arial" w:hAnsi="Arial"/>
          <w:sz w:val="13"/>
          <w:szCs w:val="13"/>
          <w:color w:val="auto"/>
        </w:rPr>
        <w:t>Tenant represents and warrants that, to its current actual knowledge, neither Tenant nor its affiliates are in violation of any laws relating to terrorism or money laundering, including Executive Order No. 13224 on Terrorist Financing, effective September 24, 2001 and relating to Blocking Property and Prohibiting Transactions With Persons Who Commit, Threaten to Commit, or Support Terrorism (the ”Executive Order”) and/or the Uniting and Strengthening America by Providing Appropriate Tools Required to Intercept and Obstruct Terrorism Act of 2001 (Public La 107-56,</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the ”Patriot Act”).</w:t>
      </w:r>
    </w:p>
    <w:p>
      <w:pPr>
        <w:sectPr>
          <w:pgSz w:w="11900" w:h="16838" w:orient="portrait"/>
          <w:cols w:equalWidth="0" w:num="1">
            <w:col w:w="9600"/>
          </w:cols>
          <w:pgMar w:left="1140" w:top="256" w:right="1159" w:bottom="1440" w:gutter="0" w:footer="0" w:header="0"/>
        </w:sectPr>
      </w:pPr>
    </w:p>
    <w:bookmarkStart w:id="703" w:name="page704"/>
    <w:bookmarkEnd w:id="703"/>
    <w:p>
      <w:pPr>
        <w:ind w:left="6" w:right="440" w:firstLine="860"/>
        <w:spacing w:after="0" w:line="266" w:lineRule="auto"/>
        <w:tabs>
          <w:tab w:leader="none" w:pos="1094" w:val="left"/>
        </w:tabs>
        <w:numPr>
          <w:ilvl w:val="1"/>
          <w:numId w:val="5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represents and warrants that, to Tenant’s current actual knowledge, neither Tenant nor any of its affiliates is a “Prohibited Person” which is defined as follows:</w:t>
      </w:r>
    </w:p>
    <w:p>
      <w:pPr>
        <w:spacing w:after="0" w:line="158" w:lineRule="exact"/>
        <w:rPr>
          <w:rFonts w:ascii="Arial" w:cs="Arial" w:eastAsia="Arial" w:hAnsi="Arial"/>
          <w:sz w:val="16"/>
          <w:szCs w:val="16"/>
          <w:color w:val="auto"/>
        </w:rPr>
      </w:pPr>
    </w:p>
    <w:p>
      <w:pPr>
        <w:ind w:left="1446" w:hanging="196"/>
        <w:spacing w:after="0"/>
        <w:tabs>
          <w:tab w:leader="none" w:pos="1446" w:val="left"/>
        </w:tabs>
        <w:numPr>
          <w:ilvl w:val="2"/>
          <w:numId w:val="543"/>
        </w:numPr>
        <w:rPr>
          <w:rFonts w:ascii="Arial" w:cs="Arial" w:eastAsia="Arial" w:hAnsi="Arial"/>
          <w:sz w:val="16"/>
          <w:szCs w:val="16"/>
          <w:color w:val="auto"/>
        </w:rPr>
      </w:pPr>
      <w:r>
        <w:rPr>
          <w:rFonts w:ascii="Arial" w:cs="Arial" w:eastAsia="Arial" w:hAnsi="Arial"/>
          <w:sz w:val="16"/>
          <w:szCs w:val="16"/>
          <w:color w:val="auto"/>
        </w:rPr>
        <w:t>a person or entity that is listed in the Annex to, or is otherwise subject to the provisions of, the Executive Order;</w:t>
      </w:r>
    </w:p>
    <w:p>
      <w:pPr>
        <w:spacing w:after="0" w:line="193" w:lineRule="exact"/>
        <w:rPr>
          <w:rFonts w:ascii="Arial" w:cs="Arial" w:eastAsia="Arial" w:hAnsi="Arial"/>
          <w:sz w:val="16"/>
          <w:szCs w:val="16"/>
          <w:color w:val="auto"/>
        </w:rPr>
      </w:pPr>
    </w:p>
    <w:p>
      <w:pPr>
        <w:ind w:left="6" w:right="220" w:firstLine="1244"/>
        <w:spacing w:after="0" w:line="266" w:lineRule="auto"/>
        <w:tabs>
          <w:tab w:leader="none" w:pos="1488" w:val="left"/>
        </w:tabs>
        <w:numPr>
          <w:ilvl w:val="2"/>
          <w:numId w:val="543"/>
        </w:numPr>
        <w:rPr>
          <w:rFonts w:ascii="Arial" w:cs="Arial" w:eastAsia="Arial" w:hAnsi="Arial"/>
          <w:sz w:val="16"/>
          <w:szCs w:val="16"/>
          <w:color w:val="auto"/>
        </w:rPr>
      </w:pPr>
      <w:r>
        <w:rPr>
          <w:rFonts w:ascii="Arial" w:cs="Arial" w:eastAsia="Arial" w:hAnsi="Arial"/>
          <w:sz w:val="16"/>
          <w:szCs w:val="16"/>
          <w:color w:val="auto"/>
        </w:rPr>
        <w:t>a person or entity owned or controlled by, or acting for or on behalf of, any person or entity that is listed in the Annex to, or is otherwise subject to the provisions of, the Executive Order;</w:t>
      </w:r>
    </w:p>
    <w:p>
      <w:pPr>
        <w:spacing w:after="0" w:line="158" w:lineRule="exact"/>
        <w:rPr>
          <w:rFonts w:ascii="Arial" w:cs="Arial" w:eastAsia="Arial" w:hAnsi="Arial"/>
          <w:sz w:val="16"/>
          <w:szCs w:val="16"/>
          <w:color w:val="auto"/>
        </w:rPr>
      </w:pPr>
    </w:p>
    <w:p>
      <w:pPr>
        <w:ind w:left="6" w:right="100" w:firstLine="1244"/>
        <w:spacing w:after="0" w:line="266" w:lineRule="auto"/>
        <w:tabs>
          <w:tab w:leader="none" w:pos="1532" w:val="left"/>
        </w:tabs>
        <w:numPr>
          <w:ilvl w:val="2"/>
          <w:numId w:val="543"/>
        </w:numPr>
        <w:rPr>
          <w:rFonts w:ascii="Arial" w:cs="Arial" w:eastAsia="Arial" w:hAnsi="Arial"/>
          <w:sz w:val="16"/>
          <w:szCs w:val="16"/>
          <w:color w:val="auto"/>
        </w:rPr>
      </w:pPr>
      <w:r>
        <w:rPr>
          <w:rFonts w:ascii="Arial" w:cs="Arial" w:eastAsia="Arial" w:hAnsi="Arial"/>
          <w:sz w:val="16"/>
          <w:szCs w:val="16"/>
          <w:color w:val="auto"/>
        </w:rPr>
        <w:t>a person or entity with whom Landlord is prohibited from dealing or otherwise engaging in any transaction by any terrorism or money laundering laws or regulations, including the Executive Order and the Patriot Act;</w:t>
      </w:r>
    </w:p>
    <w:p>
      <w:pPr>
        <w:spacing w:after="0" w:line="158" w:lineRule="exact"/>
        <w:rPr>
          <w:rFonts w:ascii="Arial" w:cs="Arial" w:eastAsia="Arial" w:hAnsi="Arial"/>
          <w:sz w:val="16"/>
          <w:szCs w:val="16"/>
          <w:color w:val="auto"/>
        </w:rPr>
      </w:pPr>
    </w:p>
    <w:p>
      <w:pPr>
        <w:ind w:left="1526" w:hanging="276"/>
        <w:spacing w:after="0"/>
        <w:tabs>
          <w:tab w:leader="none" w:pos="1526" w:val="left"/>
        </w:tabs>
        <w:numPr>
          <w:ilvl w:val="2"/>
          <w:numId w:val="543"/>
        </w:numPr>
        <w:rPr>
          <w:rFonts w:ascii="Arial" w:cs="Arial" w:eastAsia="Arial" w:hAnsi="Arial"/>
          <w:sz w:val="13"/>
          <w:szCs w:val="13"/>
          <w:color w:val="auto"/>
        </w:rPr>
      </w:pPr>
      <w:r>
        <w:rPr>
          <w:rFonts w:ascii="Arial" w:cs="Arial" w:eastAsia="Arial" w:hAnsi="Arial"/>
          <w:sz w:val="13"/>
          <w:szCs w:val="13"/>
          <w:color w:val="auto"/>
        </w:rPr>
        <w:t>a person or entity who commits, threatens or conspires to commit or supports “terrorism” as defined in the Executive Order;</w:t>
      </w:r>
    </w:p>
    <w:p>
      <w:pPr>
        <w:spacing w:after="0" w:line="227" w:lineRule="exact"/>
        <w:rPr>
          <w:rFonts w:ascii="Arial" w:cs="Arial" w:eastAsia="Arial" w:hAnsi="Arial"/>
          <w:sz w:val="13"/>
          <w:szCs w:val="13"/>
          <w:color w:val="auto"/>
        </w:rPr>
      </w:pPr>
    </w:p>
    <w:p>
      <w:pPr>
        <w:jc w:val="both"/>
        <w:ind w:left="6" w:right="60" w:firstLine="1244"/>
        <w:spacing w:after="0" w:line="256" w:lineRule="auto"/>
        <w:tabs>
          <w:tab w:leader="none" w:pos="1479" w:val="left"/>
        </w:tabs>
        <w:numPr>
          <w:ilvl w:val="2"/>
          <w:numId w:val="543"/>
        </w:numPr>
        <w:rPr>
          <w:rFonts w:ascii="Arial" w:cs="Arial" w:eastAsia="Arial" w:hAnsi="Arial"/>
          <w:sz w:val="16"/>
          <w:szCs w:val="16"/>
          <w:color w:val="auto"/>
        </w:rPr>
      </w:pPr>
      <w:r>
        <w:rPr>
          <w:rFonts w:ascii="Arial" w:cs="Arial" w:eastAsia="Arial" w:hAnsi="Arial"/>
          <w:sz w:val="16"/>
          <w:szCs w:val="16"/>
          <w:color w:val="auto"/>
        </w:rPr>
        <w:t>a person or entity that is named as a “specially designated national and blocked person” on the most current list published by the U.S. Treasury Department Office of Foreign Assets Control at its official website, http://www.treas.gov/ofac/tllsdn.pdf or at any replacement website or other replacement official publication of such list; and</w:t>
      </w:r>
    </w:p>
    <w:p>
      <w:pPr>
        <w:spacing w:after="0" w:line="165" w:lineRule="exact"/>
        <w:rPr>
          <w:rFonts w:ascii="Arial" w:cs="Arial" w:eastAsia="Arial" w:hAnsi="Arial"/>
          <w:sz w:val="16"/>
          <w:szCs w:val="16"/>
          <w:color w:val="auto"/>
        </w:rPr>
      </w:pPr>
    </w:p>
    <w:p>
      <w:pPr>
        <w:ind w:left="1526" w:hanging="276"/>
        <w:spacing w:after="0"/>
        <w:tabs>
          <w:tab w:leader="none" w:pos="1526" w:val="left"/>
        </w:tabs>
        <w:numPr>
          <w:ilvl w:val="2"/>
          <w:numId w:val="543"/>
        </w:numPr>
        <w:rPr>
          <w:rFonts w:ascii="Arial" w:cs="Arial" w:eastAsia="Arial" w:hAnsi="Arial"/>
          <w:sz w:val="16"/>
          <w:szCs w:val="16"/>
          <w:color w:val="auto"/>
        </w:rPr>
      </w:pPr>
      <w:r>
        <w:rPr>
          <w:rFonts w:ascii="Arial" w:cs="Arial" w:eastAsia="Arial" w:hAnsi="Arial"/>
          <w:sz w:val="16"/>
          <w:szCs w:val="16"/>
          <w:color w:val="auto"/>
        </w:rPr>
        <w:t>a person or entity who is affiliated with a person or entity listed above.</w:t>
      </w:r>
    </w:p>
    <w:p>
      <w:pPr>
        <w:spacing w:after="0" w:line="193" w:lineRule="exact"/>
        <w:rPr>
          <w:rFonts w:ascii="Arial" w:cs="Arial" w:eastAsia="Arial" w:hAnsi="Arial"/>
          <w:sz w:val="16"/>
          <w:szCs w:val="16"/>
          <w:color w:val="auto"/>
        </w:rPr>
      </w:pPr>
    </w:p>
    <w:p>
      <w:pPr>
        <w:jc w:val="both"/>
        <w:ind w:left="6" w:firstLine="860"/>
        <w:spacing w:after="0" w:line="308" w:lineRule="auto"/>
        <w:tabs>
          <w:tab w:leader="none" w:pos="1086" w:val="left"/>
        </w:tabs>
        <w:numPr>
          <w:ilvl w:val="1"/>
          <w:numId w:val="543"/>
        </w:numPr>
        <w:rPr>
          <w:rFonts w:ascii="Arial" w:cs="Arial" w:eastAsia="Arial" w:hAnsi="Arial"/>
          <w:sz w:val="13"/>
          <w:szCs w:val="13"/>
          <w:color w:val="auto"/>
        </w:rPr>
      </w:pPr>
      <w:r>
        <w:rPr>
          <w:rFonts w:ascii="Arial" w:cs="Arial" w:eastAsia="Arial" w:hAnsi="Arial"/>
          <w:sz w:val="13"/>
          <w:szCs w:val="13"/>
          <w:color w:val="auto"/>
        </w:rPr>
        <w:t>Tenant represents and warrants that neither Tenant nor any of its affiliates will: (i) conduct any business or engage in any transaction or dealing with any Prohibited Person, including the making or receiving any contribution of funds, goods or services to or for the benefit of any Prohibited Person, (ii) deal in or otherwise engage in any transaction relating to, any property or interests in property blocked pursuant to the Executive Order; or</w:t>
      </w:r>
    </w:p>
    <w:p>
      <w:pPr>
        <w:spacing w:after="0" w:line="1" w:lineRule="exact"/>
        <w:rPr>
          <w:rFonts w:ascii="Arial" w:cs="Arial" w:eastAsia="Arial" w:hAnsi="Arial"/>
          <w:sz w:val="13"/>
          <w:szCs w:val="13"/>
          <w:color w:val="auto"/>
        </w:rPr>
      </w:pPr>
    </w:p>
    <w:p>
      <w:pPr>
        <w:ind w:left="6" w:right="20" w:hanging="6"/>
        <w:spacing w:after="0" w:line="252" w:lineRule="auto"/>
        <w:tabs>
          <w:tab w:leader="none" w:pos="281" w:val="left"/>
        </w:tabs>
        <w:numPr>
          <w:ilvl w:val="0"/>
          <w:numId w:val="544"/>
        </w:numPr>
        <w:rPr>
          <w:rFonts w:ascii="Arial" w:cs="Arial" w:eastAsia="Arial" w:hAnsi="Arial"/>
          <w:sz w:val="16"/>
          <w:szCs w:val="16"/>
          <w:color w:val="auto"/>
        </w:rPr>
      </w:pPr>
      <w:r>
        <w:rPr>
          <w:rFonts w:ascii="Arial" w:cs="Arial" w:eastAsia="Arial" w:hAnsi="Arial"/>
          <w:sz w:val="16"/>
          <w:szCs w:val="16"/>
          <w:color w:val="auto"/>
        </w:rPr>
        <w:t>engage in or conspire to engage in any transaction that evades or avoids, or has the purpose of evading or avoiding, or attempts to violate, any of the prohibitions set forth in the Executive Order or the Patriot Act.</w:t>
      </w:r>
    </w:p>
    <w:p>
      <w:pPr>
        <w:spacing w:after="0" w:line="168" w:lineRule="exact"/>
        <w:rPr>
          <w:rFonts w:ascii="Arial" w:cs="Arial" w:eastAsia="Arial" w:hAnsi="Arial"/>
          <w:sz w:val="16"/>
          <w:szCs w:val="16"/>
          <w:color w:val="auto"/>
        </w:rPr>
      </w:pPr>
    </w:p>
    <w:p>
      <w:pPr>
        <w:ind w:left="6" w:right="360" w:firstLine="860"/>
        <w:spacing w:after="0" w:line="256" w:lineRule="auto"/>
        <w:tabs>
          <w:tab w:leader="none" w:pos="1094" w:val="left"/>
        </w:tabs>
        <w:numPr>
          <w:ilvl w:val="1"/>
          <w:numId w:val="544"/>
        </w:numPr>
        <w:rPr>
          <w:rFonts w:ascii="Arial" w:cs="Arial" w:eastAsia="Arial" w:hAnsi="Arial"/>
          <w:sz w:val="16"/>
          <w:szCs w:val="16"/>
          <w:color w:val="auto"/>
        </w:rPr>
      </w:pPr>
      <w:r>
        <w:rPr>
          <w:rFonts w:ascii="Arial" w:cs="Arial" w:eastAsia="Arial" w:hAnsi="Arial"/>
          <w:sz w:val="16"/>
          <w:szCs w:val="16"/>
          <w:color w:val="auto"/>
        </w:rPr>
        <w:t>Tenant will develop, implement and maintain security and emergency plans for the Premises, which shall be subject to Landlord’s reasonable approval. Reference is made to the BOMA Guide to Security and Emergency Planning (ISBN No. 0-9431-30-28-X) to assist Tenant in developing such plans.</w:t>
      </w:r>
    </w:p>
    <w:p>
      <w:pPr>
        <w:spacing w:after="0" w:line="165" w:lineRule="exact"/>
        <w:rPr>
          <w:rFonts w:ascii="Arial" w:cs="Arial" w:eastAsia="Arial" w:hAnsi="Arial"/>
          <w:sz w:val="16"/>
          <w:szCs w:val="16"/>
          <w:color w:val="auto"/>
        </w:rPr>
      </w:pPr>
    </w:p>
    <w:p>
      <w:pPr>
        <w:ind w:left="1086" w:hanging="220"/>
        <w:spacing w:after="0"/>
        <w:tabs>
          <w:tab w:leader="none" w:pos="1086" w:val="left"/>
        </w:tabs>
        <w:numPr>
          <w:ilvl w:val="1"/>
          <w:numId w:val="544"/>
        </w:numPr>
        <w:rPr>
          <w:rFonts w:ascii="Arial" w:cs="Arial" w:eastAsia="Arial" w:hAnsi="Arial"/>
          <w:sz w:val="16"/>
          <w:szCs w:val="16"/>
          <w:color w:val="auto"/>
        </w:rPr>
      </w:pPr>
      <w:r>
        <w:rPr>
          <w:rFonts w:ascii="Arial" w:cs="Arial" w:eastAsia="Arial" w:hAnsi="Arial"/>
          <w:sz w:val="16"/>
          <w:szCs w:val="16"/>
          <w:color w:val="auto"/>
        </w:rPr>
        <w:t>Intentionally deleted.</w:t>
      </w:r>
    </w:p>
    <w:p>
      <w:pPr>
        <w:spacing w:after="0" w:line="193" w:lineRule="exact"/>
        <w:rPr>
          <w:rFonts w:ascii="Arial" w:cs="Arial" w:eastAsia="Arial" w:hAnsi="Arial"/>
          <w:sz w:val="16"/>
          <w:szCs w:val="16"/>
          <w:color w:val="auto"/>
        </w:rPr>
      </w:pPr>
    </w:p>
    <w:p>
      <w:pPr>
        <w:ind w:left="6" w:right="200" w:firstLine="860"/>
        <w:spacing w:after="0" w:line="266" w:lineRule="auto"/>
        <w:tabs>
          <w:tab w:leader="none" w:pos="1065" w:val="left"/>
        </w:tabs>
        <w:numPr>
          <w:ilvl w:val="1"/>
          <w:numId w:val="544"/>
        </w:numPr>
        <w:rPr>
          <w:rFonts w:ascii="Arial" w:cs="Arial" w:eastAsia="Arial" w:hAnsi="Arial"/>
          <w:sz w:val="16"/>
          <w:szCs w:val="16"/>
          <w:color w:val="auto"/>
        </w:rPr>
      </w:pPr>
      <w:r>
        <w:rPr>
          <w:rFonts w:ascii="Arial" w:cs="Arial" w:eastAsia="Arial" w:hAnsi="Arial"/>
          <w:sz w:val="16"/>
          <w:szCs w:val="16"/>
          <w:color w:val="auto"/>
        </w:rPr>
        <w:t>Tenant covenants and agrees to deliver to Landlord any certification or other evidence requested from time to time by Landlord in its reasonable discretion, confirming Tenant’s compliance with this section.</w:t>
      </w:r>
    </w:p>
    <w:p>
      <w:pPr>
        <w:spacing w:after="0" w:line="158" w:lineRule="exact"/>
        <w:rPr>
          <w:sz w:val="20"/>
          <w:szCs w:val="20"/>
          <w:color w:val="auto"/>
        </w:rPr>
      </w:pPr>
    </w:p>
    <w:p>
      <w:pPr>
        <w:ind w:left="6" w:right="80" w:firstLine="385"/>
        <w:spacing w:after="0" w:line="256" w:lineRule="auto"/>
        <w:rPr>
          <w:sz w:val="20"/>
          <w:szCs w:val="20"/>
          <w:color w:val="auto"/>
        </w:rPr>
      </w:pPr>
      <w:r>
        <w:rPr>
          <w:rFonts w:ascii="Arial" w:cs="Arial" w:eastAsia="Arial" w:hAnsi="Arial"/>
          <w:sz w:val="16"/>
          <w:szCs w:val="16"/>
          <w:color w:val="auto"/>
        </w:rPr>
        <w:t xml:space="preserve">16.35 </w:t>
      </w:r>
      <w:r>
        <w:rPr>
          <w:rFonts w:ascii="Arial" w:cs="Arial" w:eastAsia="Arial" w:hAnsi="Arial"/>
          <w:sz w:val="16"/>
          <w:szCs w:val="16"/>
          <w:u w:val="single" w:color="auto"/>
          <w:color w:val="auto"/>
        </w:rPr>
        <w:t>Approvals</w:t>
      </w:r>
      <w:r>
        <w:rPr>
          <w:rFonts w:ascii="Arial" w:cs="Arial" w:eastAsia="Arial" w:hAnsi="Arial"/>
          <w:sz w:val="16"/>
          <w:szCs w:val="16"/>
          <w:color w:val="auto"/>
        </w:rPr>
        <w:t>. Whenever this Lease requires an approval, consent, determination or judgment by either Landlord or Tenant, unless another standard is expressly set forth, such approval, consent, determination or judgment and any conditions imposed thereby shall be reasonable and shall not be unreasonably withheld or delayed.</w:t>
      </w:r>
    </w:p>
    <w:p>
      <w:pPr>
        <w:spacing w:after="0" w:line="25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[signatures on following page]</w:t>
      </w:r>
    </w:p>
    <w:p>
      <w:pPr>
        <w:sectPr>
          <w:pgSz w:w="11900" w:h="16838" w:orient="portrait"/>
          <w:cols w:equalWidth="0" w:num="1">
            <w:col w:w="9606"/>
          </w:cols>
          <w:pgMar w:left="1134" w:top="256" w:right="1159" w:bottom="1440" w:gutter="0" w:footer="0" w:header="0"/>
        </w:sectPr>
      </w:pPr>
    </w:p>
    <w:bookmarkStart w:id="704" w:name="page705"/>
    <w:bookmarkEnd w:id="704"/>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hereto have executed this Lease at the place and on the dates specified below their respective signatures.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gridSpan w:val="6"/>
          </w:tcPr>
          <w:p>
            <w:pPr>
              <w:spacing w:after="0"/>
              <w:rPr>
                <w:sz w:val="20"/>
                <w:szCs w:val="20"/>
                <w:color w:val="auto"/>
              </w:rPr>
            </w:pPr>
            <w:r>
              <w:rPr>
                <w:rFonts w:ascii="Arial" w:cs="Arial" w:eastAsia="Arial" w:hAnsi="Arial"/>
                <w:sz w:val="16"/>
                <w:szCs w:val="16"/>
                <w:b w:val="1"/>
                <w:bCs w:val="1"/>
                <w:color w:val="auto"/>
              </w:rPr>
              <w:t>Landlord:</w:t>
            </w:r>
          </w:p>
        </w:tc>
        <w:tc>
          <w:tcPr>
            <w:tcW w:w="600" w:type="dxa"/>
            <w:vAlign w:val="bottom"/>
          </w:tcPr>
          <w:p>
            <w:pPr>
              <w:spacing w:after="0"/>
              <w:rPr>
                <w:sz w:val="16"/>
                <w:szCs w:val="16"/>
                <w:color w:val="auto"/>
              </w:rPr>
            </w:pPr>
          </w:p>
        </w:tc>
        <w:tc>
          <w:tcPr>
            <w:tcW w:w="4520" w:type="dxa"/>
            <w:vAlign w:val="bottom"/>
            <w:gridSpan w:val="5"/>
          </w:tcPr>
          <w:p>
            <w:pPr>
              <w:ind w:left="20"/>
              <w:spacing w:after="0"/>
              <w:rPr>
                <w:sz w:val="20"/>
                <w:szCs w:val="20"/>
                <w:color w:val="auto"/>
              </w:rPr>
            </w:pPr>
            <w:r>
              <w:rPr>
                <w:rFonts w:ascii="Arial" w:cs="Arial" w:eastAsia="Arial" w:hAnsi="Arial"/>
                <w:sz w:val="16"/>
                <w:szCs w:val="16"/>
                <w:b w:val="1"/>
                <w:bCs w:val="1"/>
                <w:color w:val="auto"/>
              </w:rPr>
              <w:t>Tenant:</w:t>
            </w:r>
          </w:p>
        </w:tc>
        <w:tc>
          <w:tcPr>
            <w:tcW w:w="0" w:type="dxa"/>
            <w:vAlign w:val="bottom"/>
          </w:tcPr>
          <w:p>
            <w:pPr>
              <w:spacing w:after="0"/>
              <w:rPr>
                <w:sz w:val="1"/>
                <w:szCs w:val="1"/>
                <w:color w:val="auto"/>
              </w:rPr>
            </w:pPr>
          </w:p>
        </w:tc>
      </w:tr>
      <w:tr>
        <w:trPr>
          <w:trHeight w:val="189"/>
        </w:trPr>
        <w:tc>
          <w:tcPr>
            <w:tcW w:w="4500" w:type="dxa"/>
            <w:vAlign w:val="bottom"/>
            <w:gridSpan w:val="6"/>
          </w:tcPr>
          <w:p>
            <w:pPr>
              <w:spacing w:after="0"/>
              <w:rPr>
                <w:sz w:val="20"/>
                <w:szCs w:val="20"/>
                <w:color w:val="auto"/>
              </w:rPr>
            </w:pPr>
            <w:r>
              <w:rPr>
                <w:rFonts w:ascii="Arial" w:cs="Arial" w:eastAsia="Arial" w:hAnsi="Arial"/>
                <w:sz w:val="16"/>
                <w:szCs w:val="16"/>
                <w:color w:val="auto"/>
              </w:rPr>
              <w:t>Terreno Park Union City LLC</w:t>
            </w:r>
          </w:p>
        </w:tc>
        <w:tc>
          <w:tcPr>
            <w:tcW w:w="600" w:type="dxa"/>
            <w:vAlign w:val="bottom"/>
          </w:tcPr>
          <w:p>
            <w:pPr>
              <w:spacing w:after="0"/>
              <w:rPr>
                <w:sz w:val="16"/>
                <w:szCs w:val="16"/>
                <w:color w:val="auto"/>
              </w:rPr>
            </w:pPr>
          </w:p>
        </w:tc>
        <w:tc>
          <w:tcPr>
            <w:tcW w:w="4520" w:type="dxa"/>
            <w:vAlign w:val="bottom"/>
            <w:gridSpan w:val="5"/>
          </w:tcPr>
          <w:p>
            <w:pPr>
              <w:ind w:left="2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200"/>
        </w:trPr>
        <w:tc>
          <w:tcPr>
            <w:tcW w:w="4500" w:type="dxa"/>
            <w:vAlign w:val="bottom"/>
            <w:gridSpan w:val="6"/>
          </w:tcPr>
          <w:p>
            <w:pPr>
              <w:spacing w:after="0"/>
              <w:rPr>
                <w:sz w:val="20"/>
                <w:szCs w:val="20"/>
                <w:color w:val="auto"/>
              </w:rPr>
            </w:pPr>
            <w:r>
              <w:rPr>
                <w:rFonts w:ascii="Arial" w:cs="Arial" w:eastAsia="Arial" w:hAnsi="Arial"/>
                <w:sz w:val="16"/>
                <w:szCs w:val="16"/>
                <w:color w:val="auto"/>
              </w:rPr>
              <w:t>a Delaware limited liability company</w:t>
            </w:r>
          </w:p>
        </w:tc>
        <w:tc>
          <w:tcPr>
            <w:tcW w:w="600" w:type="dxa"/>
            <w:vAlign w:val="bottom"/>
          </w:tcPr>
          <w:p>
            <w:pPr>
              <w:spacing w:after="0"/>
              <w:rPr>
                <w:sz w:val="17"/>
                <w:szCs w:val="17"/>
                <w:color w:val="auto"/>
              </w:rPr>
            </w:pPr>
          </w:p>
        </w:tc>
        <w:tc>
          <w:tcPr>
            <w:tcW w:w="4520" w:type="dxa"/>
            <w:vAlign w:val="bottom"/>
            <w:gridSpan w:val="5"/>
          </w:tcPr>
          <w:p>
            <w:pPr>
              <w:ind w:left="20"/>
              <w:spacing w:after="0"/>
              <w:rPr>
                <w:sz w:val="20"/>
                <w:szCs w:val="20"/>
                <w:color w:val="auto"/>
              </w:rPr>
            </w:pPr>
            <w:r>
              <w:rPr>
                <w:rFonts w:ascii="Arial" w:cs="Arial" w:eastAsia="Arial" w:hAnsi="Arial"/>
                <w:sz w:val="16"/>
                <w:szCs w:val="16"/>
                <w:color w:val="auto"/>
              </w:rPr>
              <w:t>a Delaware corporation</w:t>
            </w:r>
          </w:p>
        </w:tc>
        <w:tc>
          <w:tcPr>
            <w:tcW w:w="0" w:type="dxa"/>
            <w:vAlign w:val="bottom"/>
          </w:tcPr>
          <w:p>
            <w:pPr>
              <w:spacing w:after="0"/>
              <w:rPr>
                <w:sz w:val="1"/>
                <w:szCs w:val="1"/>
                <w:color w:val="auto"/>
              </w:rPr>
            </w:pPr>
          </w:p>
        </w:tc>
      </w:tr>
      <w:tr>
        <w:trPr>
          <w:trHeight w:val="378"/>
        </w:trPr>
        <w:tc>
          <w:tcPr>
            <w:tcW w:w="300" w:type="dxa"/>
            <w:vAlign w:val="bottom"/>
          </w:tcPr>
          <w:p>
            <w:pPr>
              <w:spacing w:after="0"/>
              <w:rPr>
                <w:sz w:val="20"/>
                <w:szCs w:val="20"/>
                <w:color w:val="auto"/>
              </w:rPr>
            </w:pPr>
            <w:r>
              <w:rPr>
                <w:rFonts w:ascii="Arial" w:cs="Arial" w:eastAsia="Arial" w:hAnsi="Arial"/>
                <w:sz w:val="16"/>
                <w:szCs w:val="16"/>
                <w:color w:val="auto"/>
              </w:rPr>
              <w:t>By:</w:t>
            </w: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Terreno Realty LLC,</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a Delaware limited liability company</w:t>
            </w:r>
          </w:p>
        </w:tc>
        <w:tc>
          <w:tcPr>
            <w:tcW w:w="6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By: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Faraz Ali</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its member</w:t>
            </w:r>
          </w:p>
        </w:tc>
        <w:tc>
          <w:tcPr>
            <w:tcW w:w="600" w:type="dxa"/>
            <w:vAlign w:val="bottom"/>
          </w:tcPr>
          <w:p>
            <w:pPr>
              <w:spacing w:after="0"/>
              <w:rPr>
                <w:sz w:val="16"/>
                <w:szCs w:val="16"/>
                <w:color w:val="auto"/>
              </w:rPr>
            </w:pPr>
          </w:p>
        </w:tc>
        <w:tc>
          <w:tcPr>
            <w:tcW w:w="500" w:type="dxa"/>
            <w:vAlign w:val="bottom"/>
            <w:gridSpan w:val="3"/>
          </w:tcPr>
          <w:p>
            <w:pPr>
              <w:ind w:left="20"/>
              <w:spacing w:after="0"/>
              <w:rPr>
                <w:sz w:val="20"/>
                <w:szCs w:val="20"/>
                <w:color w:val="auto"/>
              </w:rPr>
            </w:pPr>
            <w:r>
              <w:rPr>
                <w:rFonts w:ascii="Arial" w:cs="Arial" w:eastAsia="Arial" w:hAnsi="Arial"/>
                <w:sz w:val="16"/>
                <w:szCs w:val="16"/>
                <w:color w:val="auto"/>
                <w:w w:val="97"/>
              </w:rPr>
              <w:t>Name:</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Faraz Ali</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Its: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CEO</w:t>
            </w:r>
          </w:p>
        </w:tc>
        <w:tc>
          <w:tcPr>
            <w:tcW w:w="0" w:type="dxa"/>
            <w:vAlign w:val="bottom"/>
          </w:tcPr>
          <w:p>
            <w:pPr>
              <w:spacing w:after="0"/>
              <w:rPr>
                <w:sz w:val="1"/>
                <w:szCs w:val="1"/>
                <w:color w:val="auto"/>
              </w:rPr>
            </w:pPr>
          </w:p>
        </w:tc>
      </w:tr>
      <w:tr>
        <w:trPr>
          <w:trHeight w:val="180"/>
        </w:trPr>
        <w:tc>
          <w:tcPr>
            <w:tcW w:w="300" w:type="dxa"/>
            <w:vAlign w:val="bottom"/>
          </w:tcPr>
          <w:p>
            <w:pPr>
              <w:spacing w:after="0" w:line="180" w:lineRule="exact"/>
              <w:rPr>
                <w:sz w:val="20"/>
                <w:szCs w:val="20"/>
                <w:color w:val="auto"/>
              </w:rPr>
            </w:pPr>
            <w:r>
              <w:rPr>
                <w:rFonts w:ascii="Arial" w:cs="Arial" w:eastAsia="Arial" w:hAnsi="Arial"/>
                <w:sz w:val="16"/>
                <w:szCs w:val="16"/>
                <w:color w:val="auto"/>
              </w:rPr>
              <w:t>By:</w:t>
            </w:r>
          </w:p>
        </w:tc>
        <w:tc>
          <w:tcPr>
            <w:tcW w:w="4200" w:type="dxa"/>
            <w:vAlign w:val="bottom"/>
            <w:gridSpan w:val="5"/>
          </w:tcPr>
          <w:p>
            <w:pPr>
              <w:ind w:left="60"/>
              <w:spacing w:after="0" w:line="180" w:lineRule="exact"/>
              <w:rPr>
                <w:sz w:val="20"/>
                <w:szCs w:val="20"/>
                <w:color w:val="auto"/>
              </w:rPr>
            </w:pPr>
            <w:r>
              <w:rPr>
                <w:rFonts w:ascii="Arial" w:cs="Arial" w:eastAsia="Arial" w:hAnsi="Arial"/>
                <w:sz w:val="16"/>
                <w:szCs w:val="16"/>
                <w:color w:val="auto"/>
              </w:rPr>
              <w:t>Terreno Realty Corporation,</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a Maryland corporation</w:t>
            </w:r>
          </w:p>
        </w:tc>
        <w:tc>
          <w:tcPr>
            <w:tcW w:w="600" w:type="dxa"/>
            <w:vAlign w:val="bottom"/>
          </w:tcPr>
          <w:p>
            <w:pPr>
              <w:spacing w:after="0"/>
              <w:rPr>
                <w:sz w:val="17"/>
                <w:szCs w:val="17"/>
                <w:color w:val="auto"/>
              </w:rPr>
            </w:pPr>
          </w:p>
        </w:tc>
        <w:tc>
          <w:tcPr>
            <w:tcW w:w="4520" w:type="dxa"/>
            <w:vAlign w:val="bottom"/>
            <w:gridSpan w:val="5"/>
            <w:vMerge w:val="restart"/>
          </w:tcPr>
          <w:p>
            <w:pPr>
              <w:ind w:left="100"/>
              <w:spacing w:after="0"/>
              <w:rPr>
                <w:sz w:val="20"/>
                <w:szCs w:val="20"/>
                <w:color w:val="auto"/>
              </w:rPr>
            </w:pPr>
            <w:r>
              <w:rPr>
                <w:rFonts w:ascii="Arial" w:cs="Arial" w:eastAsia="Arial" w:hAnsi="Arial"/>
                <w:sz w:val="16"/>
                <w:szCs w:val="16"/>
                <w:color w:val="auto"/>
              </w:rPr>
              <w:t>Telephone:</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20" w:type="dxa"/>
            <w:vAlign w:val="bottom"/>
            <w:gridSpan w:val="5"/>
          </w:tcPr>
          <w:p>
            <w:pPr>
              <w:ind w:left="100"/>
              <w:spacing w:after="0"/>
              <w:rPr>
                <w:sz w:val="20"/>
                <w:szCs w:val="20"/>
                <w:color w:val="auto"/>
              </w:rPr>
            </w:pPr>
            <w:r>
              <w:rPr>
                <w:rFonts w:ascii="Arial" w:cs="Arial" w:eastAsia="Arial" w:hAnsi="Arial"/>
                <w:sz w:val="16"/>
                <w:szCs w:val="16"/>
                <w:color w:val="auto"/>
              </w:rPr>
              <w:t>Executed at: South San Francisco</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20"/>
                <w:szCs w:val="20"/>
                <w:color w:val="auto"/>
              </w:rPr>
            </w:pPr>
            <w:r>
              <w:rPr>
                <w:rFonts w:ascii="Arial" w:cs="Arial" w:eastAsia="Arial" w:hAnsi="Arial"/>
                <w:sz w:val="16"/>
                <w:szCs w:val="16"/>
                <w:color w:val="auto"/>
              </w:rPr>
              <w:t>By:</w:t>
            </w:r>
          </w:p>
        </w:tc>
        <w:tc>
          <w:tcPr>
            <w:tcW w:w="4200" w:type="dxa"/>
            <w:vAlign w:val="bottom"/>
            <w:gridSpan w:val="5"/>
          </w:tcPr>
          <w:p>
            <w:pPr>
              <w:ind w:left="80"/>
              <w:spacing w:after="0"/>
              <w:rPr>
                <w:sz w:val="20"/>
                <w:szCs w:val="20"/>
                <w:color w:val="auto"/>
              </w:rPr>
            </w:pPr>
            <w:r>
              <w:rPr>
                <w:rFonts w:ascii="Arial" w:cs="Arial" w:eastAsia="Arial" w:hAnsi="Arial"/>
                <w:sz w:val="16"/>
                <w:szCs w:val="16"/>
                <w:color w:val="auto"/>
              </w:rPr>
              <w:t>/s/ Cody Saunders</w:t>
            </w:r>
          </w:p>
        </w:tc>
        <w:tc>
          <w:tcPr>
            <w:tcW w:w="920" w:type="dxa"/>
            <w:vAlign w:val="bottom"/>
            <w:gridSpan w:val="2"/>
            <w:vMerge w:val="restart"/>
          </w:tcPr>
          <w:p>
            <w:pPr>
              <w:ind w:left="560"/>
              <w:spacing w:after="0"/>
              <w:rPr>
                <w:sz w:val="20"/>
                <w:szCs w:val="20"/>
                <w:color w:val="auto"/>
              </w:rPr>
            </w:pPr>
            <w:r>
              <w:rPr>
                <w:rFonts w:ascii="Arial" w:cs="Arial" w:eastAsia="Arial" w:hAnsi="Arial"/>
                <w:sz w:val="16"/>
                <w:szCs w:val="16"/>
                <w:color w:val="auto"/>
              </w:rPr>
              <w:t>on:</w:t>
            </w:r>
          </w:p>
        </w:tc>
        <w:tc>
          <w:tcPr>
            <w:tcW w:w="620" w:type="dxa"/>
            <w:vAlign w:val="bottom"/>
            <w:gridSpan w:val="3"/>
            <w:vMerge w:val="restart"/>
          </w:tcPr>
          <w:p>
            <w:pPr>
              <w:jc w:val="right"/>
              <w:ind w:right="1"/>
              <w:spacing w:after="0"/>
              <w:rPr>
                <w:sz w:val="20"/>
                <w:szCs w:val="20"/>
                <w:color w:val="auto"/>
              </w:rPr>
            </w:pPr>
            <w:r>
              <w:rPr>
                <w:rFonts w:ascii="Arial" w:cs="Arial" w:eastAsia="Arial" w:hAnsi="Arial"/>
                <w:sz w:val="16"/>
                <w:szCs w:val="16"/>
                <w:color w:val="auto"/>
                <w:w w:val="97"/>
              </w:rPr>
              <w:t>2/15/21</w:t>
            </w:r>
          </w:p>
        </w:tc>
        <w:tc>
          <w:tcPr>
            <w:tcW w:w="3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Cody Saunders, Vice President</w:t>
            </w:r>
          </w:p>
        </w:tc>
        <w:tc>
          <w:tcPr>
            <w:tcW w:w="92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1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500" w:type="dxa"/>
            <w:vAlign w:val="bottom"/>
            <w:gridSpan w:val="6"/>
          </w:tcPr>
          <w:p>
            <w:pPr>
              <w:spacing w:after="0"/>
              <w:rPr>
                <w:sz w:val="20"/>
                <w:szCs w:val="20"/>
                <w:color w:val="auto"/>
              </w:rPr>
            </w:pPr>
            <w:r>
              <w:rPr>
                <w:rFonts w:ascii="Arial" w:cs="Arial" w:eastAsia="Arial" w:hAnsi="Arial"/>
                <w:sz w:val="16"/>
                <w:szCs w:val="16"/>
                <w:color w:val="auto"/>
              </w:rPr>
              <w:t>Telephone:</w:t>
            </w:r>
          </w:p>
        </w:tc>
        <w:tc>
          <w:tcPr>
            <w:tcW w:w="5120" w:type="dxa"/>
            <w:vAlign w:val="bottom"/>
            <w:gridSpan w:val="6"/>
          </w:tcPr>
          <w:p>
            <w:pPr>
              <w:ind w:left="580"/>
              <w:spacing w:after="0"/>
              <w:rPr>
                <w:sz w:val="20"/>
                <w:szCs w:val="20"/>
                <w:color w:val="auto"/>
              </w:rPr>
            </w:pPr>
            <w:r>
              <w:rPr>
                <w:rFonts w:ascii="Arial" w:cs="Arial" w:eastAsia="Arial" w:hAnsi="Arial"/>
                <w:sz w:val="16"/>
                <w:szCs w:val="16"/>
                <w:color w:val="auto"/>
              </w:rPr>
              <w:t>ADDRESS</w:t>
            </w:r>
          </w:p>
        </w:tc>
        <w:tc>
          <w:tcPr>
            <w:tcW w:w="0" w:type="dxa"/>
            <w:vAlign w:val="bottom"/>
          </w:tcPr>
          <w:p>
            <w:pPr>
              <w:spacing w:after="0"/>
              <w:rPr>
                <w:sz w:val="1"/>
                <w:szCs w:val="1"/>
                <w:color w:val="auto"/>
              </w:rPr>
            </w:pPr>
          </w:p>
        </w:tc>
      </w:tr>
      <w:tr>
        <w:trPr>
          <w:trHeight w:val="377"/>
        </w:trPr>
        <w:tc>
          <w:tcPr>
            <w:tcW w:w="4500" w:type="dxa"/>
            <w:vAlign w:val="bottom"/>
            <w:gridSpan w:val="6"/>
          </w:tcPr>
          <w:p>
            <w:pPr>
              <w:spacing w:after="0"/>
              <w:rPr>
                <w:sz w:val="20"/>
                <w:szCs w:val="20"/>
                <w:color w:val="auto"/>
              </w:rPr>
            </w:pPr>
            <w:r>
              <w:rPr>
                <w:rFonts w:ascii="Arial" w:cs="Arial" w:eastAsia="Arial" w:hAnsi="Arial"/>
                <w:sz w:val="16"/>
                <w:szCs w:val="16"/>
                <w:color w:val="auto"/>
              </w:rPr>
              <w:t>Executed at:  San Francisco, CA</w:t>
            </w:r>
          </w:p>
        </w:tc>
        <w:tc>
          <w:tcPr>
            <w:tcW w:w="5120" w:type="dxa"/>
            <w:vAlign w:val="bottom"/>
            <w:gridSpan w:val="6"/>
          </w:tcPr>
          <w:p>
            <w:pPr>
              <w:ind w:left="580"/>
              <w:spacing w:after="0"/>
              <w:rPr>
                <w:sz w:val="20"/>
                <w:szCs w:val="20"/>
                <w:color w:val="auto"/>
              </w:rPr>
            </w:pPr>
            <w:r>
              <w:rPr>
                <w:rFonts w:ascii="Arial" w:cs="Arial" w:eastAsia="Arial" w:hAnsi="Arial"/>
                <w:sz w:val="16"/>
                <w:szCs w:val="16"/>
                <w:color w:val="auto"/>
              </w:rPr>
              <w:t>171 Oyster Point Blvd, Suite 500</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520" w:type="dxa"/>
            <w:vAlign w:val="bottom"/>
            <w:tcBorders>
              <w:top w:val="single" w:sz="8" w:color="auto"/>
              <w:bottom w:val="single" w:sz="8" w:color="auto"/>
            </w:tcBorders>
            <w:gridSpan w:val="5"/>
          </w:tcPr>
          <w:p>
            <w:pPr>
              <w:spacing w:after="0" w:line="181" w:lineRule="exact"/>
              <w:rPr>
                <w:sz w:val="20"/>
                <w:szCs w:val="20"/>
                <w:color w:val="auto"/>
              </w:rPr>
            </w:pPr>
            <w:r>
              <w:rPr>
                <w:rFonts w:ascii="Arial" w:cs="Arial" w:eastAsia="Arial" w:hAnsi="Arial"/>
                <w:sz w:val="16"/>
                <w:szCs w:val="16"/>
                <w:color w:val="auto"/>
              </w:rPr>
              <w:t>South San Francisco, CA 94080</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20"/>
                <w:szCs w:val="20"/>
                <w:color w:val="auto"/>
              </w:rPr>
            </w:pPr>
            <w:r>
              <w:rPr>
                <w:rFonts w:ascii="Arial" w:cs="Arial" w:eastAsia="Arial" w:hAnsi="Arial"/>
                <w:sz w:val="16"/>
                <w:szCs w:val="16"/>
                <w:color w:val="auto"/>
              </w:rPr>
              <w:t>on:</w:t>
            </w:r>
          </w:p>
        </w:tc>
        <w:tc>
          <w:tcPr>
            <w:tcW w:w="580" w:type="dxa"/>
            <w:vAlign w:val="bottom"/>
            <w:gridSpan w:val="2"/>
          </w:tcPr>
          <w:p>
            <w:pPr>
              <w:ind w:left="80"/>
              <w:spacing w:after="0"/>
              <w:rPr>
                <w:sz w:val="20"/>
                <w:szCs w:val="20"/>
                <w:color w:val="auto"/>
              </w:rPr>
            </w:pPr>
            <w:r>
              <w:rPr>
                <w:rFonts w:ascii="Arial" w:cs="Arial" w:eastAsia="Arial" w:hAnsi="Arial"/>
                <w:sz w:val="16"/>
                <w:szCs w:val="16"/>
                <w:color w:val="auto"/>
                <w:w w:val="89"/>
              </w:rPr>
              <w:t>2/15/21</w:t>
            </w: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101 Montgomery Street,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80335"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680335"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80335"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680335" cy="7620"/>
                    </a:xfrm>
                    <a:prstGeom prst="rect">
                      <a:avLst/>
                    </a:prstGeom>
                    <a:noFill/>
                  </pic:spPr>
                </pic:pic>
              </a:graphicData>
            </a:graphic>
          </wp:anchor>
        </w:drawing>
      </w:r>
    </w:p>
    <w:p>
      <w:pPr>
        <w:sectPr>
          <w:pgSz w:w="11900" w:h="16838" w:orient="portrait"/>
          <w:cols w:equalWidth="0" w:num="1">
            <w:col w:w="9620"/>
          </w:cols>
          <w:pgMar w:left="1140" w:top="256" w:right="1139" w:bottom="1440" w:gutter="0" w:footer="0" w:header="0"/>
        </w:sectPr>
      </w:pPr>
    </w:p>
    <w:bookmarkStart w:id="705" w:name="page706"/>
    <w:bookmarkEnd w:id="705"/>
    <w:p>
      <w:pPr>
        <w:jc w:val="center"/>
        <w:ind w:right="-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90105" cy="34290"/>
                    </a:xfrm>
                    <a:prstGeom prst="rect">
                      <a:avLst/>
                    </a:prstGeom>
                    <a:noFill/>
                  </pic:spPr>
                </pic:pic>
              </a:graphicData>
            </a:graphic>
          </wp:anchor>
        </w:drawing>
        <w:t>GLOSSARY</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terms in the Lease are defined in the paragraphs opposite the terms.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3"/>
              </w:rPr>
              <w:t>TERM DEFINED IN PARAGRAPH</w:t>
            </w:r>
          </w:p>
        </w:tc>
      </w:tr>
      <w:tr>
        <w:trPr>
          <w:trHeight w:val="404"/>
        </w:trPr>
        <w:tc>
          <w:tcPr>
            <w:tcW w:w="3640" w:type="dxa"/>
            <w:vAlign w:val="bottom"/>
          </w:tcPr>
          <w:p>
            <w:pPr>
              <w:spacing w:after="0"/>
              <w:rPr>
                <w:sz w:val="20"/>
                <w:szCs w:val="20"/>
                <w:color w:val="auto"/>
              </w:rPr>
            </w:pPr>
            <w:r>
              <w:rPr>
                <w:rFonts w:ascii="Arial" w:cs="Arial" w:eastAsia="Arial" w:hAnsi="Arial"/>
                <w:sz w:val="16"/>
                <w:szCs w:val="16"/>
                <w:color w:val="auto"/>
              </w:rPr>
              <w:t>Additional Rent</w:t>
            </w:r>
          </w:p>
        </w:tc>
        <w:tc>
          <w:tcPr>
            <w:tcW w:w="2320" w:type="dxa"/>
            <w:vAlign w:val="bottom"/>
          </w:tcPr>
          <w:p>
            <w:pPr>
              <w:ind w:left="1360"/>
              <w:spacing w:after="0"/>
              <w:rPr>
                <w:sz w:val="20"/>
                <w:szCs w:val="20"/>
                <w:color w:val="auto"/>
              </w:rPr>
            </w:pPr>
            <w:r>
              <w:rPr>
                <w:rFonts w:ascii="Arial" w:cs="Arial" w:eastAsia="Arial" w:hAnsi="Arial"/>
                <w:sz w:val="16"/>
                <w:szCs w:val="16"/>
                <w:color w:val="auto"/>
              </w:rPr>
              <w:t>4.1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Applicable Requirements</w:t>
            </w:r>
          </w:p>
        </w:tc>
        <w:tc>
          <w:tcPr>
            <w:tcW w:w="2320" w:type="dxa"/>
            <w:vAlign w:val="bottom"/>
          </w:tcPr>
          <w:p>
            <w:pPr>
              <w:ind w:left="1360"/>
              <w:spacing w:after="0"/>
              <w:rPr>
                <w:sz w:val="20"/>
                <w:szCs w:val="20"/>
                <w:color w:val="auto"/>
              </w:rPr>
            </w:pPr>
            <w:r>
              <w:rPr>
                <w:rFonts w:ascii="Arial" w:cs="Arial" w:eastAsia="Arial" w:hAnsi="Arial"/>
                <w:sz w:val="16"/>
                <w:szCs w:val="16"/>
                <w:color w:val="auto"/>
              </w:rPr>
              <w:t>6.3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Assign</w:t>
            </w:r>
          </w:p>
        </w:tc>
        <w:tc>
          <w:tcPr>
            <w:tcW w:w="2320" w:type="dxa"/>
            <w:vAlign w:val="bottom"/>
          </w:tcPr>
          <w:p>
            <w:pPr>
              <w:ind w:left="1360"/>
              <w:spacing w:after="0"/>
              <w:rPr>
                <w:sz w:val="20"/>
                <w:szCs w:val="20"/>
                <w:color w:val="auto"/>
              </w:rPr>
            </w:pPr>
            <w:r>
              <w:rPr>
                <w:rFonts w:ascii="Arial" w:cs="Arial" w:eastAsia="Arial" w:hAnsi="Arial"/>
                <w:sz w:val="16"/>
                <w:szCs w:val="16"/>
                <w:color w:val="auto"/>
              </w:rPr>
              <w:t>12.1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Base Rent</w:t>
            </w:r>
          </w:p>
        </w:tc>
        <w:tc>
          <w:tcPr>
            <w:tcW w:w="2320" w:type="dxa"/>
            <w:vAlign w:val="bottom"/>
          </w:tcPr>
          <w:p>
            <w:pPr>
              <w:ind w:left="1360"/>
              <w:spacing w:after="0"/>
              <w:rPr>
                <w:sz w:val="20"/>
                <w:szCs w:val="20"/>
                <w:color w:val="auto"/>
              </w:rPr>
            </w:pPr>
            <w:r>
              <w:rPr>
                <w:rFonts w:ascii="Arial" w:cs="Arial" w:eastAsia="Arial" w:hAnsi="Arial"/>
                <w:sz w:val="16"/>
                <w:szCs w:val="16"/>
                <w:color w:val="auto"/>
              </w:rPr>
              <w:t>1.4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Basic Provisions</w:t>
            </w:r>
          </w:p>
        </w:tc>
        <w:tc>
          <w:tcPr>
            <w:tcW w:w="2320" w:type="dxa"/>
            <w:vAlign w:val="bottom"/>
          </w:tcPr>
          <w:p>
            <w:pPr>
              <w:ind w:left="1360"/>
              <w:spacing w:after="0"/>
              <w:rPr>
                <w:sz w:val="20"/>
                <w:szCs w:val="20"/>
                <w:color w:val="auto"/>
              </w:rPr>
            </w:pPr>
            <w:r>
              <w:rPr>
                <w:rFonts w:ascii="Arial" w:cs="Arial" w:eastAsia="Arial" w:hAnsi="Arial"/>
                <w:sz w:val="16"/>
                <w:szCs w:val="16"/>
                <w:color w:val="auto"/>
              </w:rPr>
              <w:t>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Building</w:t>
            </w:r>
          </w:p>
        </w:tc>
        <w:tc>
          <w:tcPr>
            <w:tcW w:w="2320" w:type="dxa"/>
            <w:vAlign w:val="bottom"/>
          </w:tcPr>
          <w:p>
            <w:pPr>
              <w:ind w:left="1360"/>
              <w:spacing w:after="0"/>
              <w:rPr>
                <w:sz w:val="20"/>
                <w:szCs w:val="20"/>
                <w:color w:val="auto"/>
              </w:rPr>
            </w:pPr>
            <w:r>
              <w:rPr>
                <w:rFonts w:ascii="Arial" w:cs="Arial" w:eastAsia="Arial" w:hAnsi="Arial"/>
                <w:sz w:val="16"/>
                <w:szCs w:val="16"/>
                <w:color w:val="auto"/>
              </w:rPr>
              <w:t>1.2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Building Operating Expenses</w:t>
            </w:r>
          </w:p>
        </w:tc>
        <w:tc>
          <w:tcPr>
            <w:tcW w:w="2320" w:type="dxa"/>
            <w:vAlign w:val="bottom"/>
          </w:tcPr>
          <w:p>
            <w:pPr>
              <w:ind w:left="1360"/>
              <w:spacing w:after="0"/>
              <w:rPr>
                <w:sz w:val="20"/>
                <w:szCs w:val="20"/>
                <w:color w:val="auto"/>
              </w:rPr>
            </w:pPr>
            <w:r>
              <w:rPr>
                <w:rFonts w:ascii="Arial" w:cs="Arial" w:eastAsia="Arial" w:hAnsi="Arial"/>
                <w:sz w:val="16"/>
                <w:szCs w:val="16"/>
                <w:color w:val="auto"/>
              </w:rPr>
              <w:t>4.2(b)</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Code</w:t>
            </w:r>
          </w:p>
        </w:tc>
        <w:tc>
          <w:tcPr>
            <w:tcW w:w="2320" w:type="dxa"/>
            <w:vAlign w:val="bottom"/>
          </w:tcPr>
          <w:p>
            <w:pPr>
              <w:ind w:left="1360"/>
              <w:spacing w:after="0"/>
              <w:rPr>
                <w:sz w:val="20"/>
                <w:szCs w:val="20"/>
                <w:color w:val="auto"/>
              </w:rPr>
            </w:pPr>
            <w:r>
              <w:rPr>
                <w:rFonts w:ascii="Arial" w:cs="Arial" w:eastAsia="Arial" w:hAnsi="Arial"/>
                <w:sz w:val="16"/>
                <w:szCs w:val="16"/>
                <w:color w:val="auto"/>
              </w:rPr>
              <w:t>12.1(a)</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Commencement Date</w:t>
            </w:r>
          </w:p>
        </w:tc>
        <w:tc>
          <w:tcPr>
            <w:tcW w:w="2320" w:type="dxa"/>
            <w:vAlign w:val="bottom"/>
          </w:tcPr>
          <w:p>
            <w:pPr>
              <w:ind w:left="1360"/>
              <w:spacing w:after="0"/>
              <w:rPr>
                <w:sz w:val="20"/>
                <w:szCs w:val="20"/>
                <w:color w:val="auto"/>
              </w:rPr>
            </w:pPr>
            <w:r>
              <w:rPr>
                <w:rFonts w:ascii="Arial" w:cs="Arial" w:eastAsia="Arial" w:hAnsi="Arial"/>
                <w:sz w:val="16"/>
                <w:szCs w:val="16"/>
                <w:color w:val="auto"/>
              </w:rPr>
              <w:t>1.3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Commencement Date Certificate</w:t>
            </w:r>
          </w:p>
        </w:tc>
        <w:tc>
          <w:tcPr>
            <w:tcW w:w="2320" w:type="dxa"/>
            <w:vAlign w:val="bottom"/>
          </w:tcPr>
          <w:p>
            <w:pPr>
              <w:ind w:left="1360"/>
              <w:spacing w:after="0"/>
              <w:rPr>
                <w:sz w:val="20"/>
                <w:szCs w:val="20"/>
                <w:color w:val="auto"/>
              </w:rPr>
            </w:pPr>
            <w:r>
              <w:rPr>
                <w:rFonts w:ascii="Arial" w:cs="Arial" w:eastAsia="Arial" w:hAnsi="Arial"/>
                <w:sz w:val="16"/>
                <w:szCs w:val="16"/>
                <w:color w:val="auto"/>
              </w:rPr>
              <w:t>3.3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Common Area Operating Expenses</w:t>
            </w:r>
          </w:p>
        </w:tc>
        <w:tc>
          <w:tcPr>
            <w:tcW w:w="2320" w:type="dxa"/>
            <w:vAlign w:val="bottom"/>
          </w:tcPr>
          <w:p>
            <w:pPr>
              <w:ind w:left="1360"/>
              <w:spacing w:after="0"/>
              <w:rPr>
                <w:sz w:val="20"/>
                <w:szCs w:val="20"/>
                <w:color w:val="auto"/>
              </w:rPr>
            </w:pPr>
            <w:r>
              <w:rPr>
                <w:rFonts w:ascii="Arial" w:cs="Arial" w:eastAsia="Arial" w:hAnsi="Arial"/>
                <w:sz w:val="16"/>
                <w:szCs w:val="16"/>
                <w:color w:val="auto"/>
              </w:rPr>
              <w:t>4.2(b)</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Common Areas</w:t>
            </w:r>
          </w:p>
        </w:tc>
        <w:tc>
          <w:tcPr>
            <w:tcW w:w="2320" w:type="dxa"/>
            <w:vAlign w:val="bottom"/>
          </w:tcPr>
          <w:p>
            <w:pPr>
              <w:ind w:left="1360"/>
              <w:spacing w:after="0"/>
              <w:rPr>
                <w:sz w:val="20"/>
                <w:szCs w:val="20"/>
                <w:color w:val="auto"/>
              </w:rPr>
            </w:pPr>
            <w:r>
              <w:rPr>
                <w:rFonts w:ascii="Arial" w:cs="Arial" w:eastAsia="Arial" w:hAnsi="Arial"/>
                <w:sz w:val="16"/>
                <w:szCs w:val="16"/>
                <w:color w:val="auto"/>
              </w:rPr>
              <w:t>2.2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Condemnation</w:t>
            </w:r>
          </w:p>
        </w:tc>
        <w:tc>
          <w:tcPr>
            <w:tcW w:w="2320" w:type="dxa"/>
            <w:vAlign w:val="bottom"/>
          </w:tcPr>
          <w:p>
            <w:pPr>
              <w:ind w:left="1360"/>
              <w:spacing w:after="0"/>
              <w:rPr>
                <w:sz w:val="20"/>
                <w:szCs w:val="20"/>
                <w:color w:val="auto"/>
              </w:rPr>
            </w:pPr>
            <w:r>
              <w:rPr>
                <w:rFonts w:ascii="Arial" w:cs="Arial" w:eastAsia="Arial" w:hAnsi="Arial"/>
                <w:sz w:val="16"/>
                <w:szCs w:val="16"/>
                <w:color w:val="auto"/>
              </w:rPr>
              <w:t>14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Default</w:t>
            </w:r>
          </w:p>
        </w:tc>
        <w:tc>
          <w:tcPr>
            <w:tcW w:w="2320" w:type="dxa"/>
            <w:vAlign w:val="bottom"/>
          </w:tcPr>
          <w:p>
            <w:pPr>
              <w:ind w:left="1360"/>
              <w:spacing w:after="0"/>
              <w:rPr>
                <w:sz w:val="20"/>
                <w:szCs w:val="20"/>
                <w:color w:val="auto"/>
              </w:rPr>
            </w:pPr>
            <w:r>
              <w:rPr>
                <w:rFonts w:ascii="Arial" w:cs="Arial" w:eastAsia="Arial" w:hAnsi="Arial"/>
                <w:sz w:val="16"/>
                <w:szCs w:val="16"/>
                <w:color w:val="auto"/>
              </w:rPr>
              <w:t>13.1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Expiration Date</w:t>
            </w:r>
          </w:p>
        </w:tc>
        <w:tc>
          <w:tcPr>
            <w:tcW w:w="2320" w:type="dxa"/>
            <w:vAlign w:val="bottom"/>
          </w:tcPr>
          <w:p>
            <w:pPr>
              <w:ind w:left="1360"/>
              <w:spacing w:after="0"/>
              <w:rPr>
                <w:sz w:val="20"/>
                <w:szCs w:val="20"/>
                <w:color w:val="auto"/>
              </w:rPr>
            </w:pPr>
            <w:r>
              <w:rPr>
                <w:rFonts w:ascii="Arial" w:cs="Arial" w:eastAsia="Arial" w:hAnsi="Arial"/>
                <w:sz w:val="16"/>
                <w:szCs w:val="16"/>
                <w:color w:val="auto"/>
              </w:rPr>
              <w:t>1.3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HVAC</w:t>
            </w:r>
          </w:p>
        </w:tc>
        <w:tc>
          <w:tcPr>
            <w:tcW w:w="2320" w:type="dxa"/>
            <w:vAlign w:val="bottom"/>
          </w:tcPr>
          <w:p>
            <w:pPr>
              <w:ind w:left="1360"/>
              <w:spacing w:after="0"/>
              <w:rPr>
                <w:sz w:val="20"/>
                <w:szCs w:val="20"/>
                <w:color w:val="auto"/>
              </w:rPr>
            </w:pPr>
            <w:r>
              <w:rPr>
                <w:rFonts w:ascii="Arial" w:cs="Arial" w:eastAsia="Arial" w:hAnsi="Arial"/>
                <w:sz w:val="16"/>
                <w:szCs w:val="16"/>
                <w:color w:val="auto"/>
              </w:rPr>
              <w:t>4.2(a)(x)</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Hazardous Substance</w:t>
            </w:r>
          </w:p>
        </w:tc>
        <w:tc>
          <w:tcPr>
            <w:tcW w:w="2320" w:type="dxa"/>
            <w:vAlign w:val="bottom"/>
          </w:tcPr>
          <w:p>
            <w:pPr>
              <w:ind w:left="1360"/>
              <w:spacing w:after="0"/>
              <w:rPr>
                <w:sz w:val="20"/>
                <w:szCs w:val="20"/>
                <w:color w:val="auto"/>
              </w:rPr>
            </w:pPr>
            <w:r>
              <w:rPr>
                <w:rFonts w:ascii="Arial" w:cs="Arial" w:eastAsia="Arial" w:hAnsi="Arial"/>
                <w:sz w:val="16"/>
                <w:szCs w:val="16"/>
                <w:color w:val="auto"/>
              </w:rPr>
              <w:t>6.2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Indemnity</w:t>
            </w:r>
          </w:p>
        </w:tc>
        <w:tc>
          <w:tcPr>
            <w:tcW w:w="2320" w:type="dxa"/>
            <w:vAlign w:val="bottom"/>
          </w:tcPr>
          <w:p>
            <w:pPr>
              <w:ind w:left="1360"/>
              <w:spacing w:after="0"/>
              <w:rPr>
                <w:sz w:val="20"/>
                <w:szCs w:val="20"/>
                <w:color w:val="auto"/>
              </w:rPr>
            </w:pPr>
            <w:r>
              <w:rPr>
                <w:rFonts w:ascii="Arial" w:cs="Arial" w:eastAsia="Arial" w:hAnsi="Arial"/>
                <w:sz w:val="16"/>
                <w:szCs w:val="16"/>
                <w:color w:val="auto"/>
              </w:rPr>
              <w:t>8.5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Industrial Center</w:t>
            </w:r>
          </w:p>
        </w:tc>
        <w:tc>
          <w:tcPr>
            <w:tcW w:w="2320" w:type="dxa"/>
            <w:vAlign w:val="bottom"/>
          </w:tcPr>
          <w:p>
            <w:pPr>
              <w:ind w:left="1360"/>
              <w:spacing w:after="0"/>
              <w:rPr>
                <w:sz w:val="20"/>
                <w:szCs w:val="20"/>
                <w:color w:val="auto"/>
              </w:rPr>
            </w:pPr>
            <w:r>
              <w:rPr>
                <w:rFonts w:ascii="Arial" w:cs="Arial" w:eastAsia="Arial" w:hAnsi="Arial"/>
                <w:sz w:val="16"/>
                <w:szCs w:val="16"/>
                <w:color w:val="auto"/>
              </w:rPr>
              <w:t>1.2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Landlord</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Landlord Entities</w:t>
            </w:r>
          </w:p>
        </w:tc>
        <w:tc>
          <w:tcPr>
            <w:tcW w:w="2320" w:type="dxa"/>
            <w:vAlign w:val="bottom"/>
          </w:tcPr>
          <w:p>
            <w:pPr>
              <w:ind w:left="1360"/>
              <w:spacing w:after="0"/>
              <w:rPr>
                <w:sz w:val="20"/>
                <w:szCs w:val="20"/>
                <w:color w:val="auto"/>
              </w:rPr>
            </w:pPr>
            <w:r>
              <w:rPr>
                <w:rFonts w:ascii="Arial" w:cs="Arial" w:eastAsia="Arial" w:hAnsi="Arial"/>
                <w:sz w:val="16"/>
                <w:szCs w:val="16"/>
                <w:color w:val="auto"/>
              </w:rPr>
              <w:t>6.2(c)</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Lease</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Lenders</w:t>
            </w:r>
          </w:p>
        </w:tc>
        <w:tc>
          <w:tcPr>
            <w:tcW w:w="2320" w:type="dxa"/>
            <w:vAlign w:val="bottom"/>
          </w:tcPr>
          <w:p>
            <w:pPr>
              <w:ind w:left="1360"/>
              <w:spacing w:after="0"/>
              <w:rPr>
                <w:sz w:val="20"/>
                <w:szCs w:val="20"/>
                <w:color w:val="auto"/>
              </w:rPr>
            </w:pPr>
            <w:r>
              <w:rPr>
                <w:rFonts w:ascii="Arial" w:cs="Arial" w:eastAsia="Arial" w:hAnsi="Arial"/>
                <w:sz w:val="16"/>
                <w:szCs w:val="16"/>
                <w:color w:val="auto"/>
              </w:rPr>
              <w:t>6.4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Mortgage</w:t>
            </w:r>
          </w:p>
        </w:tc>
        <w:tc>
          <w:tcPr>
            <w:tcW w:w="2320" w:type="dxa"/>
            <w:vAlign w:val="bottom"/>
          </w:tcPr>
          <w:p>
            <w:pPr>
              <w:ind w:left="1360"/>
              <w:spacing w:after="0"/>
              <w:rPr>
                <w:sz w:val="20"/>
                <w:szCs w:val="20"/>
                <w:color w:val="auto"/>
              </w:rPr>
            </w:pPr>
            <w:r>
              <w:rPr>
                <w:rFonts w:ascii="Arial" w:cs="Arial" w:eastAsia="Arial" w:hAnsi="Arial"/>
                <w:sz w:val="16"/>
                <w:szCs w:val="16"/>
                <w:color w:val="auto"/>
              </w:rPr>
              <w:t>16.18</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Operating Expenses</w:t>
            </w:r>
          </w:p>
        </w:tc>
        <w:tc>
          <w:tcPr>
            <w:tcW w:w="2320" w:type="dxa"/>
            <w:vAlign w:val="bottom"/>
          </w:tcPr>
          <w:p>
            <w:pPr>
              <w:ind w:left="1360"/>
              <w:spacing w:after="0"/>
              <w:rPr>
                <w:sz w:val="20"/>
                <w:szCs w:val="20"/>
                <w:color w:val="auto"/>
              </w:rPr>
            </w:pPr>
            <w:r>
              <w:rPr>
                <w:rFonts w:ascii="Arial" w:cs="Arial" w:eastAsia="Arial" w:hAnsi="Arial"/>
                <w:sz w:val="16"/>
                <w:szCs w:val="16"/>
                <w:color w:val="auto"/>
              </w:rPr>
              <w:t>4.2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Party/Parties</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Patriot Act</w:t>
            </w:r>
          </w:p>
        </w:tc>
        <w:tc>
          <w:tcPr>
            <w:tcW w:w="2320" w:type="dxa"/>
            <w:vAlign w:val="bottom"/>
          </w:tcPr>
          <w:p>
            <w:pPr>
              <w:ind w:left="1360"/>
              <w:spacing w:after="0"/>
              <w:rPr>
                <w:sz w:val="20"/>
                <w:szCs w:val="20"/>
                <w:color w:val="auto"/>
              </w:rPr>
            </w:pPr>
            <w:r>
              <w:rPr>
                <w:rFonts w:ascii="Arial" w:cs="Arial" w:eastAsia="Arial" w:hAnsi="Arial"/>
                <w:sz w:val="16"/>
                <w:szCs w:val="16"/>
                <w:color w:val="auto"/>
              </w:rPr>
              <w:t>16.34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Permitted Use</w:t>
            </w:r>
          </w:p>
        </w:tc>
        <w:tc>
          <w:tcPr>
            <w:tcW w:w="2320" w:type="dxa"/>
            <w:vAlign w:val="bottom"/>
          </w:tcPr>
          <w:p>
            <w:pPr>
              <w:ind w:left="1360"/>
              <w:spacing w:after="0"/>
              <w:rPr>
                <w:sz w:val="20"/>
                <w:szCs w:val="20"/>
                <w:color w:val="auto"/>
              </w:rPr>
            </w:pPr>
            <w:r>
              <w:rPr>
                <w:rFonts w:ascii="Arial" w:cs="Arial" w:eastAsia="Arial" w:hAnsi="Arial"/>
                <w:sz w:val="16"/>
                <w:szCs w:val="16"/>
                <w:color w:val="auto"/>
              </w:rPr>
              <w:t>1.8</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Premises</w:t>
            </w:r>
          </w:p>
        </w:tc>
        <w:tc>
          <w:tcPr>
            <w:tcW w:w="2320" w:type="dxa"/>
            <w:vAlign w:val="bottom"/>
          </w:tcPr>
          <w:p>
            <w:pPr>
              <w:ind w:left="1360"/>
              <w:spacing w:after="0"/>
              <w:rPr>
                <w:sz w:val="20"/>
                <w:szCs w:val="20"/>
                <w:color w:val="auto"/>
              </w:rPr>
            </w:pPr>
            <w:r>
              <w:rPr>
                <w:rFonts w:ascii="Arial" w:cs="Arial" w:eastAsia="Arial" w:hAnsi="Arial"/>
                <w:sz w:val="16"/>
                <w:szCs w:val="16"/>
                <w:color w:val="auto"/>
              </w:rPr>
              <w:t>1.2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Prevailing Party</w:t>
            </w:r>
          </w:p>
        </w:tc>
        <w:tc>
          <w:tcPr>
            <w:tcW w:w="2320" w:type="dxa"/>
            <w:vAlign w:val="bottom"/>
          </w:tcPr>
          <w:p>
            <w:pPr>
              <w:ind w:left="1360"/>
              <w:spacing w:after="0"/>
              <w:rPr>
                <w:sz w:val="20"/>
                <w:szCs w:val="20"/>
                <w:color w:val="auto"/>
              </w:rPr>
            </w:pPr>
            <w:r>
              <w:rPr>
                <w:rFonts w:ascii="Arial" w:cs="Arial" w:eastAsia="Arial" w:hAnsi="Arial"/>
                <w:sz w:val="16"/>
                <w:szCs w:val="16"/>
                <w:color w:val="auto"/>
              </w:rPr>
              <w:t>16.13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Real Property Taxes</w:t>
            </w:r>
          </w:p>
        </w:tc>
        <w:tc>
          <w:tcPr>
            <w:tcW w:w="2320" w:type="dxa"/>
            <w:vAlign w:val="bottom"/>
          </w:tcPr>
          <w:p>
            <w:pPr>
              <w:ind w:left="1360"/>
              <w:spacing w:after="0"/>
              <w:rPr>
                <w:sz w:val="20"/>
                <w:szCs w:val="20"/>
                <w:color w:val="auto"/>
              </w:rPr>
            </w:pPr>
            <w:r>
              <w:rPr>
                <w:rFonts w:ascii="Arial" w:cs="Arial" w:eastAsia="Arial" w:hAnsi="Arial"/>
                <w:sz w:val="16"/>
                <w:szCs w:val="16"/>
                <w:color w:val="auto"/>
              </w:rPr>
              <w:t>10.2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Rent</w:t>
            </w:r>
          </w:p>
        </w:tc>
        <w:tc>
          <w:tcPr>
            <w:tcW w:w="2320" w:type="dxa"/>
            <w:vAlign w:val="bottom"/>
          </w:tcPr>
          <w:p>
            <w:pPr>
              <w:ind w:left="1360"/>
              <w:spacing w:after="0"/>
              <w:rPr>
                <w:sz w:val="20"/>
                <w:szCs w:val="20"/>
                <w:color w:val="auto"/>
              </w:rPr>
            </w:pPr>
            <w:r>
              <w:rPr>
                <w:rFonts w:ascii="Arial" w:cs="Arial" w:eastAsia="Arial" w:hAnsi="Arial"/>
                <w:sz w:val="16"/>
                <w:szCs w:val="16"/>
                <w:color w:val="auto"/>
              </w:rPr>
              <w:t>4.1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Reportable Use</w:t>
            </w:r>
          </w:p>
        </w:tc>
        <w:tc>
          <w:tcPr>
            <w:tcW w:w="2320" w:type="dxa"/>
            <w:vAlign w:val="bottom"/>
          </w:tcPr>
          <w:p>
            <w:pPr>
              <w:ind w:left="1360"/>
              <w:spacing w:after="0"/>
              <w:rPr>
                <w:sz w:val="20"/>
                <w:szCs w:val="20"/>
                <w:color w:val="auto"/>
              </w:rPr>
            </w:pPr>
            <w:r>
              <w:rPr>
                <w:rFonts w:ascii="Arial" w:cs="Arial" w:eastAsia="Arial" w:hAnsi="Arial"/>
                <w:sz w:val="16"/>
                <w:szCs w:val="16"/>
                <w:color w:val="auto"/>
              </w:rPr>
              <w:t>6.2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Requesting Party</w:t>
            </w:r>
          </w:p>
        </w:tc>
        <w:tc>
          <w:tcPr>
            <w:tcW w:w="2320" w:type="dxa"/>
            <w:vAlign w:val="bottom"/>
          </w:tcPr>
          <w:p>
            <w:pPr>
              <w:ind w:left="1360"/>
              <w:spacing w:after="0"/>
              <w:rPr>
                <w:sz w:val="20"/>
                <w:szCs w:val="20"/>
                <w:color w:val="auto"/>
              </w:rPr>
            </w:pPr>
            <w:r>
              <w:rPr>
                <w:rFonts w:ascii="Arial" w:cs="Arial" w:eastAsia="Arial" w:hAnsi="Arial"/>
                <w:sz w:val="16"/>
                <w:szCs w:val="16"/>
                <w:color w:val="auto"/>
              </w:rPr>
              <w:t>15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Responding Party</w:t>
            </w:r>
          </w:p>
        </w:tc>
        <w:tc>
          <w:tcPr>
            <w:tcW w:w="2320" w:type="dxa"/>
            <w:vAlign w:val="bottom"/>
          </w:tcPr>
          <w:p>
            <w:pPr>
              <w:ind w:left="1360"/>
              <w:spacing w:after="0"/>
              <w:rPr>
                <w:sz w:val="20"/>
                <w:szCs w:val="20"/>
                <w:color w:val="auto"/>
              </w:rPr>
            </w:pPr>
            <w:r>
              <w:rPr>
                <w:rFonts w:ascii="Arial" w:cs="Arial" w:eastAsia="Arial" w:hAnsi="Arial"/>
                <w:sz w:val="16"/>
                <w:szCs w:val="16"/>
                <w:color w:val="auto"/>
              </w:rPr>
              <w:t>15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Rules and Regulations</w:t>
            </w:r>
          </w:p>
        </w:tc>
        <w:tc>
          <w:tcPr>
            <w:tcW w:w="2320" w:type="dxa"/>
            <w:vAlign w:val="bottom"/>
          </w:tcPr>
          <w:p>
            <w:pPr>
              <w:ind w:left="1360"/>
              <w:spacing w:after="0"/>
              <w:rPr>
                <w:sz w:val="20"/>
                <w:szCs w:val="20"/>
                <w:color w:val="auto"/>
              </w:rPr>
            </w:pPr>
            <w:r>
              <w:rPr>
                <w:rFonts w:ascii="Arial" w:cs="Arial" w:eastAsia="Arial" w:hAnsi="Arial"/>
                <w:sz w:val="16"/>
                <w:szCs w:val="16"/>
                <w:color w:val="auto"/>
              </w:rPr>
              <w:t>2.4, 16.19</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Security Deposit</w:t>
            </w:r>
          </w:p>
        </w:tc>
        <w:tc>
          <w:tcPr>
            <w:tcW w:w="2320" w:type="dxa"/>
            <w:vAlign w:val="bottom"/>
          </w:tcPr>
          <w:p>
            <w:pPr>
              <w:ind w:left="1360"/>
              <w:spacing w:after="0"/>
              <w:rPr>
                <w:sz w:val="20"/>
                <w:szCs w:val="20"/>
                <w:color w:val="auto"/>
              </w:rPr>
            </w:pPr>
            <w:r>
              <w:rPr>
                <w:rFonts w:ascii="Arial" w:cs="Arial" w:eastAsia="Arial" w:hAnsi="Arial"/>
                <w:sz w:val="16"/>
                <w:szCs w:val="16"/>
                <w:color w:val="auto"/>
              </w:rPr>
              <w:t>1.7, 5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 Acts</w:t>
            </w:r>
          </w:p>
        </w:tc>
        <w:tc>
          <w:tcPr>
            <w:tcW w:w="2320" w:type="dxa"/>
            <w:vAlign w:val="bottom"/>
          </w:tcPr>
          <w:p>
            <w:pPr>
              <w:ind w:left="1360"/>
              <w:spacing w:after="0"/>
              <w:rPr>
                <w:sz w:val="20"/>
                <w:szCs w:val="20"/>
                <w:color w:val="auto"/>
              </w:rPr>
            </w:pPr>
            <w:r>
              <w:rPr>
                <w:rFonts w:ascii="Arial" w:cs="Arial" w:eastAsia="Arial" w:hAnsi="Arial"/>
                <w:sz w:val="16"/>
                <w:szCs w:val="16"/>
                <w:color w:val="auto"/>
              </w:rPr>
              <w:t>9.2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Tenant’s Entity</w:t>
            </w:r>
          </w:p>
        </w:tc>
        <w:tc>
          <w:tcPr>
            <w:tcW w:w="2320" w:type="dxa"/>
            <w:vAlign w:val="bottom"/>
          </w:tcPr>
          <w:p>
            <w:pPr>
              <w:ind w:left="1360"/>
              <w:spacing w:after="0"/>
              <w:rPr>
                <w:sz w:val="20"/>
                <w:szCs w:val="20"/>
                <w:color w:val="auto"/>
              </w:rPr>
            </w:pPr>
            <w:r>
              <w:rPr>
                <w:rFonts w:ascii="Arial" w:cs="Arial" w:eastAsia="Arial" w:hAnsi="Arial"/>
                <w:sz w:val="16"/>
                <w:szCs w:val="16"/>
                <w:color w:val="auto"/>
              </w:rPr>
              <w:t>6.2(c)</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Tenant’s Share</w:t>
            </w:r>
          </w:p>
        </w:tc>
        <w:tc>
          <w:tcPr>
            <w:tcW w:w="2320" w:type="dxa"/>
            <w:vAlign w:val="bottom"/>
          </w:tcPr>
          <w:p>
            <w:pPr>
              <w:ind w:left="1360"/>
              <w:spacing w:after="0"/>
              <w:rPr>
                <w:sz w:val="20"/>
                <w:szCs w:val="20"/>
                <w:color w:val="auto"/>
              </w:rPr>
            </w:pPr>
            <w:r>
              <w:rPr>
                <w:rFonts w:ascii="Arial" w:cs="Arial" w:eastAsia="Arial" w:hAnsi="Arial"/>
                <w:sz w:val="16"/>
                <w:szCs w:val="16"/>
                <w:color w:val="auto"/>
              </w:rPr>
              <w:t>1.5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Term</w:t>
            </w:r>
          </w:p>
        </w:tc>
        <w:tc>
          <w:tcPr>
            <w:tcW w:w="2320" w:type="dxa"/>
            <w:vAlign w:val="bottom"/>
          </w:tcPr>
          <w:p>
            <w:pPr>
              <w:ind w:left="1360"/>
              <w:spacing w:after="0"/>
              <w:rPr>
                <w:sz w:val="20"/>
                <w:szCs w:val="20"/>
                <w:color w:val="auto"/>
              </w:rPr>
            </w:pPr>
            <w:r>
              <w:rPr>
                <w:rFonts w:ascii="Arial" w:cs="Arial" w:eastAsia="Arial" w:hAnsi="Arial"/>
                <w:sz w:val="16"/>
                <w:szCs w:val="16"/>
                <w:color w:val="auto"/>
              </w:rPr>
              <w:t>1.3</w:t>
            </w:r>
          </w:p>
        </w:tc>
      </w:tr>
      <w:tr>
        <w:trPr>
          <w:trHeight w:val="200"/>
        </w:trPr>
        <w:tc>
          <w:tcPr>
            <w:tcW w:w="3640" w:type="dxa"/>
            <w:vAlign w:val="bottom"/>
          </w:tcPr>
          <w:p>
            <w:pPr>
              <w:spacing w:after="0"/>
              <w:rPr>
                <w:sz w:val="20"/>
                <w:szCs w:val="20"/>
                <w:color w:val="auto"/>
              </w:rPr>
            </w:pPr>
            <w:r>
              <w:rPr>
                <w:rFonts w:ascii="Arial" w:cs="Arial" w:eastAsia="Arial" w:hAnsi="Arial"/>
                <w:sz w:val="16"/>
                <w:szCs w:val="16"/>
                <w:color w:val="auto"/>
              </w:rPr>
              <w:t>Use</w:t>
            </w:r>
          </w:p>
        </w:tc>
        <w:tc>
          <w:tcPr>
            <w:tcW w:w="2320" w:type="dxa"/>
            <w:vAlign w:val="bottom"/>
          </w:tcPr>
          <w:p>
            <w:pPr>
              <w:ind w:left="1360"/>
              <w:spacing w:after="0"/>
              <w:rPr>
                <w:sz w:val="20"/>
                <w:szCs w:val="20"/>
                <w:color w:val="auto"/>
              </w:rPr>
            </w:pPr>
            <w:r>
              <w:rPr>
                <w:rFonts w:ascii="Arial" w:cs="Arial" w:eastAsia="Arial" w:hAnsi="Arial"/>
                <w:sz w:val="16"/>
                <w:szCs w:val="16"/>
                <w:color w:val="auto"/>
              </w:rPr>
              <w:t>6.1</w:t>
            </w:r>
          </w:p>
        </w:tc>
      </w:tr>
    </w:tbl>
    <w:p>
      <w:pPr>
        <w:sectPr>
          <w:pgSz w:w="11900" w:h="16838" w:orient="portrait"/>
          <w:cols w:equalWidth="0" w:num="1">
            <w:col w:w="9319"/>
          </w:cols>
          <w:pgMar w:left="1140" w:top="256" w:right="1440" w:bottom="1440" w:gutter="0" w:footer="0" w:header="0"/>
        </w:sectPr>
      </w:pPr>
    </w:p>
    <w:bookmarkStart w:id="706" w:name="page707"/>
    <w:bookmarkEnd w:id="706"/>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ADDENDUM 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TERRENO REALTY CORPORATION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Landlord’s Remedies in the Event of Tenant Default - California</w:t>
      </w:r>
    </w:p>
    <w:p>
      <w:pPr>
        <w:spacing w:after="0" w:line="182" w:lineRule="exact"/>
        <w:rPr>
          <w:sz w:val="20"/>
          <w:szCs w:val="20"/>
          <w:color w:val="auto"/>
        </w:rPr>
      </w:pPr>
    </w:p>
    <w:p>
      <w:pPr>
        <w:ind w:right="20" w:firstLine="385"/>
        <w:spacing w:after="0" w:line="266" w:lineRule="auto"/>
        <w:rPr>
          <w:sz w:val="20"/>
          <w:szCs w:val="20"/>
          <w:color w:val="auto"/>
        </w:rPr>
      </w:pPr>
      <w:r>
        <w:rPr>
          <w:rFonts w:ascii="Arial" w:cs="Arial" w:eastAsia="Arial" w:hAnsi="Arial"/>
          <w:sz w:val="16"/>
          <w:szCs w:val="16"/>
          <w:color w:val="auto"/>
        </w:rPr>
        <w:t>This Landlord’s Remedies Addendum is a part of the Lease dated February 12, 2021, by and between Terreno Park Union City LLC (“Landlord”) and Tenaya Therapeutics, Inc. (“Tenant”) for the Premises as defined in the Lease.</w:t>
      </w:r>
    </w:p>
    <w:p>
      <w:pPr>
        <w:spacing w:after="0" w:line="158" w:lineRule="exact"/>
        <w:rPr>
          <w:sz w:val="20"/>
          <w:szCs w:val="20"/>
          <w:color w:val="auto"/>
        </w:rPr>
      </w:pPr>
    </w:p>
    <w:p>
      <w:pPr>
        <w:ind w:right="460" w:firstLine="385"/>
        <w:spacing w:after="0" w:line="266" w:lineRule="auto"/>
        <w:rPr>
          <w:sz w:val="20"/>
          <w:szCs w:val="20"/>
          <w:color w:val="auto"/>
        </w:rPr>
      </w:pPr>
      <w:r>
        <w:rPr>
          <w:rFonts w:ascii="Arial" w:cs="Arial" w:eastAsia="Arial" w:hAnsi="Arial"/>
          <w:sz w:val="16"/>
          <w:szCs w:val="16"/>
          <w:color w:val="auto"/>
        </w:rPr>
        <w:t>In the event of any Default by Tenant, then in addition to any other remedies available to Landlord at law or in equity and under this Lease Landlord shall have any or all of the following remedies:</w:t>
      </w:r>
    </w:p>
    <w:p>
      <w:pPr>
        <w:spacing w:after="0" w:line="158" w:lineRule="exact"/>
        <w:rPr>
          <w:sz w:val="20"/>
          <w:szCs w:val="20"/>
          <w:color w:val="auto"/>
        </w:rPr>
      </w:pPr>
    </w:p>
    <w:p>
      <w:pPr>
        <w:ind w:right="280" w:firstLine="860"/>
        <w:spacing w:after="0" w:line="383" w:lineRule="auto"/>
        <w:tabs>
          <w:tab w:leader="none" w:pos="1079" w:val="left"/>
        </w:tabs>
        <w:numPr>
          <w:ilvl w:val="0"/>
          <w:numId w:val="545"/>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Landlord shall have the immediate option to terminate this Lease and all rights of Tenant hereunder by giving written notice of such intention to terminate. In the event that Landlord shall elect to so terminate this Lease then Landlord may recover from Tenant:</w:t>
      </w:r>
    </w:p>
    <w:p>
      <w:pPr>
        <w:spacing w:after="0" w:line="88" w:lineRule="exact"/>
        <w:rPr>
          <w:rFonts w:ascii="Arial" w:cs="Arial" w:eastAsia="Arial" w:hAnsi="Arial"/>
          <w:sz w:val="13"/>
          <w:szCs w:val="13"/>
          <w:color w:val="auto"/>
        </w:rPr>
      </w:pPr>
    </w:p>
    <w:p>
      <w:pPr>
        <w:ind w:left="1460" w:hanging="216"/>
        <w:spacing w:after="0"/>
        <w:tabs>
          <w:tab w:leader="none" w:pos="1460" w:val="left"/>
        </w:tabs>
        <w:numPr>
          <w:ilvl w:val="1"/>
          <w:numId w:val="545"/>
        </w:numPr>
        <w:rPr>
          <w:rFonts w:ascii="Arial" w:cs="Arial" w:eastAsia="Arial" w:hAnsi="Arial"/>
          <w:sz w:val="13"/>
          <w:szCs w:val="13"/>
          <w:color w:val="auto"/>
        </w:rPr>
      </w:pPr>
      <w:r>
        <w:rPr>
          <w:rFonts w:ascii="Arial" w:cs="Arial" w:eastAsia="Arial" w:hAnsi="Arial"/>
          <w:sz w:val="13"/>
          <w:szCs w:val="13"/>
          <w:color w:val="auto"/>
        </w:rPr>
        <w:t>the worth at the time of award of any unpaid Rent and any other sums due and payable which have been earned at the time of</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such termination; plus</w:t>
      </w:r>
    </w:p>
    <w:p>
      <w:pPr>
        <w:spacing w:after="0" w:line="181" w:lineRule="exact"/>
        <w:rPr>
          <w:rFonts w:ascii="Arial" w:cs="Arial" w:eastAsia="Arial" w:hAnsi="Arial"/>
          <w:sz w:val="13"/>
          <w:szCs w:val="13"/>
          <w:color w:val="auto"/>
        </w:rPr>
      </w:pPr>
    </w:p>
    <w:p>
      <w:pPr>
        <w:ind w:right="120" w:firstLine="1244"/>
        <w:spacing w:after="0" w:line="383" w:lineRule="auto"/>
        <w:tabs>
          <w:tab w:leader="none" w:pos="1473" w:val="left"/>
        </w:tabs>
        <w:numPr>
          <w:ilvl w:val="1"/>
          <w:numId w:val="545"/>
        </w:numPr>
        <w:rPr>
          <w:rFonts w:ascii="Arial" w:cs="Arial" w:eastAsia="Arial" w:hAnsi="Arial"/>
          <w:sz w:val="13"/>
          <w:szCs w:val="13"/>
          <w:color w:val="auto"/>
        </w:rPr>
      </w:pPr>
      <w:r>
        <w:rPr>
          <w:rFonts w:ascii="Arial" w:cs="Arial" w:eastAsia="Arial" w:hAnsi="Arial"/>
          <w:sz w:val="13"/>
          <w:szCs w:val="13"/>
          <w:color w:val="auto"/>
        </w:rPr>
        <w:t>the worth at the time of award of the amount by which the unpaid Rent and any other sums due and payable which would have been earned after termination until the time of award exceeds the amount of such rental loss Tenant proves could have been reasonably avoided; plus</w:t>
      </w:r>
    </w:p>
    <w:p>
      <w:pPr>
        <w:spacing w:after="0" w:line="88" w:lineRule="exact"/>
        <w:rPr>
          <w:rFonts w:ascii="Arial" w:cs="Arial" w:eastAsia="Arial" w:hAnsi="Arial"/>
          <w:sz w:val="13"/>
          <w:szCs w:val="13"/>
          <w:color w:val="auto"/>
        </w:rPr>
      </w:pPr>
    </w:p>
    <w:p>
      <w:pPr>
        <w:ind w:right="180" w:firstLine="1244"/>
        <w:spacing w:after="0" w:line="383" w:lineRule="auto"/>
        <w:tabs>
          <w:tab w:leader="none" w:pos="1473" w:val="left"/>
        </w:tabs>
        <w:numPr>
          <w:ilvl w:val="1"/>
          <w:numId w:val="545"/>
        </w:numPr>
        <w:rPr>
          <w:rFonts w:ascii="Arial" w:cs="Arial" w:eastAsia="Arial" w:hAnsi="Arial"/>
          <w:sz w:val="13"/>
          <w:szCs w:val="13"/>
          <w:color w:val="auto"/>
        </w:rPr>
      </w:pPr>
      <w:r>
        <w:rPr>
          <w:rFonts w:ascii="Arial" w:cs="Arial" w:eastAsia="Arial" w:hAnsi="Arial"/>
          <w:sz w:val="13"/>
          <w:szCs w:val="13"/>
          <w:color w:val="auto"/>
        </w:rPr>
        <w:t>the worth at the time of award of the amount by which the unpaid Rent and any other sums due and payable for the balance of the term of this Lease after the time of award exceeds the amount of such rental loss that Tenant proves could be reasonably avoided; plus</w:t>
      </w:r>
    </w:p>
    <w:p>
      <w:pPr>
        <w:spacing w:after="0" w:line="88" w:lineRule="exact"/>
        <w:rPr>
          <w:rFonts w:ascii="Arial" w:cs="Arial" w:eastAsia="Arial" w:hAnsi="Arial"/>
          <w:sz w:val="13"/>
          <w:szCs w:val="13"/>
          <w:color w:val="auto"/>
        </w:rPr>
      </w:pPr>
    </w:p>
    <w:p>
      <w:pPr>
        <w:ind w:right="40" w:firstLine="1244"/>
        <w:spacing w:after="0" w:line="251" w:lineRule="auto"/>
        <w:tabs>
          <w:tab w:leader="none" w:pos="1473" w:val="left"/>
        </w:tabs>
        <w:numPr>
          <w:ilvl w:val="1"/>
          <w:numId w:val="545"/>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would be likely to result therefrom, including, without limitation, any costs or expenses incurred by Landlord (i) in retaking possession of the Premises; (ii) in maintaining, repairing, preserving, restoring, replacing, cleaning, the Premises or any portion thereof, including such acts for reletting to a new lessee or lessees; (iii) for leasing commissions; or (iv) for any other costs necessary or appropriate to relet the Premises; plus</w:t>
      </w:r>
    </w:p>
    <w:p>
      <w:pPr>
        <w:spacing w:after="0" w:line="169" w:lineRule="exact"/>
        <w:rPr>
          <w:rFonts w:ascii="Arial" w:cs="Arial" w:eastAsia="Arial" w:hAnsi="Arial"/>
          <w:sz w:val="16"/>
          <w:szCs w:val="16"/>
          <w:color w:val="auto"/>
        </w:rPr>
      </w:pPr>
    </w:p>
    <w:p>
      <w:pPr>
        <w:ind w:right="160" w:firstLine="1244"/>
        <w:spacing w:after="0" w:line="266" w:lineRule="auto"/>
        <w:tabs>
          <w:tab w:leader="none" w:pos="1473" w:val="left"/>
        </w:tabs>
        <w:numPr>
          <w:ilvl w:val="1"/>
          <w:numId w:val="545"/>
        </w:numPr>
        <w:rPr>
          <w:rFonts w:ascii="Arial" w:cs="Arial" w:eastAsia="Arial" w:hAnsi="Arial"/>
          <w:sz w:val="16"/>
          <w:szCs w:val="16"/>
          <w:color w:val="auto"/>
        </w:rPr>
      </w:pPr>
      <w:r>
        <w:rPr>
          <w:rFonts w:ascii="Arial" w:cs="Arial" w:eastAsia="Arial" w:hAnsi="Arial"/>
          <w:sz w:val="16"/>
          <w:szCs w:val="16"/>
          <w:color w:val="auto"/>
        </w:rPr>
        <w:t>such reasonable attorneys’ fees incurred by Landlord as a result of a Default, and costs in the event suit is filed by Landlord to enforce such remedy; and plus</w:t>
      </w:r>
    </w:p>
    <w:p>
      <w:pPr>
        <w:spacing w:after="0" w:line="158" w:lineRule="exact"/>
        <w:rPr>
          <w:rFonts w:ascii="Arial" w:cs="Arial" w:eastAsia="Arial" w:hAnsi="Arial"/>
          <w:sz w:val="16"/>
          <w:szCs w:val="16"/>
          <w:color w:val="auto"/>
        </w:rPr>
      </w:pPr>
    </w:p>
    <w:p>
      <w:pPr>
        <w:ind w:right="20" w:firstLine="1244"/>
        <w:spacing w:after="0" w:line="319" w:lineRule="auto"/>
        <w:tabs>
          <w:tab w:leader="none" w:pos="1473" w:val="left"/>
        </w:tabs>
        <w:numPr>
          <w:ilvl w:val="1"/>
          <w:numId w:val="545"/>
        </w:numPr>
        <w:rPr>
          <w:rFonts w:ascii="Arial" w:cs="Arial" w:eastAsia="Arial" w:hAnsi="Arial"/>
          <w:sz w:val="13"/>
          <w:szCs w:val="13"/>
          <w:color w:val="auto"/>
        </w:rPr>
      </w:pPr>
      <w:r>
        <w:rPr>
          <w:rFonts w:ascii="Arial" w:cs="Arial" w:eastAsia="Arial" w:hAnsi="Arial"/>
          <w:sz w:val="13"/>
          <w:szCs w:val="13"/>
          <w:color w:val="auto"/>
        </w:rPr>
        <w:t>at Landlord’s election, such other amounts in addition to or in lieu of the foregoing as may be permitted from time to time by applicable law. As used in subparagraphs (1) and (2) above, the “worth at the time of award” is computed by allowing interest at an annual rate equal to twelve percent (12%) per annum or the maximum rate permitted by law, whichever is less. As used in subparagraph (3) above, the “worth at the time of award” is computed by discounting such amount at the discount rate of the Federal Reserve Bank of San Francisco at the time of award, plus one percent (1 %). Tenant waives redemption or relief from forfeiture under California Code of Civil Procedure Sections 1174 and 1179, or under any other present or future law, in the event Tenant is evicted or Landlord takes possession of the Premises by reason of any Default of Tenant hereunder.</w:t>
      </w:r>
    </w:p>
    <w:p>
      <w:pPr>
        <w:spacing w:after="0" w:line="128" w:lineRule="exact"/>
        <w:rPr>
          <w:rFonts w:ascii="Arial" w:cs="Arial" w:eastAsia="Arial" w:hAnsi="Arial"/>
          <w:sz w:val="13"/>
          <w:szCs w:val="13"/>
          <w:color w:val="auto"/>
        </w:rPr>
      </w:pPr>
    </w:p>
    <w:p>
      <w:pPr>
        <w:ind w:left="1460" w:hanging="216"/>
        <w:spacing w:after="0"/>
        <w:tabs>
          <w:tab w:leader="none" w:pos="1460" w:val="left"/>
        </w:tabs>
        <w:numPr>
          <w:ilvl w:val="1"/>
          <w:numId w:val="545"/>
        </w:numPr>
        <w:rPr>
          <w:rFonts w:ascii="Arial" w:cs="Arial" w:eastAsia="Arial" w:hAnsi="Arial"/>
          <w:sz w:val="16"/>
          <w:szCs w:val="16"/>
          <w:color w:val="auto"/>
        </w:rPr>
      </w:pPr>
      <w:r>
        <w:rPr>
          <w:rFonts w:ascii="Arial" w:cs="Arial" w:eastAsia="Arial" w:hAnsi="Arial"/>
          <w:sz w:val="16"/>
          <w:szCs w:val="16"/>
          <w:color w:val="auto"/>
        </w:rPr>
        <w:t>any other remedies allowed by the laws of the state of California.</w:t>
      </w:r>
    </w:p>
    <w:p>
      <w:pPr>
        <w:spacing w:after="0" w:line="193" w:lineRule="exact"/>
        <w:rPr>
          <w:rFonts w:ascii="Arial" w:cs="Arial" w:eastAsia="Arial" w:hAnsi="Arial"/>
          <w:sz w:val="16"/>
          <w:szCs w:val="16"/>
          <w:color w:val="auto"/>
        </w:rPr>
      </w:pPr>
    </w:p>
    <w:p>
      <w:pPr>
        <w:ind w:right="60" w:firstLine="860"/>
        <w:spacing w:after="0" w:line="253" w:lineRule="auto"/>
        <w:tabs>
          <w:tab w:leader="none" w:pos="1088"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Continuation of Lease</w:t>
      </w:r>
      <w:r>
        <w:rPr>
          <w:rFonts w:ascii="Arial" w:cs="Arial" w:eastAsia="Arial" w:hAnsi="Arial"/>
          <w:sz w:val="16"/>
          <w:szCs w:val="16"/>
          <w:color w:val="auto"/>
        </w:rPr>
        <w:t>. In the event of any Default by Tenant, then in addition to any other remedies available to Landlord at law or in equity and under this Lease, Landlord shall have the remedy described in California Civil Code Section 1951.4 (Landlord may continue this Lease in effect after Tenant’s Default and abandonment and recover Rent as it becomes due, provided tenant has the right to sublet or assign, subject only to reasonable limitations).</w:t>
      </w:r>
    </w:p>
    <w:p>
      <w:pPr>
        <w:spacing w:after="0" w:line="167" w:lineRule="exact"/>
        <w:rPr>
          <w:rFonts w:ascii="Arial" w:cs="Arial" w:eastAsia="Arial" w:hAnsi="Arial"/>
          <w:sz w:val="16"/>
          <w:szCs w:val="16"/>
          <w:color w:val="auto"/>
        </w:rPr>
      </w:pPr>
    </w:p>
    <w:p>
      <w:pPr>
        <w:ind w:right="160" w:firstLine="860"/>
        <w:spacing w:after="0" w:line="256" w:lineRule="auto"/>
        <w:tabs>
          <w:tab w:leader="none" w:pos="1079"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Re-entry</w:t>
      </w:r>
      <w:r>
        <w:rPr>
          <w:rFonts w:ascii="Arial" w:cs="Arial" w:eastAsia="Arial" w:hAnsi="Arial"/>
          <w:sz w:val="16"/>
          <w:szCs w:val="16"/>
          <w:color w:val="auto"/>
        </w:rPr>
        <w:t>. In the event of any Default by Tenant, Landlord shall also have the right, after terminating this Lease, in compliance with applicable law, to re-enter the Premises and remove all persons and property from the Premises; such property may be removed and stored in a public warehouse or elsewhere at the cost of and for the account of Tenant.</w:t>
      </w:r>
    </w:p>
    <w:p>
      <w:pPr>
        <w:spacing w:after="0" w:line="165" w:lineRule="exact"/>
        <w:rPr>
          <w:rFonts w:ascii="Arial" w:cs="Arial" w:eastAsia="Arial" w:hAnsi="Arial"/>
          <w:sz w:val="16"/>
          <w:szCs w:val="16"/>
          <w:color w:val="auto"/>
        </w:rPr>
      </w:pPr>
    </w:p>
    <w:p>
      <w:pPr>
        <w:ind w:firstLine="860"/>
        <w:spacing w:after="0" w:line="316" w:lineRule="auto"/>
        <w:tabs>
          <w:tab w:leader="none" w:pos="1088" w:val="left"/>
        </w:tabs>
        <w:numPr>
          <w:ilvl w:val="0"/>
          <w:numId w:val="545"/>
        </w:numPr>
        <w:rPr>
          <w:rFonts w:ascii="Arial" w:cs="Arial" w:eastAsia="Arial" w:hAnsi="Arial"/>
          <w:sz w:val="13"/>
          <w:szCs w:val="13"/>
          <w:color w:val="auto"/>
        </w:rPr>
      </w:pPr>
      <w:r>
        <w:rPr>
          <w:rFonts w:ascii="Arial" w:cs="Arial" w:eastAsia="Arial" w:hAnsi="Arial"/>
          <w:sz w:val="13"/>
          <w:szCs w:val="13"/>
          <w:u w:val="single" w:color="auto"/>
          <w:color w:val="auto"/>
        </w:rPr>
        <w:t>Reletting</w:t>
      </w:r>
      <w:r>
        <w:rPr>
          <w:rFonts w:ascii="Arial" w:cs="Arial" w:eastAsia="Arial" w:hAnsi="Arial"/>
          <w:sz w:val="13"/>
          <w:szCs w:val="13"/>
          <w:color w:val="auto"/>
        </w:rPr>
        <w:t>. In the event of the abandonment of the Premises by Tenant or in the event that Landlord shall elect to re-enter or shall take possession of the Premises pursuant to legal proceeding or pursuant to any notice provided by law, then if Landlord elects to terminate this Lease as provided in Paragraph a, Landlord may from time to time, relet the Premises or any part thereof for such term or terms and at such rental or rentals and upon such other terms and conditions as Landlord in its sole discretion may deem advisable with the right to make alterations and repairs to the Premises. Notwithstanding anything to the contrary, Tenant hereby specifically acknowledges and agrees that Landlord may hold and apply the Security Deposit against future rent damages incurred by Landlord in the event of a default by Tenant under this Lease and Tenant specifically waives the provisions of California Civil Code section 1950.7 or any successor statute which would prevent Landlord from making such application.</w:t>
      </w:r>
    </w:p>
    <w:p>
      <w:pPr>
        <w:spacing w:after="0" w:line="131" w:lineRule="exact"/>
        <w:rPr>
          <w:rFonts w:ascii="Arial" w:cs="Arial" w:eastAsia="Arial" w:hAnsi="Arial"/>
          <w:sz w:val="13"/>
          <w:szCs w:val="13"/>
          <w:color w:val="auto"/>
        </w:rPr>
      </w:pPr>
    </w:p>
    <w:p>
      <w:pPr>
        <w:jc w:val="both"/>
        <w:ind w:right="160" w:firstLine="860"/>
        <w:spacing w:after="0" w:line="383" w:lineRule="auto"/>
        <w:tabs>
          <w:tab w:leader="none" w:pos="1079" w:val="left"/>
        </w:tabs>
        <w:numPr>
          <w:ilvl w:val="0"/>
          <w:numId w:val="545"/>
        </w:numPr>
        <w:rPr>
          <w:rFonts w:ascii="Arial" w:cs="Arial" w:eastAsia="Arial" w:hAnsi="Arial"/>
          <w:sz w:val="13"/>
          <w:szCs w:val="13"/>
          <w:color w:val="auto"/>
        </w:rPr>
      </w:pPr>
      <w:r>
        <w:rPr>
          <w:rFonts w:ascii="Arial" w:cs="Arial" w:eastAsia="Arial" w:hAnsi="Arial"/>
          <w:sz w:val="13"/>
          <w:szCs w:val="13"/>
          <w:u w:val="single" w:color="auto"/>
          <w:color w:val="auto"/>
        </w:rPr>
        <w:t>Election to Terminate</w:t>
      </w:r>
      <w:r>
        <w:rPr>
          <w:rFonts w:ascii="Arial" w:cs="Arial" w:eastAsia="Arial" w:hAnsi="Arial"/>
          <w:sz w:val="13"/>
          <w:szCs w:val="13"/>
          <w:color w:val="auto"/>
        </w:rPr>
        <w:t>. No re-entry or taking of possession of the Premises by Landlord shall be construed as an election to terminate this Lease unless a written notice of such intention is given to Tenant or unless the termination thereof is decreed by a court of competent jurisdiction.</w:t>
      </w:r>
    </w:p>
    <w:p>
      <w:pPr>
        <w:sectPr>
          <w:pgSz w:w="11900" w:h="16838" w:orient="portrait"/>
          <w:cols w:equalWidth="0" w:num="1">
            <w:col w:w="9560"/>
          </w:cols>
          <w:pgMar w:left="1140" w:top="253" w:right="1199" w:bottom="1440" w:gutter="0" w:footer="0" w:header="0"/>
        </w:sectPr>
      </w:pPr>
    </w:p>
    <w:bookmarkStart w:id="707" w:name="page708"/>
    <w:bookmarkEnd w:id="707"/>
    <w:p>
      <w:pPr>
        <w:ind w:left="1066" w:hanging="200"/>
        <w:spacing w:after="0"/>
        <w:tabs>
          <w:tab w:leader="none" w:pos="1066" w:val="left"/>
        </w:tabs>
        <w:numPr>
          <w:ilvl w:val="1"/>
          <w:numId w:val="546"/>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Default Payment Remedies</w:t>
      </w:r>
      <w:r>
        <w:rPr>
          <w:rFonts w:ascii="Arial" w:cs="Arial" w:eastAsia="Arial" w:hAnsi="Arial"/>
          <w:sz w:val="13"/>
          <w:szCs w:val="13"/>
          <w:color w:val="auto"/>
        </w:rPr>
        <w:t>. If Tenant fails to pay Rent within applicable notice and cure periods more than two (2) times in any twelve</w:t>
      </w:r>
    </w:p>
    <w:p>
      <w:pPr>
        <w:spacing w:after="0" w:line="50" w:lineRule="exact"/>
        <w:rPr>
          <w:rFonts w:ascii="Arial" w:cs="Arial" w:eastAsia="Arial" w:hAnsi="Arial"/>
          <w:sz w:val="13"/>
          <w:szCs w:val="13"/>
          <w:color w:val="auto"/>
        </w:rPr>
      </w:pPr>
    </w:p>
    <w:p>
      <w:pPr>
        <w:ind w:left="6" w:right="100" w:hanging="6"/>
        <w:spacing w:after="0" w:line="249" w:lineRule="auto"/>
        <w:tabs>
          <w:tab w:leader="none" w:pos="307" w:val="left"/>
        </w:tabs>
        <w:numPr>
          <w:ilvl w:val="0"/>
          <w:numId w:val="547"/>
        </w:numPr>
        <w:rPr>
          <w:rFonts w:ascii="Arial" w:cs="Arial" w:eastAsia="Arial" w:hAnsi="Arial"/>
          <w:sz w:val="16"/>
          <w:szCs w:val="16"/>
          <w:color w:val="auto"/>
        </w:rPr>
      </w:pPr>
      <w:r>
        <w:rPr>
          <w:rFonts w:ascii="Arial" w:cs="Arial" w:eastAsia="Arial" w:hAnsi="Arial"/>
          <w:sz w:val="16"/>
          <w:szCs w:val="16"/>
          <w:color w:val="auto"/>
        </w:rPr>
        <w:t>month period or more than three (3) times during the Term or any extension thereof, Landlord, in its sole discretion may demand in writing and Tenant shall pay all future installments of Rent quarterly in advance and all future payments of Rent shall be made by cashier’s check or other certified funds.</w:t>
      </w:r>
    </w:p>
    <w:p>
      <w:pPr>
        <w:spacing w:after="0" w:line="170" w:lineRule="exact"/>
        <w:rPr>
          <w:rFonts w:ascii="Arial" w:cs="Arial" w:eastAsia="Arial" w:hAnsi="Arial"/>
          <w:sz w:val="16"/>
          <w:szCs w:val="16"/>
          <w:color w:val="auto"/>
        </w:rPr>
      </w:pPr>
    </w:p>
    <w:p>
      <w:pPr>
        <w:ind w:left="6" w:right="200" w:firstLine="860"/>
        <w:spacing w:after="0" w:line="266" w:lineRule="auto"/>
        <w:tabs>
          <w:tab w:leader="none" w:pos="1094" w:val="left"/>
        </w:tabs>
        <w:numPr>
          <w:ilvl w:val="1"/>
          <w:numId w:val="547"/>
        </w:numPr>
        <w:rPr>
          <w:rFonts w:ascii="Arial" w:cs="Arial" w:eastAsia="Arial" w:hAnsi="Arial"/>
          <w:sz w:val="16"/>
          <w:szCs w:val="16"/>
          <w:color w:val="auto"/>
        </w:rPr>
      </w:pPr>
      <w:r>
        <w:rPr>
          <w:rFonts w:ascii="Arial" w:cs="Arial" w:eastAsia="Arial" w:hAnsi="Arial"/>
          <w:sz w:val="16"/>
          <w:szCs w:val="16"/>
          <w:u w:val="single" w:color="auto"/>
          <w:color w:val="auto"/>
        </w:rPr>
        <w:t>Cumulative Remedies</w:t>
      </w:r>
      <w:r>
        <w:rPr>
          <w:rFonts w:ascii="Arial" w:cs="Arial" w:eastAsia="Arial" w:hAnsi="Arial"/>
          <w:sz w:val="16"/>
          <w:szCs w:val="16"/>
          <w:color w:val="auto"/>
        </w:rPr>
        <w:t>. The remedies herein provided are not exclusive and Landlord shall have any and all other remedies provided herein or by law or in equity.</w:t>
      </w:r>
    </w:p>
    <w:p>
      <w:pPr>
        <w:spacing w:after="0" w:line="158" w:lineRule="exact"/>
        <w:rPr>
          <w:rFonts w:ascii="Arial" w:cs="Arial" w:eastAsia="Arial" w:hAnsi="Arial"/>
          <w:sz w:val="16"/>
          <w:szCs w:val="16"/>
          <w:color w:val="auto"/>
        </w:rPr>
      </w:pPr>
    </w:p>
    <w:p>
      <w:pPr>
        <w:ind w:left="6" w:right="100" w:firstLine="860"/>
        <w:spacing w:after="0" w:line="268" w:lineRule="auto"/>
        <w:tabs>
          <w:tab w:leader="none" w:pos="1094" w:val="left"/>
        </w:tabs>
        <w:numPr>
          <w:ilvl w:val="1"/>
          <w:numId w:val="547"/>
        </w:numPr>
        <w:rPr>
          <w:rFonts w:ascii="Arial" w:cs="Arial" w:eastAsia="Arial" w:hAnsi="Arial"/>
          <w:sz w:val="15"/>
          <w:szCs w:val="15"/>
          <w:color w:val="auto"/>
        </w:rPr>
      </w:pPr>
      <w:r>
        <w:rPr>
          <w:rFonts w:ascii="Arial" w:cs="Arial" w:eastAsia="Arial" w:hAnsi="Arial"/>
          <w:sz w:val="15"/>
          <w:szCs w:val="15"/>
          <w:u w:val="single" w:color="auto"/>
          <w:color w:val="auto"/>
        </w:rPr>
        <w:t>No Surrender</w:t>
      </w:r>
      <w:r>
        <w:rPr>
          <w:rFonts w:ascii="Arial" w:cs="Arial" w:eastAsia="Arial" w:hAnsi="Arial"/>
          <w:sz w:val="15"/>
          <w:szCs w:val="15"/>
          <w:color w:val="auto"/>
        </w:rPr>
        <w:t>. No act or conduct of Landlord, whether consisting of the acceptance of the keys to the Premises, or otherwise, shall be deemed to be or constitute an acceptance of the surrender of the Premises by Tenant prior to the expiration of the Term, and such acceptance by Landlord of surrender by Tenant shall only flow from and must be evidenced by a written acknowledgment of acceptance of surrender signed by Landlord. The surrender of this Lease by Tenant, voluntarily or otherwise, shall not work a merger unless Landlord elects in writing that such merger take place, but shall operate as an assignment to Landlord of any and all existing subleases, or Landlord may, at its option, elect in writing to treat such surrender as a merger terminating Tenant’s estate under this Lease, and thereupon Landlord may terminate any or all such subleases by notifying the sublessee of its election so to do within five (5) days after such surrender.</w:t>
      </w:r>
    </w:p>
    <w:p>
      <w:pPr>
        <w:spacing w:after="0" w:line="160" w:lineRule="exact"/>
        <w:rPr>
          <w:rFonts w:ascii="Arial" w:cs="Arial" w:eastAsia="Arial" w:hAnsi="Arial"/>
          <w:sz w:val="15"/>
          <w:szCs w:val="15"/>
          <w:color w:val="auto"/>
        </w:rPr>
      </w:pPr>
    </w:p>
    <w:p>
      <w:pPr>
        <w:ind w:left="6" w:firstLine="860"/>
        <w:spacing w:after="0" w:line="323" w:lineRule="auto"/>
        <w:tabs>
          <w:tab w:leader="none" w:pos="1059" w:val="left"/>
        </w:tabs>
        <w:numPr>
          <w:ilvl w:val="1"/>
          <w:numId w:val="547"/>
        </w:numPr>
        <w:rPr>
          <w:rFonts w:ascii="Arial" w:cs="Arial" w:eastAsia="Arial" w:hAnsi="Arial"/>
          <w:sz w:val="13"/>
          <w:szCs w:val="13"/>
          <w:color w:val="auto"/>
        </w:rPr>
      </w:pPr>
      <w:r>
        <w:rPr>
          <w:rFonts w:ascii="Arial" w:cs="Arial" w:eastAsia="Arial" w:hAnsi="Arial"/>
          <w:sz w:val="13"/>
          <w:szCs w:val="13"/>
          <w:u w:val="single" w:color="auto"/>
          <w:color w:val="auto"/>
        </w:rPr>
        <w:t>Notice Provisions</w:t>
      </w:r>
      <w:r>
        <w:rPr>
          <w:rFonts w:ascii="Arial" w:cs="Arial" w:eastAsia="Arial" w:hAnsi="Arial"/>
          <w:sz w:val="13"/>
          <w:szCs w:val="13"/>
          <w:color w:val="auto"/>
        </w:rPr>
        <w:t xml:space="preserve"> Tenant agrees that any notice given by Landlord pursuant to Paragraph 13.1 of the Lease shall satisfy the requirements for notice under California Code of Civil Procedure Section 1161, and Landlord shall not be required to give any additional notice in order to be entitled to commence an unlawful detainer proceeding. Should Landlord prepare any notice to Tenant for failure to pay rent, additional rent or perform any other obligation under the Lease, Tenant shall pay to Landlord, without any further notice from Landlord, the additional sum of $150.00 which the parties hereby agree represents a fair and reasonable estimate of the costs Landlord will incur by reason of preparing such notice.</w:t>
      </w:r>
    </w:p>
    <w:p>
      <w:pPr>
        <w:spacing w:after="0" w:line="125" w:lineRule="exact"/>
        <w:rPr>
          <w:rFonts w:ascii="Arial" w:cs="Arial" w:eastAsia="Arial" w:hAnsi="Arial"/>
          <w:sz w:val="13"/>
          <w:szCs w:val="13"/>
          <w:color w:val="auto"/>
        </w:rPr>
      </w:pPr>
    </w:p>
    <w:p>
      <w:pPr>
        <w:ind w:left="6" w:firstLine="860"/>
        <w:spacing w:after="0" w:line="308" w:lineRule="auto"/>
        <w:tabs>
          <w:tab w:leader="none" w:pos="1059" w:val="left"/>
        </w:tabs>
        <w:numPr>
          <w:ilvl w:val="1"/>
          <w:numId w:val="547"/>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Every term, condition, agreement, or provision contained in the Lease shall be deemed to be a covenant. The specified remedies to which Landlord may resort under the terms of the Lease are cumulative and are not intended to be exclusive of any other remedies or means of redress to which Landlord may be lawfully entitled in case of any breach or threatened breach by Tenant of any provision of the Lease. The failure of either party to insist in any one or more cases upon the strict performance of any of the terms, covenants, conditions, provisions or agreements of the Lease or to exercise any option herein contained shall not be construed as a waiver or a relinquishment for the future of any such term, covenant, condition, provision, agreement or option. A receipt and acceptance by Landlord of Rent or any other payment, or the acceptance of performance of anything required by the Lease to be performed, with knowledge of the breach of any term, covenant, condition, provision or agreement of the Lease, shall not be deemed a waiver of such breach, nor shall any such acceptance of Rent in a lesser amount than is herein provided for (regardless of any endorsement on any check, or any statement in any letter accompanying any payment of Rent) operate or be construed either as an accord and satisfaction or in any manner other than as a payment on account of the earliest Rent then unpaid by Tenant, and no waiver by Landlord of any term, covenant, condition, provision or agreement of the Lease shall be deemed to have been made unless expressed in writing and signed by Landlord. In addition to the other remedies provided Landlord in the Lease, Landlord shall be entitled to the immediate restraint by injunction of any violation or attempted or threatened violation, of any of the terms, covenants, conditions, provisions or agreements of the Lease. No act or conduct of Landlord, whether consisting of the acceptance of the keys to the Premises, or otherwise, shall be deemed to be or constitute an acceptance of the surrender of the Premises by Tenant prior to the expiration of the Term, and such acceptance by Landlord of surrender by Tenant shall only flow from and must be evidenced by a written acknowledgment of acceptance of surrender signed by Landlord. Notwithstanding anything to the contrary contained in the Lease or this Addendum, the foregoing terms and conditions shall apply to the extent that they are not contrary to any laws of the state of California.</w:t>
      </w:r>
    </w:p>
    <w:p>
      <w:pPr>
        <w:sectPr>
          <w:pgSz w:w="11900" w:h="16838" w:orient="portrait"/>
          <w:cols w:equalWidth="0" w:num="1">
            <w:col w:w="9586"/>
          </w:cols>
          <w:pgMar w:left="1134" w:top="257" w:right="1179" w:bottom="1440" w:gutter="0" w:footer="0" w:header="0"/>
        </w:sectPr>
      </w:pPr>
    </w:p>
    <w:bookmarkStart w:id="708" w:name="page709"/>
    <w:bookmarkEnd w:id="708"/>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ADDENDUM 2</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TERRENO REALTY CORPORATION</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Tenant Improvement Addendum</w:t>
      </w:r>
    </w:p>
    <w:p>
      <w:pPr>
        <w:spacing w:after="0" w:line="182" w:lineRule="exact"/>
        <w:rPr>
          <w:sz w:val="20"/>
          <w:szCs w:val="20"/>
          <w:color w:val="auto"/>
        </w:rPr>
      </w:pPr>
    </w:p>
    <w:p>
      <w:pPr>
        <w:ind w:left="6" w:right="80" w:firstLine="385"/>
        <w:spacing w:after="0" w:line="266" w:lineRule="auto"/>
        <w:rPr>
          <w:sz w:val="20"/>
          <w:szCs w:val="20"/>
          <w:color w:val="auto"/>
        </w:rPr>
      </w:pPr>
      <w:r>
        <w:rPr>
          <w:rFonts w:ascii="Arial" w:cs="Arial" w:eastAsia="Arial" w:hAnsi="Arial"/>
          <w:sz w:val="16"/>
          <w:szCs w:val="16"/>
          <w:color w:val="auto"/>
        </w:rPr>
        <w:t>This Tenant Improvement Addendum is a part of the Lease dated February 12, 2021, by and between Terreno Park Union City LLC (“Landlord”) and Tenaya Therapeutics, Inc. (“Tenant”) for the Premises as defined in the Lease.</w:t>
      </w:r>
    </w:p>
    <w:p>
      <w:pPr>
        <w:spacing w:after="0" w:line="158" w:lineRule="exact"/>
        <w:rPr>
          <w:sz w:val="20"/>
          <w:szCs w:val="20"/>
          <w:color w:val="auto"/>
        </w:rPr>
      </w:pPr>
    </w:p>
    <w:p>
      <w:pPr>
        <w:ind w:left="6" w:right="40"/>
        <w:spacing w:after="0" w:line="308" w:lineRule="auto"/>
        <w:rPr>
          <w:sz w:val="20"/>
          <w:szCs w:val="20"/>
          <w:color w:val="auto"/>
        </w:rPr>
      </w:pPr>
      <w:r>
        <w:rPr>
          <w:rFonts w:ascii="Arial" w:cs="Arial" w:eastAsia="Arial" w:hAnsi="Arial"/>
          <w:sz w:val="13"/>
          <w:szCs w:val="13"/>
          <w:color w:val="auto"/>
        </w:rPr>
        <w:t>Tenant may construct at its sole cost and expense the improvements (“Alterations”) for which Tenant has obtained Landlord’s prior written consent. Landlord hereby consent to the Alterations shown on Schedule 1 hereto. Prior to commencement of construction, Tenant shall obtain and deliver to Landlord any building permit required by applicable law and a copy of the executed construction contract(s). Tenant shall reimburse Landlord within 30 days after the rendition of a bill for all of Landlord’s actual, reasonable out-of-pocket costs incurred in connection with the Alterations, including, without limitation, all management, engineering, outside consulting, and construction fees incurred by or on behalf of Landlord for the review and approval of Tenant’s plans and specifications and for the monitoring of construction of the Alterations. Tenant shall supply all contact info for contractors and subcontractors Tenant shall require its contractor to maintain insurance in the amounts and in the forms reasonably acceptable to Landlord. The Alterations shall be constructed by licensed contractors approved by Landlord and in accordance with reasonable rules, such as hours of construction, imposed by Landlord. Landlord hereby approves Dome Construction and DGA as the contractor and architect for the Alterations. The Alterations shall be completed lien free, in accordance with the plans and specifications approved by Landlord, in a good, workmanlike, and prompt manner, with new materials of first-class quality and comply with all applicable local, state, and federal regulations. At Landlord’s election upon the expiration or earlier termination of the Lease, Tenant shall remove the Alterations except those for which Tenant obtained Landlord’s consent and Landlord, in such consent, did not require the removal of same, and repair any and all damage caused by such removal. Notwithstanding the foregoing, at the end of the Term or earlier termination of this Lease, Tenant shall remove the Approved Alterations set forth in Schedule 1 to this Addendum and restore the Premises to its condition prior to the installation and construction of the Approved Alterations.</w:t>
      </w:r>
    </w:p>
    <w:p>
      <w:pPr>
        <w:spacing w:after="0" w:line="332"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color w:val="auto"/>
        </w:rPr>
        <w:t>Tenant shall pay when due all claims for labor or materials furnished or alleged to have been furnished to or for Tenant at or for use on the Premises. Tenant shall give Landlord not less than 10 days’ notice prior to the commencement of any work in, on, or about the Premises, and Landlord shall have the right to post notices of non-responsibility in or on the Premises as provided by law.</w:t>
      </w:r>
    </w:p>
    <w:p>
      <w:pPr>
        <w:spacing w:after="0" w:line="166" w:lineRule="exact"/>
        <w:rPr>
          <w:sz w:val="20"/>
          <w:szCs w:val="20"/>
          <w:color w:val="auto"/>
        </w:rPr>
      </w:pPr>
    </w:p>
    <w:p>
      <w:pPr>
        <w:ind w:left="6" w:right="120"/>
        <w:spacing w:after="0" w:line="266" w:lineRule="auto"/>
        <w:rPr>
          <w:sz w:val="20"/>
          <w:szCs w:val="20"/>
          <w:color w:val="auto"/>
        </w:rPr>
      </w:pPr>
      <w:r>
        <w:rPr>
          <w:rFonts w:ascii="Arial" w:cs="Arial" w:eastAsia="Arial" w:hAnsi="Arial"/>
          <w:sz w:val="16"/>
          <w:szCs w:val="16"/>
          <w:color w:val="auto"/>
        </w:rPr>
        <w:t>Tenant agrees to indemnify, protect, and defend Landlord and hold Landlord harmless against any loss, liability, or damage resulting from construction of the Alterations.</w:t>
      </w:r>
    </w:p>
    <w:p>
      <w:pPr>
        <w:spacing w:after="0" w:line="158" w:lineRule="exact"/>
        <w:rPr>
          <w:sz w:val="20"/>
          <w:szCs w:val="20"/>
          <w:color w:val="auto"/>
        </w:rPr>
      </w:pPr>
    </w:p>
    <w:p>
      <w:pPr>
        <w:ind w:left="6" w:right="40"/>
        <w:spacing w:after="0" w:line="311" w:lineRule="auto"/>
        <w:rPr>
          <w:sz w:val="20"/>
          <w:szCs w:val="20"/>
          <w:color w:val="auto"/>
        </w:rPr>
      </w:pPr>
      <w:r>
        <w:rPr>
          <w:rFonts w:ascii="Arial" w:cs="Arial" w:eastAsia="Arial" w:hAnsi="Arial"/>
          <w:sz w:val="13"/>
          <w:szCs w:val="13"/>
          <w:color w:val="auto"/>
        </w:rPr>
        <w:t>Tenant Improvement Allowance: Subject to Tenant’s compliance with the provisions of this Addendum and the Lease, Landlord shall provide to Tenant an allowance in the amount of Two Hundred Eighty-Two Thousand One Hundred Thirty-Eight and zero/00 Dollars ($282,138.00) (“TI Allowance”) to construct and install only the alterations to the Premises which have been approved in writing by Landlord pursuant to this Addendum (“Alterations”). The TI Allowance shall be used to design, prepare, plan, obtain approval of, construct and install the Alterations and for no other purpose. Except as otherwise expressly provided herein, Landlord shall have no obligation to contribute the TI Allowance unless and until the Alterations have been completed in a good and workmanlike manner in lien free condition and evidence of same reasonably satisfactory to Landlord has been received by Landlord to include, but not be limited to (a) receipt by Landlord of unconditional mechanics’ lien releases from the contractor and all subcontractors, labor suppliers and materialmen for the Alterations completed by the contractor, subcontractors, labor suppliers and materialmen and for which Tenant seeks funds from the TI Allowance to pay for such Alterations, (b) invoices, bills, or statements for the Alterations completed and the materials and supplies used for all Alterations for which the TI Allowance was utilized, and (c) completion by Landlord or Landlord’s agents of any inspections of the Alterations completed and materials and supplies used as deemed reasonably necessary by Landlord which Landlord will complete within thirty</w:t>
      </w:r>
    </w:p>
    <w:p>
      <w:pPr>
        <w:spacing w:after="0" w:line="149" w:lineRule="exact"/>
        <w:rPr>
          <w:sz w:val="20"/>
          <w:szCs w:val="20"/>
          <w:color w:val="auto"/>
        </w:rPr>
      </w:pPr>
    </w:p>
    <w:p>
      <w:pPr>
        <w:ind w:left="6" w:hanging="6"/>
        <w:spacing w:after="0" w:line="264" w:lineRule="auto"/>
        <w:tabs>
          <w:tab w:leader="none" w:pos="307" w:val="left"/>
        </w:tabs>
        <w:numPr>
          <w:ilvl w:val="0"/>
          <w:numId w:val="548"/>
        </w:numPr>
        <w:rPr>
          <w:rFonts w:ascii="Arial" w:cs="Arial" w:eastAsia="Arial" w:hAnsi="Arial"/>
          <w:sz w:val="15"/>
          <w:szCs w:val="15"/>
          <w:color w:val="auto"/>
        </w:rPr>
      </w:pPr>
      <w:r>
        <w:rPr>
          <w:rFonts w:ascii="Arial" w:cs="Arial" w:eastAsia="Arial" w:hAnsi="Arial"/>
          <w:sz w:val="15"/>
          <w:szCs w:val="15"/>
          <w:color w:val="auto"/>
        </w:rPr>
        <w:t>days after notice from Tenant that work is complete. The TI Allowance shall be paid to Tenant within forty-five (45) days from the satisfaction of the conditions set forth in the immediately preceding sentence. Should the total cost of constructing the Alterations be less than the TI Allowance, the TI Allowance shall be automatically reduced to the amount equal to said actual cost. If the Lease is terminated prior to the date on which the Alterations are completed, for any reason due to the default of Tenant hereunder, in addition to any other remedies available to Landlord under the Lease, Tenant shall pay to Landlord as Additional Rent under the Lease, within thirty (30) days of receipt of a statement therefor, any and all costs incurred by Landlord and not reimbursed or otherwise paid by Tenant as required herein through the date of termination in connection with the Alterations to the extent planned, installed and/or constructed as of such date of termination , including, but not limited to, any costs related to the removal of all or any portion of the Alterations and restoration costs related thereto. Notwithstanding the foregoing, if all of the conditions for payment of the TI Allowance have not been completed or Landlord has not received the request for the TI Allowance from Tenant on or before April 30, 2022, Landlord shall have no obligation to pay the TI Allowance. To the extent that any Alterations or improvements made by or for Tenant or Tenant’s specific use require compliance with Applicable Requirements for the Premises</w:t>
      </w:r>
    </w:p>
    <w:p>
      <w:pPr>
        <w:sectPr>
          <w:pgSz w:w="11900" w:h="16838" w:orient="portrait"/>
          <w:cols w:equalWidth="0" w:num="1">
            <w:col w:w="9606"/>
          </w:cols>
          <w:pgMar w:left="1134" w:top="253" w:right="1159" w:bottom="1440" w:gutter="0" w:footer="0" w:header="0"/>
        </w:sectPr>
      </w:pPr>
    </w:p>
    <w:bookmarkStart w:id="709" w:name="page710"/>
    <w:bookmarkEnd w:id="709"/>
    <w:p>
      <w:pPr>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 any part of the Industrial Center including, but not limited to, the Americans with Disabilities Act (collectively “Compliance Improvements”), Tenant shall (i) be solely responsible for the cost of the Compliance Improvements, (ii) reimburse Landlord for any amounts expended by Landlord for the cost of the Compliance Improvements, and (iii) indemnify, hold harmless and defend at Tenant’s sole cost by counsel reasonably satisfactory to Landlord, Landlord and the Landlord Entities from any liability, damage or cost arising from the Compliance Improvements, which indemnity shall survive the termination or expiration of the Lease.</w:t>
      </w:r>
    </w:p>
    <w:p>
      <w:pPr>
        <w:spacing w:after="0" w:line="170" w:lineRule="exact"/>
        <w:rPr>
          <w:sz w:val="20"/>
          <w:szCs w:val="20"/>
          <w:color w:val="auto"/>
        </w:rPr>
      </w:pPr>
    </w:p>
    <w:p>
      <w:pPr>
        <w:ind w:right="60"/>
        <w:spacing w:after="0" w:line="316" w:lineRule="auto"/>
        <w:rPr>
          <w:sz w:val="20"/>
          <w:szCs w:val="20"/>
          <w:color w:val="auto"/>
        </w:rPr>
      </w:pPr>
      <w:r>
        <w:rPr>
          <w:rFonts w:ascii="Arial" w:cs="Arial" w:eastAsia="Arial" w:hAnsi="Arial"/>
          <w:sz w:val="13"/>
          <w:szCs w:val="13"/>
          <w:color w:val="auto"/>
        </w:rPr>
        <w:t>Tenant acknowledges and agrees that it has had sufficient opportunity to investigate and inspect the physical condition of the Premises and, except as otherwise set forth in the Lease, accepts the Premises subject to the foregoing in its existing condition, “as-is, where is and with all faults”. Except as specifically set forth herein or in the Lease, it is expressly understood and agreed that Landlord has no responsibility or obligation to or for (1) repair or perform any work with respect to the Premises including, but not limited to, the building, floor, roof, storefront (if any), walls, ceiling, lighting fixtures, heating, ventilating and air-conditioning systems, plumbing, bathrooms, utilities systems or otherwise, (2) the condition of the Premises, (3) the suitability of the Premises for any use by Tenant, (4) the presence of any hazardous, toxic or environmentally sensitive materials in, on or below the Premises, or (5) the existence of any other physical impairment or impairment to the Premises not specifically disclosed in this Lease.</w:t>
      </w:r>
    </w:p>
    <w:p>
      <w:pPr>
        <w:spacing w:after="0" w:line="131" w:lineRule="exact"/>
        <w:rPr>
          <w:sz w:val="20"/>
          <w:szCs w:val="20"/>
          <w:color w:val="auto"/>
        </w:rPr>
      </w:pPr>
    </w:p>
    <w:p>
      <w:pPr>
        <w:jc w:val="both"/>
        <w:ind w:right="380"/>
        <w:spacing w:after="0" w:line="281" w:lineRule="auto"/>
        <w:rPr>
          <w:sz w:val="20"/>
          <w:szCs w:val="20"/>
          <w:color w:val="auto"/>
        </w:rPr>
      </w:pPr>
      <w:r>
        <w:rPr>
          <w:rFonts w:ascii="Arial" w:cs="Arial" w:eastAsia="Arial" w:hAnsi="Arial"/>
          <w:sz w:val="15"/>
          <w:szCs w:val="15"/>
          <w:color w:val="auto"/>
        </w:rPr>
        <w:t>Notwithstanding anything to the contrary, within five (5) business days of receipt from Landlord of a Move-In Inspection form on Landlord’s then current form (“Move-Inspection”), Tenant shall execute the Move-In Inspection and return the signed Move-In Inspection to Landlord. Failure by Tenant to sign and return the Move-In Inspection in a timely manner shall be a default under the Lease.</w:t>
      </w:r>
    </w:p>
    <w:p>
      <w:pPr>
        <w:spacing w:after="0" w:line="149" w:lineRule="exact"/>
        <w:rPr>
          <w:sz w:val="20"/>
          <w:szCs w:val="20"/>
          <w:color w:val="auto"/>
        </w:rPr>
      </w:pPr>
    </w:p>
    <w:p>
      <w:pPr>
        <w:ind w:right="20"/>
        <w:spacing w:after="0" w:line="383" w:lineRule="auto"/>
        <w:rPr>
          <w:sz w:val="20"/>
          <w:szCs w:val="20"/>
          <w:color w:val="auto"/>
        </w:rPr>
      </w:pPr>
      <w:r>
        <w:rPr>
          <w:rFonts w:ascii="Arial" w:cs="Arial" w:eastAsia="Arial" w:hAnsi="Arial"/>
          <w:sz w:val="13"/>
          <w:szCs w:val="13"/>
          <w:color w:val="auto"/>
        </w:rPr>
        <w:t>Where no time period is specified above, Landlord shall respond to any consent or approval request within ten (10) business days and Landlord’s failure to provide or reasonably refuse its consent within such time period shall be deemed Landlord’s consent or approval to the request.</w:t>
      </w:r>
    </w:p>
    <w:p>
      <w:pPr>
        <w:sectPr>
          <w:pgSz w:w="11900" w:h="16838" w:orient="portrait"/>
          <w:cols w:equalWidth="0" w:num="1">
            <w:col w:w="9580"/>
          </w:cols>
          <w:pgMar w:left="1140" w:top="256" w:right="1179" w:bottom="1440" w:gutter="0" w:footer="0" w:header="0"/>
        </w:sectPr>
      </w:pPr>
    </w:p>
    <w:bookmarkStart w:id="710" w:name="page711"/>
    <w:bookmarkEnd w:id="71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Approved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170180</wp:posOffset>
            </wp:positionV>
            <wp:extent cx="4057650" cy="539051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4057650" cy="539051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711" w:name="page712"/>
    <w:bookmarkEnd w:id="7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243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90105" cy="547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2" w:name="page713"/>
    <w:bookmarkEnd w:id="7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96379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90105" cy="4963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3" w:name="page714"/>
    <w:bookmarkEnd w:id="7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243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90105" cy="547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4" w:name="page715"/>
    <w:bookmarkEnd w:id="7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96379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90105" cy="4963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5" w:name="page716"/>
    <w:bookmarkEnd w:id="7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306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90105" cy="547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6" w:name="page717"/>
    <w:bookmarkEnd w:id="7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243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90105" cy="547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7" w:name="page718"/>
    <w:bookmarkEnd w:id="71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ADDENDUM 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Intentionally Deleted</w:t>
      </w:r>
    </w:p>
    <w:p>
      <w:pPr>
        <w:sectPr>
          <w:pgSz w:w="11900" w:h="16838" w:orient="portrait"/>
          <w:cols w:equalWidth="0" w:num="1">
            <w:col w:w="9019"/>
          </w:cols>
          <w:pgMar w:left="1440" w:top="252" w:right="1440" w:bottom="1440" w:gutter="0" w:footer="0" w:header="0"/>
        </w:sectPr>
      </w:pPr>
    </w:p>
    <w:bookmarkStart w:id="718" w:name="page719"/>
    <w:bookmarkEnd w:id="71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ADDENDUM 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Option to Extend Addendum</w:t>
      </w:r>
    </w:p>
    <w:p>
      <w:pPr>
        <w:spacing w:after="0" w:line="197" w:lineRule="exact"/>
        <w:rPr>
          <w:sz w:val="20"/>
          <w:szCs w:val="20"/>
          <w:color w:val="auto"/>
        </w:rPr>
      </w:pPr>
    </w:p>
    <w:p>
      <w:pPr>
        <w:ind w:right="40" w:firstLine="385"/>
        <w:spacing w:after="0" w:line="266" w:lineRule="auto"/>
        <w:rPr>
          <w:sz w:val="20"/>
          <w:szCs w:val="20"/>
          <w:color w:val="auto"/>
        </w:rPr>
      </w:pPr>
      <w:r>
        <w:rPr>
          <w:rFonts w:ascii="Arial" w:cs="Arial" w:eastAsia="Arial" w:hAnsi="Arial"/>
          <w:sz w:val="16"/>
          <w:szCs w:val="16"/>
          <w:color w:val="auto"/>
        </w:rPr>
        <w:t>This Option to Extend Addendum is a part of the Lease dated February 12, 2021, by and between Terreno Park Union City LLC (“Landlord”) and Tenaya Therapeutics, Inc. (“Tenant”) for the Premises as defined in the Lease.</w:t>
      </w:r>
    </w:p>
    <w:p>
      <w:pPr>
        <w:spacing w:after="0" w:line="158" w:lineRule="exact"/>
        <w:rPr>
          <w:sz w:val="20"/>
          <w:szCs w:val="20"/>
          <w:color w:val="auto"/>
        </w:rPr>
      </w:pPr>
    </w:p>
    <w:p>
      <w:pPr>
        <w:ind w:firstLine="385"/>
        <w:spacing w:after="0" w:line="266" w:lineRule="auto"/>
        <w:rPr>
          <w:sz w:val="20"/>
          <w:szCs w:val="20"/>
          <w:color w:val="auto"/>
        </w:rPr>
      </w:pPr>
      <w:r>
        <w:rPr>
          <w:rFonts w:ascii="Arial" w:cs="Arial" w:eastAsia="Arial" w:hAnsi="Arial"/>
          <w:sz w:val="16"/>
          <w:szCs w:val="16"/>
          <w:color w:val="auto"/>
        </w:rPr>
        <w:t>Landlord hereby grants to Tenant the option (“Option”) to extend the term of the Lease for one (1) five (5) year period from the end of the existing term of the Lease (“Option Period”) on the following terms and conditions:</w:t>
      </w:r>
    </w:p>
    <w:p>
      <w:pPr>
        <w:spacing w:after="0" w:line="158" w:lineRule="exact"/>
        <w:rPr>
          <w:sz w:val="20"/>
          <w:szCs w:val="20"/>
          <w:color w:val="auto"/>
        </w:rPr>
      </w:pPr>
    </w:p>
    <w:p>
      <w:pPr>
        <w:ind w:right="20" w:firstLine="860"/>
        <w:spacing w:after="0" w:line="251" w:lineRule="auto"/>
        <w:tabs>
          <w:tab w:leader="none" w:pos="1027" w:val="left"/>
        </w:tabs>
        <w:numPr>
          <w:ilvl w:val="0"/>
          <w:numId w:val="549"/>
        </w:numPr>
        <w:rPr>
          <w:rFonts w:ascii="Arial" w:cs="Arial" w:eastAsia="Arial" w:hAnsi="Arial"/>
          <w:sz w:val="16"/>
          <w:szCs w:val="16"/>
          <w:color w:val="auto"/>
        </w:rPr>
      </w:pPr>
      <w:r>
        <w:rPr>
          <w:rFonts w:ascii="Arial" w:cs="Arial" w:eastAsia="Arial" w:hAnsi="Arial"/>
          <w:sz w:val="16"/>
          <w:szCs w:val="16"/>
          <w:color w:val="auto"/>
        </w:rPr>
        <w:t>Exercise Date: In order to exercise the Option, Tenant must not be in Default of any of its obligations under the Lease and Tenant must give written notice (“Notice”) of such election to Landlord and Landlord must receive the Notice not earlier than 15 months (“Earliest Exercise Date”) nor later than 12 months prior to the Expiration Date (“Last Exercise Date”) which are sometimes collectively referred to herein as the “Option Exercise Date.” If the Notice is not received, the Option shall automatically expire. Tenant’s failure to notify Landlord by the Option Exercise Date will conclusively be presumed an election by Tenant not to exercise the Option.</w:t>
      </w:r>
    </w:p>
    <w:p>
      <w:pPr>
        <w:spacing w:after="0" w:line="170" w:lineRule="exact"/>
        <w:rPr>
          <w:sz w:val="20"/>
          <w:szCs w:val="20"/>
          <w:color w:val="auto"/>
        </w:rPr>
      </w:pPr>
    </w:p>
    <w:p>
      <w:pPr>
        <w:ind w:right="260" w:firstLine="385"/>
        <w:spacing w:after="0" w:line="319" w:lineRule="auto"/>
        <w:rPr>
          <w:sz w:val="20"/>
          <w:szCs w:val="20"/>
          <w:color w:val="auto"/>
        </w:rPr>
      </w:pPr>
      <w:r>
        <w:rPr>
          <w:rFonts w:ascii="Arial" w:cs="Arial" w:eastAsia="Arial" w:hAnsi="Arial"/>
          <w:sz w:val="13"/>
          <w:szCs w:val="13"/>
          <w:color w:val="auto"/>
        </w:rPr>
        <w:t>Monthly Base Rent. The monthly Base Rent and any increases for each month of the Option Period shall be the fair market rent determined as follows but in no event less than one hundred three percent (103%) of the highest Base Rent paid during the initial Term. Four months prior to the commencement of each Adjustment Period, if the selected Rent Adjustment Alternative is the Market Rent Adjustment, the Parties shall negotiate in good faith to determine the Base Rent for the Adjustment Period. If agreement cannot be reached within thirty days, then Landlord and Tenant shall each, no later than 90 days prior to the commencement of the Adjustment Period, make a reasonable determination of the fair market rental for the Premises for the Adjustment Period and submit such determination, in writing, to arbitration in accordance with the following provisions:</w:t>
      </w:r>
    </w:p>
    <w:p>
      <w:pPr>
        <w:spacing w:after="0" w:line="128" w:lineRule="exact"/>
        <w:rPr>
          <w:sz w:val="20"/>
          <w:szCs w:val="20"/>
          <w:color w:val="auto"/>
        </w:rPr>
      </w:pPr>
    </w:p>
    <w:p>
      <w:pPr>
        <w:jc w:val="both"/>
        <w:ind w:right="20" w:firstLine="860"/>
        <w:spacing w:after="0" w:line="256" w:lineRule="auto"/>
        <w:tabs>
          <w:tab w:leader="none" w:pos="1088" w:val="left"/>
        </w:tabs>
        <w:numPr>
          <w:ilvl w:val="0"/>
          <w:numId w:val="550"/>
        </w:numPr>
        <w:rPr>
          <w:rFonts w:ascii="Arial" w:cs="Arial" w:eastAsia="Arial" w:hAnsi="Arial"/>
          <w:sz w:val="16"/>
          <w:szCs w:val="16"/>
          <w:color w:val="auto"/>
        </w:rPr>
      </w:pPr>
      <w:r>
        <w:rPr>
          <w:rFonts w:ascii="Arial" w:cs="Arial" w:eastAsia="Arial" w:hAnsi="Arial"/>
          <w:sz w:val="16"/>
          <w:szCs w:val="16"/>
          <w:color w:val="auto"/>
        </w:rPr>
        <w:t>No later than 90 days prior to the commencement of the Adjustment Period, Landlord and Tenant shall each select an industrial leasing broker to act as an arbitrator. The two arbitrators so appointed shall, no later than 75 days prior to the commencement of the Adjustment Period, select a third mutually acceptable industrial leasing broker to act as a third arbitrator.</w:t>
      </w:r>
    </w:p>
    <w:p>
      <w:pPr>
        <w:spacing w:after="0" w:line="165" w:lineRule="exact"/>
        <w:rPr>
          <w:rFonts w:ascii="Arial" w:cs="Arial" w:eastAsia="Arial" w:hAnsi="Arial"/>
          <w:sz w:val="16"/>
          <w:szCs w:val="16"/>
          <w:color w:val="auto"/>
        </w:rPr>
      </w:pPr>
    </w:p>
    <w:p>
      <w:pPr>
        <w:jc w:val="both"/>
        <w:ind w:right="40" w:firstLine="860"/>
        <w:spacing w:after="0" w:line="253" w:lineRule="auto"/>
        <w:tabs>
          <w:tab w:leader="none" w:pos="1088"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three arbitrators, acting by a majority, shall no later than 75 days prior to the commencement of the Adjustment Period, determine the actual fair market rental for the Premises for the Adjustment Period. The decision of a majority of the arbitrators shall be binding on the Parties. The fair market rental determination of Landlord or Tenant which is closest to the fair market rental as determined by the arbitrators shall be the Base Rent for the Adjustment Period.</w:t>
      </w:r>
    </w:p>
    <w:p>
      <w:pPr>
        <w:spacing w:after="0" w:line="167" w:lineRule="exact"/>
        <w:rPr>
          <w:rFonts w:ascii="Arial" w:cs="Arial" w:eastAsia="Arial" w:hAnsi="Arial"/>
          <w:sz w:val="16"/>
          <w:szCs w:val="16"/>
          <w:color w:val="auto"/>
        </w:rPr>
      </w:pPr>
    </w:p>
    <w:p>
      <w:pPr>
        <w:ind w:right="140" w:firstLine="860"/>
        <w:spacing w:after="0" w:line="266" w:lineRule="auto"/>
        <w:tabs>
          <w:tab w:leader="none" w:pos="1088" w:val="left"/>
        </w:tabs>
        <w:numPr>
          <w:ilvl w:val="0"/>
          <w:numId w:val="550"/>
        </w:numPr>
        <w:rPr>
          <w:rFonts w:ascii="Arial" w:cs="Arial" w:eastAsia="Arial" w:hAnsi="Arial"/>
          <w:sz w:val="16"/>
          <w:szCs w:val="16"/>
          <w:color w:val="auto"/>
        </w:rPr>
      </w:pPr>
      <w:r>
        <w:rPr>
          <w:rFonts w:ascii="Arial" w:cs="Arial" w:eastAsia="Arial" w:hAnsi="Arial"/>
          <w:sz w:val="16"/>
          <w:szCs w:val="16"/>
          <w:color w:val="auto"/>
        </w:rPr>
        <w:t>If either of the Parties fails to appoint an arbitrator within the period required by this Addendum, the arbitrator timely appointed shall determine the Base Rent for the Adjustment Period.</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entire cost of such arbitration shall be paid by the party whose fair market rental submission is not selected.</w:t>
      </w:r>
    </w:p>
    <w:p>
      <w:pPr>
        <w:spacing w:after="0" w:line="189" w:lineRule="exact"/>
        <w:rPr>
          <w:sz w:val="20"/>
          <w:szCs w:val="20"/>
          <w:color w:val="auto"/>
        </w:rPr>
      </w:pPr>
    </w:p>
    <w:p>
      <w:pPr>
        <w:ind w:left="1020" w:hanging="160"/>
        <w:spacing w:after="0"/>
        <w:tabs>
          <w:tab w:leader="none" w:pos="1020" w:val="left"/>
        </w:tabs>
        <w:numPr>
          <w:ilvl w:val="0"/>
          <w:numId w:val="551"/>
        </w:numPr>
        <w:rPr>
          <w:rFonts w:ascii="Arial" w:cs="Arial" w:eastAsia="Arial" w:hAnsi="Arial"/>
          <w:sz w:val="16"/>
          <w:szCs w:val="16"/>
          <w:color w:val="auto"/>
        </w:rPr>
      </w:pPr>
      <w:r>
        <w:rPr>
          <w:rFonts w:ascii="Arial" w:cs="Arial" w:eastAsia="Arial" w:hAnsi="Arial"/>
          <w:sz w:val="16"/>
          <w:szCs w:val="16"/>
          <w:b w:val="1"/>
          <w:bCs w:val="1"/>
          <w:color w:val="auto"/>
        </w:rPr>
        <w:t xml:space="preserve">Conditions to Exercise of Option. </w:t>
      </w:r>
      <w:r>
        <w:rPr>
          <w:rFonts w:ascii="Arial" w:cs="Arial" w:eastAsia="Arial" w:hAnsi="Arial"/>
          <w:sz w:val="16"/>
          <w:szCs w:val="16"/>
          <w:color w:val="auto"/>
        </w:rPr>
        <w:t>Tenant’s right to extend is conditioned upon and subject to each of the following:</w:t>
      </w:r>
    </w:p>
    <w:p>
      <w:pPr>
        <w:spacing w:after="0" w:line="197" w:lineRule="exact"/>
        <w:rPr>
          <w:rFonts w:ascii="Arial" w:cs="Arial" w:eastAsia="Arial" w:hAnsi="Arial"/>
          <w:sz w:val="16"/>
          <w:szCs w:val="16"/>
          <w:color w:val="auto"/>
        </w:rPr>
      </w:pPr>
    </w:p>
    <w:p>
      <w:pPr>
        <w:ind w:right="60" w:firstLine="1244"/>
        <w:spacing w:after="0" w:line="270" w:lineRule="auto"/>
        <w:tabs>
          <w:tab w:leader="none" w:pos="1386" w:val="left"/>
        </w:tabs>
        <w:numPr>
          <w:ilvl w:val="1"/>
          <w:numId w:val="551"/>
        </w:numPr>
        <w:rPr>
          <w:rFonts w:ascii="Arial" w:cs="Arial" w:eastAsia="Arial" w:hAnsi="Arial"/>
          <w:sz w:val="15"/>
          <w:szCs w:val="15"/>
          <w:color w:val="auto"/>
        </w:rPr>
      </w:pPr>
      <w:r>
        <w:rPr>
          <w:rFonts w:ascii="Arial" w:cs="Arial" w:eastAsia="Arial" w:hAnsi="Arial"/>
          <w:sz w:val="15"/>
          <w:szCs w:val="15"/>
          <w:color w:val="auto"/>
        </w:rPr>
        <w:t>In order to exercise the Option, Tenant must not have been in Default of any of its obligations under the Lease during the Term or any extended Term and must give written notice of such election to Landlord and Landlord must receive the same by the Last Exercise Date but not prior to the Earliest Exercise Date. If proper notification of the exercise of an Option is not given and/or received, the Option shall automatically expire. Failure to exercise an option terminates the Option. Tenant acknowledges that because of the importance to Landlord of knowing no later than the Last Exercise Date whether or not Tenant will exercise the Option, the failure of Tenant to notify Landlord by the Last Exercise Date will conclusively be presumed an election by Tenant not to exercise the Option.</w:t>
      </w:r>
    </w:p>
    <w:p>
      <w:pPr>
        <w:spacing w:after="0" w:line="156" w:lineRule="exact"/>
        <w:rPr>
          <w:rFonts w:ascii="Arial" w:cs="Arial" w:eastAsia="Arial" w:hAnsi="Arial"/>
          <w:sz w:val="15"/>
          <w:szCs w:val="15"/>
          <w:color w:val="auto"/>
        </w:rPr>
      </w:pPr>
    </w:p>
    <w:p>
      <w:pPr>
        <w:ind w:right="60" w:firstLine="1244"/>
        <w:spacing w:after="0" w:line="253" w:lineRule="auto"/>
        <w:tabs>
          <w:tab w:leader="none" w:pos="1429"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Tenant shall have no right to exercise an option (i) if Tenant is in Default or (ii) in the event that Landlord has given to Tenant three or more notices of separate Defaults during the 12-month period immediately preceding the exercise of the option, whether or not the Defaults are cured. The period of time within which the Option may be exercised shall not be extended or enlarged by reason of Tenant’s inability to exercise the Option because of the provisions of this paragraph.</w:t>
      </w:r>
    </w:p>
    <w:p>
      <w:pPr>
        <w:spacing w:after="0" w:line="167" w:lineRule="exact"/>
        <w:rPr>
          <w:rFonts w:ascii="Arial" w:cs="Arial" w:eastAsia="Arial" w:hAnsi="Arial"/>
          <w:sz w:val="16"/>
          <w:szCs w:val="16"/>
          <w:color w:val="auto"/>
        </w:rPr>
      </w:pPr>
    </w:p>
    <w:p>
      <w:pPr>
        <w:ind w:left="1460" w:hanging="216"/>
        <w:spacing w:after="0"/>
        <w:tabs>
          <w:tab w:leader="none" w:pos="146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All of the terms and conditions of this Lease, except where specifically modified by this Amendment, shall apply.</w:t>
      </w:r>
    </w:p>
    <w:p>
      <w:pPr>
        <w:spacing w:after="0" w:line="193" w:lineRule="exact"/>
        <w:rPr>
          <w:rFonts w:ascii="Arial" w:cs="Arial" w:eastAsia="Arial" w:hAnsi="Arial"/>
          <w:sz w:val="16"/>
          <w:szCs w:val="16"/>
          <w:color w:val="auto"/>
        </w:rPr>
      </w:pPr>
    </w:p>
    <w:p>
      <w:pPr>
        <w:ind w:right="380" w:firstLine="1244"/>
        <w:spacing w:after="0" w:line="266" w:lineRule="auto"/>
        <w:tabs>
          <w:tab w:leader="none" w:pos="1464"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The Option is personal to the Tenant and any transferee permitted under Paragraph 12 of the Lease and cannot otherwise be assigned or exercised by anyone other than the Tenant.</w:t>
      </w:r>
    </w:p>
    <w:p>
      <w:pPr>
        <w:sectPr>
          <w:pgSz w:w="11900" w:h="16838" w:orient="portrait"/>
          <w:cols w:equalWidth="0" w:num="1">
            <w:col w:w="9600"/>
          </w:cols>
          <w:pgMar w:left="1140" w:top="252" w:right="1159" w:bottom="1440" w:gutter="0" w:footer="0" w:header="0"/>
        </w:sectPr>
      </w:pPr>
    </w:p>
    <w:bookmarkStart w:id="719" w:name="page720"/>
    <w:bookmarkEnd w:id="719"/>
    <w:p>
      <w:pPr>
        <w:jc w:val="center"/>
        <w:ind w:right="-4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ADDENDUM 5</w:t>
      </w:r>
    </w:p>
    <w:p>
      <w:pPr>
        <w:spacing w:after="0" w:line="193" w:lineRule="exact"/>
        <w:rPr>
          <w:sz w:val="20"/>
          <w:szCs w:val="20"/>
          <w:color w:val="auto"/>
        </w:rPr>
      </w:pPr>
    </w:p>
    <w:p>
      <w:pPr>
        <w:jc w:val="center"/>
        <w:ind w:right="-45"/>
        <w:spacing w:after="0"/>
        <w:rPr>
          <w:sz w:val="20"/>
          <w:szCs w:val="20"/>
          <w:color w:val="auto"/>
        </w:rPr>
      </w:pPr>
      <w:r>
        <w:rPr>
          <w:rFonts w:ascii="Arial" w:cs="Arial" w:eastAsia="Arial" w:hAnsi="Arial"/>
          <w:sz w:val="16"/>
          <w:szCs w:val="16"/>
          <w:b w:val="1"/>
          <w:bCs w:val="1"/>
          <w:color w:val="auto"/>
        </w:rPr>
        <w:t>TERRENO REALTY CORPORATION</w:t>
      </w:r>
    </w:p>
    <w:p>
      <w:pPr>
        <w:spacing w:after="0" w:line="20" w:lineRule="exact"/>
        <w:rPr>
          <w:sz w:val="20"/>
          <w:szCs w:val="20"/>
          <w:color w:val="auto"/>
        </w:rPr>
      </w:pPr>
    </w:p>
    <w:p>
      <w:pPr>
        <w:jc w:val="center"/>
        <w:ind w:right="-45"/>
        <w:spacing w:after="0"/>
        <w:rPr>
          <w:sz w:val="20"/>
          <w:szCs w:val="20"/>
          <w:color w:val="auto"/>
        </w:rPr>
      </w:pPr>
      <w:r>
        <w:rPr>
          <w:rFonts w:ascii="Arial" w:cs="Arial" w:eastAsia="Arial" w:hAnsi="Arial"/>
          <w:sz w:val="16"/>
          <w:szCs w:val="16"/>
          <w:b w:val="1"/>
          <w:bCs w:val="1"/>
          <w:color w:val="auto"/>
        </w:rPr>
        <w:t>Early Possession and Inducement Recapture Addendum</w:t>
      </w:r>
    </w:p>
    <w:p>
      <w:pPr>
        <w:spacing w:after="0" w:line="182" w:lineRule="exact"/>
        <w:rPr>
          <w:sz w:val="20"/>
          <w:szCs w:val="20"/>
          <w:color w:val="auto"/>
        </w:rPr>
      </w:pPr>
    </w:p>
    <w:p>
      <w:pPr>
        <w:ind w:left="6" w:right="80" w:firstLine="385"/>
        <w:spacing w:after="0" w:line="266" w:lineRule="auto"/>
        <w:rPr>
          <w:sz w:val="20"/>
          <w:szCs w:val="20"/>
          <w:color w:val="auto"/>
        </w:rPr>
      </w:pPr>
      <w:r>
        <w:rPr>
          <w:rFonts w:ascii="Arial" w:cs="Arial" w:eastAsia="Arial" w:hAnsi="Arial"/>
          <w:sz w:val="16"/>
          <w:szCs w:val="16"/>
          <w:color w:val="auto"/>
        </w:rPr>
        <w:t>This Early Possession and Inducement Recapture Addendum is a part of the Lease dated February 12, 2021, by and between Terreno Park Union City LLC (“Landlord”) and Tenaya Therapeutics, Inc. (“Tenant”) for the Premises as defined in the Lease.</w:t>
      </w:r>
    </w:p>
    <w:p>
      <w:pPr>
        <w:spacing w:after="0" w:line="154" w:lineRule="exact"/>
        <w:rPr>
          <w:sz w:val="20"/>
          <w:szCs w:val="20"/>
          <w:color w:val="auto"/>
        </w:rPr>
      </w:pPr>
    </w:p>
    <w:p>
      <w:pPr>
        <w:ind w:left="6" w:right="100" w:hanging="6"/>
        <w:spacing w:after="0" w:line="273" w:lineRule="auto"/>
        <w:tabs>
          <w:tab w:leader="none" w:pos="163" w:val="left"/>
        </w:tabs>
        <w:numPr>
          <w:ilvl w:val="0"/>
          <w:numId w:val="552"/>
        </w:numPr>
        <w:rPr>
          <w:rFonts w:ascii="Arial" w:cs="Arial" w:eastAsia="Arial" w:hAnsi="Arial"/>
          <w:sz w:val="15"/>
          <w:szCs w:val="15"/>
          <w:b w:val="1"/>
          <w:bCs w:val="1"/>
          <w:color w:val="auto"/>
        </w:rPr>
      </w:pPr>
      <w:r>
        <w:rPr>
          <w:rFonts w:ascii="Arial" w:cs="Arial" w:eastAsia="Arial" w:hAnsi="Arial"/>
          <w:sz w:val="15"/>
          <w:szCs w:val="15"/>
          <w:b w:val="1"/>
          <w:bCs w:val="1"/>
          <w:color w:val="auto"/>
        </w:rPr>
        <w:t>Early Possession</w:t>
      </w:r>
      <w:r>
        <w:rPr>
          <w:rFonts w:ascii="Arial" w:cs="Arial" w:eastAsia="Arial" w:hAnsi="Arial"/>
          <w:sz w:val="15"/>
          <w:szCs w:val="15"/>
          <w:color w:val="auto"/>
        </w:rPr>
        <w:t>. Tenant may occupy the Premises upon delivery of possession by Landlord after Landlord’s receipt of all monies due upon</w:t>
      </w:r>
      <w:r>
        <w:rPr>
          <w:rFonts w:ascii="Arial" w:cs="Arial" w:eastAsia="Arial" w:hAnsi="Arial"/>
          <w:sz w:val="15"/>
          <w:szCs w:val="15"/>
          <w:b w:val="1"/>
          <w:bCs w:val="1"/>
          <w:color w:val="auto"/>
        </w:rPr>
        <w:t xml:space="preserve"> </w:t>
      </w:r>
      <w:r>
        <w:rPr>
          <w:rFonts w:ascii="Arial" w:cs="Arial" w:eastAsia="Arial" w:hAnsi="Arial"/>
          <w:sz w:val="15"/>
          <w:szCs w:val="15"/>
          <w:color w:val="auto"/>
        </w:rPr>
        <w:t>execution and all evidence of insurance required of Tenant (“Early Possession Date”), even though the Early Possession Date is prior to the Commencement Date of the Lease (“Early Possession”). The obligation to pay Rent shall be abated for the Early Possession Period. All other terms of this Lease, however, including, but not limited to, the obligations to carry the insurance required by Paragraph 8, shall be in effect during the Early Possession period. Such Early Possession shall not change the Expiration Date of the original Term.</w:t>
      </w:r>
    </w:p>
    <w:p>
      <w:pPr>
        <w:spacing w:after="0" w:line="150" w:lineRule="exact"/>
        <w:rPr>
          <w:rFonts w:ascii="Arial" w:cs="Arial" w:eastAsia="Arial" w:hAnsi="Arial"/>
          <w:sz w:val="15"/>
          <w:szCs w:val="15"/>
          <w:b w:val="1"/>
          <w:bCs w:val="1"/>
          <w:color w:val="auto"/>
        </w:rPr>
      </w:pPr>
    </w:p>
    <w:p>
      <w:pPr>
        <w:ind w:left="6" w:hanging="6"/>
        <w:spacing w:after="0" w:line="317" w:lineRule="auto"/>
        <w:tabs>
          <w:tab w:leader="none" w:pos="163" w:val="left"/>
        </w:tabs>
        <w:numPr>
          <w:ilvl w:val="0"/>
          <w:numId w:val="552"/>
        </w:numPr>
        <w:rPr>
          <w:rFonts w:ascii="Arial" w:cs="Arial" w:eastAsia="Arial" w:hAnsi="Arial"/>
          <w:sz w:val="13"/>
          <w:szCs w:val="13"/>
          <w:b w:val="1"/>
          <w:bCs w:val="1"/>
          <w:color w:val="auto"/>
        </w:rPr>
      </w:pPr>
      <w:r>
        <w:rPr>
          <w:rFonts w:ascii="Arial" w:cs="Arial" w:eastAsia="Arial" w:hAnsi="Arial"/>
          <w:sz w:val="13"/>
          <w:szCs w:val="13"/>
          <w:b w:val="1"/>
          <w:bCs w:val="1"/>
          <w:color w:val="auto"/>
        </w:rPr>
        <w:t>Inducement Recapture in Event of Breach</w:t>
      </w:r>
      <w:r>
        <w:rPr>
          <w:rFonts w:ascii="Arial" w:cs="Arial" w:eastAsia="Arial" w:hAnsi="Arial"/>
          <w:sz w:val="13"/>
          <w:szCs w:val="13"/>
          <w:color w:val="auto"/>
        </w:rPr>
        <w:t>. Any agreement by Landlord for possession of the Premises without the payment or reduced 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rent or other charges or for the giving or paying by Landlord to or for Tenant of any cash or other bonus, inducement, or consideration for Tenant’s entering into this Lease including, but not limited to tenant improvement allowances and abated rent, all of which concessions are hereinafter referred to as “Inducement Provisions,” are conditioned upon Tenant’s full and faithful performance of all of the terms, covenants, and conditions of this Lease to be performed or observed by Tenant during the term of this Lease. Upon the occurrence of a Default by Tenant, the unamortized portion of any rent, other charge, bonus, inducement, or consideration abated, given, or paid by Landlord under such an Inducement Provision shall be immediately due and payable by Tenant to Landlord and recoverable by Landlord as additional rent due under this Lease, notwithstanding any subsequent cure by Tenant.</w:t>
      </w:r>
    </w:p>
    <w:p>
      <w:pPr>
        <w:sectPr>
          <w:pgSz w:w="11900" w:h="16838" w:orient="portrait"/>
          <w:cols w:equalWidth="0" w:num="1">
            <w:col w:w="9566"/>
          </w:cols>
          <w:pgMar w:left="1134" w:top="253" w:right="1199" w:bottom="1440" w:gutter="0" w:footer="0" w:header="0"/>
        </w:sectPr>
      </w:pPr>
    </w:p>
    <w:bookmarkStart w:id="720" w:name="page721"/>
    <w:bookmarkEnd w:id="72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Site Plan and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170180</wp:posOffset>
            </wp:positionV>
            <wp:extent cx="1908810" cy="539051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908810" cy="539051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721" w:name="page722"/>
    <w:bookmarkEnd w:id="721"/>
    <w:tbl>
      <w:tblPr>
        <w:tblLayout w:type="fixed"/>
        <w:tblInd w:w="38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8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w w:val="93"/>
              </w:rPr>
              <w:t>Exhibit “B”</w:t>
            </w:r>
          </w:p>
        </w:tc>
      </w:tr>
      <w:tr>
        <w:trPr>
          <w:trHeight w:val="170"/>
        </w:trPr>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8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rPr>
              <w:t>COMMENCEMENT DATE MEMORANDUM</w:t>
            </w:r>
          </w:p>
        </w:tc>
        <w:tc>
          <w:tcPr>
            <w:tcW w:w="700" w:type="dxa"/>
            <w:vAlign w:val="bottom"/>
          </w:tcPr>
          <w:p>
            <w:pPr>
              <w:spacing w:after="0"/>
              <w:rPr>
                <w:sz w:val="14"/>
                <w:szCs w:val="14"/>
                <w:color w:val="auto"/>
              </w:rPr>
            </w:pPr>
          </w:p>
        </w:tc>
      </w:tr>
      <w:tr>
        <w:trPr>
          <w:trHeight w:val="376"/>
        </w:trPr>
        <w:tc>
          <w:tcPr>
            <w:tcW w:w="1560" w:type="dxa"/>
            <w:vAlign w:val="bottom"/>
          </w:tcPr>
          <w:p>
            <w:pPr>
              <w:spacing w:after="0"/>
              <w:rPr>
                <w:sz w:val="24"/>
                <w:szCs w:val="24"/>
                <w:color w:val="auto"/>
              </w:rPr>
            </w:pPr>
          </w:p>
        </w:tc>
        <w:tc>
          <w:tcPr>
            <w:tcW w:w="5160" w:type="dxa"/>
            <w:vAlign w:val="bottom"/>
            <w:gridSpan w:val="3"/>
          </w:tcPr>
          <w:p>
            <w:pPr>
              <w:jc w:val="center"/>
              <w:ind w:left="501"/>
              <w:spacing w:after="0"/>
              <w:rPr>
                <w:sz w:val="20"/>
                <w:szCs w:val="20"/>
                <w:color w:val="auto"/>
              </w:rPr>
            </w:pPr>
            <w:r>
              <w:rPr>
                <w:rFonts w:ascii="Arial" w:cs="Arial" w:eastAsia="Arial" w:hAnsi="Arial"/>
                <w:sz w:val="16"/>
                <w:szCs w:val="16"/>
                <w:b w:val="1"/>
                <w:bCs w:val="1"/>
                <w:color w:val="auto"/>
                <w:w w:val="98"/>
              </w:rPr>
              <w:t>[SAMPLE ONLY – FORM TO BE COMPLETED BY LANDLORD</w:t>
            </w:r>
          </w:p>
        </w:tc>
      </w:tr>
      <w:tr>
        <w:trPr>
          <w:trHeight w:val="204"/>
        </w:trPr>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8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rPr>
              <w:t>AFTER COMMENCEMENT DATE]</w:t>
            </w:r>
          </w:p>
        </w:tc>
      </w:tr>
      <w:tr>
        <w:trPr>
          <w:trHeight w:val="389"/>
        </w:trPr>
        <w:tc>
          <w:tcPr>
            <w:tcW w:w="1560" w:type="dxa"/>
            <w:vAlign w:val="bottom"/>
          </w:tcPr>
          <w:p>
            <w:pPr>
              <w:spacing w:after="0"/>
              <w:rPr>
                <w:sz w:val="20"/>
                <w:szCs w:val="20"/>
                <w:color w:val="auto"/>
              </w:rPr>
            </w:pPr>
            <w:r>
              <w:rPr>
                <w:rFonts w:ascii="Arial" w:cs="Arial" w:eastAsia="Arial" w:hAnsi="Arial"/>
                <w:sz w:val="16"/>
                <w:szCs w:val="16"/>
                <w:color w:val="auto"/>
              </w:rPr>
              <w:t>LANDLORD:</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Terreno Park Union City LLC</w:t>
            </w: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TENANT:</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Tenaya Therapeutics, Inc.</w:t>
            </w: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LEASE DATE:</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February 12, 2021</w:t>
            </w: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PREMISES:</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33498 Central Avenue</w:t>
            </w:r>
          </w:p>
        </w:tc>
      </w:tr>
      <w:tr>
        <w:trPr>
          <w:trHeight w:val="200"/>
        </w:trPr>
        <w:tc>
          <w:tcPr>
            <w:tcW w:w="1560" w:type="dxa"/>
            <w:vAlign w:val="bottom"/>
          </w:tcPr>
          <w:p>
            <w:pPr>
              <w:spacing w:after="0"/>
              <w:rPr>
                <w:sz w:val="17"/>
                <w:szCs w:val="17"/>
                <w:color w:val="auto"/>
              </w:rPr>
            </w:pP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Union City, CA 94587</w:t>
            </w: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Tenant hereby accepts the Premises as being in the condition required under the Lease.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740" w:type="dxa"/>
            <w:vAlign w:val="bottom"/>
            <w:gridSpan w:val="3"/>
          </w:tcPr>
          <w:p>
            <w:pPr>
              <w:ind w:left="100"/>
              <w:spacing w:after="0"/>
              <w:rPr>
                <w:sz w:val="20"/>
                <w:szCs w:val="20"/>
                <w:color w:val="auto"/>
              </w:rPr>
            </w:pPr>
            <w:r>
              <w:rPr>
                <w:rFonts w:ascii="Arial" w:cs="Arial" w:eastAsia="Arial" w:hAnsi="Arial"/>
                <w:sz w:val="16"/>
                <w:szCs w:val="16"/>
                <w:color w:val="auto"/>
                <w:w w:val="88"/>
              </w:rPr>
              <w:t>The Commencement Date of the Lease is</w:t>
            </w:r>
          </w:p>
        </w:tc>
        <w:tc>
          <w:tcPr>
            <w:tcW w:w="40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8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w w:val="90"/>
              </w:rPr>
              <w:t>The Expiration Date of the Lease is</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gridSpan w:val="2"/>
          </w:tcPr>
          <w:p>
            <w:pPr>
              <w:spacing w:after="0"/>
              <w:rPr>
                <w:sz w:val="24"/>
                <w:szCs w:val="24"/>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88"/>
              </w:rPr>
              <w:t>.</w:t>
            </w: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Landlord:</w:t>
            </w:r>
          </w:p>
        </w:tc>
        <w:tc>
          <w:tcPr>
            <w:tcW w:w="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00" w:type="dxa"/>
            <w:vAlign w:val="bottom"/>
            <w:gridSpan w:val="5"/>
          </w:tcPr>
          <w:p>
            <w:pPr>
              <w:ind w:left="600"/>
              <w:spacing w:after="0"/>
              <w:rPr>
                <w:sz w:val="20"/>
                <w:szCs w:val="20"/>
                <w:color w:val="auto"/>
              </w:rPr>
            </w:pPr>
            <w:r>
              <w:rPr>
                <w:rFonts w:ascii="Arial" w:cs="Arial" w:eastAsia="Arial" w:hAnsi="Arial"/>
                <w:sz w:val="16"/>
                <w:szCs w:val="16"/>
                <w:b w:val="1"/>
                <w:bCs w:val="1"/>
                <w:color w:val="auto"/>
              </w:rPr>
              <w:t>Tenant:</w:t>
            </w: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Arial" w:cs="Arial" w:eastAsia="Arial" w:hAnsi="Arial"/>
                <w:sz w:val="16"/>
                <w:szCs w:val="16"/>
                <w:color w:val="auto"/>
              </w:rPr>
              <w:t>Terreno Park Union City LLC,</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00" w:type="dxa"/>
            <w:vAlign w:val="bottom"/>
            <w:gridSpan w:val="5"/>
          </w:tcPr>
          <w:p>
            <w:pPr>
              <w:ind w:left="60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6"/>
                <w:szCs w:val="16"/>
                <w:color w:val="auto"/>
              </w:rPr>
              <w:t>a Delaware limited liability company</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00" w:type="dxa"/>
            <w:vAlign w:val="bottom"/>
            <w:gridSpan w:val="5"/>
          </w:tcPr>
          <w:p>
            <w:pPr>
              <w:ind w:left="600"/>
              <w:spacing w:after="0"/>
              <w:rPr>
                <w:sz w:val="20"/>
                <w:szCs w:val="20"/>
                <w:color w:val="auto"/>
              </w:rPr>
            </w:pPr>
            <w:r>
              <w:rPr>
                <w:rFonts w:ascii="Arial" w:cs="Arial" w:eastAsia="Arial" w:hAnsi="Arial"/>
                <w:sz w:val="16"/>
                <w:szCs w:val="16"/>
                <w:color w:val="auto"/>
              </w:rPr>
              <w:t>a Delaware corporation</w:t>
            </w:r>
          </w:p>
        </w:tc>
        <w:tc>
          <w:tcPr>
            <w:tcW w:w="0" w:type="dxa"/>
            <w:vAlign w:val="bottom"/>
          </w:tcPr>
          <w:p>
            <w:pPr>
              <w:spacing w:after="0"/>
              <w:rPr>
                <w:sz w:val="1"/>
                <w:szCs w:val="1"/>
                <w:color w:val="auto"/>
              </w:rPr>
            </w:pPr>
          </w:p>
        </w:tc>
      </w:tr>
      <w:tr>
        <w:trPr>
          <w:trHeight w:val="389"/>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2380" w:type="dxa"/>
            <w:vAlign w:val="bottom"/>
          </w:tcPr>
          <w:p>
            <w:pPr>
              <w:ind w:left="120"/>
              <w:spacing w:after="0"/>
              <w:rPr>
                <w:sz w:val="20"/>
                <w:szCs w:val="20"/>
                <w:color w:val="auto"/>
              </w:rPr>
            </w:pPr>
            <w:r>
              <w:rPr>
                <w:rFonts w:ascii="Arial" w:cs="Arial" w:eastAsia="Arial" w:hAnsi="Arial"/>
                <w:sz w:val="16"/>
                <w:szCs w:val="16"/>
                <w:color w:val="auto"/>
              </w:rPr>
              <w:t>Terreno Realty LLC,</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80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380" w:type="dxa"/>
            <w:vAlign w:val="bottom"/>
          </w:tcPr>
          <w:p>
            <w:pPr>
              <w:ind w:left="40"/>
              <w:spacing w:after="0" w:line="181" w:lineRule="exact"/>
              <w:rPr>
                <w:sz w:val="20"/>
                <w:szCs w:val="20"/>
                <w:color w:val="auto"/>
              </w:rPr>
            </w:pPr>
            <w:r>
              <w:rPr>
                <w:rFonts w:ascii="Arial" w:cs="Arial" w:eastAsia="Arial" w:hAnsi="Arial"/>
                <w:sz w:val="16"/>
                <w:szCs w:val="16"/>
                <w:color w:val="auto"/>
                <w:w w:val="91"/>
              </w:rPr>
              <w:t>a Delaware limited liability company</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500" w:type="dxa"/>
            <w:vAlign w:val="bottom"/>
            <w:gridSpan w:val="5"/>
          </w:tcPr>
          <w:p>
            <w:pPr>
              <w:ind w:left="800"/>
              <w:spacing w:after="0" w:line="181" w:lineRule="exact"/>
              <w:rPr>
                <w:sz w:val="20"/>
                <w:szCs w:val="20"/>
                <w:color w:val="auto"/>
              </w:rPr>
            </w:pPr>
            <w:r>
              <w:rPr>
                <w:rFonts w:ascii="Arial" w:cs="Arial" w:eastAsia="Arial" w:hAnsi="Arial"/>
                <w:sz w:val="16"/>
                <w:szCs w:val="16"/>
                <w:color w:val="auto"/>
              </w:rPr>
              <w:t>Name:</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2380" w:type="dxa"/>
            <w:vAlign w:val="bottom"/>
          </w:tcPr>
          <w:p>
            <w:pPr>
              <w:ind w:left="100"/>
              <w:spacing w:after="0" w:line="180" w:lineRule="exact"/>
              <w:rPr>
                <w:sz w:val="20"/>
                <w:szCs w:val="20"/>
                <w:color w:val="auto"/>
              </w:rPr>
            </w:pPr>
            <w:r>
              <w:rPr>
                <w:rFonts w:ascii="Arial" w:cs="Arial" w:eastAsia="Arial" w:hAnsi="Arial"/>
                <w:sz w:val="16"/>
                <w:szCs w:val="16"/>
                <w:color w:val="auto"/>
              </w:rPr>
              <w:t>its member</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3"/>
          </w:tcPr>
          <w:p>
            <w:pPr>
              <w:ind w:left="760"/>
              <w:spacing w:after="0" w:line="180" w:lineRule="exact"/>
              <w:rPr>
                <w:sz w:val="20"/>
                <w:szCs w:val="20"/>
                <w:color w:val="auto"/>
              </w:rPr>
            </w:pPr>
            <w:r>
              <w:rPr>
                <w:rFonts w:ascii="Arial" w:cs="Arial" w:eastAsia="Arial" w:hAnsi="Arial"/>
                <w:sz w:val="16"/>
                <w:szCs w:val="16"/>
                <w:color w:val="auto"/>
              </w:rPr>
              <w:t>Its:</w:t>
            </w:r>
          </w:p>
        </w:tc>
        <w:tc>
          <w:tcPr>
            <w:tcW w:w="480" w:type="dxa"/>
            <w:vAlign w:val="bottom"/>
            <w:tcBorders>
              <w:top w:val="single" w:sz="8" w:color="auto"/>
            </w:tcBorders>
          </w:tcPr>
          <w:p>
            <w:pPr>
              <w:spacing w:after="0"/>
              <w:rPr>
                <w:sz w:val="15"/>
                <w:szCs w:val="15"/>
                <w:color w:val="auto"/>
              </w:rPr>
            </w:pPr>
          </w:p>
        </w:tc>
        <w:tc>
          <w:tcPr>
            <w:tcW w:w="3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2380" w:type="dxa"/>
            <w:vAlign w:val="bottom"/>
          </w:tcPr>
          <w:p>
            <w:pPr>
              <w:ind w:left="100"/>
              <w:spacing w:after="0"/>
              <w:rPr>
                <w:sz w:val="20"/>
                <w:szCs w:val="20"/>
                <w:color w:val="auto"/>
              </w:rPr>
            </w:pPr>
            <w:r>
              <w:rPr>
                <w:rFonts w:ascii="Arial" w:cs="Arial" w:eastAsia="Arial" w:hAnsi="Arial"/>
                <w:sz w:val="16"/>
                <w:szCs w:val="16"/>
                <w:color w:val="auto"/>
              </w:rPr>
              <w:t>Terreno Realty Corporation,</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rPr>
              <w:t>a Maryland corporation</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gridSpan w:val="4"/>
          </w:tcPr>
          <w:p>
            <w:pPr>
              <w:ind w:left="800"/>
              <w:spacing w:after="0"/>
              <w:rPr>
                <w:sz w:val="20"/>
                <w:szCs w:val="20"/>
                <w:color w:val="auto"/>
              </w:rPr>
            </w:pPr>
            <w:r>
              <w:rPr>
                <w:rFonts w:ascii="Arial" w:cs="Arial" w:eastAsia="Arial" w:hAnsi="Arial"/>
                <w:sz w:val="16"/>
                <w:szCs w:val="16"/>
                <w:color w:val="auto"/>
              </w:rPr>
              <w:t>Executed at:</w:t>
            </w: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2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500" w:type="dxa"/>
            <w:vAlign w:val="bottom"/>
            <w:gridSpan w:val="5"/>
            <w:vMerge w:val="restart"/>
          </w:tcPr>
          <w:p>
            <w:pPr>
              <w:ind w:left="760"/>
              <w:spacing w:after="0"/>
              <w:rPr>
                <w:sz w:val="20"/>
                <w:szCs w:val="20"/>
                <w:color w:val="auto"/>
              </w:rPr>
            </w:pPr>
            <w:r>
              <w:rPr>
                <w:rFonts w:ascii="Arial" w:cs="Arial" w:eastAsia="Arial" w:hAnsi="Arial"/>
                <w:sz w:val="16"/>
                <w:szCs w:val="16"/>
                <w:color w:val="auto"/>
              </w:rPr>
              <w:t>on:</w:t>
            </w:r>
          </w:p>
        </w:tc>
        <w:tc>
          <w:tcPr>
            <w:tcW w:w="0" w:type="dxa"/>
            <w:vAlign w:val="bottom"/>
          </w:tcPr>
          <w:p>
            <w:pPr>
              <w:spacing w:after="0"/>
              <w:rPr>
                <w:sz w:val="1"/>
                <w:szCs w:val="1"/>
                <w:color w:val="auto"/>
              </w:rPr>
            </w:pPr>
          </w:p>
        </w:tc>
      </w:tr>
      <w:tr>
        <w:trPr>
          <w:trHeight w:val="192"/>
        </w:trPr>
        <w:tc>
          <w:tcPr>
            <w:tcW w:w="2660" w:type="dxa"/>
            <w:vAlign w:val="bottom"/>
            <w:gridSpan w:val="2"/>
          </w:tcPr>
          <w:p>
            <w:pPr>
              <w:spacing w:after="0"/>
              <w:rPr>
                <w:sz w:val="20"/>
                <w:szCs w:val="20"/>
                <w:color w:val="auto"/>
              </w:rPr>
            </w:pPr>
            <w:r>
              <w:rPr>
                <w:rFonts w:ascii="Arial" w:cs="Arial" w:eastAsia="Arial" w:hAnsi="Arial"/>
                <w:sz w:val="16"/>
                <w:szCs w:val="16"/>
                <w:color w:val="auto"/>
              </w:rPr>
              <w:t>Name:</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-6350</wp:posOffset>
            </wp:positionV>
            <wp:extent cx="5801995" cy="76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580199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3175</wp:posOffset>
            </wp:positionV>
            <wp:extent cx="2500630" cy="7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Executed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10795</wp:posOffset>
            </wp:positionV>
            <wp:extent cx="2073910" cy="76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10795</wp:posOffset>
            </wp:positionV>
            <wp:extent cx="250063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ectPr>
          <w:pgSz w:w="11900" w:h="16838" w:orient="portrait"/>
          <w:cols w:equalWidth="0" w:num="1">
            <w:col w:w="9620"/>
          </w:cols>
          <w:pgMar w:left="1140" w:top="252" w:right="1139" w:bottom="1440" w:gutter="0" w:footer="0" w:header="0"/>
        </w:sectPr>
      </w:pPr>
    </w:p>
    <w:bookmarkStart w:id="722" w:name="page723"/>
    <w:bookmarkEnd w:id="72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TENANT MOVE-IN AND LEASE RENEWAL ENVIRONMENTAL QUESTIONNAIRE FOR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COMMERCIAL AND INDUSTRIAL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Name: </w:t>
      </w:r>
      <w:r>
        <w:rPr>
          <w:rFonts w:ascii="Arial" w:cs="Arial" w:eastAsia="Arial" w:hAnsi="Arial"/>
          <w:sz w:val="16"/>
          <w:szCs w:val="16"/>
          <w:u w:val="single" w:color="auto"/>
          <w:color w:val="auto"/>
        </w:rPr>
        <w:t>Central Pacific Business Park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Address: </w:t>
      </w:r>
      <w:r>
        <w:rPr>
          <w:rFonts w:ascii="Arial" w:cs="Arial" w:eastAsia="Arial" w:hAnsi="Arial"/>
          <w:sz w:val="16"/>
          <w:szCs w:val="16"/>
          <w:u w:val="single" w:color="auto"/>
          <w:color w:val="auto"/>
        </w:rPr>
        <w:t>33498 Central Avenue, Union City, CA 94587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Exhibit to Industrial Lease Dated </w:t>
      </w:r>
      <w:r>
        <w:rPr>
          <w:rFonts w:ascii="Arial" w:cs="Arial" w:eastAsia="Arial" w:hAnsi="Arial"/>
          <w:sz w:val="16"/>
          <w:szCs w:val="16"/>
          <w:u w:val="single" w:color="auto"/>
          <w:color w:val="auto"/>
        </w:rPr>
        <w:t>February 12, 2021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Between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Tenaya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(“Tenant”)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Terreno Park Union City LLC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(“Landlord”)</w:t>
      </w:r>
    </w:p>
    <w:p>
      <w:pPr>
        <w:spacing w:after="0" w:line="182"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i w:val="1"/>
          <w:iCs w:val="1"/>
          <w:color w:val="auto"/>
        </w:rPr>
        <w:t>Instructions: The following questionnaire is to be completed by the Tenant Representative with knowledge of the planned/existing operations for the specified building/location. A copy of the completed form must be attached to all new leases and renewals, and forwarded to the Owner’s Risk Management Department.</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u w:val="single" w:color="auto"/>
          <w:color w:val="auto"/>
        </w:rPr>
        <w:t>PLANNED USE/OPERATIONS</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3"/>
          <w:szCs w:val="13"/>
          <w:color w:val="auto"/>
        </w:rPr>
        <w:t>Describe planned use (new Lease) or existing operations (lease renewal), and include brief description of manufacturing processes employed.</w:t>
      </w:r>
    </w:p>
    <w:p>
      <w:pPr>
        <w:spacing w:after="0" w:line="99" w:lineRule="exact"/>
        <w:rPr>
          <w:sz w:val="20"/>
          <w:szCs w:val="20"/>
          <w:color w:val="auto"/>
        </w:rPr>
      </w:pPr>
    </w:p>
    <w:p>
      <w:pPr>
        <w:ind w:left="380" w:right="320"/>
        <w:spacing w:after="0" w:line="266" w:lineRule="auto"/>
        <w:rPr>
          <w:sz w:val="20"/>
          <w:szCs w:val="20"/>
          <w:color w:val="auto"/>
        </w:rPr>
      </w:pPr>
      <w:r>
        <w:rPr>
          <w:rFonts w:ascii="Arial" w:cs="Arial" w:eastAsia="Arial" w:hAnsi="Arial"/>
          <w:sz w:val="16"/>
          <w:szCs w:val="16"/>
          <w:color w:val="auto"/>
        </w:rPr>
        <w:t>Planned use is for Good Manufacturing Production (GMP) of pharmaceutical products targeting heart disease. Tenaya manufacturing process entails gene therapy product production.</w:t>
      </w:r>
    </w:p>
    <w:p>
      <w:pPr>
        <w:spacing w:after="0" w:line="28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5"/>
          <w:szCs w:val="15"/>
          <w:b w:val="1"/>
          <w:bCs w:val="1"/>
          <w:color w:val="auto"/>
        </w:rPr>
        <w:t>HAZARDOUS MATERIALS</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3"/>
          <w:szCs w:val="13"/>
          <w:color w:val="auto"/>
        </w:rPr>
        <w:t>Are hazardous materials used or stored? If so, continue with the next question. If not, go to Section 3.0.</w:t>
      </w:r>
    </w:p>
    <w:p>
      <w:pPr>
        <w:spacing w:after="0" w:line="111" w:lineRule="exact"/>
        <w:rPr>
          <w:sz w:val="20"/>
          <w:szCs w:val="20"/>
          <w:color w:val="auto"/>
        </w:rPr>
      </w:pPr>
    </w:p>
    <w:p>
      <w:pPr>
        <w:ind w:left="380" w:hanging="376"/>
        <w:spacing w:after="0" w:line="383" w:lineRule="auto"/>
        <w:tabs>
          <w:tab w:leader="none" w:pos="3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3"/>
          <w:szCs w:val="13"/>
          <w:color w:val="auto"/>
        </w:rPr>
        <w:t>Are any of the following materials handled on the property? (A material is handled if it is used, generated, processed, produced, packaged, treated, stored, emitted, discharged, or disposed.) If so, complete this section. If this question is not applicable, skip this section and go on to Section 5.0.</w:t>
      </w:r>
    </w:p>
    <w:p>
      <w:pPr>
        <w:spacing w:after="0" w:line="85"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Explosives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Fuels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Oils</w:t>
            </w:r>
          </w:p>
        </w:tc>
      </w:t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Solvents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Oxidizers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w w:val="96"/>
              </w:rPr>
              <w:t>☒</w:t>
            </w:r>
            <w:r>
              <w:rPr>
                <w:rFonts w:ascii="Arial" w:cs="Arial" w:eastAsia="Arial" w:hAnsi="Arial"/>
                <w:sz w:val="16"/>
                <w:szCs w:val="16"/>
                <w:color w:val="auto"/>
                <w:w w:val="96"/>
              </w:rPr>
              <w:t>Organics/Inorganics</w:t>
            </w:r>
          </w:p>
        </w:tc>
      </w:t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Acids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Bases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Pesticides</w:t>
            </w:r>
          </w:p>
        </w:tc>
      </w:tr>
      <w:tr>
        <w:trPr>
          <w:trHeight w:val="225"/>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Gases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PCBs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w w:val="89"/>
              </w:rPr>
              <w:t>☐</w:t>
            </w:r>
            <w:r>
              <w:rPr>
                <w:rFonts w:ascii="Arial" w:cs="Arial" w:eastAsia="Arial" w:hAnsi="Arial"/>
                <w:sz w:val="16"/>
                <w:szCs w:val="16"/>
                <w:color w:val="auto"/>
                <w:w w:val="89"/>
              </w:rPr>
              <w:t>Radioactive Materials</w:t>
            </w:r>
          </w:p>
        </w:tc>
      </w:tr>
    </w:tbl>
    <w:p>
      <w:pPr>
        <w:ind w:left="740" w:hanging="353"/>
        <w:spacing w:after="0"/>
        <w:tabs>
          <w:tab w:leader="none" w:pos="740" w:val="left"/>
        </w:tabs>
        <w:numPr>
          <w:ilvl w:val="0"/>
          <w:numId w:val="553"/>
        </w:numPr>
        <w:rPr>
          <w:rFonts w:ascii="MS PGothic" w:cs="MS PGothic" w:eastAsia="MS PGothic" w:hAnsi="MS PGothic"/>
          <w:sz w:val="16"/>
          <w:szCs w:val="16"/>
          <w:color w:val="auto"/>
        </w:rPr>
      </w:pPr>
      <w:r>
        <w:rPr>
          <w:rFonts w:ascii="Arial" w:cs="Arial" w:eastAsia="Arial" w:hAnsi="Arial"/>
          <w:sz w:val="16"/>
          <w:szCs w:val="16"/>
          <w:color w:val="auto"/>
        </w:rPr>
        <w:t>Other (please specify)</w:t>
      </w:r>
    </w:p>
    <w:p>
      <w:pPr>
        <w:spacing w:after="0" w:line="103" w:lineRule="exact"/>
        <w:rPr>
          <w:sz w:val="20"/>
          <w:szCs w:val="20"/>
          <w:color w:val="auto"/>
        </w:rPr>
      </w:pPr>
    </w:p>
    <w:p>
      <w:pPr>
        <w:ind w:left="380" w:right="200" w:hanging="376"/>
        <w:spacing w:after="0" w:line="266" w:lineRule="auto"/>
        <w:tabs>
          <w:tab w:leader="none" w:pos="360" w:val="left"/>
        </w:tabs>
        <w:rPr>
          <w:sz w:val="20"/>
          <w:szCs w:val="20"/>
          <w:color w:val="auto"/>
        </w:rPr>
      </w:pPr>
      <w:r>
        <w:rPr>
          <w:rFonts w:ascii="Arial" w:cs="Arial" w:eastAsia="Arial" w:hAnsi="Arial"/>
          <w:sz w:val="16"/>
          <w:szCs w:val="16"/>
          <w:color w:val="auto"/>
        </w:rPr>
        <w:t>2-3.</w:t>
        <w:tab/>
        <w:t>For the following groups of chemicals, please check the type(s), use(s), and quantity of each chemical used or stored on the site. Attach either a chemical inventory or list the chemicals in each category.</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46"/>
        </w:trPr>
        <w:tc>
          <w:tcPr>
            <w:tcW w:w="2080" w:type="dxa"/>
            <w:vAlign w:val="bottom"/>
            <w:gridSpan w:val="5"/>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Solvents</w:t>
            </w:r>
          </w:p>
        </w:tc>
        <w:tc>
          <w:tcPr>
            <w:tcW w:w="1200" w:type="dxa"/>
            <w:vAlign w:val="bottom"/>
            <w:gridSpan w:val="2"/>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Gases</w:t>
            </w: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1"/>
        </w:trPr>
        <w:tc>
          <w:tcPr>
            <w:tcW w:w="1720" w:type="dxa"/>
            <w:vAlign w:val="bottom"/>
            <w:gridSpan w:val="3"/>
          </w:tcPr>
          <w:p>
            <w:pPr>
              <w:spacing w:after="0"/>
              <w:rPr>
                <w:sz w:val="20"/>
                <w:szCs w:val="20"/>
                <w:color w:val="auto"/>
              </w:rPr>
            </w:pPr>
            <w:r>
              <w:rPr>
                <w:rFonts w:ascii="Arial" w:cs="Arial" w:eastAsia="Arial" w:hAnsi="Arial"/>
                <w:sz w:val="16"/>
                <w:szCs w:val="16"/>
                <w:color w:val="auto"/>
                <w:w w:val="88"/>
              </w:rPr>
              <w:t>Type: Ethanol, Isopropanol</w:t>
            </w:r>
          </w:p>
        </w:tc>
        <w:tc>
          <w:tcPr>
            <w:tcW w:w="360" w:type="dxa"/>
            <w:vAlign w:val="bottom"/>
            <w:gridSpan w:val="2"/>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w w:val="99"/>
              </w:rPr>
              <w:t>Type:</w:t>
            </w:r>
          </w:p>
        </w:tc>
        <w:tc>
          <w:tcPr>
            <w:tcW w:w="2080" w:type="dxa"/>
            <w:vAlign w:val="bottom"/>
            <w:gridSpan w:val="4"/>
          </w:tcPr>
          <w:p>
            <w:pPr>
              <w:ind w:left="100"/>
              <w:spacing w:after="0"/>
              <w:rPr>
                <w:sz w:val="20"/>
                <w:szCs w:val="20"/>
                <w:color w:val="auto"/>
              </w:rPr>
            </w:pPr>
            <w:r>
              <w:rPr>
                <w:rFonts w:ascii="Arial" w:cs="Arial" w:eastAsia="Arial" w:hAnsi="Arial"/>
                <w:sz w:val="16"/>
                <w:szCs w:val="16"/>
                <w:color w:val="auto"/>
              </w:rPr>
              <w:t>O2, N2, CO2</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80" w:type="dxa"/>
            <w:vAlign w:val="bottom"/>
            <w:gridSpan w:val="5"/>
          </w:tcPr>
          <w:p>
            <w:pPr>
              <w:spacing w:after="0"/>
              <w:rPr>
                <w:sz w:val="20"/>
                <w:szCs w:val="20"/>
                <w:color w:val="auto"/>
              </w:rPr>
            </w:pPr>
            <w:r>
              <w:rPr>
                <w:rFonts w:ascii="Arial" w:cs="Arial" w:eastAsia="Arial" w:hAnsi="Arial"/>
                <w:sz w:val="16"/>
                <w:szCs w:val="16"/>
                <w:color w:val="auto"/>
                <w:w w:val="96"/>
              </w:rPr>
              <w:t>Use: disinfecting and cleaning</w:t>
            </w: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Use:</w:t>
            </w:r>
          </w:p>
        </w:tc>
        <w:tc>
          <w:tcPr>
            <w:tcW w:w="2080" w:type="dxa"/>
            <w:vAlign w:val="bottom"/>
            <w:gridSpan w:val="4"/>
          </w:tcPr>
          <w:p>
            <w:pPr>
              <w:ind w:left="60"/>
              <w:spacing w:after="0"/>
              <w:rPr>
                <w:sz w:val="20"/>
                <w:szCs w:val="20"/>
                <w:color w:val="auto"/>
              </w:rPr>
            </w:pPr>
            <w:r>
              <w:rPr>
                <w:rFonts w:ascii="Arial" w:cs="Arial" w:eastAsia="Arial" w:hAnsi="Arial"/>
                <w:sz w:val="16"/>
                <w:szCs w:val="16"/>
                <w:color w:val="auto"/>
                <w:w w:val="86"/>
              </w:rPr>
              <w:t>temperature control and process</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63"/>
        </w:trPr>
        <w:tc>
          <w:tcPr>
            <w:tcW w:w="2080" w:type="dxa"/>
            <w:vAlign w:val="bottom"/>
            <w:gridSpan w:val="5"/>
          </w:tcPr>
          <w:p>
            <w:pPr>
              <w:spacing w:after="0"/>
              <w:rPr>
                <w:sz w:val="20"/>
                <w:szCs w:val="20"/>
                <w:color w:val="auto"/>
              </w:rPr>
            </w:pPr>
            <w:r>
              <w:rPr>
                <w:rFonts w:ascii="Arial" w:cs="Arial" w:eastAsia="Arial" w:hAnsi="Arial"/>
                <w:sz w:val="16"/>
                <w:szCs w:val="16"/>
                <w:color w:val="auto"/>
              </w:rPr>
              <w:t>Quantity:   50 gal</w:t>
            </w:r>
          </w:p>
        </w:tc>
        <w:tc>
          <w:tcPr>
            <w:tcW w:w="3280" w:type="dxa"/>
            <w:vAlign w:val="bottom"/>
            <w:gridSpan w:val="6"/>
          </w:tcPr>
          <w:p>
            <w:pPr>
              <w:ind w:left="780"/>
              <w:spacing w:after="0"/>
              <w:rPr>
                <w:sz w:val="20"/>
                <w:szCs w:val="20"/>
                <w:color w:val="auto"/>
              </w:rPr>
            </w:pPr>
            <w:r>
              <w:rPr>
                <w:rFonts w:ascii="Arial" w:cs="Arial" w:eastAsia="Arial" w:hAnsi="Arial"/>
                <w:sz w:val="16"/>
                <w:szCs w:val="16"/>
                <w:color w:val="auto"/>
              </w:rPr>
              <w:t>Quantity:   3600 lbs</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15"/>
        </w:trPr>
        <w:tc>
          <w:tcPr>
            <w:tcW w:w="2080" w:type="dxa"/>
            <w:vAlign w:val="bottom"/>
            <w:gridSpan w:val="5"/>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Inorganic</w:t>
            </w:r>
          </w:p>
        </w:tc>
        <w:tc>
          <w:tcPr>
            <w:tcW w:w="1200" w:type="dxa"/>
            <w:vAlign w:val="bottom"/>
            <w:gridSpan w:val="2"/>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Acids</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1"/>
        </w:trPr>
        <w:tc>
          <w:tcPr>
            <w:tcW w:w="1820" w:type="dxa"/>
            <w:vAlign w:val="bottom"/>
            <w:gridSpan w:val="4"/>
          </w:tcPr>
          <w:p>
            <w:pPr>
              <w:spacing w:after="0"/>
              <w:rPr>
                <w:sz w:val="20"/>
                <w:szCs w:val="20"/>
                <w:color w:val="auto"/>
              </w:rPr>
            </w:pPr>
            <w:r>
              <w:rPr>
                <w:rFonts w:ascii="Arial" w:cs="Arial" w:eastAsia="Arial" w:hAnsi="Arial"/>
                <w:sz w:val="16"/>
                <w:szCs w:val="16"/>
                <w:color w:val="auto"/>
              </w:rPr>
              <w:t>Type:</w:t>
            </w:r>
          </w:p>
        </w:tc>
        <w:tc>
          <w:tcPr>
            <w:tcW w:w="260" w:type="dxa"/>
            <w:vAlign w:val="bottom"/>
          </w:tcPr>
          <w:p>
            <w:pPr>
              <w:spacing w:after="0"/>
              <w:rPr>
                <w:sz w:val="20"/>
                <w:szCs w:val="20"/>
                <w:color w:val="auto"/>
              </w:rPr>
            </w:pPr>
          </w:p>
        </w:tc>
        <w:tc>
          <w:tcPr>
            <w:tcW w:w="3280" w:type="dxa"/>
            <w:vAlign w:val="bottom"/>
            <w:gridSpan w:val="6"/>
          </w:tcPr>
          <w:p>
            <w:pPr>
              <w:ind w:left="780"/>
              <w:spacing w:after="0"/>
              <w:rPr>
                <w:sz w:val="20"/>
                <w:szCs w:val="20"/>
                <w:color w:val="auto"/>
              </w:rPr>
            </w:pPr>
            <w:r>
              <w:rPr>
                <w:rFonts w:ascii="Arial" w:cs="Arial" w:eastAsia="Arial" w:hAnsi="Arial"/>
                <w:sz w:val="16"/>
                <w:szCs w:val="16"/>
                <w:color w:val="auto"/>
              </w:rPr>
              <w:t>Type: Phosphoric acid, Acetic acid</w:t>
            </w:r>
          </w:p>
        </w:tc>
      </w:tr>
      <w:tr>
        <w:trPr>
          <w:trHeight w:val="20"/>
        </w:trPr>
        <w:tc>
          <w:tcPr>
            <w:tcW w:w="182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1820" w:type="dxa"/>
            <w:vAlign w:val="bottom"/>
            <w:gridSpan w:val="4"/>
          </w:tcPr>
          <w:p>
            <w:pPr>
              <w:spacing w:after="0"/>
              <w:rPr>
                <w:sz w:val="20"/>
                <w:szCs w:val="20"/>
                <w:color w:val="auto"/>
              </w:rPr>
            </w:pPr>
            <w:r>
              <w:rPr>
                <w:rFonts w:ascii="Arial" w:cs="Arial" w:eastAsia="Arial" w:hAnsi="Arial"/>
                <w:sz w:val="16"/>
                <w:szCs w:val="16"/>
                <w:color w:val="auto"/>
              </w:rPr>
              <w:t>Use:</w:t>
            </w:r>
          </w:p>
        </w:tc>
        <w:tc>
          <w:tcPr>
            <w:tcW w:w="260" w:type="dxa"/>
            <w:vAlign w:val="bottom"/>
          </w:tcPr>
          <w:p>
            <w:pPr>
              <w:spacing w:after="0"/>
              <w:rPr>
                <w:sz w:val="22"/>
                <w:szCs w:val="22"/>
                <w:color w:val="auto"/>
              </w:rPr>
            </w:pPr>
          </w:p>
        </w:tc>
        <w:tc>
          <w:tcPr>
            <w:tcW w:w="3280" w:type="dxa"/>
            <w:vAlign w:val="bottom"/>
            <w:gridSpan w:val="6"/>
          </w:tcPr>
          <w:p>
            <w:pPr>
              <w:ind w:left="780"/>
              <w:spacing w:after="0"/>
              <w:rPr>
                <w:sz w:val="20"/>
                <w:szCs w:val="20"/>
                <w:color w:val="auto"/>
              </w:rPr>
            </w:pPr>
            <w:r>
              <w:rPr>
                <w:rFonts w:ascii="Arial" w:cs="Arial" w:eastAsia="Arial" w:hAnsi="Arial"/>
                <w:sz w:val="16"/>
                <w:szCs w:val="16"/>
                <w:color w:val="auto"/>
              </w:rPr>
              <w:t>Use: neutralization, lab reagent</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9580"/>
          </w:cols>
          <w:pgMar w:left="1140" w:top="252" w:right="1179" w:bottom="1440" w:gutter="0" w:footer="0" w:header="0"/>
        </w:sectPr>
      </w:pPr>
    </w:p>
    <w:bookmarkStart w:id="723" w:name="page724"/>
    <w:bookmarkEnd w:id="7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184"/>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900" w:type="dxa"/>
            <w:vAlign w:val="bottom"/>
            <w:gridSpan w:val="6"/>
          </w:tcPr>
          <w:p>
            <w:pPr>
              <w:ind w:left="100"/>
              <w:spacing w:after="0"/>
              <w:rPr>
                <w:sz w:val="20"/>
                <w:szCs w:val="20"/>
                <w:color w:val="auto"/>
              </w:rPr>
            </w:pPr>
            <w:r>
              <w:rPr>
                <w:rFonts w:ascii="Arial" w:cs="Arial" w:eastAsia="Arial" w:hAnsi="Arial"/>
                <w:sz w:val="16"/>
                <w:szCs w:val="16"/>
                <w:color w:val="auto"/>
              </w:rPr>
              <w:t>50 gal</w:t>
            </w:r>
          </w:p>
        </w:tc>
      </w:tr>
      <w:tr>
        <w:trPr>
          <w:trHeight w:val="20"/>
        </w:trPr>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5"/>
        </w:trPr>
        <w:tc>
          <w:tcPr>
            <w:tcW w:w="660" w:type="dxa"/>
            <w:vAlign w:val="bottom"/>
            <w:gridSpan w:val="3"/>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Fuels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100"/>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b w:val="1"/>
                <w:bCs w:val="1"/>
                <w:color w:val="auto"/>
                <w:w w:val="94"/>
              </w:rPr>
              <w:t xml:space="preserve"> Explosives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1"/>
        </w:trPr>
        <w:tc>
          <w:tcPr>
            <w:tcW w:w="380" w:type="dxa"/>
            <w:vAlign w:val="bottom"/>
            <w:gridSpan w:val="2"/>
          </w:tcPr>
          <w:p>
            <w:pPr>
              <w:spacing w:after="0"/>
              <w:rPr>
                <w:sz w:val="20"/>
                <w:szCs w:val="20"/>
                <w:color w:val="auto"/>
              </w:rPr>
            </w:pPr>
            <w:r>
              <w:rPr>
                <w:rFonts w:ascii="Arial" w:cs="Arial" w:eastAsia="Arial" w:hAnsi="Arial"/>
                <w:sz w:val="16"/>
                <w:szCs w:val="16"/>
                <w:color w:val="auto"/>
                <w:w w:val="89"/>
              </w:rPr>
              <w:t>Type:</w:t>
            </w:r>
          </w:p>
        </w:tc>
        <w:tc>
          <w:tcPr>
            <w:tcW w:w="1760" w:type="dxa"/>
            <w:vAlign w:val="bottom"/>
            <w:gridSpan w:val="12"/>
          </w:tcPr>
          <w:p>
            <w:pPr>
              <w:ind w:left="100"/>
              <w:spacing w:after="0"/>
              <w:rPr>
                <w:sz w:val="20"/>
                <w:szCs w:val="20"/>
                <w:color w:val="auto"/>
              </w:rPr>
            </w:pPr>
            <w:r>
              <w:rPr>
                <w:rFonts w:ascii="Arial" w:cs="Arial" w:eastAsia="Arial" w:hAnsi="Arial"/>
                <w:sz w:val="16"/>
                <w:szCs w:val="16"/>
                <w:color w:val="auto"/>
              </w:rPr>
              <w:t>Diesel</w:t>
            </w: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rPr>
              <w:t>Use:</w:t>
            </w:r>
          </w:p>
        </w:tc>
        <w:tc>
          <w:tcPr>
            <w:tcW w:w="1360" w:type="dxa"/>
            <w:vAlign w:val="bottom"/>
            <w:gridSpan w:val="9"/>
          </w:tcPr>
          <w:p>
            <w:pPr>
              <w:ind w:left="40"/>
              <w:spacing w:after="0"/>
              <w:rPr>
                <w:sz w:val="20"/>
                <w:szCs w:val="20"/>
                <w:color w:val="auto"/>
              </w:rPr>
            </w:pPr>
            <w:r>
              <w:rPr>
                <w:rFonts w:ascii="Arial" w:cs="Arial" w:eastAsia="Arial" w:hAnsi="Arial"/>
                <w:sz w:val="16"/>
                <w:szCs w:val="16"/>
                <w:color w:val="auto"/>
                <w:w w:val="85"/>
              </w:rPr>
              <w:t>emergency generator</w:t>
            </w:r>
          </w:p>
        </w:tc>
        <w:tc>
          <w:tcPr>
            <w:tcW w:w="400" w:type="dxa"/>
            <w:vAlign w:val="bottom"/>
            <w:gridSpan w:val="3"/>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15"/>
        </w:trPr>
        <w:tc>
          <w:tcPr>
            <w:tcW w:w="660" w:type="dxa"/>
            <w:vAlign w:val="bottom"/>
            <w:tcBorders>
              <w:top w:val="single" w:sz="8" w:color="auto"/>
            </w:tcBorders>
            <w:gridSpan w:val="3"/>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Oils</w:t>
            </w: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100"/>
              <w:spacing w:after="0" w:line="184" w:lineRule="exact"/>
              <w:rPr>
                <w:sz w:val="20"/>
                <w:szCs w:val="20"/>
                <w:color w:val="auto"/>
              </w:rPr>
            </w:pPr>
            <w:r>
              <w:rPr>
                <w:rFonts w:ascii="MS PGothic" w:cs="MS PGothic" w:eastAsia="MS PGothic" w:hAnsi="MS PGothic"/>
                <w:sz w:val="16"/>
                <w:szCs w:val="16"/>
                <w:color w:val="auto"/>
                <w:w w:val="88"/>
              </w:rPr>
              <w:t>☒</w:t>
            </w:r>
            <w:r>
              <w:rPr>
                <w:rFonts w:ascii="Arial" w:cs="Arial" w:eastAsia="Arial" w:hAnsi="Arial"/>
                <w:sz w:val="16"/>
                <w:szCs w:val="16"/>
                <w:b w:val="1"/>
                <w:bCs w:val="1"/>
                <w:color w:val="auto"/>
                <w:w w:val="88"/>
              </w:rPr>
              <w:t xml:space="preserve"> Bases</w:t>
            </w:r>
          </w:p>
        </w:tc>
        <w:tc>
          <w:tcPr>
            <w:tcW w:w="380" w:type="dxa"/>
            <w:vAlign w:val="bottom"/>
            <w:tcBorders>
              <w:top w:val="single" w:sz="8" w:color="auto"/>
            </w:tcBorders>
            <w:gridSpan w:val="3"/>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1"/>
        </w:trPr>
        <w:tc>
          <w:tcPr>
            <w:tcW w:w="380" w:type="dxa"/>
            <w:vAlign w:val="bottom"/>
            <w:gridSpan w:val="2"/>
          </w:tcPr>
          <w:p>
            <w:pPr>
              <w:spacing w:after="0"/>
              <w:rPr>
                <w:sz w:val="20"/>
                <w:szCs w:val="20"/>
                <w:color w:val="auto"/>
              </w:rPr>
            </w:pPr>
            <w:r>
              <w:rPr>
                <w:rFonts w:ascii="Arial" w:cs="Arial" w:eastAsia="Arial" w:hAnsi="Arial"/>
                <w:sz w:val="16"/>
                <w:szCs w:val="16"/>
                <w:color w:val="auto"/>
                <w:w w:val="89"/>
              </w:rPr>
              <w:t>Type:</w:t>
            </w:r>
          </w:p>
        </w:tc>
        <w:tc>
          <w:tcPr>
            <w:tcW w:w="980" w:type="dxa"/>
            <w:vAlign w:val="bottom"/>
            <w:gridSpan w:val="4"/>
          </w:tcPr>
          <w:p>
            <w:pPr>
              <w:ind w:left="100"/>
              <w:spacing w:after="0"/>
              <w:rPr>
                <w:sz w:val="20"/>
                <w:szCs w:val="20"/>
                <w:color w:val="auto"/>
              </w:rPr>
            </w:pPr>
            <w:r>
              <w:rPr>
                <w:rFonts w:ascii="Arial" w:cs="Arial" w:eastAsia="Arial" w:hAnsi="Arial"/>
                <w:sz w:val="16"/>
                <w:szCs w:val="16"/>
                <w:color w:val="auto"/>
              </w:rPr>
              <w:t>Pump oil</w:t>
            </w:r>
          </w:p>
        </w:tc>
        <w:tc>
          <w:tcPr>
            <w:tcW w:w="780" w:type="dxa"/>
            <w:vAlign w:val="bottom"/>
            <w:gridSpan w:val="8"/>
          </w:tcPr>
          <w:p>
            <w:pPr>
              <w:spacing w:after="0"/>
              <w:rPr>
                <w:sz w:val="20"/>
                <w:szCs w:val="20"/>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3200" w:type="dxa"/>
            <w:vAlign w:val="bottom"/>
            <w:gridSpan w:val="8"/>
          </w:tcPr>
          <w:p>
            <w:pPr>
              <w:ind w:left="180"/>
              <w:spacing w:after="0"/>
              <w:rPr>
                <w:sz w:val="20"/>
                <w:szCs w:val="20"/>
                <w:color w:val="auto"/>
              </w:rPr>
            </w:pPr>
            <w:r>
              <w:rPr>
                <w:rFonts w:ascii="Arial" w:cs="Arial" w:eastAsia="Arial" w:hAnsi="Arial"/>
                <w:sz w:val="16"/>
                <w:szCs w:val="16"/>
                <w:color w:val="auto"/>
              </w:rPr>
              <w:t>NaOH</w:t>
            </w: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40" w:type="dxa"/>
            <w:vAlign w:val="bottom"/>
            <w:gridSpan w:val="13"/>
          </w:tcPr>
          <w:p>
            <w:pPr>
              <w:spacing w:after="0"/>
              <w:rPr>
                <w:sz w:val="20"/>
                <w:szCs w:val="20"/>
                <w:color w:val="auto"/>
              </w:rPr>
            </w:pPr>
            <w:r>
              <w:rPr>
                <w:rFonts w:ascii="Arial" w:cs="Arial" w:eastAsia="Arial" w:hAnsi="Arial"/>
                <w:sz w:val="16"/>
                <w:szCs w:val="16"/>
                <w:color w:val="auto"/>
                <w:w w:val="87"/>
              </w:rPr>
              <w:t>Use: vacuum pumps and motors</w:t>
            </w:r>
          </w:p>
        </w:tc>
        <w:tc>
          <w:tcPr>
            <w:tcW w:w="100" w:type="dxa"/>
            <w:vAlign w:val="bottom"/>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3200" w:type="dxa"/>
            <w:vAlign w:val="bottom"/>
            <w:gridSpan w:val="8"/>
          </w:tcPr>
          <w:p>
            <w:pPr>
              <w:ind w:left="20"/>
              <w:spacing w:after="0"/>
              <w:rPr>
                <w:sz w:val="20"/>
                <w:szCs w:val="20"/>
                <w:color w:val="auto"/>
              </w:rPr>
            </w:pPr>
            <w:r>
              <w:rPr>
                <w:rFonts w:ascii="Arial" w:cs="Arial" w:eastAsia="Arial" w:hAnsi="Arial"/>
                <w:sz w:val="16"/>
                <w:szCs w:val="16"/>
                <w:color w:val="auto"/>
              </w:rPr>
              <w:t>neutralization, sanitization</w:t>
            </w: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1500" w:type="dxa"/>
            <w:vAlign w:val="bottom"/>
            <w:gridSpan w:val="7"/>
          </w:tcPr>
          <w:p>
            <w:pPr>
              <w:spacing w:after="0"/>
              <w:rPr>
                <w:sz w:val="20"/>
                <w:szCs w:val="20"/>
                <w:color w:val="auto"/>
              </w:rPr>
            </w:pPr>
            <w:r>
              <w:rPr>
                <w:rFonts w:ascii="Arial" w:cs="Arial" w:eastAsia="Arial" w:hAnsi="Arial"/>
                <w:sz w:val="16"/>
                <w:szCs w:val="16"/>
                <w:color w:val="auto"/>
              </w:rPr>
              <w:t>Quantity: 50 gal</w:t>
            </w:r>
          </w:p>
        </w:tc>
        <w:tc>
          <w:tcPr>
            <w:tcW w:w="540" w:type="dxa"/>
            <w:vAlign w:val="bottom"/>
            <w:gridSpan w:val="6"/>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900" w:type="dxa"/>
            <w:vAlign w:val="bottom"/>
            <w:gridSpan w:val="6"/>
          </w:tcPr>
          <w:p>
            <w:pPr>
              <w:ind w:left="100"/>
              <w:spacing w:after="0"/>
              <w:rPr>
                <w:sz w:val="20"/>
                <w:szCs w:val="20"/>
                <w:color w:val="auto"/>
              </w:rPr>
            </w:pPr>
            <w:r>
              <w:rPr>
                <w:rFonts w:ascii="Arial" w:cs="Arial" w:eastAsia="Arial" w:hAnsi="Arial"/>
                <w:sz w:val="16"/>
                <w:szCs w:val="16"/>
                <w:color w:val="auto"/>
              </w:rPr>
              <w:t>50 gal</w:t>
            </w: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1500" w:type="dxa"/>
            <w:vAlign w:val="bottom"/>
            <w:gridSpan w:val="7"/>
          </w:tcPr>
          <w:p>
            <w:pPr>
              <w:spacing w:after="0" w:line="184" w:lineRule="exact"/>
              <w:rPr>
                <w:sz w:val="20"/>
                <w:szCs w:val="20"/>
                <w:color w:val="auto"/>
              </w:rPr>
            </w:pPr>
            <w:r>
              <w:rPr>
                <w:rFonts w:ascii="Arial" w:cs="Arial" w:eastAsia="Arial" w:hAnsi="Arial"/>
                <w:sz w:val="16"/>
                <w:szCs w:val="16"/>
                <w:b w:val="1"/>
                <w:bCs w:val="1"/>
                <w:color w:val="auto"/>
              </w:rPr>
              <w:t xml:space="preserve">X </w:t>
            </w:r>
            <w:r>
              <w:rPr>
                <w:rFonts w:ascii="MS PGothic" w:cs="MS PGothic" w:eastAsia="MS PGothic" w:hAnsi="MS PGothic"/>
                <w:sz w:val="16"/>
                <w:szCs w:val="16"/>
                <w:color w:val="auto"/>
              </w:rPr>
              <w:t>☒</w:t>
            </w:r>
            <w:r>
              <w:rPr>
                <w:rFonts w:ascii="Arial" w:cs="Arial" w:eastAsia="Arial" w:hAnsi="Arial"/>
                <w:sz w:val="16"/>
                <w:szCs w:val="16"/>
                <w:b w:val="1"/>
                <w:bCs w:val="1"/>
                <w:color w:val="auto"/>
              </w:rPr>
              <w:t>Oxidizers</w:t>
            </w:r>
          </w:p>
        </w:tc>
        <w:tc>
          <w:tcPr>
            <w:tcW w:w="640" w:type="dxa"/>
            <w:vAlign w:val="bottom"/>
            <w:gridSpan w:val="7"/>
          </w:tcPr>
          <w:p>
            <w:pPr>
              <w:spacing w:after="0"/>
              <w:rPr>
                <w:sz w:val="22"/>
                <w:szCs w:val="22"/>
                <w:color w:val="auto"/>
              </w:rPr>
            </w:pPr>
          </w:p>
        </w:tc>
        <w:tc>
          <w:tcPr>
            <w:tcW w:w="1100" w:type="dxa"/>
            <w:vAlign w:val="bottom"/>
            <w:gridSpan w:val="4"/>
          </w:tcPr>
          <w:p>
            <w:pPr>
              <w:ind w:left="100"/>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b w:val="1"/>
                <w:bCs w:val="1"/>
                <w:color w:val="auto"/>
                <w:w w:val="98"/>
              </w:rPr>
              <w:t xml:space="preserve"> Pesticides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w w:val="89"/>
              </w:rPr>
              <w:t>Type:</w:t>
            </w:r>
          </w:p>
        </w:tc>
        <w:tc>
          <w:tcPr>
            <w:tcW w:w="1140" w:type="dxa"/>
            <w:vAlign w:val="bottom"/>
            <w:gridSpan w:val="6"/>
          </w:tcPr>
          <w:p>
            <w:pPr>
              <w:ind w:left="180"/>
              <w:spacing w:after="0"/>
              <w:rPr>
                <w:sz w:val="20"/>
                <w:szCs w:val="20"/>
                <w:color w:val="auto"/>
              </w:rPr>
            </w:pPr>
            <w:r>
              <w:rPr>
                <w:rFonts w:ascii="Arial" w:cs="Arial" w:eastAsia="Arial" w:hAnsi="Arial"/>
                <w:sz w:val="16"/>
                <w:szCs w:val="16"/>
                <w:color w:val="auto"/>
                <w:w w:val="88"/>
              </w:rPr>
              <w:t>Oxygen, H2O2</w:t>
            </w:r>
          </w:p>
        </w:tc>
        <w:tc>
          <w:tcPr>
            <w:tcW w:w="620" w:type="dxa"/>
            <w:vAlign w:val="bottom"/>
            <w:gridSpan w:val="6"/>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3200" w:type="dxa"/>
            <w:vAlign w:val="bottom"/>
            <w:gridSpan w:val="8"/>
          </w:tcPr>
          <w:p>
            <w:pPr>
              <w:ind w:left="160"/>
              <w:spacing w:after="0"/>
              <w:rPr>
                <w:sz w:val="20"/>
                <w:szCs w:val="20"/>
                <w:color w:val="auto"/>
              </w:rPr>
            </w:pPr>
            <w:r>
              <w:rPr>
                <w:rFonts w:ascii="Arial" w:cs="Arial" w:eastAsia="Arial" w:hAnsi="Arial"/>
                <w:sz w:val="16"/>
                <w:szCs w:val="16"/>
                <w:color w:val="auto"/>
              </w:rPr>
              <w:t>Approved and licensed by California</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60" w:type="dxa"/>
            <w:vAlign w:val="bottom"/>
            <w:gridSpan w:val="6"/>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rPr>
              <w:t>Use:</w:t>
            </w:r>
          </w:p>
        </w:tc>
        <w:tc>
          <w:tcPr>
            <w:tcW w:w="1140" w:type="dxa"/>
            <w:vAlign w:val="bottom"/>
            <w:gridSpan w:val="6"/>
          </w:tcPr>
          <w:p>
            <w:pPr>
              <w:ind w:left="40"/>
              <w:spacing w:after="0"/>
              <w:rPr>
                <w:sz w:val="20"/>
                <w:szCs w:val="20"/>
                <w:color w:val="auto"/>
              </w:rPr>
            </w:pPr>
            <w:r>
              <w:rPr>
                <w:rFonts w:ascii="Arial" w:cs="Arial" w:eastAsia="Arial" w:hAnsi="Arial"/>
                <w:sz w:val="16"/>
                <w:szCs w:val="16"/>
                <w:color w:val="auto"/>
              </w:rPr>
              <w:t>manufacturing</w:t>
            </w:r>
          </w:p>
        </w:tc>
        <w:tc>
          <w:tcPr>
            <w:tcW w:w="620" w:type="dxa"/>
            <w:vAlign w:val="bottom"/>
            <w:gridSpan w:val="6"/>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3200" w:type="dxa"/>
            <w:vAlign w:val="bottom"/>
            <w:gridSpan w:val="8"/>
          </w:tcPr>
          <w:p>
            <w:pPr>
              <w:ind w:left="20"/>
              <w:spacing w:after="0"/>
              <w:rPr>
                <w:sz w:val="20"/>
                <w:szCs w:val="20"/>
                <w:color w:val="auto"/>
              </w:rPr>
            </w:pPr>
            <w:r>
              <w:rPr>
                <w:rFonts w:ascii="Arial" w:cs="Arial" w:eastAsia="Arial" w:hAnsi="Arial"/>
                <w:sz w:val="16"/>
                <w:szCs w:val="16"/>
                <w:color w:val="auto"/>
              </w:rPr>
              <w:t>Interior and exterior pest control</w:t>
            </w:r>
          </w:p>
        </w:tc>
      </w:tr>
      <w:tr>
        <w:trPr>
          <w:trHeight w:val="20"/>
        </w:trPr>
        <w:tc>
          <w:tcPr>
            <w:tcW w:w="660" w:type="dxa"/>
            <w:vAlign w:val="bottom"/>
            <w:gridSpan w:val="3"/>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63"/>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980" w:type="dxa"/>
            <w:vAlign w:val="bottom"/>
            <w:gridSpan w:val="7"/>
          </w:tcPr>
          <w:p>
            <w:pPr>
              <w:ind w:left="140"/>
              <w:spacing w:after="0"/>
              <w:rPr>
                <w:sz w:val="20"/>
                <w:szCs w:val="20"/>
                <w:color w:val="auto"/>
              </w:rPr>
            </w:pPr>
            <w:r>
              <w:rPr>
                <w:rFonts w:ascii="Arial" w:cs="Arial" w:eastAsia="Arial" w:hAnsi="Arial"/>
                <w:sz w:val="16"/>
                <w:szCs w:val="16"/>
                <w:color w:val="auto"/>
              </w:rPr>
              <w:t>1200 lbs</w:t>
            </w:r>
          </w:p>
        </w:tc>
        <w:tc>
          <w:tcPr>
            <w:tcW w:w="500" w:type="dxa"/>
            <w:vAlign w:val="bottom"/>
            <w:gridSpan w:val="4"/>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900" w:type="dxa"/>
            <w:vAlign w:val="bottom"/>
            <w:gridSpan w:val="6"/>
          </w:tcPr>
          <w:p>
            <w:pPr>
              <w:ind w:left="100"/>
              <w:spacing w:after="0"/>
              <w:rPr>
                <w:sz w:val="20"/>
                <w:szCs w:val="20"/>
                <w:color w:val="auto"/>
              </w:rPr>
            </w:pPr>
            <w:r>
              <w:rPr>
                <w:rFonts w:ascii="Arial" w:cs="Arial" w:eastAsia="Arial" w:hAnsi="Arial"/>
                <w:sz w:val="16"/>
                <w:szCs w:val="16"/>
                <w:color w:val="auto"/>
                <w:w w:val="87"/>
              </w:rPr>
              <w:t>As needed by licensed pest control company</w:t>
            </w:r>
          </w:p>
        </w:tc>
      </w:tr>
      <w:tr>
        <w:trPr>
          <w:trHeight w:val="20"/>
        </w:trPr>
        <w:tc>
          <w:tcPr>
            <w:tcW w:w="126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gridSpan w:val="11"/>
            <w:shd w:val="clear" w:color="auto" w:fill="000000"/>
          </w:tcPr>
          <w:p>
            <w:pPr>
              <w:spacing w:after="0" w:line="20" w:lineRule="exact"/>
              <w:rPr>
                <w:sz w:val="1"/>
                <w:szCs w:val="1"/>
                <w:color w:val="auto"/>
              </w:rPr>
            </w:pPr>
          </w:p>
        </w:tc>
      </w:tr>
      <w:tr>
        <w:trPr>
          <w:trHeight w:val="315"/>
        </w:trPr>
        <w:tc>
          <w:tcPr>
            <w:tcW w:w="1640" w:type="dxa"/>
            <w:vAlign w:val="bottom"/>
            <w:gridSpan w:val="10"/>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Organic</w:t>
            </w:r>
          </w:p>
        </w:tc>
        <w:tc>
          <w:tcPr>
            <w:tcW w:w="500" w:type="dxa"/>
            <w:vAlign w:val="bottom"/>
            <w:gridSpan w:val="4"/>
          </w:tcPr>
          <w:p>
            <w:pPr>
              <w:spacing w:after="0"/>
              <w:rPr>
                <w:sz w:val="24"/>
                <w:szCs w:val="24"/>
                <w:color w:val="auto"/>
              </w:rPr>
            </w:pPr>
          </w:p>
        </w:tc>
        <w:tc>
          <w:tcPr>
            <w:tcW w:w="4300" w:type="dxa"/>
            <w:vAlign w:val="bottom"/>
            <w:gridSpan w:val="12"/>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Radioactive Materials</w:t>
            </w:r>
          </w:p>
        </w:tc>
      </w:tr>
      <w:tr>
        <w:trPr>
          <w:trHeight w:val="231"/>
        </w:trPr>
        <w:tc>
          <w:tcPr>
            <w:tcW w:w="1360" w:type="dxa"/>
            <w:vAlign w:val="bottom"/>
            <w:gridSpan w:val="6"/>
          </w:tcPr>
          <w:p>
            <w:pPr>
              <w:spacing w:after="0"/>
              <w:rPr>
                <w:sz w:val="20"/>
                <w:szCs w:val="20"/>
                <w:color w:val="auto"/>
              </w:rPr>
            </w:pPr>
            <w:r>
              <w:rPr>
                <w:rFonts w:ascii="Arial" w:cs="Arial" w:eastAsia="Arial" w:hAnsi="Arial"/>
                <w:sz w:val="16"/>
                <w:szCs w:val="16"/>
                <w:color w:val="auto"/>
                <w:w w:val="99"/>
              </w:rPr>
              <w:t>Type: lab reagents</w:t>
            </w:r>
          </w:p>
        </w:tc>
        <w:tc>
          <w:tcPr>
            <w:tcW w:w="780" w:type="dxa"/>
            <w:vAlign w:val="bottom"/>
            <w:gridSpan w:val="8"/>
          </w:tcPr>
          <w:p>
            <w:pPr>
              <w:spacing w:after="0"/>
              <w:rPr>
                <w:sz w:val="20"/>
                <w:szCs w:val="20"/>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rPr>
              <w:t>Use:</w:t>
            </w:r>
          </w:p>
        </w:tc>
        <w:tc>
          <w:tcPr>
            <w:tcW w:w="1180" w:type="dxa"/>
            <w:vAlign w:val="bottom"/>
            <w:gridSpan w:val="7"/>
          </w:tcPr>
          <w:p>
            <w:pPr>
              <w:ind w:left="120"/>
              <w:spacing w:after="0"/>
              <w:rPr>
                <w:sz w:val="20"/>
                <w:szCs w:val="20"/>
                <w:color w:val="auto"/>
              </w:rPr>
            </w:pPr>
            <w:r>
              <w:rPr>
                <w:rFonts w:ascii="Arial" w:cs="Arial" w:eastAsia="Arial" w:hAnsi="Arial"/>
                <w:sz w:val="16"/>
                <w:szCs w:val="16"/>
                <w:color w:val="auto"/>
              </w:rPr>
              <w:t>manufacturing</w:t>
            </w:r>
          </w:p>
        </w:tc>
        <w:tc>
          <w:tcPr>
            <w:tcW w:w="580" w:type="dxa"/>
            <w:vAlign w:val="bottom"/>
            <w:gridSpan w:val="5"/>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660" w:type="dxa"/>
            <w:vAlign w:val="bottom"/>
            <w:gridSpan w:val="3"/>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10 gal</w:t>
            </w:r>
          </w:p>
        </w:tc>
        <w:tc>
          <w:tcPr>
            <w:tcW w:w="300" w:type="dxa"/>
            <w:vAlign w:val="bottom"/>
            <w:gridSpan w:val="4"/>
          </w:tcPr>
          <w:p>
            <w:pPr>
              <w:spacing w:after="0"/>
              <w:rPr>
                <w:sz w:val="22"/>
                <w:szCs w:val="22"/>
                <w:color w:val="auto"/>
              </w:rPr>
            </w:pPr>
          </w:p>
        </w:tc>
        <w:tc>
          <w:tcPr>
            <w:tcW w:w="580" w:type="dxa"/>
            <w:vAlign w:val="bottom"/>
            <w:gridSpan w:val="5"/>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Other</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Type:</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Use:</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Quantity:</w:t>
      </w:r>
    </w:p>
    <w:p>
      <w:pPr>
        <w:spacing w:after="0" w:line="11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3"/>
          <w:szCs w:val="13"/>
          <w:color w:val="auto"/>
        </w:rPr>
        <w:t>List and quantify the materials identified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MATERIAL</w:t>
            </w:r>
          </w:p>
        </w:tc>
        <w:tc>
          <w:tcPr>
            <w:tcW w:w="10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PHYSICAL STATE</w:t>
            </w:r>
          </w:p>
        </w:tc>
        <w:tc>
          <w:tcPr>
            <w:tcW w:w="10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CONTAINER SIZE</w:t>
            </w:r>
          </w:p>
        </w:tc>
        <w:tc>
          <w:tcPr>
            <w:tcW w:w="100" w:type="dxa"/>
            <w:vAlign w:val="bottom"/>
          </w:tcPr>
          <w:p>
            <w:pPr>
              <w:spacing w:after="0"/>
              <w:rPr>
                <w:sz w:val="13"/>
                <w:szCs w:val="13"/>
                <w:color w:val="auto"/>
              </w:rPr>
            </w:pPr>
          </w:p>
        </w:tc>
        <w:tc>
          <w:tcPr>
            <w:tcW w:w="22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NUMBER OF CONTAINERS</w:t>
            </w:r>
          </w:p>
        </w:tc>
      </w:tr>
      <w:tr>
        <w:trPr>
          <w:trHeight w:val="215"/>
        </w:trPr>
        <w:tc>
          <w:tcPr>
            <w:tcW w:w="2620" w:type="dxa"/>
            <w:vAlign w:val="bottom"/>
            <w:gridSpan w:val="2"/>
          </w:tcPr>
          <w:p>
            <w:pPr>
              <w:spacing w:after="0"/>
              <w:rPr>
                <w:sz w:val="20"/>
                <w:szCs w:val="20"/>
                <w:color w:val="auto"/>
              </w:rPr>
            </w:pPr>
            <w:r>
              <w:rPr>
                <w:rFonts w:ascii="Arial" w:cs="Arial" w:eastAsia="Arial" w:hAnsi="Arial"/>
                <w:sz w:val="16"/>
                <w:szCs w:val="16"/>
                <w:color w:val="auto"/>
              </w:rPr>
              <w:t>Ethanol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10</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NaOH</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Neutralization base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50 gal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Phosphoric acid</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Neutralization acid</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50 gal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Glacial Acetic acid</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Hydrogen peroxide 35%</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1L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6</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Acetonitrile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Methanol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Vesphene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LPH</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Trypan Blue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1L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6</w:t>
            </w:r>
          </w:p>
        </w:tc>
      </w:tr>
    </w:tbl>
    <w:p>
      <w:pPr>
        <w:sectPr>
          <w:pgSz w:w="11900" w:h="16838" w:orient="portrait"/>
          <w:cols w:equalWidth="0" w:num="1">
            <w:col w:w="9620"/>
          </w:cols>
          <w:pgMar w:left="1140" w:top="239" w:right="1139" w:bottom="1440" w:gutter="0" w:footer="0" w:header="0"/>
        </w:sectPr>
      </w:pPr>
    </w:p>
    <w:bookmarkStart w:id="724" w:name="page725"/>
    <w:bookmarkEnd w:id="7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220" w:type="dxa"/>
            <w:vAlign w:val="bottom"/>
          </w:tcPr>
          <w:p>
            <w:pPr>
              <w:spacing w:after="0"/>
              <w:rPr>
                <w:sz w:val="20"/>
                <w:szCs w:val="20"/>
                <w:color w:val="auto"/>
              </w:rPr>
            </w:pPr>
            <w:r>
              <w:rPr>
                <w:rFonts w:ascii="Arial" w:cs="Arial" w:eastAsia="Arial" w:hAnsi="Arial"/>
                <w:sz w:val="16"/>
                <w:szCs w:val="16"/>
                <w:color w:val="auto"/>
              </w:rPr>
              <w:t>Triton X</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rPr>
              <w:t>4L</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N2</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400 lbs</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O2</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400 lbs</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CO2</w:t>
            </w:r>
          </w:p>
        </w:tc>
        <w:tc>
          <w:tcPr>
            <w:tcW w:w="2660" w:type="dxa"/>
            <w:vAlign w:val="bottom"/>
          </w:tcPr>
          <w:p>
            <w:pPr>
              <w:ind w:left="1480"/>
              <w:spacing w:after="0"/>
              <w:rPr>
                <w:sz w:val="20"/>
                <w:szCs w:val="20"/>
                <w:color w:val="auto"/>
              </w:rPr>
            </w:pPr>
            <w:r>
              <w:rPr>
                <w:rFonts w:ascii="Arial" w:cs="Arial" w:eastAsia="Arial" w:hAnsi="Arial"/>
                <w:sz w:val="16"/>
                <w:szCs w:val="16"/>
                <w:color w:val="auto"/>
              </w:rPr>
              <w:t>G</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200 lbs</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Isopropanol</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rPr>
              <w:t>4L</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Diesel fuel</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7"/>
              </w:rPr>
              <w:t>400 gal</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Pump oil</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7"/>
              </w:rPr>
              <w:t>55 gal</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3"/>
          <w:szCs w:val="13"/>
          <w:color w:val="auto"/>
        </w:rPr>
        <w:t>Describe the storage area location(s) for these materials. Emergency generator tank, gas storage room, flammable storage room, GMP warehouse</w:t>
      </w:r>
    </w:p>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5"/>
          <w:szCs w:val="15"/>
          <w:b w:val="1"/>
          <w:bCs w:val="1"/>
          <w:u w:val="single" w:color="auto"/>
          <w:color w:val="auto"/>
        </w:rPr>
        <w:t>HAZARDOUS WASTES</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3"/>
          <w:szCs w:val="13"/>
          <w:color w:val="auto"/>
        </w:rPr>
        <w:t>Are hazardous wastes generated? If so, continue with the next question. If not, skip this section and go to section 4.0.</w:t>
      </w:r>
    </w:p>
    <w:p>
      <w:pPr>
        <w:spacing w:after="0" w:line="11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3"/>
          <w:szCs w:val="13"/>
          <w:color w:val="auto"/>
        </w:rPr>
        <w:t>Are any of the following wastes generated, handled, or disposed of (where applicable) on the property? Yes, generated</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Hazardous wastes</w:t>
            </w:r>
          </w:p>
        </w:tc>
        <w:tc>
          <w:tcPr>
            <w:tcW w:w="10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ind w:left="100"/>
              <w:spacing w:after="0"/>
              <w:rPr>
                <w:sz w:val="20"/>
                <w:szCs w:val="20"/>
                <w:color w:val="auto"/>
              </w:rPr>
            </w:pPr>
            <w:r>
              <w:rPr>
                <w:rFonts w:ascii="Arial" w:cs="Arial" w:eastAsia="Arial" w:hAnsi="Arial"/>
                <w:sz w:val="16"/>
                <w:szCs w:val="16"/>
                <w:color w:val="auto"/>
                <w:w w:val="88"/>
              </w:rPr>
              <w:t>Industrial Wastewater</w:t>
            </w:r>
          </w:p>
        </w:tc>
      </w:t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Waste oils</w:t>
            </w:r>
          </w:p>
        </w:tc>
        <w:tc>
          <w:tcPr>
            <w:tcW w:w="10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ind w:left="100"/>
              <w:spacing w:after="0"/>
              <w:rPr>
                <w:sz w:val="20"/>
                <w:szCs w:val="20"/>
                <w:color w:val="auto"/>
              </w:rPr>
            </w:pPr>
            <w:r>
              <w:rPr>
                <w:rFonts w:ascii="Arial" w:cs="Arial" w:eastAsia="Arial" w:hAnsi="Arial"/>
                <w:sz w:val="16"/>
                <w:szCs w:val="16"/>
                <w:color w:val="auto"/>
              </w:rPr>
              <w:t>PCBs</w:t>
            </w:r>
          </w:p>
        </w:tc>
      </w:tr>
      <w:tr>
        <w:trPr>
          <w:trHeight w:val="225"/>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Air emissions</w:t>
            </w:r>
          </w:p>
        </w:tc>
        <w:tc>
          <w:tcPr>
            <w:tcW w:w="10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ind w:left="100"/>
              <w:spacing w:after="0"/>
              <w:rPr>
                <w:sz w:val="20"/>
                <w:szCs w:val="20"/>
                <w:color w:val="auto"/>
              </w:rPr>
            </w:pPr>
            <w:r>
              <w:rPr>
                <w:rFonts w:ascii="Arial" w:cs="Arial" w:eastAsia="Arial" w:hAnsi="Arial"/>
                <w:sz w:val="16"/>
                <w:szCs w:val="16"/>
                <w:color w:val="auto"/>
              </w:rPr>
              <w:t>Sludges</w:t>
            </w:r>
          </w:p>
        </w:tc>
      </w:tr>
    </w:tbl>
    <w:p>
      <w:pPr>
        <w:ind w:left="740" w:hanging="353"/>
        <w:spacing w:after="0"/>
        <w:tabs>
          <w:tab w:leader="none" w:pos="740" w:val="left"/>
        </w:tabs>
        <w:numPr>
          <w:ilvl w:val="0"/>
          <w:numId w:val="554"/>
        </w:numPr>
        <w:rPr>
          <w:rFonts w:ascii="MS PGothic" w:cs="MS PGothic" w:eastAsia="MS PGothic" w:hAnsi="MS PGothic"/>
          <w:sz w:val="16"/>
          <w:szCs w:val="16"/>
          <w:color w:val="auto"/>
        </w:rPr>
      </w:pPr>
      <w:r>
        <w:rPr>
          <w:rFonts w:ascii="Arial" w:cs="Arial" w:eastAsia="Arial" w:hAnsi="Arial"/>
          <w:sz w:val="16"/>
          <w:szCs w:val="16"/>
          <w:color w:val="auto"/>
        </w:rPr>
        <w:t>Other (please specify) Biowaste</w:t>
      </w:r>
    </w:p>
    <w:p>
      <w:pPr>
        <w:spacing w:after="0" w:line="209" w:lineRule="exact"/>
        <w:rPr>
          <w:sz w:val="20"/>
          <w:szCs w:val="20"/>
          <w:color w:val="auto"/>
        </w:rPr>
      </w:pPr>
    </w:p>
    <w:p>
      <w:pPr>
        <w:ind w:left="380" w:right="120" w:hanging="376"/>
        <w:spacing w:after="0" w:line="343" w:lineRule="auto"/>
        <w:tabs>
          <w:tab w:leader="none" w:pos="3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3"/>
          <w:szCs w:val="13"/>
          <w:color w:val="auto"/>
        </w:rPr>
        <w:t>Identify and describe those wastes generated, handled or disposed of (disposition). Specify any wastes known to be regulated under the Resource Conservation and Recovery Act (RCRA) as “listed characteristic or statutory” wastes. Include total amounts generated monthly. Please include name, location, and permit number (e.g. EPA ID No.) for transporter and disposal facility, if applicable). Attach separate pages as necessary.</w:t>
      </w:r>
    </w:p>
    <w:p>
      <w:pPr>
        <w:spacing w:after="0" w:line="19" w:lineRule="exact"/>
        <w:rPr>
          <w:sz w:val="20"/>
          <w:szCs w:val="20"/>
          <w:color w:val="auto"/>
        </w:rPr>
      </w:pPr>
    </w:p>
    <w:p>
      <w:pPr>
        <w:ind w:left="380" w:right="660"/>
        <w:spacing w:after="0" w:line="266" w:lineRule="auto"/>
        <w:rPr>
          <w:sz w:val="20"/>
          <w:szCs w:val="20"/>
          <w:color w:val="auto"/>
        </w:rPr>
      </w:pPr>
      <w:r>
        <w:rPr>
          <w:rFonts w:ascii="Arial" w:cs="Arial" w:eastAsia="Arial" w:hAnsi="Arial"/>
          <w:sz w:val="16"/>
          <w:szCs w:val="16"/>
          <w:color w:val="auto"/>
        </w:rPr>
        <w:t>RCRA listed characteristic wastes include ignitable, corrosive and toxic. Hazardous waste transporter will be Veolia Technical Solutions (NJD080631369).</w:t>
      </w:r>
    </w:p>
    <w:p>
      <w:pPr>
        <w:spacing w:after="0" w:line="7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3"/>
          <w:szCs w:val="13"/>
          <w:color w:val="auto"/>
        </w:rPr>
        <w:t>List and quantify the materials identified in Question 3-2 of this section.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3"/>
              </w:rPr>
              <w:t>APPROXIMATE</w:t>
            </w: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0"/>
              </w:rPr>
              <w:t>WASTE</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7"/>
        </w:trPr>
        <w:tc>
          <w:tcPr>
            <w:tcW w:w="20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WASTE GENERATED</w:t>
            </w:r>
          </w:p>
        </w:tc>
        <w:tc>
          <w:tcPr>
            <w:tcW w:w="120" w:type="dxa"/>
            <w:vAlign w:val="bottom"/>
          </w:tcPr>
          <w:p>
            <w:pPr>
              <w:spacing w:after="0"/>
              <w:rPr>
                <w:sz w:val="13"/>
                <w:szCs w:val="13"/>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SOURCE</w:t>
            </w:r>
          </w:p>
        </w:tc>
        <w:tc>
          <w:tcPr>
            <w:tcW w:w="100" w:type="dxa"/>
            <w:vAlign w:val="bottom"/>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MONTHLY QUANTITY</w:t>
            </w:r>
          </w:p>
        </w:tc>
        <w:tc>
          <w:tcPr>
            <w:tcW w:w="100" w:type="dxa"/>
            <w:vAlign w:val="bottom"/>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CHARACTERIZATION</w:t>
            </w:r>
          </w:p>
        </w:tc>
        <w:tc>
          <w:tcPr>
            <w:tcW w:w="100" w:type="dxa"/>
            <w:vAlign w:val="bottom"/>
          </w:tcPr>
          <w:p>
            <w:pPr>
              <w:spacing w:after="0"/>
              <w:rPr>
                <w:sz w:val="13"/>
                <w:szCs w:val="13"/>
                <w:color w:val="auto"/>
              </w:rPr>
            </w:pP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DISPOSITION</w:t>
            </w: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Cleaning 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25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ignitable</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incineration</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Lab 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25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corrosive</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treatment</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Lab 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25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toxic</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incineration</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Biowaste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200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biowaste</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treatment</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Industrial wastewater</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w w:val="88"/>
              </w:rPr>
              <w:t>Discharged to sanitary sewer</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NA</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POTW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right="360" w:hanging="376"/>
        <w:spacing w:after="0" w:line="266" w:lineRule="auto"/>
        <w:tabs>
          <w:tab w:leader="none" w:pos="360" w:val="left"/>
        </w:tabs>
        <w:rPr>
          <w:sz w:val="20"/>
          <w:szCs w:val="20"/>
          <w:color w:val="auto"/>
        </w:rPr>
      </w:pPr>
      <w:r>
        <w:rPr>
          <w:rFonts w:ascii="Arial" w:cs="Arial" w:eastAsia="Arial" w:hAnsi="Arial"/>
          <w:sz w:val="16"/>
          <w:szCs w:val="16"/>
          <w:color w:val="auto"/>
        </w:rPr>
        <w:t>3-5.</w:t>
        <w:tab/>
        <w:t>Are pollution controls or monitoring employed in the process to prevent or minimize the release of wastes into the environment? If so, please describe.</w:t>
      </w:r>
    </w:p>
    <w:p>
      <w:pPr>
        <w:spacing w:after="0" w:line="64" w:lineRule="exact"/>
        <w:rPr>
          <w:sz w:val="20"/>
          <w:szCs w:val="20"/>
          <w:color w:val="auto"/>
        </w:rPr>
      </w:pPr>
    </w:p>
    <w:p>
      <w:pPr>
        <w:ind w:left="380" w:right="240"/>
        <w:spacing w:after="0" w:line="266" w:lineRule="auto"/>
        <w:rPr>
          <w:sz w:val="20"/>
          <w:szCs w:val="20"/>
          <w:color w:val="auto"/>
        </w:rPr>
      </w:pPr>
      <w:r>
        <w:rPr>
          <w:rFonts w:ascii="Arial" w:cs="Arial" w:eastAsia="Arial" w:hAnsi="Arial"/>
          <w:sz w:val="16"/>
          <w:szCs w:val="16"/>
          <w:color w:val="auto"/>
        </w:rPr>
        <w:t>Hazardous wastes are generated inside the facility and kept in closed containers, stored inside the facility until transported off site for treatment and disposal.</w:t>
      </w:r>
    </w:p>
    <w:p>
      <w:pPr>
        <w:sectPr>
          <w:pgSz w:w="11900" w:h="16838" w:orient="portrait"/>
          <w:cols w:equalWidth="0" w:num="1">
            <w:col w:w="9620"/>
          </w:cols>
          <w:pgMar w:left="1140" w:top="304" w:right="1139" w:bottom="1440" w:gutter="0" w:footer="0" w:header="0"/>
        </w:sectPr>
      </w:pPr>
    </w:p>
    <w:bookmarkStart w:id="725" w:name="page726"/>
    <w:bookmarkEnd w:id="725"/>
    <w:p>
      <w:pPr>
        <w:spacing w:after="0"/>
        <w:tabs>
          <w:tab w:leader="none" w:pos="36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4.0</w:t>
      </w:r>
      <w:r>
        <w:rPr>
          <w:sz w:val="20"/>
          <w:szCs w:val="20"/>
          <w:color w:val="auto"/>
        </w:rPr>
        <w:tab/>
      </w:r>
      <w:r>
        <w:rPr>
          <w:rFonts w:ascii="Arial" w:cs="Arial" w:eastAsia="Arial" w:hAnsi="Arial"/>
          <w:sz w:val="13"/>
          <w:szCs w:val="13"/>
          <w:b w:val="1"/>
          <w:bCs w:val="1"/>
          <w:u w:val="single" w:color="auto"/>
          <w:color w:val="auto"/>
        </w:rPr>
        <w:t>USTS/ASTS</w:t>
      </w:r>
    </w:p>
    <w:p>
      <w:pPr>
        <w:spacing w:after="0" w:line="115" w:lineRule="exact"/>
        <w:rPr>
          <w:sz w:val="20"/>
          <w:szCs w:val="20"/>
          <w:color w:val="auto"/>
        </w:rPr>
      </w:pPr>
    </w:p>
    <w:p>
      <w:pPr>
        <w:ind w:left="380" w:hanging="376"/>
        <w:spacing w:after="0" w:line="256" w:lineRule="auto"/>
        <w:tabs>
          <w:tab w:leader="none" w:pos="360" w:val="left"/>
        </w:tabs>
        <w:rPr>
          <w:sz w:val="20"/>
          <w:szCs w:val="20"/>
          <w:color w:val="auto"/>
        </w:rPr>
      </w:pPr>
      <w:r>
        <w:rPr>
          <w:rFonts w:ascii="Arial" w:cs="Arial" w:eastAsia="Arial" w:hAnsi="Arial"/>
          <w:sz w:val="16"/>
          <w:szCs w:val="16"/>
          <w:color w:val="auto"/>
        </w:rPr>
        <w:t>4-1.</w:t>
        <w:tab/>
        <w:t>Are underground storage tanks (USTs), aboveground storage tanks (ASTs), or associated pipelines present on site (lease renewals) or required for planned operations (new tenants)? If not, continue with section 5.0. If yes, please describe capacity, contents, age, design and construction of USTs or ASTs</w:t>
      </w:r>
    </w:p>
    <w:p>
      <w:pPr>
        <w:spacing w:after="0" w:line="71" w:lineRule="exact"/>
        <w:rPr>
          <w:sz w:val="20"/>
          <w:szCs w:val="20"/>
          <w:color w:val="auto"/>
        </w:rPr>
      </w:pPr>
    </w:p>
    <w:p>
      <w:pPr>
        <w:ind w:left="380" w:right="3160"/>
        <w:spacing w:after="0" w:line="256" w:lineRule="auto"/>
        <w:rPr>
          <w:sz w:val="20"/>
          <w:szCs w:val="20"/>
          <w:color w:val="auto"/>
        </w:rPr>
      </w:pPr>
      <w:r>
        <w:rPr>
          <w:rFonts w:ascii="Arial" w:cs="Arial" w:eastAsia="Arial" w:hAnsi="Arial"/>
          <w:sz w:val="16"/>
          <w:szCs w:val="16"/>
          <w:color w:val="auto"/>
        </w:rPr>
        <w:t>New emergency generator will have a double walled belly AST to hold ~ 400 gal diesel fuel and new wastewater neutralization system will have &lt; 50 gal acid and base AST for wastewater neutralization.</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3"/>
          <w:szCs w:val="13"/>
          <w:color w:val="auto"/>
        </w:rPr>
        <w:t>Is the UST/AST registered and permitted with the appropriate regulatory agencies? Please provide a copy of the required permits.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ASTs will be registered and permitted by the jurisdiction having authority.</w:t>
      </w:r>
    </w:p>
    <w:p>
      <w:pPr>
        <w:spacing w:after="0" w:line="111" w:lineRule="exact"/>
        <w:rPr>
          <w:sz w:val="20"/>
          <w:szCs w:val="20"/>
          <w:color w:val="auto"/>
        </w:rPr>
      </w:pPr>
    </w:p>
    <w:p>
      <w:pPr>
        <w:ind w:left="380" w:right="80" w:hanging="376"/>
        <w:spacing w:after="0" w:line="256" w:lineRule="auto"/>
        <w:tabs>
          <w:tab w:leader="none" w:pos="360" w:val="left"/>
        </w:tabs>
        <w:rPr>
          <w:sz w:val="20"/>
          <w:szCs w:val="20"/>
          <w:color w:val="auto"/>
        </w:rPr>
      </w:pPr>
      <w:r>
        <w:rPr>
          <w:rFonts w:ascii="Arial" w:cs="Arial" w:eastAsia="Arial" w:hAnsi="Arial"/>
          <w:sz w:val="16"/>
          <w:szCs w:val="16"/>
          <w:color w:val="auto"/>
        </w:rPr>
        <w:t>4-3.</w:t>
        <w:tab/>
        <w:t>Indicate if any of the following leak prevention measures have been provided for the USTs/ASTs and their associated piping. Additionally, please indicate the number of tanks that are provided with the indicated measure. Please provide copies of written test results and monitoring documentation.</w:t>
      </w:r>
    </w:p>
    <w:p>
      <w:pPr>
        <w:sectPr>
          <w:pgSz w:w="11900" w:h="16838" w:orient="portrait"/>
          <w:cols w:equalWidth="0" w:num="1">
            <w:col w:w="9600"/>
          </w:cols>
          <w:pgMar w:left="1140" w:top="253" w:right="1159" w:bottom="1440" w:gutter="0" w:footer="0" w:header="0"/>
        </w:sectPr>
      </w:pPr>
    </w:p>
    <w:p>
      <w:pPr>
        <w:spacing w:after="0" w:line="162" w:lineRule="exact"/>
        <w:rPr>
          <w:sz w:val="20"/>
          <w:szCs w:val="20"/>
          <w:color w:val="auto"/>
        </w:r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Integrity testing 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Inventory reconciliation</w:t>
      </w:r>
    </w:p>
    <w:p>
      <w:pPr>
        <w:spacing w:after="0" w:line="106" w:lineRule="exact"/>
        <w:rPr>
          <w:sz w:val="20"/>
          <w:szCs w:val="20"/>
          <w:color w:val="auto"/>
        </w:rPr>
      </w:pPr>
    </w:p>
    <w:p>
      <w:pPr>
        <w:sectPr>
          <w:pgSz w:w="11900" w:h="16838" w:orient="portrait"/>
          <w:cols w:equalWidth="0" w:num="4">
            <w:col w:w="520" w:space="40"/>
            <w:col w:w="2200" w:space="720"/>
            <w:col w:w="140" w:space="40"/>
            <w:col w:w="5940"/>
          </w:cols>
          <w:pgMar w:left="1140" w:top="253" w:right="1159" w:bottom="1440" w:gutter="0" w:footer="0" w:header="0"/>
          <w:type w:val="continuous"/>
        </w:sect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Leak detection system 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Overfill spill protection 3</w:t>
      </w:r>
    </w:p>
    <w:p>
      <w:pPr>
        <w:spacing w:after="0" w:line="83" w:lineRule="exact"/>
        <w:rPr>
          <w:sz w:val="20"/>
          <w:szCs w:val="20"/>
          <w:color w:val="auto"/>
        </w:rPr>
      </w:pPr>
    </w:p>
    <w:p>
      <w:pPr>
        <w:sectPr>
          <w:pgSz w:w="11900" w:h="16838" w:orient="portrait"/>
          <w:cols w:equalWidth="0" w:num="4">
            <w:col w:w="520" w:space="40"/>
            <w:col w:w="2200" w:space="720"/>
            <w:col w:w="140" w:space="40"/>
            <w:col w:w="5940"/>
          </w:cols>
          <w:pgMar w:left="1140" w:top="253" w:right="1159" w:bottom="1440" w:gutter="0" w:footer="0" w:header="0"/>
          <w:type w:val="continuous"/>
        </w:sect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Secondary containment 3</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Other (please describe)</w:t>
      </w:r>
    </w:p>
    <w:p>
      <w:pPr>
        <w:spacing w:after="0" w:line="106" w:lineRule="exact"/>
        <w:rPr>
          <w:sz w:val="20"/>
          <w:szCs w:val="20"/>
          <w:color w:val="auto"/>
        </w:rPr>
      </w:pPr>
    </w:p>
    <w:p>
      <w:pPr>
        <w:sectPr>
          <w:pgSz w:w="11900" w:h="16838" w:orient="portrait"/>
          <w:cols w:equalWidth="0" w:num="4">
            <w:col w:w="520" w:space="40"/>
            <w:col w:w="2200" w:space="720"/>
            <w:col w:w="140" w:space="40"/>
            <w:col w:w="5940"/>
          </w:cols>
          <w:pgMar w:left="1140" w:top="253" w:right="1159" w:bottom="1440" w:gutter="0" w:footer="0" w:header="0"/>
          <w:type w:val="continuous"/>
        </w:sect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Cathodic protection</w:t>
      </w:r>
    </w:p>
    <w:p>
      <w:pPr>
        <w:spacing w:after="0" w:line="145" w:lineRule="exact"/>
        <w:rPr>
          <w:sz w:val="20"/>
          <w:szCs w:val="20"/>
          <w:color w:val="auto"/>
        </w:rPr>
      </w:pPr>
    </w:p>
    <w:p>
      <w:pPr>
        <w:sectPr>
          <w:pgSz w:w="11900" w:h="16838" w:orient="portrait"/>
          <w:cols w:equalWidth="0" w:num="2">
            <w:col w:w="520" w:space="40"/>
            <w:col w:w="9040"/>
          </w:cols>
          <w:pgMar w:left="1140" w:top="253" w:right="1159" w:bottom="1440" w:gutter="0" w:footer="0" w:header="0"/>
          <w:type w:val="continuous"/>
        </w:sectPr>
      </w:pPr>
    </w:p>
    <w:p>
      <w:pPr>
        <w:ind w:left="380" w:right="320" w:hanging="376"/>
        <w:spacing w:after="0" w:line="300" w:lineRule="auto"/>
        <w:tabs>
          <w:tab w:leader="none" w:pos="3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5"/>
          <w:szCs w:val="15"/>
          <w:color w:val="auto"/>
        </w:rPr>
        <w:t>If this Questionnaire is being completed for a lease renewal, and if any of the USTs/ASTs have leaked, please state the substance released, the media(s) impacted (e.g., soil, water, asphalt, etc.), the actions taken, and all remedial responses to the incident. NA</w:t>
      </w:r>
    </w:p>
    <w:p>
      <w:pPr>
        <w:spacing w:after="0" w:line="52" w:lineRule="exact"/>
        <w:rPr>
          <w:sz w:val="20"/>
          <w:szCs w:val="20"/>
          <w:color w:val="auto"/>
        </w:rPr>
      </w:pPr>
    </w:p>
    <w:p>
      <w:pPr>
        <w:ind w:left="380" w:right="120" w:hanging="376"/>
        <w:spacing w:after="0" w:line="300" w:lineRule="auto"/>
        <w:tabs>
          <w:tab w:leader="none" w:pos="3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5"/>
          <w:szCs w:val="15"/>
          <w:color w:val="auto"/>
        </w:rPr>
        <w:t>If this Questionnaire is being completed for a lease renewal, have USTs/ASTs been removed from the property? If so, please provide any official closure letters or reports and supporting documentation (e.g., analytical test results, remediation report results, etc.). NA</w:t>
      </w:r>
    </w:p>
    <w:p>
      <w:pPr>
        <w:spacing w:after="0" w:line="52" w:lineRule="exact"/>
        <w:rPr>
          <w:sz w:val="20"/>
          <w:szCs w:val="20"/>
          <w:color w:val="auto"/>
        </w:rPr>
      </w:pPr>
    </w:p>
    <w:p>
      <w:pPr>
        <w:ind w:left="380" w:right="80" w:hanging="376"/>
        <w:spacing w:after="0" w:line="266" w:lineRule="auto"/>
        <w:tabs>
          <w:tab w:leader="none" w:pos="360" w:val="left"/>
        </w:tabs>
        <w:rPr>
          <w:sz w:val="20"/>
          <w:szCs w:val="20"/>
          <w:color w:val="auto"/>
        </w:rPr>
      </w:pPr>
      <w:r>
        <w:rPr>
          <w:rFonts w:ascii="Arial" w:cs="Arial" w:eastAsia="Arial" w:hAnsi="Arial"/>
          <w:sz w:val="16"/>
          <w:szCs w:val="16"/>
          <w:color w:val="auto"/>
        </w:rPr>
        <w:t>4-6.</w:t>
        <w:tab/>
        <w:t>For Lease renewals, are there any above or below ground pipelines on site used to transfer chemicals or wastes? For new tenants, are installations of this type required for the planned operations? If so, please describe.</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Wastewater only</w:t>
      </w:r>
    </w:p>
    <w:p>
      <w:pPr>
        <w:spacing w:after="0" w:line="111" w:lineRule="exact"/>
        <w:rPr>
          <w:sz w:val="20"/>
          <w:szCs w:val="20"/>
          <w:color w:val="auto"/>
        </w:rPr>
      </w:pPr>
    </w:p>
    <w:p>
      <w:pPr>
        <w:ind w:left="380" w:right="140" w:hanging="376"/>
        <w:spacing w:after="0" w:line="266" w:lineRule="auto"/>
        <w:tabs>
          <w:tab w:leader="none" w:pos="360" w:val="left"/>
        </w:tabs>
        <w:rPr>
          <w:sz w:val="20"/>
          <w:szCs w:val="20"/>
          <w:color w:val="auto"/>
        </w:rPr>
      </w:pPr>
      <w:r>
        <w:rPr>
          <w:rFonts w:ascii="Arial" w:cs="Arial" w:eastAsia="Arial" w:hAnsi="Arial"/>
          <w:sz w:val="16"/>
          <w:szCs w:val="16"/>
          <w:color w:val="auto"/>
        </w:rPr>
        <w:t>4-7.</w:t>
        <w:tab/>
        <w:t>If present or planned, have the chemical transfer pipelines been inspected or tested for leaks? If so, please indicate the results and provide a copy of the inspection or test results.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Neutralization system will be inspected tested before operation.</w:t>
      </w:r>
    </w:p>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5"/>
          <w:szCs w:val="15"/>
          <w:b w:val="1"/>
          <w:bCs w:val="1"/>
          <w:u w:val="single" w:color="auto"/>
          <w:color w:val="auto"/>
        </w:rPr>
        <w:t>ASBESTOS CONTAINING BUILDING MATERIALS</w:t>
      </w:r>
    </w:p>
    <w:p>
      <w:pPr>
        <w:spacing w:after="0" w:line="115" w:lineRule="exact"/>
        <w:rPr>
          <w:sz w:val="20"/>
          <w:szCs w:val="20"/>
          <w:color w:val="auto"/>
        </w:rPr>
      </w:pPr>
    </w:p>
    <w:p>
      <w:pPr>
        <w:ind w:left="380" w:right="80" w:hanging="376"/>
        <w:spacing w:after="0" w:line="251" w:lineRule="auto"/>
        <w:tabs>
          <w:tab w:leader="none" w:pos="360" w:val="left"/>
        </w:tabs>
        <w:rPr>
          <w:sz w:val="20"/>
          <w:szCs w:val="20"/>
          <w:color w:val="auto"/>
        </w:rPr>
      </w:pPr>
      <w:r>
        <w:rPr>
          <w:rFonts w:ascii="Arial" w:cs="Arial" w:eastAsia="Arial" w:hAnsi="Arial"/>
          <w:sz w:val="16"/>
          <w:szCs w:val="16"/>
          <w:color w:val="auto"/>
        </w:rPr>
        <w:t>5-1.</w:t>
        <w:tab/>
        <w:t>Please be advised that this property participates in an Asbestos Operations and Maintenance Program, and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ectPr>
          <w:pgSz w:w="11900" w:h="16838" w:orient="portrait"/>
          <w:cols w:equalWidth="0" w:num="1">
            <w:col w:w="9600"/>
          </w:cols>
          <w:pgMar w:left="1140" w:top="253" w:right="1159" w:bottom="1440" w:gutter="0" w:footer="0" w:header="0"/>
          <w:type w:val="continuous"/>
        </w:sectPr>
      </w:pPr>
    </w:p>
    <w:bookmarkStart w:id="726" w:name="page727"/>
    <w:bookmarkEnd w:id="726"/>
    <w:p>
      <w:pPr>
        <w:spacing w:after="0"/>
        <w:tabs>
          <w:tab w:leader="none" w:pos="3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6.0</w:t>
      </w:r>
      <w:r>
        <w:rPr>
          <w:sz w:val="20"/>
          <w:szCs w:val="20"/>
          <w:color w:val="auto"/>
        </w:rPr>
        <w:tab/>
      </w:r>
      <w:r>
        <w:rPr>
          <w:rFonts w:ascii="Arial" w:cs="Arial" w:eastAsia="Arial" w:hAnsi="Arial"/>
          <w:sz w:val="15"/>
          <w:szCs w:val="15"/>
          <w:b w:val="1"/>
          <w:bCs w:val="1"/>
          <w:u w:val="single" w:color="auto"/>
          <w:color w:val="auto"/>
        </w:rPr>
        <w:t>REGULATORY</w:t>
      </w:r>
    </w:p>
    <w:p>
      <w:pPr>
        <w:spacing w:after="0" w:line="115" w:lineRule="exact"/>
        <w:rPr>
          <w:sz w:val="20"/>
          <w:szCs w:val="20"/>
          <w:color w:val="auto"/>
        </w:rPr>
      </w:pPr>
    </w:p>
    <w:p>
      <w:pPr>
        <w:ind w:left="380" w:right="680" w:hanging="376"/>
        <w:spacing w:after="0" w:line="266" w:lineRule="auto"/>
        <w:tabs>
          <w:tab w:leader="none" w:pos="360" w:val="left"/>
        </w:tabs>
        <w:rPr>
          <w:sz w:val="20"/>
          <w:szCs w:val="20"/>
          <w:color w:val="auto"/>
        </w:rPr>
      </w:pPr>
      <w:r>
        <w:rPr>
          <w:rFonts w:ascii="Arial" w:cs="Arial" w:eastAsia="Arial" w:hAnsi="Arial"/>
          <w:sz w:val="16"/>
          <w:szCs w:val="16"/>
          <w:color w:val="auto"/>
        </w:rPr>
        <w:t>6-1.</w:t>
        <w:tab/>
        <w:t>For Lease Renewals, are there any past, current, or pending regulatory actions by federal, state, or local environmental agencies alleging noncompliance with regulations? If so, please describe. NA</w:t>
      </w:r>
    </w:p>
    <w:p>
      <w:pPr>
        <w:spacing w:after="0" w:line="76" w:lineRule="exact"/>
        <w:rPr>
          <w:sz w:val="20"/>
          <w:szCs w:val="20"/>
          <w:color w:val="auto"/>
        </w:rPr>
      </w:pPr>
    </w:p>
    <w:p>
      <w:pPr>
        <w:ind w:left="380" w:right="40" w:hanging="376"/>
        <w:spacing w:after="0" w:line="266" w:lineRule="auto"/>
        <w:tabs>
          <w:tab w:leader="none" w:pos="360" w:val="left"/>
        </w:tabs>
        <w:rPr>
          <w:sz w:val="20"/>
          <w:szCs w:val="20"/>
          <w:color w:val="auto"/>
        </w:rPr>
      </w:pPr>
      <w:r>
        <w:rPr>
          <w:rFonts w:ascii="Arial" w:cs="Arial" w:eastAsia="Arial" w:hAnsi="Arial"/>
          <w:sz w:val="16"/>
          <w:szCs w:val="16"/>
          <w:color w:val="auto"/>
        </w:rPr>
        <w:t>6-2.</w:t>
        <w:tab/>
        <w:t>For lease renewals, are there any past, current, or pending lawsuits or administrative proceedings for alleged environmental damages involving the property, you, or any owner or tenant of the property? If so, please describe. NA</w:t>
      </w:r>
    </w:p>
    <w:p>
      <w:pPr>
        <w:spacing w:after="0" w:line="76" w:lineRule="exact"/>
        <w:rPr>
          <w:sz w:val="20"/>
          <w:szCs w:val="20"/>
          <w:color w:val="auto"/>
        </w:rPr>
      </w:pPr>
    </w:p>
    <w:p>
      <w:pPr>
        <w:ind w:left="380" w:right="20" w:hanging="376"/>
        <w:spacing w:after="0" w:line="266" w:lineRule="auto"/>
        <w:tabs>
          <w:tab w:leader="none" w:pos="360" w:val="left"/>
        </w:tabs>
        <w:rPr>
          <w:sz w:val="20"/>
          <w:szCs w:val="20"/>
          <w:color w:val="auto"/>
        </w:rPr>
      </w:pPr>
      <w:r>
        <w:rPr>
          <w:rFonts w:ascii="Arial" w:cs="Arial" w:eastAsia="Arial" w:hAnsi="Arial"/>
          <w:sz w:val="16"/>
          <w:szCs w:val="16"/>
          <w:color w:val="auto"/>
        </w:rPr>
        <w:t>6-3.</w:t>
        <w:tab/>
        <w:t>Does the operation have or require a National Pollutant Discharge Elimination System (NPDES) or equivalent permit? If so, please provide a copy of this permit. No</w:t>
      </w:r>
    </w:p>
    <w:p>
      <w:pPr>
        <w:spacing w:after="0" w:line="76" w:lineRule="exact"/>
        <w:rPr>
          <w:sz w:val="20"/>
          <w:szCs w:val="20"/>
          <w:color w:val="auto"/>
        </w:rPr>
      </w:pPr>
    </w:p>
    <w:p>
      <w:pPr>
        <w:jc w:val="both"/>
        <w:ind w:left="380" w:right="180" w:hanging="376"/>
        <w:spacing w:after="0" w:line="256" w:lineRule="auto"/>
        <w:tabs>
          <w:tab w:leader="none" w:pos="360" w:val="left"/>
        </w:tabs>
        <w:rPr>
          <w:sz w:val="20"/>
          <w:szCs w:val="20"/>
          <w:color w:val="auto"/>
        </w:rPr>
      </w:pPr>
      <w:r>
        <w:rPr>
          <w:rFonts w:ascii="Arial" w:cs="Arial" w:eastAsia="Arial" w:hAnsi="Arial"/>
          <w:sz w:val="16"/>
          <w:szCs w:val="16"/>
          <w:color w:val="auto"/>
        </w:rPr>
        <w:t>6-4.</w:t>
        <w:tab/>
        <w:t>For Lease renewals, have there been any complaints from the surrounding community regarding facility operations? If so, please describe. Have there been any worker complaints or regulatory investigations regarding hazardous material exposure at the facility? If so, please describe status and any corrective actions taken. NA</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3"/>
          <w:szCs w:val="13"/>
          <w:color w:val="auto"/>
        </w:rPr>
        <w:t>Has a Hazardous Materials Business Plan been developed for the site? If so, please provide a copy.</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Hazardous Materials Business Plan will be developed and provided before operations begin.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103" w:lineRule="exact"/>
        <w:rPr>
          <w:sz w:val="20"/>
          <w:szCs w:val="20"/>
          <w:color w:val="auto"/>
        </w:rPr>
      </w:pPr>
    </w:p>
    <w:p>
      <w:pPr>
        <w:jc w:val="both"/>
        <w:ind w:right="140" w:firstLine="385"/>
        <w:spacing w:after="0" w:line="281" w:lineRule="auto"/>
        <w:rPr>
          <w:sz w:val="20"/>
          <w:szCs w:val="20"/>
          <w:color w:val="auto"/>
        </w:rPr>
      </w:pPr>
      <w:r>
        <w:rPr>
          <w:rFonts w:ascii="Arial" w:cs="Arial" w:eastAsia="Arial" w:hAnsi="Arial"/>
          <w:sz w:val="15"/>
          <w:szCs w:val="15"/>
          <w:color w:val="auto"/>
        </w:rPr>
        <w:t>Tenant is familiar with the real property described in this questionnaire. By signing below, Tenant represents and warrants that the answers to the above questions are complete and accurate to Tenant’s current actual, knowledge. Tenant also understand that the Owner will rely on the completeness and accuracy of my answers in assessing any environmental liability risks associated with the property.</w:t>
      </w:r>
    </w:p>
    <w:p>
      <w:pPr>
        <w:spacing w:after="0" w:line="17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TENAYA THERAPEUTICS, INC.</w:t>
      </w:r>
    </w:p>
    <w:p>
      <w:pPr>
        <w:spacing w:after="0" w:line="193" w:lineRule="exact"/>
        <w:rPr>
          <w:sz w:val="20"/>
          <w:szCs w:val="20"/>
          <w:color w:val="auto"/>
        </w:rPr>
      </w:pPr>
    </w:p>
    <w:tbl>
      <w:tblPr>
        <w:tblLayout w:type="fixed"/>
        <w:tblInd w:w="6000" w:type="dxa"/>
        <w:tblCellMar>
          <w:top w:w="0" w:type="dxa"/>
          <w:left w:w="0" w:type="dxa"/>
          <w:bottom w:w="0" w:type="dxa"/>
          <w:right w:w="0" w:type="dxa"/>
        </w:tblCellMar>
      </w:tblPr>
      <w:tr>
        <w:trPr>
          <w:trHeight w:val="201"/>
        </w:trPr>
        <w:tc>
          <w:tcPr>
            <w:tcW w:w="860" w:type="dxa"/>
            <w:vAlign w:val="bottom"/>
          </w:tcPr>
          <w:p>
            <w:pPr>
              <w:spacing w:after="0"/>
              <w:rPr>
                <w:sz w:val="20"/>
                <w:szCs w:val="20"/>
                <w:color w:val="auto"/>
              </w:rPr>
            </w:pPr>
            <w:r>
              <w:rPr>
                <w:rFonts w:ascii="Arial" w:cs="Arial" w:eastAsia="Arial" w:hAnsi="Arial"/>
                <w:sz w:val="16"/>
                <w:szCs w:val="16"/>
                <w:color w:val="auto"/>
              </w:rPr>
              <w:t>Signature: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Kameron Balzer</w:t>
            </w:r>
          </w:p>
        </w:tc>
      </w:tr>
      <w:tr>
        <w:trPr>
          <w:trHeight w:val="287"/>
        </w:trPr>
        <w:tc>
          <w:tcPr>
            <w:tcW w:w="860" w:type="dxa"/>
            <w:vAlign w:val="bottom"/>
          </w:tcPr>
          <w:p>
            <w:pPr>
              <w:spacing w:after="0"/>
              <w:rPr>
                <w:sz w:val="20"/>
                <w:szCs w:val="20"/>
                <w:color w:val="auto"/>
              </w:rPr>
            </w:pPr>
            <w:r>
              <w:rPr>
                <w:rFonts w:ascii="Arial" w:cs="Arial" w:eastAsia="Arial" w:hAnsi="Arial"/>
                <w:sz w:val="16"/>
                <w:szCs w:val="16"/>
                <w:color w:val="auto"/>
              </w:rPr>
              <w:t>Name: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Kameron Balzer</w:t>
            </w:r>
          </w:p>
        </w:tc>
      </w:tr>
      <w:tr>
        <w:trPr>
          <w:trHeight w:val="287"/>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Sr Director Facilities</w:t>
            </w:r>
          </w:p>
        </w:tc>
      </w:tr>
      <w:tr>
        <w:trPr>
          <w:trHeight w:val="286"/>
        </w:trPr>
        <w:tc>
          <w:tcPr>
            <w:tcW w:w="860" w:type="dxa"/>
            <w:vAlign w:val="bottom"/>
          </w:tcPr>
          <w:p>
            <w:pPr>
              <w:spacing w:after="0"/>
              <w:rPr>
                <w:sz w:val="20"/>
                <w:szCs w:val="20"/>
                <w:color w:val="auto"/>
              </w:rPr>
            </w:pPr>
            <w:r>
              <w:rPr>
                <w:rFonts w:ascii="Arial" w:cs="Arial" w:eastAsia="Arial" w:hAnsi="Arial"/>
                <w:sz w:val="16"/>
                <w:szCs w:val="16"/>
                <w:color w:val="auto"/>
              </w:rPr>
              <w:t>Date: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02/10/21</w:t>
            </w:r>
          </w:p>
        </w:tc>
      </w:tr>
      <w:tr>
        <w:trPr>
          <w:trHeight w:val="287"/>
        </w:trPr>
        <w:tc>
          <w:tcPr>
            <w:tcW w:w="860" w:type="dxa"/>
            <w:vAlign w:val="bottom"/>
          </w:tcPr>
          <w:p>
            <w:pPr>
              <w:spacing w:after="0"/>
              <w:rPr>
                <w:sz w:val="20"/>
                <w:szCs w:val="20"/>
                <w:color w:val="auto"/>
              </w:rPr>
            </w:pPr>
            <w:r>
              <w:rPr>
                <w:rFonts w:ascii="Arial" w:cs="Arial" w:eastAsia="Arial" w:hAnsi="Arial"/>
                <w:sz w:val="16"/>
                <w:szCs w:val="16"/>
                <w:color w:val="auto"/>
              </w:rPr>
              <w:t>Telephone:</w:t>
            </w:r>
          </w:p>
        </w:tc>
        <w:tc>
          <w:tcPr>
            <w:tcW w:w="2760" w:type="dxa"/>
            <w:vAlign w:val="bottom"/>
          </w:tcPr>
          <w:p>
            <w:pPr>
              <w:spacing w:after="0"/>
              <w:rPr>
                <w:sz w:val="24"/>
                <w:szCs w:val="24"/>
                <w:color w:val="auto"/>
              </w:rPr>
            </w:pPr>
          </w:p>
        </w:tc>
      </w:tr>
    </w:tbl>
    <w:p>
      <w:pPr>
        <w:sectPr>
          <w:pgSz w:w="11900" w:h="16838" w:orient="portrait"/>
          <w:cols w:equalWidth="0" w:num="1">
            <w:col w:w="9620"/>
          </w:cols>
          <w:pgMar w:left="1140" w:top="252" w:right="1139" w:bottom="1440" w:gutter="0" w:footer="0" w:header="0"/>
        </w:sectPr>
      </w:pPr>
    </w:p>
    <w:bookmarkStart w:id="727" w:name="page728"/>
    <w:bookmarkEnd w:id="72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MOVE OUT STANDARDS</w:t>
      </w:r>
    </w:p>
    <w:p>
      <w:pPr>
        <w:spacing w:after="0" w:line="197" w:lineRule="exact"/>
        <w:rPr>
          <w:sz w:val="20"/>
          <w:szCs w:val="20"/>
          <w:color w:val="auto"/>
        </w:rPr>
      </w:pPr>
    </w:p>
    <w:p>
      <w:pPr>
        <w:ind w:right="280"/>
        <w:spacing w:after="0" w:line="311" w:lineRule="auto"/>
        <w:rPr>
          <w:sz w:val="20"/>
          <w:szCs w:val="20"/>
          <w:color w:val="auto"/>
        </w:rPr>
      </w:pPr>
      <w:r>
        <w:rPr>
          <w:rFonts w:ascii="Arial" w:cs="Arial" w:eastAsia="Arial" w:hAnsi="Arial"/>
          <w:sz w:val="13"/>
          <w:szCs w:val="13"/>
          <w:color w:val="auto"/>
        </w:rPr>
        <w:t>This Move Out Standards Exhibit is dated for the reference purposes as of the same date as the Lease, and is made between Terreno Park Union City LLC (“Landlord”) and Tenaya Therapeutics, Inc. (“Tenant”) to be a part of that certain Industrial Lease (“Lease”) concerning the premises located at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33498 Central Avenue, Union City, CA 94587 (“Premises”). Landlord and Tenant agree that the Lease is hereby modified and supplemented as follows:</w:t>
      </w:r>
    </w:p>
    <w:p>
      <w:pPr>
        <w:spacing w:after="0" w:line="216" w:lineRule="exact"/>
        <w:rPr>
          <w:sz w:val="20"/>
          <w:szCs w:val="20"/>
          <w:color w:val="auto"/>
        </w:rPr>
      </w:pPr>
    </w:p>
    <w:p>
      <w:pPr>
        <w:ind w:right="100"/>
        <w:spacing w:after="0" w:line="314" w:lineRule="auto"/>
        <w:rPr>
          <w:sz w:val="20"/>
          <w:szCs w:val="20"/>
          <w:color w:val="auto"/>
        </w:rPr>
      </w:pPr>
      <w:r>
        <w:rPr>
          <w:rFonts w:ascii="Arial" w:cs="Arial" w:eastAsia="Arial" w:hAnsi="Arial"/>
          <w:sz w:val="13"/>
          <w:szCs w:val="13"/>
          <w:color w:val="auto"/>
        </w:rPr>
        <w:t>At the expiration or earlier termination of the Lease and subject to any other provisions of the Lease regarding surrender of the Premises, Tenant shall surrender the Premises in the same condition as they were upon delivery of possession thereto under the Lease, reasonable wear and tear, casualty, condemnation, and repairs that are not Tenant’s responsibility under the Lease, excepted, and shall deliver all keys to Landlord. Before surrendering the Premises, Tenant shall remove all of its personal property and trade fixtures and such alterations or additions to the Premises made by Tenant as may be specified for removal by Landlord at the time of its consent thereto. If Tenant fails to remove its personal property, fixtures or alterations or additions upon the expiration or earlier termination of the Lease, the same shall be deemed abandoned and shall become the property of the Landlord. Notwithstanding the foregoing, Tenant shall be liable to Landlord for all costs and damages incurred by Landlord in removing, storing or selling such property, fixtures, alterations or additions and in restoring the Premises to the condition required pursuant to the Lease.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Subject to any provision to the contrary in the Lease, Tenant shall surrender the Premises, at the time of the expiration or earlier termination of the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Lease, in a condition that shall include, but is not limited to,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Pr>
          <w:p>
            <w:pPr>
              <w:jc w:val="right"/>
              <w:spacing w:after="0"/>
              <w:rPr>
                <w:sz w:val="20"/>
                <w:szCs w:val="20"/>
                <w:color w:val="auto"/>
              </w:rPr>
            </w:pPr>
            <w:r>
              <w:rPr>
                <w:rFonts w:ascii="Arial" w:cs="Arial" w:eastAsia="Arial" w:hAnsi="Arial"/>
                <w:sz w:val="16"/>
                <w:szCs w:val="16"/>
                <w:color w:val="auto"/>
                <w:w w:val="74"/>
              </w:rPr>
              <w:t>1.</w:t>
            </w:r>
          </w:p>
        </w:tc>
        <w:tc>
          <w:tcPr>
            <w:tcW w:w="2840" w:type="dxa"/>
            <w:vAlign w:val="bottom"/>
          </w:tcPr>
          <w:p>
            <w:pPr>
              <w:ind w:left="20"/>
              <w:spacing w:after="0"/>
              <w:rPr>
                <w:sz w:val="20"/>
                <w:szCs w:val="20"/>
                <w:color w:val="auto"/>
              </w:rPr>
            </w:pPr>
            <w:r>
              <w:rPr>
                <w:rFonts w:ascii="Arial" w:cs="Arial" w:eastAsia="Arial" w:hAnsi="Arial"/>
                <w:sz w:val="16"/>
                <w:szCs w:val="16"/>
                <w:color w:val="auto"/>
              </w:rPr>
              <w:t>Lights:</w:t>
            </w:r>
          </w:p>
        </w:tc>
        <w:tc>
          <w:tcPr>
            <w:tcW w:w="6640" w:type="dxa"/>
            <w:vAlign w:val="bottom"/>
          </w:tcPr>
          <w:p>
            <w:pPr>
              <w:ind w:left="380"/>
              <w:spacing w:after="0"/>
              <w:rPr>
                <w:sz w:val="20"/>
                <w:szCs w:val="20"/>
                <w:color w:val="auto"/>
              </w:rPr>
            </w:pPr>
            <w:r>
              <w:rPr>
                <w:rFonts w:ascii="Arial" w:cs="Arial" w:eastAsia="Arial" w:hAnsi="Arial"/>
                <w:sz w:val="16"/>
                <w:szCs w:val="16"/>
                <w:color w:val="auto"/>
                <w:w w:val="97"/>
              </w:rPr>
              <w:t>Office, exterior, emergency exit and warehouse lights will be fully operational with all bulbs</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functioning. Replacement lamps should be consistent in color, type and style.</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2.</w:t>
            </w:r>
          </w:p>
        </w:tc>
        <w:tc>
          <w:tcPr>
            <w:tcW w:w="2840" w:type="dxa"/>
            <w:vAlign w:val="bottom"/>
          </w:tcPr>
          <w:p>
            <w:pPr>
              <w:ind w:left="20"/>
              <w:spacing w:after="0"/>
              <w:rPr>
                <w:sz w:val="20"/>
                <w:szCs w:val="20"/>
                <w:color w:val="auto"/>
              </w:rPr>
            </w:pPr>
            <w:r>
              <w:rPr>
                <w:rFonts w:ascii="Arial" w:cs="Arial" w:eastAsia="Arial" w:hAnsi="Arial"/>
                <w:sz w:val="16"/>
                <w:szCs w:val="16"/>
                <w:color w:val="auto"/>
              </w:rPr>
              <w:t>Roll-Up Doors &amp; Pedestrian Doors:</w:t>
            </w:r>
          </w:p>
        </w:tc>
        <w:tc>
          <w:tcPr>
            <w:tcW w:w="6640" w:type="dxa"/>
            <w:vAlign w:val="bottom"/>
          </w:tcPr>
          <w:p>
            <w:pPr>
              <w:ind w:left="380"/>
              <w:spacing w:after="0"/>
              <w:rPr>
                <w:sz w:val="20"/>
                <w:szCs w:val="20"/>
                <w:color w:val="auto"/>
              </w:rPr>
            </w:pPr>
            <w:r>
              <w:rPr>
                <w:rFonts w:ascii="Arial" w:cs="Arial" w:eastAsia="Arial" w:hAnsi="Arial"/>
                <w:sz w:val="16"/>
                <w:szCs w:val="16"/>
                <w:color w:val="auto"/>
              </w:rPr>
              <w:t>Roll-up doors must receive final maintenance by a licensed contractor to include: lube,</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1"/>
              </w:rPr>
              <w:t>adjustments, alignment and replacement of seals and panels (if required). Pedestrian doors must</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89"/>
              </w:rPr>
              <w:t>have all hardware in working condition (including crash hardware, thresholds, closers and weather-</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0"/>
              </w:rPr>
              <w:t>stripping). Replacement of doors and/or hardware shall be of similar type as existing. Tenant shall</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provide written evidence of such maintenance/repairs to Landlord.</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3.</w:t>
            </w:r>
          </w:p>
        </w:tc>
        <w:tc>
          <w:tcPr>
            <w:tcW w:w="2840" w:type="dxa"/>
            <w:vAlign w:val="bottom"/>
          </w:tcPr>
          <w:p>
            <w:pPr>
              <w:ind w:left="20"/>
              <w:spacing w:after="0"/>
              <w:rPr>
                <w:sz w:val="20"/>
                <w:szCs w:val="20"/>
                <w:color w:val="auto"/>
              </w:rPr>
            </w:pPr>
            <w:r>
              <w:rPr>
                <w:rFonts w:ascii="Arial" w:cs="Arial" w:eastAsia="Arial" w:hAnsi="Arial"/>
                <w:sz w:val="16"/>
                <w:szCs w:val="16"/>
                <w:color w:val="auto"/>
              </w:rPr>
              <w:t>Loading Docks:</w:t>
            </w:r>
          </w:p>
        </w:tc>
        <w:tc>
          <w:tcPr>
            <w:tcW w:w="6640" w:type="dxa"/>
            <w:vAlign w:val="bottom"/>
          </w:tcPr>
          <w:p>
            <w:pPr>
              <w:ind w:left="380"/>
              <w:spacing w:after="0"/>
              <w:rPr>
                <w:sz w:val="20"/>
                <w:szCs w:val="20"/>
                <w:color w:val="auto"/>
              </w:rPr>
            </w:pPr>
            <w:r>
              <w:rPr>
                <w:rFonts w:ascii="Arial" w:cs="Arial" w:eastAsia="Arial" w:hAnsi="Arial"/>
                <w:sz w:val="16"/>
                <w:szCs w:val="16"/>
                <w:color w:val="auto"/>
                <w:w w:val="92"/>
              </w:rPr>
              <w:t>Includes dock levelers, dock bumpers, dock door seals, pit levelers and sump pumps. Tenant to</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provide evidence of final maintenance on all items from a licensed contractor.</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4.</w:t>
            </w:r>
          </w:p>
        </w:tc>
        <w:tc>
          <w:tcPr>
            <w:tcW w:w="2840" w:type="dxa"/>
            <w:vAlign w:val="bottom"/>
          </w:tcPr>
          <w:p>
            <w:pPr>
              <w:ind w:left="20"/>
              <w:spacing w:after="0"/>
              <w:rPr>
                <w:sz w:val="20"/>
                <w:szCs w:val="20"/>
                <w:color w:val="auto"/>
              </w:rPr>
            </w:pPr>
            <w:r>
              <w:rPr>
                <w:rFonts w:ascii="Arial" w:cs="Arial" w:eastAsia="Arial" w:hAnsi="Arial"/>
                <w:sz w:val="16"/>
                <w:szCs w:val="16"/>
                <w:color w:val="auto"/>
              </w:rPr>
              <w:t>Warehouse Floor:</w:t>
            </w:r>
          </w:p>
        </w:tc>
        <w:tc>
          <w:tcPr>
            <w:tcW w:w="6640" w:type="dxa"/>
            <w:vAlign w:val="bottom"/>
          </w:tcPr>
          <w:p>
            <w:pPr>
              <w:ind w:left="380"/>
              <w:spacing w:after="0"/>
              <w:rPr>
                <w:sz w:val="20"/>
                <w:szCs w:val="20"/>
                <w:color w:val="auto"/>
              </w:rPr>
            </w:pPr>
            <w:r>
              <w:rPr>
                <w:rFonts w:ascii="Arial" w:cs="Arial" w:eastAsia="Arial" w:hAnsi="Arial"/>
                <w:sz w:val="16"/>
                <w:szCs w:val="16"/>
                <w:color w:val="auto"/>
                <w:w w:val="89"/>
              </w:rPr>
              <w:t>Tenant shall remove all paint and stickers and leave floors free of stains, and swept with no racking</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7"/>
              </w:rPr>
              <w:t>bolts or other protrusions left in floor. Cracks should be repaired with an epoxy or polymer.</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5.</w:t>
            </w:r>
          </w:p>
        </w:tc>
        <w:tc>
          <w:tcPr>
            <w:tcW w:w="2840" w:type="dxa"/>
            <w:vAlign w:val="bottom"/>
          </w:tcPr>
          <w:p>
            <w:pPr>
              <w:ind w:left="20"/>
              <w:spacing w:after="0"/>
              <w:rPr>
                <w:sz w:val="20"/>
                <w:szCs w:val="20"/>
                <w:color w:val="auto"/>
              </w:rPr>
            </w:pPr>
            <w:r>
              <w:rPr>
                <w:rFonts w:ascii="Arial" w:cs="Arial" w:eastAsia="Arial" w:hAnsi="Arial"/>
                <w:sz w:val="16"/>
                <w:szCs w:val="16"/>
                <w:color w:val="auto"/>
              </w:rPr>
              <w:t>Tenant-Installed Equipment &amp; Wiring:</w:t>
            </w:r>
          </w:p>
        </w:tc>
        <w:tc>
          <w:tcPr>
            <w:tcW w:w="6640" w:type="dxa"/>
            <w:vAlign w:val="bottom"/>
          </w:tcPr>
          <w:p>
            <w:pPr>
              <w:ind w:left="380"/>
              <w:spacing w:after="0"/>
              <w:rPr>
                <w:sz w:val="20"/>
                <w:szCs w:val="20"/>
                <w:color w:val="auto"/>
              </w:rPr>
            </w:pPr>
            <w:r>
              <w:rPr>
                <w:rFonts w:ascii="Arial" w:cs="Arial" w:eastAsia="Arial" w:hAnsi="Arial"/>
                <w:sz w:val="16"/>
                <w:szCs w:val="16"/>
                <w:color w:val="auto"/>
                <w:w w:val="93"/>
              </w:rPr>
              <w:t>Tenant shall remove all air lines, junction boxes, distribution boxes, conduit, etc. All wiring shall</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1"/>
              </w:rPr>
              <w:t>be terminated back to point of connection. Telecom and associated data wiring shall be removed</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and terminated at the original phone board.</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6.</w:t>
            </w:r>
          </w:p>
        </w:tc>
        <w:tc>
          <w:tcPr>
            <w:tcW w:w="2840" w:type="dxa"/>
            <w:vAlign w:val="bottom"/>
          </w:tcPr>
          <w:p>
            <w:pPr>
              <w:ind w:left="20"/>
              <w:spacing w:after="0"/>
              <w:rPr>
                <w:sz w:val="20"/>
                <w:szCs w:val="20"/>
                <w:color w:val="auto"/>
              </w:rPr>
            </w:pPr>
            <w:r>
              <w:rPr>
                <w:rFonts w:ascii="Arial" w:cs="Arial" w:eastAsia="Arial" w:hAnsi="Arial"/>
                <w:sz w:val="16"/>
                <w:szCs w:val="16"/>
                <w:color w:val="auto"/>
              </w:rPr>
              <w:t>Walls:</w:t>
            </w:r>
          </w:p>
        </w:tc>
        <w:tc>
          <w:tcPr>
            <w:tcW w:w="6640" w:type="dxa"/>
            <w:vAlign w:val="bottom"/>
          </w:tcPr>
          <w:p>
            <w:pPr>
              <w:ind w:left="380"/>
              <w:spacing w:after="0"/>
              <w:rPr>
                <w:sz w:val="20"/>
                <w:szCs w:val="20"/>
                <w:color w:val="auto"/>
              </w:rPr>
            </w:pPr>
            <w:r>
              <w:rPr>
                <w:rFonts w:ascii="Arial" w:cs="Arial" w:eastAsia="Arial" w:hAnsi="Arial"/>
                <w:sz w:val="16"/>
                <w:szCs w:val="16"/>
                <w:color w:val="auto"/>
                <w:w w:val="89"/>
              </w:rPr>
              <w:t>Warehouse Walls - Sheetrock (drywall) damage should be patched and fire-taped so that there are</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6"/>
              </w:rPr>
              <w:t>no holes remaining. Office Walls – shall be patched and returned to a paint-ready condition.</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7.</w:t>
            </w:r>
          </w:p>
        </w:tc>
        <w:tc>
          <w:tcPr>
            <w:tcW w:w="2840" w:type="dxa"/>
            <w:vAlign w:val="bottom"/>
          </w:tcPr>
          <w:p>
            <w:pPr>
              <w:ind w:left="20"/>
              <w:spacing w:after="0"/>
              <w:rPr>
                <w:sz w:val="20"/>
                <w:szCs w:val="20"/>
                <w:color w:val="auto"/>
              </w:rPr>
            </w:pPr>
            <w:r>
              <w:rPr>
                <w:rFonts w:ascii="Arial" w:cs="Arial" w:eastAsia="Arial" w:hAnsi="Arial"/>
                <w:sz w:val="16"/>
                <w:szCs w:val="16"/>
                <w:color w:val="auto"/>
              </w:rPr>
              <w:t>Roof:</w:t>
            </w:r>
          </w:p>
        </w:tc>
        <w:tc>
          <w:tcPr>
            <w:tcW w:w="6640" w:type="dxa"/>
            <w:vAlign w:val="bottom"/>
          </w:tcPr>
          <w:p>
            <w:pPr>
              <w:ind w:left="380"/>
              <w:spacing w:after="0"/>
              <w:rPr>
                <w:sz w:val="20"/>
                <w:szCs w:val="20"/>
                <w:color w:val="auto"/>
              </w:rPr>
            </w:pPr>
            <w:r>
              <w:rPr>
                <w:rFonts w:ascii="Arial" w:cs="Arial" w:eastAsia="Arial" w:hAnsi="Arial"/>
                <w:sz w:val="16"/>
                <w:szCs w:val="16"/>
                <w:color w:val="auto"/>
                <w:w w:val="95"/>
              </w:rPr>
              <w:t>Any tenant-installed equipment must be removed and roof penetrations properly repaired by</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Landlord’s roofing contractor or a roofing contractor reasonably approved by Landlord.</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8.</w:t>
            </w:r>
          </w:p>
        </w:tc>
        <w:tc>
          <w:tcPr>
            <w:tcW w:w="2840" w:type="dxa"/>
            <w:vAlign w:val="bottom"/>
          </w:tcPr>
          <w:p>
            <w:pPr>
              <w:ind w:left="20"/>
              <w:spacing w:after="0"/>
              <w:rPr>
                <w:sz w:val="20"/>
                <w:szCs w:val="20"/>
                <w:color w:val="auto"/>
              </w:rPr>
            </w:pPr>
            <w:r>
              <w:rPr>
                <w:rFonts w:ascii="Arial" w:cs="Arial" w:eastAsia="Arial" w:hAnsi="Arial"/>
                <w:sz w:val="16"/>
                <w:szCs w:val="16"/>
                <w:color w:val="auto"/>
              </w:rPr>
              <w:t>Signs:</w:t>
            </w:r>
          </w:p>
        </w:tc>
        <w:tc>
          <w:tcPr>
            <w:tcW w:w="6640" w:type="dxa"/>
            <w:vAlign w:val="bottom"/>
          </w:tcPr>
          <w:p>
            <w:pPr>
              <w:ind w:left="380"/>
              <w:spacing w:after="0"/>
              <w:rPr>
                <w:sz w:val="20"/>
                <w:szCs w:val="20"/>
                <w:color w:val="auto"/>
              </w:rPr>
            </w:pPr>
            <w:r>
              <w:rPr>
                <w:rFonts w:ascii="Arial" w:cs="Arial" w:eastAsia="Arial" w:hAnsi="Arial"/>
                <w:sz w:val="16"/>
                <w:szCs w:val="16"/>
                <w:color w:val="auto"/>
                <w:w w:val="94"/>
              </w:rPr>
              <w:t>All Tenant installed signage shall be removed, including interior and exterior window signage.</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1"/>
              </w:rPr>
              <w:t>Exterior building surface shall be restored to original condition, including patching of all holes and</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painting to match exterior color.</w:t>
            </w:r>
          </w:p>
        </w:tc>
      </w:tr>
    </w:tbl>
    <w:p>
      <w:pPr>
        <w:sectPr>
          <w:pgSz w:w="11900" w:h="16838" w:orient="portrait"/>
          <w:cols w:equalWidth="0" w:num="1">
            <w:col w:w="9620"/>
          </w:cols>
          <w:pgMar w:left="1140" w:top="252" w:right="1139" w:bottom="1440" w:gutter="0" w:footer="0" w:header="0"/>
        </w:sectPr>
      </w:pPr>
    </w:p>
    <w:bookmarkStart w:id="728" w:name="page729"/>
    <w:bookmarkEnd w:id="728"/>
    <w:p>
      <w:pPr>
        <w:spacing w:after="0"/>
        <w:rPr>
          <w:sz w:val="20"/>
          <w:szCs w:val="20"/>
          <w:color w:val="auto"/>
        </w:rPr>
      </w:pPr>
      <w:r>
        <w:rPr>
          <w:rFonts w:ascii="Arial" w:cs="Arial" w:eastAsia="Arial" w:hAnsi="Arial"/>
          <w:sz w:val="13"/>
          <w:szCs w:val="13"/>
          <w:color w:val="auto"/>
        </w:rPr>
        <w:t>9. Heating &amp; Air Conditioning System:</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6"/>
          <w:szCs w:val="16"/>
          <w:color w:val="auto"/>
        </w:rPr>
        <w:t>HVAC equipment must receive final maintenance by a licensed HVAC contractor, including filter changes and repairs/replacements if required. Tenant shall provide written evidence of maintenance/repairs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-447040</wp:posOffset>
            </wp:positionV>
            <wp:extent cx="7190105" cy="3492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640" w:space="720"/>
            <w:col w:w="6220"/>
          </w:cols>
          <w:pgMar w:left="1140" w:top="256" w:right="1179" w:bottom="1440" w:gutter="0" w:footer="0" w:header="0"/>
        </w:sectPr>
      </w:pPr>
    </w:p>
    <w:p>
      <w:pPr>
        <w:spacing w:after="0"/>
        <w:rPr>
          <w:sz w:val="20"/>
          <w:szCs w:val="20"/>
          <w:color w:val="auto"/>
        </w:rPr>
      </w:pPr>
      <w:r>
        <w:rPr>
          <w:rFonts w:ascii="Arial" w:cs="Arial" w:eastAsia="Arial" w:hAnsi="Arial"/>
          <w:sz w:val="13"/>
          <w:szCs w:val="13"/>
          <w:color w:val="auto"/>
        </w:rPr>
        <w:t>10. Plumbing</w:t>
      </w:r>
    </w:p>
    <w:p>
      <w:pPr>
        <w:spacing w:after="0" w:line="20" w:lineRule="exact"/>
        <w:rPr>
          <w:sz w:val="20"/>
          <w:szCs w:val="20"/>
          <w:color w:val="auto"/>
        </w:rPr>
      </w:pPr>
      <w:r>
        <w:rPr>
          <w:sz w:val="20"/>
          <w:szCs w:val="20"/>
          <w:color w:val="auto"/>
        </w:rPr>
        <w:br w:type="column"/>
      </w:r>
    </w:p>
    <w:p>
      <w:pPr>
        <w:spacing w:after="0" w:line="343" w:lineRule="auto"/>
        <w:rPr>
          <w:sz w:val="20"/>
          <w:szCs w:val="20"/>
          <w:color w:val="auto"/>
        </w:rPr>
      </w:pPr>
      <w:r>
        <w:rPr>
          <w:rFonts w:ascii="Arial" w:cs="Arial" w:eastAsia="Arial" w:hAnsi="Arial"/>
          <w:sz w:val="13"/>
          <w:szCs w:val="13"/>
          <w:color w:val="auto"/>
        </w:rPr>
        <w:t>Restroom/Kitchen fixtures and accessories (i.e. “insta-hot” water heaters, vanity heaters, handrails, soap dispensers, paper towel holders, etc.) shall be returned in good working condition, free of leaks and stains. Tenant shall provide written evidence of final service to water heater.</w:t>
      </w:r>
    </w:p>
    <w:p>
      <w:pPr>
        <w:spacing w:after="0" w:line="114" w:lineRule="exact"/>
        <w:rPr>
          <w:sz w:val="20"/>
          <w:szCs w:val="20"/>
          <w:color w:val="auto"/>
        </w:rPr>
      </w:pPr>
    </w:p>
    <w:p>
      <w:pPr>
        <w:sectPr>
          <w:pgSz w:w="11900" w:h="16838" w:orient="portrait"/>
          <w:cols w:equalWidth="0" w:num="2">
            <w:col w:w="2640" w:space="720"/>
            <w:col w:w="6220"/>
          </w:cols>
          <w:pgMar w:left="1140" w:top="256" w:right="1179" w:bottom="1440" w:gutter="0" w:footer="0" w:header="0"/>
          <w:type w:val="continuous"/>
        </w:sectPr>
      </w:pPr>
    </w:p>
    <w:p>
      <w:pPr>
        <w:spacing w:after="0"/>
        <w:rPr>
          <w:sz w:val="20"/>
          <w:szCs w:val="20"/>
          <w:color w:val="auto"/>
        </w:rPr>
      </w:pPr>
      <w:r>
        <w:rPr>
          <w:rFonts w:ascii="Arial" w:cs="Arial" w:eastAsia="Arial" w:hAnsi="Arial"/>
          <w:sz w:val="13"/>
          <w:szCs w:val="13"/>
          <w:color w:val="auto"/>
        </w:rPr>
        <w:t>10. Overall Cleanliness:</w:t>
      </w:r>
    </w:p>
    <w:p>
      <w:pPr>
        <w:spacing w:after="0" w:line="20" w:lineRule="exact"/>
        <w:rPr>
          <w:sz w:val="20"/>
          <w:szCs w:val="20"/>
          <w:color w:val="auto"/>
        </w:rPr>
      </w:pPr>
      <w:r>
        <w:rPr>
          <w:sz w:val="20"/>
          <w:szCs w:val="20"/>
          <w:color w:val="auto"/>
        </w:rPr>
        <w:br w:type="column"/>
      </w:r>
    </w:p>
    <w:p>
      <w:pPr>
        <w:ind w:right="160"/>
        <w:spacing w:after="0" w:line="253" w:lineRule="auto"/>
        <w:rPr>
          <w:sz w:val="20"/>
          <w:szCs w:val="20"/>
          <w:color w:val="auto"/>
        </w:rPr>
      </w:pPr>
      <w:r>
        <w:rPr>
          <w:rFonts w:ascii="Arial" w:cs="Arial" w:eastAsia="Arial" w:hAnsi="Arial"/>
          <w:sz w:val="16"/>
          <w:szCs w:val="16"/>
          <w:color w:val="auto"/>
        </w:rPr>
        <w:t>Clean windows, sanitize bathroom(s), vacuum carpet, and remove any and all debris from office and warehouse. Remove all pallets and debris from exterior of premises and dock areas. In addition, Tenant shall properly dispose of all hazardous materials, including paint, at Tenant’s expense.</w:t>
      </w:r>
    </w:p>
    <w:p>
      <w:pPr>
        <w:sectPr>
          <w:pgSz w:w="11900" w:h="16838" w:orient="portrait"/>
          <w:cols w:equalWidth="0" w:num="2">
            <w:col w:w="2640" w:space="720"/>
            <w:col w:w="6220"/>
          </w:cols>
          <w:pgMar w:left="1140" w:top="256" w:right="1179" w:bottom="1440" w:gutter="0" w:footer="0" w:header="0"/>
          <w:type w:val="continuous"/>
        </w:sectPr>
      </w:pPr>
    </w:p>
    <w:bookmarkStart w:id="729" w:name="page730"/>
    <w:bookmarkEnd w:id="729"/>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“E”</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Rules &amp; Regulations</w:t>
      </w:r>
    </w:p>
    <w:p>
      <w:pPr>
        <w:spacing w:after="0" w:line="197" w:lineRule="exact"/>
        <w:rPr>
          <w:sz w:val="20"/>
          <w:szCs w:val="20"/>
          <w:color w:val="auto"/>
        </w:rPr>
      </w:pPr>
    </w:p>
    <w:p>
      <w:pPr>
        <w:ind w:left="6"/>
        <w:spacing w:after="0" w:line="323" w:lineRule="auto"/>
        <w:rPr>
          <w:sz w:val="20"/>
          <w:szCs w:val="20"/>
          <w:color w:val="auto"/>
        </w:rPr>
      </w:pPr>
      <w:r>
        <w:rPr>
          <w:rFonts w:ascii="Arial" w:cs="Arial" w:eastAsia="Arial" w:hAnsi="Arial"/>
          <w:sz w:val="13"/>
          <w:szCs w:val="13"/>
          <w:color w:val="auto"/>
        </w:rPr>
        <w:t xml:space="preserve">This Rules &amp; Regulations Exhibit is dated for the reference purposes as of the same date as the Lease, and is made between Terreno Park Union City LLC (“Landlord”) and Tenaya Therapeutics, Inc. (“Tenant”) to be a part of that certain Industrial Lease (“Lease”) concerning the premises located at 33498 Central Avenue, Union City, CA 94587 (“Premises”). Landlord and Tenant agree that (i) the terms, conditions and provisions of this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are hereby incorporated into and are made a part of the Lease, (ii) any capitalized terms used herein and not otherwise defined herein shall have the meaning ascribed to such terms as set forth in the Lease, and (iii) the Lease is hereby modified and supplemented as follows:</w:t>
      </w:r>
    </w:p>
    <w:p>
      <w:pPr>
        <w:spacing w:after="0" w:line="43" w:lineRule="exact"/>
        <w:rPr>
          <w:sz w:val="20"/>
          <w:szCs w:val="20"/>
          <w:color w:val="auto"/>
        </w:rPr>
      </w:pPr>
    </w:p>
    <w:p>
      <w:pPr>
        <w:ind w:left="386" w:right="300" w:hanging="386"/>
        <w:spacing w:after="0" w:line="300" w:lineRule="auto"/>
        <w:tabs>
          <w:tab w:leader="none" w:pos="386" w:val="left"/>
        </w:tabs>
        <w:numPr>
          <w:ilvl w:val="0"/>
          <w:numId w:val="555"/>
        </w:numPr>
        <w:rPr>
          <w:rFonts w:ascii="Arial" w:cs="Arial" w:eastAsia="Arial" w:hAnsi="Arial"/>
          <w:sz w:val="15"/>
          <w:szCs w:val="15"/>
          <w:color w:val="auto"/>
        </w:rPr>
      </w:pPr>
      <w:r>
        <w:rPr>
          <w:rFonts w:ascii="Arial" w:cs="Arial" w:eastAsia="Arial" w:hAnsi="Arial"/>
          <w:sz w:val="15"/>
          <w:szCs w:val="15"/>
          <w:color w:val="auto"/>
        </w:rPr>
        <w:t>No advertisement, picture or sign of any sort shall be displayed on or outside the Premises or the Building without the prior written consent of Landlord. Landlord shall have the right to remove any such unapproved item without notice and at Tenant’s expense.</w:t>
      </w:r>
    </w:p>
    <w:p>
      <w:pPr>
        <w:spacing w:after="0" w:line="52" w:lineRule="exact"/>
        <w:rPr>
          <w:rFonts w:ascii="Arial" w:cs="Arial" w:eastAsia="Arial" w:hAnsi="Arial"/>
          <w:sz w:val="15"/>
          <w:szCs w:val="15"/>
          <w:color w:val="auto"/>
        </w:rPr>
      </w:pPr>
    </w:p>
    <w:p>
      <w:pPr>
        <w:ind w:left="386" w:hanging="386"/>
        <w:spacing w:after="0"/>
        <w:tabs>
          <w:tab w:leader="none" w:pos="386" w:val="left"/>
        </w:tabs>
        <w:numPr>
          <w:ilvl w:val="0"/>
          <w:numId w:val="555"/>
        </w:numPr>
        <w:rPr>
          <w:rFonts w:ascii="Arial" w:cs="Arial" w:eastAsia="Arial" w:hAnsi="Arial"/>
          <w:sz w:val="13"/>
          <w:szCs w:val="13"/>
          <w:color w:val="auto"/>
        </w:rPr>
      </w:pPr>
      <w:r>
        <w:rPr>
          <w:rFonts w:ascii="Arial" w:cs="Arial" w:eastAsia="Arial" w:hAnsi="Arial"/>
          <w:sz w:val="13"/>
          <w:szCs w:val="13"/>
          <w:color w:val="auto"/>
        </w:rPr>
        <w:t>Tenant shall not use any method of heating or air conditioning other than that supplied by Landlord without the prior written consent of Landlord.</w:t>
      </w:r>
    </w:p>
    <w:p>
      <w:pPr>
        <w:spacing w:after="0" w:line="145" w:lineRule="exact"/>
        <w:rPr>
          <w:rFonts w:ascii="Arial" w:cs="Arial" w:eastAsia="Arial" w:hAnsi="Arial"/>
          <w:sz w:val="13"/>
          <w:szCs w:val="13"/>
          <w:color w:val="auto"/>
        </w:rPr>
      </w:pPr>
    </w:p>
    <w:p>
      <w:pPr>
        <w:jc w:val="both"/>
        <w:ind w:left="386" w:hanging="386"/>
        <w:spacing w:after="0" w:line="383" w:lineRule="auto"/>
        <w:tabs>
          <w:tab w:leader="none" w:pos="386" w:val="left"/>
        </w:tabs>
        <w:numPr>
          <w:ilvl w:val="0"/>
          <w:numId w:val="555"/>
        </w:numPr>
        <w:rPr>
          <w:rFonts w:ascii="Arial" w:cs="Arial" w:eastAsia="Arial" w:hAnsi="Arial"/>
          <w:sz w:val="13"/>
          <w:szCs w:val="13"/>
          <w:color w:val="auto"/>
        </w:rPr>
      </w:pPr>
      <w:r>
        <w:rPr>
          <w:rFonts w:ascii="Arial" w:cs="Arial" w:eastAsia="Arial" w:hAnsi="Arial"/>
          <w:sz w:val="13"/>
          <w:szCs w:val="13"/>
          <w:color w:val="auto"/>
        </w:rPr>
        <w:t>All window coverings installed by Tenant and visible from the outside of the Building require the prior written approval of Landlord. Tenants shall not remove any carpet, or wall coverings, window blinds, or window draperies in their Premises without the prior written approval from Landlord.</w:t>
      </w:r>
    </w:p>
    <w:p>
      <w:pPr>
        <w:spacing w:after="0" w:line="6" w:lineRule="exact"/>
        <w:rPr>
          <w:rFonts w:ascii="Arial" w:cs="Arial" w:eastAsia="Arial" w:hAnsi="Arial"/>
          <w:sz w:val="13"/>
          <w:szCs w:val="13"/>
          <w:color w:val="auto"/>
        </w:rPr>
      </w:pPr>
    </w:p>
    <w:p>
      <w:pPr>
        <w:ind w:left="386" w:hanging="386"/>
        <w:spacing w:after="0" w:line="253" w:lineRule="auto"/>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Tenant shall not use, keep, or permit to be used or to be kept, any foul or noxious gas or substance in the Premises, or permit or suffer the Premises to be occupied or used in a manner offensive or objectionable to Landlord or other occupants of the Building by reason of noise, odors and/or vibrations, or interfere in any way with other Lessees or those having business therein. Tenant shall maintain the leased Premises free from mice, rats, bugs and ants attracted by food, water or storage materials.</w:t>
      </w:r>
    </w:p>
    <w:p>
      <w:pPr>
        <w:spacing w:after="0" w:line="84" w:lineRule="exact"/>
        <w:rPr>
          <w:rFonts w:ascii="Arial" w:cs="Arial" w:eastAsia="Arial" w:hAnsi="Arial"/>
          <w:sz w:val="16"/>
          <w:szCs w:val="16"/>
          <w:color w:val="auto"/>
        </w:rPr>
      </w:pPr>
    </w:p>
    <w:p>
      <w:pPr>
        <w:ind w:left="386" w:right="60" w:hanging="386"/>
        <w:spacing w:after="0" w:line="266" w:lineRule="auto"/>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No person shall disturb the occupants of this or adjoining buildings or Premises by the use of any radio or musical instrument or by the making of loud or improper noises.</w:t>
      </w:r>
    </w:p>
    <w:p>
      <w:pPr>
        <w:spacing w:after="0" w:line="75" w:lineRule="exact"/>
        <w:rPr>
          <w:rFonts w:ascii="Arial" w:cs="Arial" w:eastAsia="Arial" w:hAnsi="Arial"/>
          <w:sz w:val="16"/>
          <w:szCs w:val="16"/>
          <w:color w:val="auto"/>
        </w:rPr>
      </w:pPr>
    </w:p>
    <w:p>
      <w:pPr>
        <w:ind w:left="386" w:hanging="386"/>
        <w:spacing w:after="0"/>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Tenant shall not disturb, solicit or canvas any occupant of the Building or Industrial Center and shall cooperate to prevent same.</w:t>
      </w:r>
    </w:p>
    <w:p>
      <w:pPr>
        <w:spacing w:after="0" w:line="110" w:lineRule="exact"/>
        <w:rPr>
          <w:rFonts w:ascii="Arial" w:cs="Arial" w:eastAsia="Arial" w:hAnsi="Arial"/>
          <w:sz w:val="16"/>
          <w:szCs w:val="16"/>
          <w:color w:val="auto"/>
        </w:rPr>
      </w:pPr>
    </w:p>
    <w:p>
      <w:pPr>
        <w:ind w:left="386" w:hanging="386"/>
        <w:spacing w:after="0" w:line="281" w:lineRule="auto"/>
        <w:tabs>
          <w:tab w:leader="none" w:pos="386" w:val="left"/>
        </w:tabs>
        <w:numPr>
          <w:ilvl w:val="0"/>
          <w:numId w:val="555"/>
        </w:numPr>
        <w:rPr>
          <w:rFonts w:ascii="Arial" w:cs="Arial" w:eastAsia="Arial" w:hAnsi="Arial"/>
          <w:sz w:val="15"/>
          <w:szCs w:val="15"/>
          <w:color w:val="auto"/>
        </w:rPr>
      </w:pPr>
      <w:r>
        <w:rPr>
          <w:rFonts w:ascii="Arial" w:cs="Arial" w:eastAsia="Arial" w:hAnsi="Arial"/>
          <w:sz w:val="15"/>
          <w:szCs w:val="15"/>
          <w:color w:val="auto"/>
        </w:rPr>
        <w:t>Parking any type of recreational vehicles is specifically prohibited.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conformation with all signs and other markings.</w:t>
      </w:r>
    </w:p>
    <w:p>
      <w:pPr>
        <w:spacing w:after="0" w:line="66" w:lineRule="exact"/>
        <w:rPr>
          <w:rFonts w:ascii="Arial" w:cs="Arial" w:eastAsia="Arial" w:hAnsi="Arial"/>
          <w:sz w:val="15"/>
          <w:szCs w:val="15"/>
          <w:color w:val="auto"/>
        </w:rPr>
      </w:pPr>
    </w:p>
    <w:p>
      <w:pPr>
        <w:jc w:val="both"/>
        <w:ind w:left="386" w:right="40" w:hanging="386"/>
        <w:spacing w:after="0" w:line="256" w:lineRule="auto"/>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Tenant shall park motor vehicles in those general parking areas as designated by Landlord except for loading and unloading. During those periods of loading and unloading, Tenant shall not unreasonably interfere with traffic flow within the Industrial Center and loading and unloading areas of other tenants.</w:t>
      </w:r>
    </w:p>
    <w:p>
      <w:pPr>
        <w:spacing w:after="0" w:line="83" w:lineRule="exact"/>
        <w:rPr>
          <w:rFonts w:ascii="Arial" w:cs="Arial" w:eastAsia="Arial" w:hAnsi="Arial"/>
          <w:sz w:val="16"/>
          <w:szCs w:val="16"/>
          <w:color w:val="auto"/>
        </w:rPr>
      </w:pPr>
    </w:p>
    <w:p>
      <w:pPr>
        <w:ind w:left="386" w:right="380" w:hanging="386"/>
        <w:spacing w:after="0" w:line="256" w:lineRule="auto"/>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Tractor trailers which must be unhooked or parked with dolly wheels beyond the concrete loading areas must use steel plates or wood blocks under the dolly wheels to prevent damage to the asphalt paving surfaces. No parking or storing of such trailers will be permitted in the auto parking areas of the Industrial Center or on streets adjacent thereto.</w:t>
      </w:r>
    </w:p>
    <w:p>
      <w:pPr>
        <w:spacing w:after="0" w:line="83" w:lineRule="exact"/>
        <w:rPr>
          <w:rFonts w:ascii="Arial" w:cs="Arial" w:eastAsia="Arial" w:hAnsi="Arial"/>
          <w:sz w:val="16"/>
          <w:szCs w:val="16"/>
          <w:color w:val="auto"/>
        </w:rPr>
      </w:pPr>
    </w:p>
    <w:p>
      <w:pPr>
        <w:ind w:left="386" w:hanging="386"/>
        <w:spacing w:after="0"/>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No person shall go on the roof without Landlord’s permission.</w:t>
      </w:r>
    </w:p>
    <w:p>
      <w:pPr>
        <w:spacing w:after="0" w:line="110" w:lineRule="exact"/>
        <w:rPr>
          <w:rFonts w:ascii="Arial" w:cs="Arial" w:eastAsia="Arial" w:hAnsi="Arial"/>
          <w:sz w:val="16"/>
          <w:szCs w:val="16"/>
          <w:color w:val="auto"/>
        </w:rPr>
      </w:pPr>
    </w:p>
    <w:p>
      <w:pPr>
        <w:ind w:left="386" w:right="60" w:hanging="386"/>
        <w:spacing w:after="0" w:line="266" w:lineRule="auto"/>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All goods, including material used to store goods, delivered to the Premises of Tenant shall be immediately moved into the Premises and shall not be left in parking or receiving areas overnight.</w:t>
      </w:r>
    </w:p>
    <w:p>
      <w:pPr>
        <w:spacing w:after="0" w:line="75" w:lineRule="exact"/>
        <w:rPr>
          <w:rFonts w:ascii="Arial" w:cs="Arial" w:eastAsia="Arial" w:hAnsi="Arial"/>
          <w:sz w:val="16"/>
          <w:szCs w:val="16"/>
          <w:color w:val="auto"/>
        </w:rPr>
      </w:pPr>
    </w:p>
    <w:p>
      <w:pPr>
        <w:ind w:left="386" w:hanging="386"/>
        <w:spacing w:after="0"/>
        <w:tabs>
          <w:tab w:leader="none" w:pos="386" w:val="left"/>
        </w:tabs>
        <w:numPr>
          <w:ilvl w:val="0"/>
          <w:numId w:val="555"/>
        </w:numPr>
        <w:rPr>
          <w:rFonts w:ascii="Arial" w:cs="Arial" w:eastAsia="Arial" w:hAnsi="Arial"/>
          <w:sz w:val="15"/>
          <w:szCs w:val="15"/>
          <w:color w:val="auto"/>
        </w:rPr>
      </w:pPr>
      <w:r>
        <w:rPr>
          <w:rFonts w:ascii="Arial" w:cs="Arial" w:eastAsia="Arial" w:hAnsi="Arial"/>
          <w:sz w:val="15"/>
          <w:szCs w:val="15"/>
          <w:color w:val="auto"/>
        </w:rPr>
        <w:t>Forklifts which operate on asphalt paving areas shall not have solid rubber tires and shall only use tires that do not damage the asphalt.</w:t>
      </w:r>
    </w:p>
    <w:p>
      <w:pPr>
        <w:spacing w:after="0" w:line="122" w:lineRule="exact"/>
        <w:rPr>
          <w:rFonts w:ascii="Arial" w:cs="Arial" w:eastAsia="Arial" w:hAnsi="Arial"/>
          <w:sz w:val="15"/>
          <w:szCs w:val="15"/>
          <w:color w:val="auto"/>
        </w:rPr>
      </w:pPr>
    </w:p>
    <w:p>
      <w:pPr>
        <w:ind w:left="386" w:right="80" w:hanging="386"/>
        <w:spacing w:after="0" w:line="266" w:lineRule="auto"/>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Tenant is responsible for the storage and removal of all trash and refuse. All such trash and refuse shall be contained in suitable receptacles stored behind screened enclosures at locations approved by Landlord.</w:t>
      </w:r>
    </w:p>
    <w:p>
      <w:pPr>
        <w:spacing w:after="0" w:line="75" w:lineRule="exact"/>
        <w:rPr>
          <w:rFonts w:ascii="Arial" w:cs="Arial" w:eastAsia="Arial" w:hAnsi="Arial"/>
          <w:sz w:val="16"/>
          <w:szCs w:val="16"/>
          <w:color w:val="auto"/>
        </w:rPr>
      </w:pPr>
    </w:p>
    <w:p>
      <w:pPr>
        <w:ind w:left="386" w:right="100" w:hanging="386"/>
        <w:spacing w:after="0" w:line="256" w:lineRule="auto"/>
        <w:tabs>
          <w:tab w:leader="none" w:pos="38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Tenant shall not store or permit the storage or placement of goods, or merchandise or pallets or equipment of any sort outside of the Premises nor in or around the Building, the Industrial Center or any of the Common Areas of the foregoing. No displays or sales of merchandise shall be allowed in the parking lots or other Common Areas.</w:t>
      </w:r>
    </w:p>
    <w:p>
      <w:pPr>
        <w:sectPr>
          <w:pgSz w:w="11900" w:h="16838" w:orient="portrait"/>
          <w:cols w:equalWidth="0" w:num="1">
            <w:col w:w="9606"/>
          </w:cols>
          <w:pgMar w:left="1134" w:top="252" w:right="1159" w:bottom="1440" w:gutter="0" w:footer="0" w:header="0"/>
        </w:sectPr>
      </w:pPr>
    </w:p>
    <w:bookmarkStart w:id="730" w:name="page731"/>
    <w:bookmarkEnd w:id="730"/>
    <w:p>
      <w:pPr>
        <w:ind w:left="386" w:right="520" w:hanging="386"/>
        <w:spacing w:after="0" w:line="266" w:lineRule="auto"/>
        <w:tabs>
          <w:tab w:leader="none" w:pos="386" w:val="left"/>
        </w:tabs>
        <w:numPr>
          <w:ilvl w:val="0"/>
          <w:numId w:val="5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Tenant shall not permit any animals, including, but not limited to, any household pets, fish tanks, etc., to be brought or kept in or about the Premises, the Building, the Industrial Center or any of the Common Areas of the foregoing.</w:t>
      </w:r>
    </w:p>
    <w:p>
      <w:pPr>
        <w:spacing w:after="0" w:line="75" w:lineRule="exact"/>
        <w:rPr>
          <w:rFonts w:ascii="Arial" w:cs="Arial" w:eastAsia="Arial" w:hAnsi="Arial"/>
          <w:sz w:val="16"/>
          <w:szCs w:val="16"/>
          <w:color w:val="auto"/>
        </w:rPr>
      </w:pPr>
    </w:p>
    <w:p>
      <w:pPr>
        <w:ind w:left="386" w:hanging="386"/>
        <w:spacing w:after="0" w:line="256" w:lineRule="auto"/>
        <w:tabs>
          <w:tab w:leader="none" w:pos="386" w:val="left"/>
        </w:tabs>
        <w:numPr>
          <w:ilvl w:val="0"/>
          <w:numId w:val="556"/>
        </w:numPr>
        <w:rPr>
          <w:rFonts w:ascii="Arial" w:cs="Arial" w:eastAsia="Arial" w:hAnsi="Arial"/>
          <w:sz w:val="16"/>
          <w:szCs w:val="16"/>
          <w:color w:val="auto"/>
        </w:rPr>
      </w:pPr>
      <w:r>
        <w:rPr>
          <w:rFonts w:ascii="Arial" w:cs="Arial" w:eastAsia="Arial" w:hAnsi="Arial"/>
          <w:sz w:val="16"/>
          <w:szCs w:val="16"/>
          <w:color w:val="auto"/>
        </w:rPr>
        <w:t>Tenant shall not permit any motor vehicles to be washed on any portion of the Premises or in the Common Areas of the Industrial Center, nor shall Tenant permit mechanical work or maintenance of motor vehicles to be performed on any portion of the Premises or in the Common Areas of the Industrial Center.</w:t>
      </w:r>
    </w:p>
    <w:p>
      <w:pPr>
        <w:spacing w:after="0" w:line="83" w:lineRule="exact"/>
        <w:rPr>
          <w:rFonts w:ascii="Arial" w:cs="Arial" w:eastAsia="Arial" w:hAnsi="Arial"/>
          <w:sz w:val="16"/>
          <w:szCs w:val="16"/>
          <w:color w:val="auto"/>
        </w:rPr>
      </w:pPr>
    </w:p>
    <w:p>
      <w:pPr>
        <w:ind w:left="386" w:hanging="386"/>
        <w:spacing w:after="0" w:line="251" w:lineRule="auto"/>
        <w:tabs>
          <w:tab w:leader="none" w:pos="386" w:val="left"/>
        </w:tabs>
        <w:numPr>
          <w:ilvl w:val="0"/>
          <w:numId w:val="556"/>
        </w:numPr>
        <w:rPr>
          <w:rFonts w:ascii="Arial" w:cs="Arial" w:eastAsia="Arial" w:hAnsi="Arial"/>
          <w:sz w:val="16"/>
          <w:szCs w:val="16"/>
          <w:color w:val="auto"/>
        </w:rPr>
      </w:pPr>
      <w:r>
        <w:rPr>
          <w:rFonts w:ascii="Arial" w:cs="Arial" w:eastAsia="Arial" w:hAnsi="Arial"/>
          <w:sz w:val="16"/>
          <w:szCs w:val="16"/>
          <w:color w:val="auto"/>
        </w:rPr>
        <w:t>Tenants shall not do, or permit anything to be done in their Premises or bring or keep anything therein which will in anyway obstruct or interfere with the rights of other Tenants, or do, or permit anything to be done in their Premises which shall, in the judgment of the Landlord or its manager, in any way injure or annoy them, or conflict with the laws relating to fire, or with the regulations of the fire department or with any insurance policy upon the Building or any part thereof or any contents there in or conflict with any of the rules and ordinances of the public Building or health authorities.</w:t>
      </w:r>
    </w:p>
    <w:p>
      <w:pPr>
        <w:spacing w:after="0" w:line="87" w:lineRule="exact"/>
        <w:rPr>
          <w:rFonts w:ascii="Arial" w:cs="Arial" w:eastAsia="Arial" w:hAnsi="Arial"/>
          <w:sz w:val="16"/>
          <w:szCs w:val="16"/>
          <w:color w:val="auto"/>
        </w:rPr>
      </w:pPr>
    </w:p>
    <w:p>
      <w:pPr>
        <w:ind w:left="386" w:right="220" w:hanging="386"/>
        <w:spacing w:after="0" w:line="343" w:lineRule="auto"/>
        <w:tabs>
          <w:tab w:leader="none" w:pos="386" w:val="left"/>
        </w:tabs>
        <w:numPr>
          <w:ilvl w:val="0"/>
          <w:numId w:val="556"/>
        </w:numPr>
        <w:rPr>
          <w:rFonts w:ascii="Arial" w:cs="Arial" w:eastAsia="Arial" w:hAnsi="Arial"/>
          <w:sz w:val="13"/>
          <w:szCs w:val="13"/>
          <w:color w:val="auto"/>
        </w:rPr>
      </w:pPr>
      <w:r>
        <w:rPr>
          <w:rFonts w:ascii="Arial" w:cs="Arial" w:eastAsia="Arial" w:hAnsi="Arial"/>
          <w:sz w:val="13"/>
          <w:szCs w:val="13"/>
          <w:color w:val="auto"/>
        </w:rPr>
        <w:t>All electrical equipment used by Tenants shall be U.L. approved. Nothing shall be done or permitted in Tenant’s Premises, and nothing shall be brought into or kept in the Premises which would impair or interfere with any of the Building services or the proper and economic heating, cooling, cleaning or other servicing of the Building or the Premises. Tenant’s computers and other equipment are hereby expressly allowed.</w:t>
      </w:r>
    </w:p>
    <w:p>
      <w:pPr>
        <w:spacing w:after="0" w:line="31" w:lineRule="exact"/>
        <w:rPr>
          <w:rFonts w:ascii="Arial" w:cs="Arial" w:eastAsia="Arial" w:hAnsi="Arial"/>
          <w:sz w:val="13"/>
          <w:szCs w:val="13"/>
          <w:color w:val="auto"/>
        </w:rPr>
      </w:pPr>
    </w:p>
    <w:p>
      <w:pPr>
        <w:ind w:left="386" w:right="100" w:hanging="386"/>
        <w:spacing w:after="0" w:line="329" w:lineRule="auto"/>
        <w:tabs>
          <w:tab w:leader="none" w:pos="386" w:val="left"/>
        </w:tabs>
        <w:numPr>
          <w:ilvl w:val="0"/>
          <w:numId w:val="556"/>
        </w:numPr>
        <w:rPr>
          <w:rFonts w:ascii="Arial" w:cs="Arial" w:eastAsia="Arial" w:hAnsi="Arial"/>
          <w:sz w:val="13"/>
          <w:szCs w:val="13"/>
          <w:color w:val="auto"/>
        </w:rPr>
      </w:pPr>
      <w:r>
        <w:rPr>
          <w:rFonts w:ascii="Arial" w:cs="Arial" w:eastAsia="Arial" w:hAnsi="Arial"/>
          <w:sz w:val="13"/>
          <w:szCs w:val="13"/>
          <w:color w:val="auto"/>
        </w:rPr>
        <w:t>Tenants shall not install or operate any steam or gas engine or boiler, or carry on any mechanical business in the Premises or Building. The use of oil, gas or inflammable liquids for heating, lighting or any other purpose is expressly prohibited. Explosives or other articles deemed extra hazardous shall not be brought into the Premises, Building or Industrial Center. Notwithstanding the foregoing, Tenant may use diesel fuel in connection with its operation of a generator serving the Premises and natural gas for heating purposes within the Premises.</w:t>
      </w:r>
    </w:p>
    <w:p>
      <w:pPr>
        <w:spacing w:after="0" w:line="40" w:lineRule="exact"/>
        <w:rPr>
          <w:rFonts w:ascii="Arial" w:cs="Arial" w:eastAsia="Arial" w:hAnsi="Arial"/>
          <w:sz w:val="13"/>
          <w:szCs w:val="13"/>
          <w:color w:val="auto"/>
        </w:rPr>
      </w:pPr>
    </w:p>
    <w:p>
      <w:pPr>
        <w:ind w:left="386" w:right="20" w:hanging="386"/>
        <w:spacing w:after="0" w:line="253" w:lineRule="auto"/>
        <w:tabs>
          <w:tab w:leader="none" w:pos="386" w:val="left"/>
        </w:tabs>
        <w:numPr>
          <w:ilvl w:val="0"/>
          <w:numId w:val="556"/>
        </w:numPr>
        <w:rPr>
          <w:rFonts w:ascii="Arial" w:cs="Arial" w:eastAsia="Arial" w:hAnsi="Arial"/>
          <w:sz w:val="16"/>
          <w:szCs w:val="16"/>
          <w:color w:val="auto"/>
        </w:rPr>
      </w:pPr>
      <w:r>
        <w:rPr>
          <w:rFonts w:ascii="Arial" w:cs="Arial" w:eastAsia="Arial" w:hAnsi="Arial"/>
          <w:sz w:val="16"/>
          <w:szCs w:val="16"/>
          <w:color w:val="auto"/>
        </w:rPr>
        <w:t>The water closets, urinals, waste lines, vents or flues of the Building shall not be used for any purpose other than those for which they were constructed, and no rubbish, acids, vapors, newspapers or other such substances of any kind shall be thrown into them. The expense caused by any breakage, stoppage or damage resulting from a violation of this rule by any Tenant, its employees, visitors, guests or licensees, shall be paid by Tenant.</w:t>
      </w:r>
    </w:p>
    <w:p>
      <w:pPr>
        <w:spacing w:after="0" w:line="84" w:lineRule="exact"/>
        <w:rPr>
          <w:rFonts w:ascii="Arial" w:cs="Arial" w:eastAsia="Arial" w:hAnsi="Arial"/>
          <w:sz w:val="16"/>
          <w:szCs w:val="16"/>
          <w:color w:val="auto"/>
        </w:rPr>
      </w:pPr>
    </w:p>
    <w:p>
      <w:pPr>
        <w:ind w:left="386" w:right="20" w:hanging="386"/>
        <w:spacing w:after="0" w:line="251" w:lineRule="auto"/>
        <w:tabs>
          <w:tab w:leader="none" w:pos="386" w:val="left"/>
        </w:tabs>
        <w:numPr>
          <w:ilvl w:val="0"/>
          <w:numId w:val="556"/>
        </w:numPr>
        <w:rPr>
          <w:rFonts w:ascii="Arial" w:cs="Arial" w:eastAsia="Arial" w:hAnsi="Arial"/>
          <w:sz w:val="16"/>
          <w:szCs w:val="16"/>
          <w:color w:val="auto"/>
        </w:rPr>
      </w:pPr>
      <w:r>
        <w:rPr>
          <w:rFonts w:ascii="Arial" w:cs="Arial" w:eastAsia="Arial" w:hAnsi="Arial"/>
          <w:sz w:val="16"/>
          <w:szCs w:val="16"/>
          <w:color w:val="auto"/>
        </w:rPr>
        <w:t>If any Tenant desires radio signal, communication equipment such as satellite dishes, etc., or any other utility or service connection installed or changed, such work shall be done at the expense of Tenant, with the prior written approval and under the direction of Landlord. No wiring shall be installed in any part of the Building without Landlord’s approval and direction. Landlord reserves the right to disconnect any radio signal or alarm system when, in Landlord’s opinion, such installation or apparatus interferes with the proper operation of the Building or systems within the Building.</w:t>
      </w:r>
    </w:p>
    <w:p>
      <w:pPr>
        <w:spacing w:after="0" w:line="87" w:lineRule="exact"/>
        <w:rPr>
          <w:rFonts w:ascii="Arial" w:cs="Arial" w:eastAsia="Arial" w:hAnsi="Arial"/>
          <w:sz w:val="16"/>
          <w:szCs w:val="16"/>
          <w:color w:val="auto"/>
        </w:rPr>
      </w:pPr>
    </w:p>
    <w:p>
      <w:pPr>
        <w:ind w:left="386" w:right="60" w:hanging="386"/>
        <w:spacing w:after="0" w:line="253" w:lineRule="auto"/>
        <w:tabs>
          <w:tab w:leader="none" w:pos="386" w:val="left"/>
        </w:tabs>
        <w:numPr>
          <w:ilvl w:val="0"/>
          <w:numId w:val="556"/>
        </w:numPr>
        <w:rPr>
          <w:rFonts w:ascii="Arial" w:cs="Arial" w:eastAsia="Arial" w:hAnsi="Arial"/>
          <w:sz w:val="16"/>
          <w:szCs w:val="16"/>
          <w:color w:val="auto"/>
        </w:rPr>
      </w:pPr>
      <w:r>
        <w:rPr>
          <w:rFonts w:ascii="Arial" w:cs="Arial" w:eastAsia="Arial" w:hAnsi="Arial"/>
          <w:sz w:val="16"/>
          <w:szCs w:val="16"/>
          <w:color w:val="auto"/>
        </w:rPr>
        <w:t>Landlord reserves the right to make such other and further reasonable and non-discriminatory rules and regulations as in its judgment may from time to time be needful and desirable for the safety, care and cleanliness of the Premises, the Building or the Industrial Center and for the preservation of good order therein. In the event of a conflict between these rules and regulations and the provisions of the Lease, the provisions of the Lease shall control.</w:t>
      </w:r>
    </w:p>
    <w:p>
      <w:pPr>
        <w:sectPr>
          <w:pgSz w:w="11900" w:h="16838" w:orient="portrait"/>
          <w:cols w:equalWidth="0" w:num="1">
            <w:col w:w="9606"/>
          </w:cols>
          <w:pgMar w:left="1134" w:top="256" w:right="1159" w:bottom="1440" w:gutter="0" w:footer="0" w:header="0"/>
        </w:sectPr>
      </w:pPr>
    </w:p>
    <w:bookmarkStart w:id="731" w:name="page732"/>
    <w:bookmarkEnd w:id="731"/>
    <w:p>
      <w:pPr>
        <w:jc w:val="right"/>
        <w:spacing w:after="0"/>
        <w:rPr>
          <w:sz w:val="20"/>
          <w:szCs w:val="20"/>
          <w:color w:val="auto"/>
        </w:rPr>
      </w:pPr>
      <w:r>
        <w:rPr>
          <w:rFonts w:ascii="Arial" w:cs="Arial" w:eastAsia="Arial" w:hAnsi="Arial"/>
          <w:sz w:val="16"/>
          <w:szCs w:val="16"/>
          <w:b w:val="1"/>
          <w:bCs w:val="1"/>
          <w:color w:val="auto"/>
        </w:rPr>
        <w:t>Exhibit 10.12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CHANGE IN CONTROL AND SEVERANCE PLAN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SUMMARY PLAN DESCRIPTION</w:t>
      </w:r>
    </w:p>
    <w:p>
      <w:pPr>
        <w:spacing w:after="0" w:line="182" w:lineRule="exact"/>
        <w:rPr>
          <w:sz w:val="20"/>
          <w:szCs w:val="20"/>
          <w:color w:val="auto"/>
        </w:rPr>
      </w:pPr>
    </w:p>
    <w:p>
      <w:pPr>
        <w:ind w:right="40" w:firstLine="378"/>
        <w:spacing w:after="0" w:line="251" w:lineRule="auto"/>
        <w:tabs>
          <w:tab w:leader="none" w:pos="542" w:val="left"/>
        </w:tabs>
        <w:numPr>
          <w:ilvl w:val="0"/>
          <w:numId w:val="557"/>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 The purpose of this Tenaya Therapeutics, Inc. Executive Change in Control and Severance Plan (the “</w:t>
      </w:r>
      <w:r>
        <w:rPr>
          <w:rFonts w:ascii="Arial" w:cs="Arial" w:eastAsia="Arial" w:hAnsi="Arial"/>
          <w:sz w:val="16"/>
          <w:szCs w:val="16"/>
          <w:u w:val="single" w:color="auto"/>
          <w:color w:val="auto"/>
        </w:rPr>
        <w:t>Plan</w:t>
      </w:r>
      <w:r>
        <w:rPr>
          <w:rFonts w:ascii="Arial" w:cs="Arial" w:eastAsia="Arial" w:hAnsi="Arial"/>
          <w:sz w:val="16"/>
          <w:szCs w:val="16"/>
          <w:color w:val="auto"/>
        </w:rPr>
        <w:t>”) is to provide assurances of specified benefits to certain employees of the Company whose employment could be being involuntarily terminated other than for death, Disability, or Cause or voluntarily terminated for Good Reason under the circumstances described in the Plan. This Plan is an “employee welfare benefit plan,” as defined in Section 3(1) of ERISA. This document is both the written instrument under which the Plan is maintained and the required summary plan description for the Plan.</w:t>
      </w:r>
    </w:p>
    <w:p>
      <w:pPr>
        <w:spacing w:after="0" w:line="169" w:lineRule="exact"/>
        <w:rPr>
          <w:rFonts w:ascii="Arial" w:cs="Arial" w:eastAsia="Arial" w:hAnsi="Arial"/>
          <w:sz w:val="16"/>
          <w:szCs w:val="16"/>
          <w:color w:val="auto"/>
        </w:rPr>
      </w:pPr>
    </w:p>
    <w:p>
      <w:pPr>
        <w:ind w:right="340" w:firstLine="378"/>
        <w:spacing w:after="0" w:line="266" w:lineRule="auto"/>
        <w:tabs>
          <w:tab w:leader="none" w:pos="542" w:val="left"/>
        </w:tabs>
        <w:numPr>
          <w:ilvl w:val="0"/>
          <w:numId w:val="557"/>
        </w:numPr>
        <w:rPr>
          <w:rFonts w:ascii="Arial" w:cs="Arial" w:eastAsia="Arial" w:hAnsi="Arial"/>
          <w:sz w:val="16"/>
          <w:szCs w:val="16"/>
          <w:color w:val="auto"/>
        </w:rPr>
      </w:pPr>
      <w:r>
        <w:rPr>
          <w:rFonts w:ascii="Arial" w:cs="Arial" w:eastAsia="Arial" w:hAnsi="Arial"/>
          <w:sz w:val="16"/>
          <w:szCs w:val="16"/>
          <w:u w:val="single" w:color="auto"/>
          <w:color w:val="auto"/>
        </w:rPr>
        <w:t>Important Terms</w:t>
      </w:r>
      <w:r>
        <w:rPr>
          <w:rFonts w:ascii="Arial" w:cs="Arial" w:eastAsia="Arial" w:hAnsi="Arial"/>
          <w:sz w:val="16"/>
          <w:szCs w:val="16"/>
          <w:color w:val="auto"/>
        </w:rPr>
        <w:t>. The following words and phrases, when the initial letter of the term is capitalized, will have the meanings set forth in this Section 2, unless a different meaning is plainly required by the context:</w:t>
      </w:r>
    </w:p>
    <w:p>
      <w:pPr>
        <w:spacing w:after="0" w:line="158" w:lineRule="exact"/>
        <w:rPr>
          <w:sz w:val="20"/>
          <w:szCs w:val="20"/>
          <w:color w:val="auto"/>
        </w:rPr>
      </w:pPr>
    </w:p>
    <w:p>
      <w:pPr>
        <w:jc w:val="both"/>
        <w:ind w:right="60" w:firstLine="866"/>
        <w:spacing w:after="0" w:line="256"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Company, acting through the Compensation Committee or another duly constituted committee of members of the Board, or any person to whom the Administrator has delegated any authority or responsibility with respect to the Plan pursuant to Section 11, but only to the extent of such delegation.</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93" w:lineRule="exact"/>
        <w:rPr>
          <w:sz w:val="20"/>
          <w:szCs w:val="20"/>
          <w:color w:val="auto"/>
        </w:rPr>
      </w:pPr>
    </w:p>
    <w:p>
      <w:pPr>
        <w:ind w:right="40" w:firstLine="866"/>
        <w:spacing w:after="0" w:line="312" w:lineRule="auto"/>
        <w:rPr>
          <w:sz w:val="20"/>
          <w:szCs w:val="20"/>
          <w:color w:val="auto"/>
        </w:rPr>
      </w:pPr>
      <w:r>
        <w:rPr>
          <w:rFonts w:ascii="Arial" w:cs="Arial" w:eastAsia="Arial" w:hAnsi="Arial"/>
          <w:sz w:val="13"/>
          <w:szCs w:val="13"/>
          <w:color w:val="auto"/>
        </w:rPr>
        <w:t>2.3 “</w:t>
      </w:r>
      <w:r>
        <w:rPr>
          <w:rFonts w:ascii="Arial" w:cs="Arial" w:eastAsia="Arial" w:hAnsi="Arial"/>
          <w:sz w:val="13"/>
          <w:szCs w:val="13"/>
          <w:u w:val="single" w:color="auto"/>
          <w:color w:val="auto"/>
        </w:rPr>
        <w:t>Cause</w:t>
      </w:r>
      <w:r>
        <w:rPr>
          <w:rFonts w:ascii="Arial" w:cs="Arial" w:eastAsia="Arial" w:hAnsi="Arial"/>
          <w:sz w:val="13"/>
          <w:szCs w:val="13"/>
          <w:color w:val="auto"/>
        </w:rPr>
        <w:t>” has the meaning set forth in the Participant’s Participation Agreement or, if no definition is set forth therein, means that one or more of the following has occurred: (i) Participant’s commission of fraud, theft, embezzlement or other unlawful act against the Company or involving its property or assets or otherwise; (ii) Participant’s indictment, conviction or nolo contendere or guilty plea with respect to any felony or crime of moral turpitude; (iii) Participant’s willful and continued failure or refusal to perform material, lawful duties required of Participant as an employee of the Company; (iv) Participant’s material breach of this agreement or any proprietary information and inventions agreement; (v) Participant’s material violation of Company policies or procedures as in effect from time to time; and (vi) Participant’s gross negligence, willful misconduct or intentional misrepresentation. Notwithstanding the foregoing, Cause shall only exist in the case of clauses (iii) through (vi) after; (x) the Administrator delivers written notice to Participant of the Administrator’s determination that Cause exists; (y) such notice sets forth in reasonable detail such facts and circumstances; and (z) Participant has failed to fully correct any of the events listed above, if such events are reasonably capable of being fully corrected, within 10 days following delivery to Participant of the Administrator’s written notice of its determination that Cause exists.</w:t>
      </w:r>
    </w:p>
    <w:p>
      <w:pPr>
        <w:spacing w:after="0" w:line="32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events:</w:t>
      </w:r>
    </w:p>
    <w:p>
      <w:pPr>
        <w:spacing w:after="0" w:line="193" w:lineRule="exact"/>
        <w:rPr>
          <w:sz w:val="20"/>
          <w:szCs w:val="20"/>
          <w:color w:val="auto"/>
        </w:rPr>
      </w:pPr>
    </w:p>
    <w:p>
      <w:pPr>
        <w:ind w:right="20" w:firstLine="1244"/>
        <w:spacing w:after="0" w:line="300" w:lineRule="auto"/>
        <w:tabs>
          <w:tab w:leader="none" w:pos="1464" w:val="left"/>
        </w:tabs>
        <w:numPr>
          <w:ilvl w:val="0"/>
          <w:numId w:val="558"/>
        </w:numPr>
        <w:rPr>
          <w:rFonts w:ascii="Arial" w:cs="Arial" w:eastAsia="Arial" w:hAnsi="Arial"/>
          <w:sz w:val="15"/>
          <w:szCs w:val="15"/>
          <w:color w:val="auto"/>
        </w:rPr>
      </w:pPr>
      <w:r>
        <w:rPr>
          <w:rFonts w:ascii="Arial" w:cs="Arial" w:eastAsia="Arial" w:hAnsi="Arial"/>
          <w:sz w:val="15"/>
          <w:szCs w:val="15"/>
          <w:u w:val="single" w:color="auto"/>
          <w:color w:val="auto"/>
        </w:rPr>
        <w:t>Change in Ownership of the Company</w:t>
      </w:r>
      <w:r>
        <w:rPr>
          <w:rFonts w:ascii="Arial" w:cs="Arial" w:eastAsia="Arial" w:hAnsi="Arial"/>
          <w:sz w:val="15"/>
          <w:szCs w:val="15"/>
          <w:color w:val="auto"/>
        </w:rPr>
        <w:t>. A change in the ownership of the Company which occurs on the date that any one person, or more than one person acting as a group (“</w:t>
      </w:r>
      <w:r>
        <w:rPr>
          <w:rFonts w:ascii="Arial" w:cs="Arial" w:eastAsia="Arial" w:hAnsi="Arial"/>
          <w:sz w:val="15"/>
          <w:szCs w:val="15"/>
          <w:u w:val="single" w:color="auto"/>
          <w:color w:val="auto"/>
        </w:rPr>
        <w:t>Person</w:t>
      </w:r>
      <w:r>
        <w:rPr>
          <w:rFonts w:ascii="Arial" w:cs="Arial" w:eastAsia="Arial" w:hAnsi="Arial"/>
          <w:sz w:val="15"/>
          <w:szCs w:val="15"/>
          <w:color w:val="auto"/>
        </w:rPr>
        <w:t>”), acquires ownership of the stock of the Company that, together with the stock</w:t>
      </w:r>
    </w:p>
    <w:p>
      <w:pPr>
        <w:sectPr>
          <w:pgSz w:w="11900" w:h="16838" w:orient="portrait"/>
          <w:cols w:equalWidth="0" w:num="1">
            <w:col w:w="9620"/>
          </w:cols>
          <w:pgMar w:left="1140" w:top="122" w:right="1139" w:bottom="1440" w:gutter="0" w:footer="0" w:header="0"/>
        </w:sectPr>
      </w:pPr>
    </w:p>
    <w:bookmarkStart w:id="732" w:name="page733"/>
    <w:bookmarkEnd w:id="732"/>
    <w:p>
      <w:pPr>
        <w:ind w:right="40"/>
        <w:spacing w:after="0" w:line="31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326" w:lineRule="exact"/>
        <w:rPr>
          <w:sz w:val="20"/>
          <w:szCs w:val="20"/>
          <w:color w:val="auto"/>
        </w:rPr>
      </w:pPr>
    </w:p>
    <w:p>
      <w:pPr>
        <w:jc w:val="both"/>
        <w:ind w:right="40" w:firstLine="1244"/>
        <w:spacing w:after="0" w:line="272" w:lineRule="auto"/>
        <w:tabs>
          <w:tab w:leader="none" w:pos="1473" w:val="left"/>
        </w:tabs>
        <w:numPr>
          <w:ilvl w:val="0"/>
          <w:numId w:val="559"/>
        </w:numPr>
        <w:rPr>
          <w:rFonts w:ascii="Arial" w:cs="Arial" w:eastAsia="Arial" w:hAnsi="Arial"/>
          <w:sz w:val="15"/>
          <w:szCs w:val="15"/>
          <w:color w:val="auto"/>
        </w:rPr>
      </w:pPr>
      <w:r>
        <w:rPr>
          <w:rFonts w:ascii="Arial" w:cs="Arial" w:eastAsia="Arial" w:hAnsi="Arial"/>
          <w:sz w:val="15"/>
          <w:szCs w:val="15"/>
          <w:u w:val="single" w:color="auto"/>
          <w:color w:val="auto"/>
        </w:rPr>
        <w:t>Change in Effective Control of the Company</w:t>
      </w:r>
      <w:r>
        <w:rPr>
          <w:rFonts w:ascii="Arial" w:cs="Arial" w:eastAsia="Arial" w:hAnsi="Arial"/>
          <w:sz w:val="15"/>
          <w:szCs w:val="15"/>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54" w:lineRule="exact"/>
        <w:rPr>
          <w:rFonts w:ascii="Arial" w:cs="Arial" w:eastAsia="Arial" w:hAnsi="Arial"/>
          <w:sz w:val="15"/>
          <w:szCs w:val="15"/>
          <w:color w:val="auto"/>
        </w:rPr>
      </w:pPr>
    </w:p>
    <w:p>
      <w:pPr>
        <w:jc w:val="both"/>
        <w:ind w:firstLine="1244"/>
        <w:spacing w:after="0" w:line="308" w:lineRule="auto"/>
        <w:tabs>
          <w:tab w:leader="none" w:pos="1464" w:val="left"/>
        </w:tabs>
        <w:numPr>
          <w:ilvl w:val="0"/>
          <w:numId w:val="559"/>
        </w:numPr>
        <w:rPr>
          <w:rFonts w:ascii="Arial" w:cs="Arial" w:eastAsia="Arial" w:hAnsi="Arial"/>
          <w:sz w:val="13"/>
          <w:szCs w:val="13"/>
          <w:color w:val="auto"/>
        </w:rPr>
      </w:pPr>
      <w:r>
        <w:rPr>
          <w:rFonts w:ascii="Arial" w:cs="Arial" w:eastAsia="Arial" w:hAnsi="Arial"/>
          <w:sz w:val="13"/>
          <w:szCs w:val="13"/>
          <w:u w:val="single" w:color="auto"/>
          <w:color w:val="auto"/>
        </w:rPr>
        <w:t>Change in Ownership of a Substantial Portion of the Company’s Assets</w:t>
      </w:r>
      <w:r>
        <w:rPr>
          <w:rFonts w:ascii="Arial" w:cs="Arial" w:eastAsia="Arial" w:hAnsi="Arial"/>
          <w:sz w:val="13"/>
          <w:szCs w:val="13"/>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1" w:lineRule="exact"/>
        <w:rPr>
          <w:rFonts w:ascii="Arial" w:cs="Arial" w:eastAsia="Arial" w:hAnsi="Arial"/>
          <w:sz w:val="13"/>
          <w:szCs w:val="13"/>
          <w:color w:val="auto"/>
        </w:rPr>
      </w:pPr>
    </w:p>
    <w:p>
      <w:pPr>
        <w:ind w:right="60"/>
        <w:spacing w:after="0" w:line="265" w:lineRule="auto"/>
        <w:rPr>
          <w:rFonts w:ascii="Arial" w:cs="Arial" w:eastAsia="Arial" w:hAnsi="Arial"/>
          <w:sz w:val="13"/>
          <w:szCs w:val="13"/>
          <w:color w:val="auto"/>
        </w:rPr>
      </w:pPr>
      <w:r>
        <w:rPr>
          <w:rFonts w:ascii="Arial" w:cs="Arial" w:eastAsia="Arial" w:hAnsi="Arial"/>
          <w:sz w:val="15"/>
          <w:szCs w:val="15"/>
          <w:color w:val="auto"/>
        </w:rPr>
        <w:t>(50%)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20"/>
          </w:cols>
          <w:pgMar w:left="1140" w:top="257" w:right="1139" w:bottom="1440" w:gutter="0" w:footer="0" w:header="0"/>
        </w:sectPr>
      </w:pPr>
    </w:p>
    <w:bookmarkStart w:id="733" w:name="page734"/>
    <w:bookmarkEnd w:id="733"/>
    <w:p>
      <w:pPr>
        <w:ind w:right="40" w:firstLine="1251"/>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right="80" w:firstLine="1251"/>
        <w:spacing w:after="0" w:line="266"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w:t>
      </w:r>
    </w:p>
    <w:p>
      <w:pPr>
        <w:spacing w:after="0" w:line="158" w:lineRule="exact"/>
        <w:rPr>
          <w:sz w:val="20"/>
          <w:szCs w:val="20"/>
          <w:color w:val="auto"/>
        </w:rPr>
      </w:pPr>
    </w:p>
    <w:p>
      <w:pPr>
        <w:ind w:right="100" w:firstLine="1251"/>
        <w:spacing w:after="0" w:line="256" w:lineRule="auto"/>
        <w:rPr>
          <w:sz w:val="20"/>
          <w:szCs w:val="20"/>
          <w:color w:val="auto"/>
        </w:rPr>
      </w:pPr>
      <w:r>
        <w:rPr>
          <w:rFonts w:ascii="Arial" w:cs="Arial" w:eastAsia="Arial" w:hAnsi="Arial"/>
          <w:sz w:val="16"/>
          <w:szCs w:val="16"/>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66" w:lineRule="exact"/>
        <w:rPr>
          <w:sz w:val="20"/>
          <w:szCs w:val="20"/>
          <w:color w:val="auto"/>
        </w:rPr>
      </w:pPr>
    </w:p>
    <w:p>
      <w:pPr>
        <w:ind w:right="220" w:firstLine="866"/>
        <w:spacing w:after="0" w:line="383" w:lineRule="auto"/>
        <w:rPr>
          <w:sz w:val="20"/>
          <w:szCs w:val="20"/>
          <w:color w:val="auto"/>
        </w:rPr>
      </w:pPr>
      <w:r>
        <w:rPr>
          <w:rFonts w:ascii="Arial" w:cs="Arial" w:eastAsia="Arial" w:hAnsi="Arial"/>
          <w:sz w:val="13"/>
          <w:szCs w:val="13"/>
          <w:color w:val="auto"/>
        </w:rPr>
        <w:t>2.5 “</w:t>
      </w:r>
      <w:r>
        <w:rPr>
          <w:rFonts w:ascii="Arial" w:cs="Arial" w:eastAsia="Arial" w:hAnsi="Arial"/>
          <w:sz w:val="13"/>
          <w:szCs w:val="13"/>
          <w:u w:val="single" w:color="auto"/>
          <w:color w:val="auto"/>
        </w:rPr>
        <w:t>Change in Control Period</w:t>
      </w:r>
      <w:r>
        <w:rPr>
          <w:rFonts w:ascii="Arial" w:cs="Arial" w:eastAsia="Arial" w:hAnsi="Arial"/>
          <w:sz w:val="13"/>
          <w:szCs w:val="13"/>
          <w:color w:val="auto"/>
        </w:rPr>
        <w:t>” has the meaning set forth in the Participant’s Participation Agreement or, if no definition is set forth therein, means the time period beginning on the date of a Change in Control and ending on the date that is 12 months following a Change in Control.</w:t>
      </w:r>
    </w:p>
    <w:p>
      <w:pPr>
        <w:spacing w:after="0" w:line="89" w:lineRule="exact"/>
        <w:rPr>
          <w:sz w:val="20"/>
          <w:szCs w:val="20"/>
          <w:color w:val="auto"/>
        </w:rPr>
      </w:pPr>
    </w:p>
    <w:p>
      <w:pPr>
        <w:ind w:right="160" w:firstLine="866"/>
        <w:spacing w:after="0" w:line="256" w:lineRule="auto"/>
        <w:rPr>
          <w:sz w:val="20"/>
          <w:szCs w:val="20"/>
          <w:color w:val="auto"/>
        </w:rPr>
      </w:pPr>
      <w:r>
        <w:rPr>
          <w:rFonts w:ascii="Arial" w:cs="Arial" w:eastAsia="Arial" w:hAnsi="Arial"/>
          <w:sz w:val="16"/>
          <w:szCs w:val="16"/>
          <w:color w:val="auto"/>
        </w:rPr>
        <w:t>2.6 “</w:t>
      </w:r>
      <w:r>
        <w:rPr>
          <w:rFonts w:ascii="Arial" w:cs="Arial" w:eastAsia="Arial" w:hAnsi="Arial"/>
          <w:sz w:val="16"/>
          <w:szCs w:val="16"/>
          <w:u w:val="single" w:color="auto"/>
          <w:color w:val="auto"/>
        </w:rPr>
        <w:t>CIC Qualifying Termination</w:t>
      </w:r>
      <w:r>
        <w:rPr>
          <w:rFonts w:ascii="Arial" w:cs="Arial" w:eastAsia="Arial" w:hAnsi="Arial"/>
          <w:sz w:val="16"/>
          <w:szCs w:val="16"/>
          <w:color w:val="auto"/>
        </w:rPr>
        <w:t>” means a termination of a Participant’s employment with the Company (or any parent or subsidiary of the Company) within the Change in Control Period by (i) the Participant for Good Reason, or (ii) the Company (or any parent or subsidiary of the Company) without Cause (excluding by reason of the Participant’s death or Disability).</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193" w:lineRule="exact"/>
        <w:rPr>
          <w:sz w:val="20"/>
          <w:szCs w:val="20"/>
          <w:color w:val="auto"/>
        </w:rPr>
      </w:pPr>
    </w:p>
    <w:p>
      <w:pPr>
        <w:ind w:firstLine="866"/>
        <w:spacing w:after="0" w:line="266"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Company</w:t>
      </w:r>
      <w:r>
        <w:rPr>
          <w:rFonts w:ascii="Arial" w:cs="Arial" w:eastAsia="Arial" w:hAnsi="Arial"/>
          <w:sz w:val="16"/>
          <w:szCs w:val="16"/>
          <w:color w:val="auto"/>
        </w:rPr>
        <w:t>” means Tenaya Therapeutics, Inc., a Delaware corporation, and any successor that assumes the obligations of the Company under the Plan, by way of merger, acquisition, consolidation or other transaction.</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means the Compensation Committee of the Board.</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193" w:lineRule="exact"/>
        <w:rPr>
          <w:sz w:val="20"/>
          <w:szCs w:val="20"/>
          <w:color w:val="auto"/>
        </w:rPr>
      </w:pPr>
    </w:p>
    <w:p>
      <w:pPr>
        <w:ind w:right="120" w:firstLine="866"/>
        <w:spacing w:after="0" w:line="256"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Disability</w:t>
      </w:r>
      <w:r>
        <w:rPr>
          <w:rFonts w:ascii="Arial" w:cs="Arial" w:eastAsia="Arial" w:hAnsi="Arial"/>
          <w:sz w:val="16"/>
          <w:szCs w:val="16"/>
          <w:color w:val="auto"/>
        </w:rPr>
        <w:t>” means “Disability” as defined in the Company’s long-term disability plan or policy then in effect with respect to that Participant, as such plan or policy may be in effect from time to time, and, if there is no such plan or policy, a total and permanent disability as defined in Code Section 22(e)(3).</w:t>
      </w:r>
    </w:p>
    <w:p>
      <w:pPr>
        <w:spacing w:after="0" w:line="166" w:lineRule="exact"/>
        <w:rPr>
          <w:sz w:val="20"/>
          <w:szCs w:val="20"/>
          <w:color w:val="auto"/>
        </w:rPr>
      </w:pPr>
    </w:p>
    <w:p>
      <w:pPr>
        <w:ind w:right="240" w:firstLine="866"/>
        <w:spacing w:after="0" w:line="266"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Equity Awards</w:t>
      </w:r>
      <w:r>
        <w:rPr>
          <w:rFonts w:ascii="Arial" w:cs="Arial" w:eastAsia="Arial" w:hAnsi="Arial"/>
          <w:sz w:val="16"/>
          <w:szCs w:val="16"/>
          <w:color w:val="auto"/>
        </w:rPr>
        <w:t>” means a Participant’s outstanding stock options, stock appreciation rights, restricted stock, restricted stock units, performance shares, performance stock units and any other Company equity compensation awards.</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w:t>
      </w:r>
    </w:p>
    <w:p>
      <w:pPr>
        <w:spacing w:after="0" w:line="13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580"/>
          </w:cols>
          <w:pgMar w:left="1140" w:top="256" w:right="1179" w:bottom="1440" w:gutter="0" w:footer="0" w:header="0"/>
        </w:sectPr>
      </w:pPr>
    </w:p>
    <w:bookmarkStart w:id="734" w:name="page735"/>
    <w:bookmarkEnd w:id="734"/>
    <w:p>
      <w:pPr>
        <w:ind w:right="40" w:firstLine="866"/>
        <w:spacing w:after="0" w:line="31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2.14 “</w:t>
      </w:r>
      <w:r>
        <w:rPr>
          <w:rFonts w:ascii="Arial" w:cs="Arial" w:eastAsia="Arial" w:hAnsi="Arial"/>
          <w:sz w:val="13"/>
          <w:szCs w:val="13"/>
          <w:u w:val="single" w:color="auto"/>
          <w:color w:val="auto"/>
        </w:rPr>
        <w:t>Good Reason</w:t>
      </w:r>
      <w:r>
        <w:rPr>
          <w:rFonts w:ascii="Arial" w:cs="Arial" w:eastAsia="Arial" w:hAnsi="Arial"/>
          <w:sz w:val="13"/>
          <w:szCs w:val="13"/>
          <w:color w:val="auto"/>
        </w:rPr>
        <w:t>” has the meaning set forth in the Participant’s Participation Agreement or, if no definition is set forth therein, means Participant’s resignation within thirty (30) days following the expiration of any Company cure period (discussed below) following the occurrence of one or more of the following, without Participant’s consent: (i) a reduction of at least 10% of Participant’s gross base salary (unless pursuant to a salary reduction program applicable generally to the Company’s executive officers); (ii) a material reduction in Participant’s job duties or responsibilities, unless Participant are provided with a comparable position; provided, however, that a reduction in duties or responsibilities solely by virtue of the Company being acquired and made part of a larger entity whether as a subsidiary, business unit or otherwise (as, for example, when the Chief Executive Officer of the Company remains as such following an acquisition where the Company becomes a wholly owned subsidiary of the acquirer, but is not made the Chief Executive Officer of the acquiring corporation) will not constitute “Good Reason”; or (iii) a material change in the geographic location of Participant’s primary work facility or location; provided, that a relocation of fifty (50) miles or less from Participant’s then present location or to Participant’s home as Participant’s primary work location will not be considered a material change in geographic location. In order for an event to qualify as Good Reason, Participant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such grounds must not have been cured during such time.</w:t>
      </w:r>
    </w:p>
    <w:p>
      <w:pPr>
        <w:spacing w:after="0" w:line="324" w:lineRule="exact"/>
        <w:rPr>
          <w:sz w:val="20"/>
          <w:szCs w:val="20"/>
          <w:color w:val="auto"/>
        </w:rPr>
      </w:pPr>
    </w:p>
    <w:p>
      <w:pPr>
        <w:ind w:firstLine="866"/>
        <w:spacing w:after="0" w:line="343" w:lineRule="auto"/>
        <w:rPr>
          <w:sz w:val="20"/>
          <w:szCs w:val="20"/>
          <w:color w:val="auto"/>
        </w:rPr>
      </w:pPr>
      <w:r>
        <w:rPr>
          <w:rFonts w:ascii="Arial" w:cs="Arial" w:eastAsia="Arial" w:hAnsi="Arial"/>
          <w:sz w:val="13"/>
          <w:szCs w:val="13"/>
          <w:color w:val="auto"/>
        </w:rPr>
        <w:t>2.15 “</w:t>
      </w:r>
      <w:r>
        <w:rPr>
          <w:rFonts w:ascii="Arial" w:cs="Arial" w:eastAsia="Arial" w:hAnsi="Arial"/>
          <w:sz w:val="13"/>
          <w:szCs w:val="13"/>
          <w:u w:val="single" w:color="auto"/>
          <w:color w:val="auto"/>
        </w:rPr>
        <w:t>Non-CIC Qualifying Termination</w:t>
      </w:r>
      <w:r>
        <w:rPr>
          <w:rFonts w:ascii="Arial" w:cs="Arial" w:eastAsia="Arial" w:hAnsi="Arial"/>
          <w:sz w:val="13"/>
          <w:szCs w:val="13"/>
          <w:color w:val="auto"/>
        </w:rPr>
        <w:t>” means, except as otherwise set forth in the Participant’s Participation Agreement, a termination of a Participant’s employment with the Company (or any parent or subsidiary of the Company) other than within the Change in Control Period by the Company (or any parent or subsidiary of the Company) without Cause (excluding by reason of the Participant’s death or Disability).</w:t>
      </w:r>
    </w:p>
    <w:p>
      <w:pPr>
        <w:spacing w:after="0" w:line="114" w:lineRule="exact"/>
        <w:rPr>
          <w:sz w:val="20"/>
          <w:szCs w:val="20"/>
          <w:color w:val="auto"/>
        </w:rPr>
      </w:pPr>
    </w:p>
    <w:p>
      <w:pPr>
        <w:ind w:right="100" w:firstLine="866"/>
        <w:spacing w:after="0" w:line="256"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employee of the Company or of any subsidiary of the Company who (a) has been designated by the Administrator to participate in the Plan either by position or by name and (b) has timely and properly executed and delivered a Participation Agreement to the Company.</w:t>
      </w:r>
    </w:p>
    <w:p>
      <w:pPr>
        <w:spacing w:after="0" w:line="166" w:lineRule="exact"/>
        <w:rPr>
          <w:sz w:val="20"/>
          <w:szCs w:val="20"/>
          <w:color w:val="auto"/>
        </w:rPr>
      </w:pPr>
    </w:p>
    <w:p>
      <w:pPr>
        <w:ind w:right="260" w:firstLine="866"/>
        <w:spacing w:after="0" w:line="266"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Participation Agreement</w:t>
      </w:r>
      <w:r>
        <w:rPr>
          <w:rFonts w:ascii="Arial" w:cs="Arial" w:eastAsia="Arial" w:hAnsi="Arial"/>
          <w:sz w:val="16"/>
          <w:szCs w:val="16"/>
          <w:color w:val="auto"/>
        </w:rPr>
        <w:t xml:space="preserve">” means the individual agreement (as will be provided in separate cover as </w:t>
      </w:r>
      <w:r>
        <w:rPr>
          <w:rFonts w:ascii="Arial" w:cs="Arial" w:eastAsia="Arial" w:hAnsi="Arial"/>
          <w:sz w:val="16"/>
          <w:szCs w:val="16"/>
          <w:u w:val="single" w:color="auto"/>
          <w:color w:val="auto"/>
        </w:rPr>
        <w:t>Appendix A</w:t>
      </w:r>
      <w:r>
        <w:rPr>
          <w:rFonts w:ascii="Arial" w:cs="Arial" w:eastAsia="Arial" w:hAnsi="Arial"/>
          <w:sz w:val="16"/>
          <w:szCs w:val="16"/>
          <w:color w:val="auto"/>
        </w:rPr>
        <w:t>) provided by the Administrator to a Participant under the Plan, which has been signed and accepted by the Participant.</w:t>
      </w:r>
    </w:p>
    <w:p>
      <w:pPr>
        <w:spacing w:after="0" w:line="158" w:lineRule="exact"/>
        <w:rPr>
          <w:sz w:val="20"/>
          <w:szCs w:val="20"/>
          <w:color w:val="auto"/>
        </w:rPr>
      </w:pPr>
    </w:p>
    <w:p>
      <w:pPr>
        <w:ind w:right="220" w:firstLine="866"/>
        <w:spacing w:after="0" w:line="266"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Plan</w:t>
      </w:r>
      <w:r>
        <w:rPr>
          <w:rFonts w:ascii="Arial" w:cs="Arial" w:eastAsia="Arial" w:hAnsi="Arial"/>
          <w:sz w:val="16"/>
          <w:szCs w:val="16"/>
          <w:color w:val="auto"/>
        </w:rPr>
        <w:t>” means the Tenaya Therapeutics, Inc. Executive Change in Control and Severance Plan, as set forth in this document, and as hereafter amended from time to time.</w:t>
      </w:r>
    </w:p>
    <w:p>
      <w:pPr>
        <w:spacing w:after="0" w:line="158" w:lineRule="exact"/>
        <w:rPr>
          <w:sz w:val="20"/>
          <w:szCs w:val="20"/>
          <w:color w:val="auto"/>
        </w:rPr>
      </w:pPr>
    </w:p>
    <w:p>
      <w:pPr>
        <w:ind w:right="140" w:firstLine="866"/>
        <w:spacing w:after="0" w:line="272" w:lineRule="auto"/>
        <w:rPr>
          <w:sz w:val="20"/>
          <w:szCs w:val="20"/>
          <w:color w:val="auto"/>
        </w:rPr>
      </w:pPr>
      <w:r>
        <w:rPr>
          <w:rFonts w:ascii="Arial" w:cs="Arial" w:eastAsia="Arial" w:hAnsi="Arial"/>
          <w:sz w:val="15"/>
          <w:szCs w:val="15"/>
          <w:color w:val="auto"/>
        </w:rPr>
        <w:t>2.19 “</w:t>
      </w:r>
      <w:r>
        <w:rPr>
          <w:rFonts w:ascii="Arial" w:cs="Arial" w:eastAsia="Arial" w:hAnsi="Arial"/>
          <w:sz w:val="15"/>
          <w:szCs w:val="15"/>
          <w:u w:val="single" w:color="auto"/>
          <w:color w:val="auto"/>
        </w:rPr>
        <w:t>Section 409A Limit</w:t>
      </w:r>
      <w:r>
        <w:rPr>
          <w:rFonts w:ascii="Arial" w:cs="Arial" w:eastAsia="Arial" w:hAnsi="Arial"/>
          <w:sz w:val="15"/>
          <w:szCs w:val="15"/>
          <w:color w:val="auto"/>
        </w:rPr>
        <w:t>” means 200% of the lesser of: (i) the Participant’s annualized compensation based upon the annual rate of pay paid to the Participant during the Participant’s taxable year preceding the Participant’s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Participant’s employment is terminated.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20"/>
          </w:cols>
          <w:pgMar w:left="1140" w:top="256" w:right="1139" w:bottom="1440" w:gutter="0" w:footer="0" w:header="0"/>
        </w:sectPr>
      </w:pPr>
    </w:p>
    <w:bookmarkStart w:id="735" w:name="page736"/>
    <w:bookmarkEnd w:id="735"/>
    <w:p>
      <w:pPr>
        <w:ind w:left="866"/>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2.20 “</w:t>
      </w:r>
      <w:r>
        <w:rPr>
          <w:rFonts w:ascii="Arial" w:cs="Arial" w:eastAsia="Arial" w:hAnsi="Arial"/>
          <w:sz w:val="13"/>
          <w:szCs w:val="13"/>
          <w:u w:val="single" w:color="auto"/>
          <w:color w:val="auto"/>
        </w:rPr>
        <w:t>Severance Benefits</w:t>
      </w:r>
      <w:r>
        <w:rPr>
          <w:rFonts w:ascii="Arial" w:cs="Arial" w:eastAsia="Arial" w:hAnsi="Arial"/>
          <w:sz w:val="13"/>
          <w:szCs w:val="13"/>
          <w:color w:val="auto"/>
        </w:rPr>
        <w:t>” means the compensation and other benefits that the Participant will be provided in the circumstances described</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Section 4.</w:t>
      </w:r>
    </w:p>
    <w:p>
      <w:pPr>
        <w:spacing w:after="0" w:line="182" w:lineRule="exact"/>
        <w:rPr>
          <w:sz w:val="20"/>
          <w:szCs w:val="20"/>
          <w:color w:val="auto"/>
        </w:rPr>
      </w:pPr>
    </w:p>
    <w:p>
      <w:pPr>
        <w:ind w:left="866"/>
        <w:spacing w:after="0"/>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CIC Qualifying Termination or a Non-CIC Qualifying Termination, as applicable.</w:t>
      </w:r>
    </w:p>
    <w:p>
      <w:pPr>
        <w:spacing w:after="0" w:line="193" w:lineRule="exact"/>
        <w:rPr>
          <w:sz w:val="20"/>
          <w:szCs w:val="20"/>
          <w:color w:val="auto"/>
        </w:rPr>
      </w:pPr>
    </w:p>
    <w:p>
      <w:pPr>
        <w:ind w:left="6" w:right="300" w:firstLine="378"/>
        <w:spacing w:after="0" w:line="266" w:lineRule="auto"/>
        <w:tabs>
          <w:tab w:leader="none" w:pos="548" w:val="left"/>
        </w:tabs>
        <w:numPr>
          <w:ilvl w:val="0"/>
          <w:numId w:val="560"/>
        </w:numPr>
        <w:rPr>
          <w:rFonts w:ascii="Arial" w:cs="Arial" w:eastAsia="Arial" w:hAnsi="Arial"/>
          <w:sz w:val="16"/>
          <w:szCs w:val="16"/>
          <w:color w:val="auto"/>
        </w:rPr>
      </w:pPr>
      <w:r>
        <w:rPr>
          <w:rFonts w:ascii="Arial" w:cs="Arial" w:eastAsia="Arial" w:hAnsi="Arial"/>
          <w:sz w:val="16"/>
          <w:szCs w:val="16"/>
          <w:u w:val="single" w:color="auto"/>
          <w:color w:val="auto"/>
        </w:rPr>
        <w:t>Eligibility for Severance Benefits</w:t>
      </w:r>
      <w:r>
        <w:rPr>
          <w:rFonts w:ascii="Arial" w:cs="Arial" w:eastAsia="Arial" w:hAnsi="Arial"/>
          <w:sz w:val="16"/>
          <w:szCs w:val="16"/>
          <w:color w:val="auto"/>
        </w:rPr>
        <w:t>. A Participant is eligible for Severance Benefits, as described in Section 4, only if he or she experiences a Qualifying Termination.</w:t>
      </w:r>
    </w:p>
    <w:p>
      <w:pPr>
        <w:spacing w:after="0" w:line="158" w:lineRule="exact"/>
        <w:rPr>
          <w:rFonts w:ascii="Arial" w:cs="Arial" w:eastAsia="Arial" w:hAnsi="Arial"/>
          <w:sz w:val="16"/>
          <w:szCs w:val="16"/>
          <w:color w:val="auto"/>
        </w:rPr>
      </w:pPr>
    </w:p>
    <w:p>
      <w:pPr>
        <w:ind w:left="6" w:firstLine="378"/>
        <w:spacing w:after="0" w:line="256" w:lineRule="auto"/>
        <w:tabs>
          <w:tab w:leader="none" w:pos="548" w:val="left"/>
        </w:tabs>
        <w:numPr>
          <w:ilvl w:val="0"/>
          <w:numId w:val="560"/>
        </w:numPr>
        <w:rPr>
          <w:rFonts w:ascii="Arial" w:cs="Arial" w:eastAsia="Arial" w:hAnsi="Arial"/>
          <w:sz w:val="16"/>
          <w:szCs w:val="16"/>
          <w:color w:val="auto"/>
        </w:rPr>
      </w:pPr>
      <w:r>
        <w:rPr>
          <w:rFonts w:ascii="Arial" w:cs="Arial" w:eastAsia="Arial" w:hAnsi="Arial"/>
          <w:sz w:val="16"/>
          <w:szCs w:val="16"/>
          <w:u w:val="single" w:color="auto"/>
          <w:color w:val="auto"/>
        </w:rPr>
        <w:t>Qualifying Termination</w:t>
      </w:r>
      <w:r>
        <w:rPr>
          <w:rFonts w:ascii="Arial" w:cs="Arial" w:eastAsia="Arial" w:hAnsi="Arial"/>
          <w:sz w:val="16"/>
          <w:szCs w:val="16"/>
          <w:color w:val="auto"/>
        </w:rPr>
        <w:t>. Upon a Qualifying Termination, then, subject to the Participant’s compliance with Section 6, the Participant will be eligible to receive the following Severance Benefits as described in Participant’s Participation Agreement, subject to the terms and conditions of the Plan and the Participant’s Participation Agreement:</w:t>
      </w:r>
    </w:p>
    <w:p>
      <w:pPr>
        <w:spacing w:after="0" w:line="166" w:lineRule="exact"/>
        <w:rPr>
          <w:sz w:val="20"/>
          <w:szCs w:val="20"/>
          <w:color w:val="auto"/>
        </w:rPr>
      </w:pPr>
    </w:p>
    <w:p>
      <w:pPr>
        <w:ind w:left="6" w:right="320" w:firstLine="866"/>
        <w:spacing w:after="0" w:line="26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Cash Severance Benefits</w:t>
      </w:r>
      <w:r>
        <w:rPr>
          <w:rFonts w:ascii="Arial" w:cs="Arial" w:eastAsia="Arial" w:hAnsi="Arial"/>
          <w:sz w:val="16"/>
          <w:szCs w:val="16"/>
          <w:color w:val="auto"/>
        </w:rPr>
        <w:t>. Cash severance equal to the amount set forth in the Participant’s Participation Agreement and payable in cash at the time(s) specified the Participant’s Participation Agreement.</w:t>
      </w:r>
    </w:p>
    <w:p>
      <w:pPr>
        <w:spacing w:after="0" w:line="158" w:lineRule="exact"/>
        <w:rPr>
          <w:sz w:val="20"/>
          <w:szCs w:val="20"/>
          <w:color w:val="auto"/>
        </w:rPr>
      </w:pPr>
    </w:p>
    <w:p>
      <w:pPr>
        <w:ind w:left="6" w:right="40" w:firstLine="866"/>
        <w:spacing w:after="0" w:line="265"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Continued Medical Benefits</w:t>
      </w:r>
      <w:r>
        <w:rPr>
          <w:rFonts w:ascii="Arial" w:cs="Arial" w:eastAsia="Arial" w:hAnsi="Arial"/>
          <w:sz w:val="15"/>
          <w:szCs w:val="15"/>
          <w:color w:val="auto"/>
        </w:rPr>
        <w:t>. If the Participant, and any spouse and/or dependents of the Participant (“</w:t>
      </w:r>
      <w:r>
        <w:rPr>
          <w:rFonts w:ascii="Arial" w:cs="Arial" w:eastAsia="Arial" w:hAnsi="Arial"/>
          <w:sz w:val="15"/>
          <w:szCs w:val="15"/>
          <w:u w:val="single" w:color="auto"/>
          <w:color w:val="auto"/>
        </w:rPr>
        <w:t>Family Members</w:t>
      </w:r>
      <w:r>
        <w:rPr>
          <w:rFonts w:ascii="Arial" w:cs="Arial" w:eastAsia="Arial" w:hAnsi="Arial"/>
          <w:sz w:val="15"/>
          <w:szCs w:val="15"/>
          <w:color w:val="auto"/>
        </w:rPr>
        <w:t>”) has or have coverage on the date of the Participant’s Qualifying Termination under a group health plan sponsored by the Company, the Company will reimburse the Participant the total applicable premium cost for continued group health plan coverage under the Consolidated Omnibus Budget Reconciliation Act of 1985, as amended (“</w:t>
      </w:r>
      <w:r>
        <w:rPr>
          <w:rFonts w:ascii="Arial" w:cs="Arial" w:eastAsia="Arial" w:hAnsi="Arial"/>
          <w:sz w:val="15"/>
          <w:szCs w:val="15"/>
          <w:u w:val="single" w:color="auto"/>
          <w:color w:val="auto"/>
        </w:rPr>
        <w:t>COBRA</w:t>
      </w:r>
      <w:r>
        <w:rPr>
          <w:rFonts w:ascii="Arial" w:cs="Arial" w:eastAsia="Arial" w:hAnsi="Arial"/>
          <w:sz w:val="15"/>
          <w:szCs w:val="15"/>
          <w:color w:val="auto"/>
        </w:rPr>
        <w:t>”) during the period of time following the Participant’s employment termination, as set forth in the Participant’s Participation Agreement, provided that the Participant validly elects and is eligible to continue coverage under COBRA for the Participant and his Family Members. However, if the Company determines in its sole discretion that it cannot provide the COBRA reimbursement benefits without potentially violating applicable laws (including, without limitation, Section 2716 of the Public Health Service Act and the Employee Retirement Income Security Act of 1974, as amended), the Company will in lieu thereof provide to the Participant a lump sum payment equal to the monthly COBRA premium (on an after-tax basis) that the Participant would be required to pay to continue the group health coverage in effect on the date of the Participant’s termination of employment (which amount will be based on the premium for the first month of COBRA coverage), multiplied by the number of months in the period of time set forth in the Participant’s Participation Agreement following the termination, which payments will be made regardless of whether the Participant elects COBRA continuation coverage.</w:t>
      </w:r>
    </w:p>
    <w:p>
      <w:pPr>
        <w:spacing w:after="0" w:line="167" w:lineRule="exact"/>
        <w:rPr>
          <w:sz w:val="20"/>
          <w:szCs w:val="20"/>
          <w:color w:val="auto"/>
        </w:rPr>
      </w:pPr>
    </w:p>
    <w:p>
      <w:pPr>
        <w:ind w:left="6" w:right="300" w:firstLine="866"/>
        <w:spacing w:after="0" w:line="26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Equity Award Vesting Acceleration Benefit</w:t>
      </w:r>
      <w:r>
        <w:rPr>
          <w:rFonts w:ascii="Arial" w:cs="Arial" w:eastAsia="Arial" w:hAnsi="Arial"/>
          <w:sz w:val="16"/>
          <w:szCs w:val="16"/>
          <w:color w:val="auto"/>
        </w:rPr>
        <w:t>. Only to the extent specifically provided in the Participant’s Participation Agreement, a portion of Participant’s Equity Awards will vest and, to the extent applicable, become immediately exercisable.</w:t>
      </w:r>
    </w:p>
    <w:p>
      <w:pPr>
        <w:spacing w:after="0" w:line="158" w:lineRule="exact"/>
        <w:rPr>
          <w:sz w:val="20"/>
          <w:szCs w:val="20"/>
          <w:color w:val="auto"/>
        </w:rPr>
      </w:pPr>
    </w:p>
    <w:p>
      <w:pPr>
        <w:ind w:left="546" w:hanging="162"/>
        <w:spacing w:after="0"/>
        <w:tabs>
          <w:tab w:leader="none" w:pos="546" w:val="left"/>
        </w:tabs>
        <w:numPr>
          <w:ilvl w:val="1"/>
          <w:numId w:val="561"/>
        </w:numPr>
        <w:rPr>
          <w:rFonts w:ascii="Arial" w:cs="Arial" w:eastAsia="Arial" w:hAnsi="Arial"/>
          <w:sz w:val="15"/>
          <w:szCs w:val="15"/>
          <w:color w:val="auto"/>
        </w:rPr>
      </w:pPr>
      <w:r>
        <w:rPr>
          <w:rFonts w:ascii="Arial" w:cs="Arial" w:eastAsia="Arial" w:hAnsi="Arial"/>
          <w:sz w:val="15"/>
          <w:szCs w:val="15"/>
          <w:u w:val="single" w:color="auto"/>
          <w:color w:val="auto"/>
        </w:rPr>
        <w:t>Limitation on Payments</w:t>
      </w:r>
      <w:r>
        <w:rPr>
          <w:rFonts w:ascii="Arial" w:cs="Arial" w:eastAsia="Arial" w:hAnsi="Arial"/>
          <w:sz w:val="15"/>
          <w:szCs w:val="15"/>
          <w:color w:val="auto"/>
        </w:rPr>
        <w:t>. In the event that the severance and other benefits provided for in this Plan or otherwise payable to a Participant</w:t>
      </w:r>
    </w:p>
    <w:p>
      <w:pPr>
        <w:spacing w:after="0" w:line="27" w:lineRule="exact"/>
        <w:rPr>
          <w:rFonts w:ascii="Arial" w:cs="Arial" w:eastAsia="Arial" w:hAnsi="Arial"/>
          <w:sz w:val="15"/>
          <w:szCs w:val="15"/>
          <w:color w:val="auto"/>
        </w:rPr>
      </w:pPr>
    </w:p>
    <w:p>
      <w:pPr>
        <w:ind w:left="6" w:right="460" w:hanging="6"/>
        <w:spacing w:after="0" w:line="284" w:lineRule="auto"/>
        <w:tabs>
          <w:tab w:leader="none" w:pos="194" w:val="left"/>
        </w:tabs>
        <w:numPr>
          <w:ilvl w:val="0"/>
          <w:numId w:val="562"/>
        </w:numPr>
        <w:rPr>
          <w:rFonts w:ascii="Arial" w:cs="Arial" w:eastAsia="Arial" w:hAnsi="Arial"/>
          <w:sz w:val="15"/>
          <w:szCs w:val="15"/>
          <w:color w:val="auto"/>
        </w:rPr>
      </w:pPr>
      <w:r>
        <w:rPr>
          <w:rFonts w:ascii="Arial" w:cs="Arial" w:eastAsia="Arial" w:hAnsi="Arial"/>
          <w:sz w:val="15"/>
          <w:szCs w:val="15"/>
          <w:color w:val="auto"/>
        </w:rPr>
        <w:t>constitute “parachute payments” within the meaning of Section 280G of the Code (“</w:t>
      </w:r>
      <w:r>
        <w:rPr>
          <w:rFonts w:ascii="Arial" w:cs="Arial" w:eastAsia="Arial" w:hAnsi="Arial"/>
          <w:sz w:val="15"/>
          <w:szCs w:val="15"/>
          <w:u w:val="single" w:color="auto"/>
          <w:color w:val="auto"/>
        </w:rPr>
        <w:t>280G Payments</w:t>
      </w:r>
      <w:r>
        <w:rPr>
          <w:rFonts w:ascii="Arial" w:cs="Arial" w:eastAsia="Arial" w:hAnsi="Arial"/>
          <w:sz w:val="15"/>
          <w:szCs w:val="15"/>
          <w:color w:val="auto"/>
        </w:rPr>
        <w:t>”), and (ii) but for this Section 5, would be subject to the excise tax imposed by Section 4999 of the Code (the “</w:t>
      </w:r>
      <w:r>
        <w:rPr>
          <w:rFonts w:ascii="Arial" w:cs="Arial" w:eastAsia="Arial" w:hAnsi="Arial"/>
          <w:sz w:val="15"/>
          <w:szCs w:val="15"/>
          <w:u w:val="single" w:color="auto"/>
          <w:color w:val="auto"/>
        </w:rPr>
        <w:t>Excise Tax</w:t>
      </w:r>
      <w:r>
        <w:rPr>
          <w:rFonts w:ascii="Arial" w:cs="Arial" w:eastAsia="Arial" w:hAnsi="Arial"/>
          <w:sz w:val="15"/>
          <w:szCs w:val="15"/>
          <w:color w:val="auto"/>
        </w:rPr>
        <w:t>”), then the 280G Payments will be either:</w:t>
      </w:r>
    </w:p>
    <w:p>
      <w:pPr>
        <w:spacing w:after="0" w:line="146" w:lineRule="exact"/>
        <w:rPr>
          <w:rFonts w:ascii="Arial" w:cs="Arial" w:eastAsia="Arial" w:hAnsi="Arial"/>
          <w:sz w:val="15"/>
          <w:szCs w:val="15"/>
          <w:color w:val="auto"/>
        </w:rPr>
      </w:pPr>
    </w:p>
    <w:p>
      <w:pPr>
        <w:ind w:left="1086" w:hanging="220"/>
        <w:spacing w:after="0"/>
        <w:tabs>
          <w:tab w:leader="none" w:pos="1086" w:val="left"/>
        </w:tabs>
        <w:numPr>
          <w:ilvl w:val="2"/>
          <w:numId w:val="562"/>
        </w:numPr>
        <w:rPr>
          <w:rFonts w:ascii="Arial" w:cs="Arial" w:eastAsia="Arial" w:hAnsi="Arial"/>
          <w:sz w:val="16"/>
          <w:szCs w:val="16"/>
          <w:color w:val="auto"/>
        </w:rPr>
      </w:pPr>
      <w:r>
        <w:rPr>
          <w:rFonts w:ascii="Arial" w:cs="Arial" w:eastAsia="Arial" w:hAnsi="Arial"/>
          <w:sz w:val="16"/>
          <w:szCs w:val="16"/>
          <w:color w:val="auto"/>
        </w:rPr>
        <w:t>delivered in full, or</w:t>
      </w:r>
    </w:p>
    <w:p>
      <w:pPr>
        <w:spacing w:after="0" w:line="13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26"/>
          </w:cols>
          <w:pgMar w:left="1134" w:top="256" w:right="1139" w:bottom="1440" w:gutter="0" w:footer="0" w:header="0"/>
        </w:sectPr>
      </w:pPr>
    </w:p>
    <w:bookmarkStart w:id="736" w:name="page737"/>
    <w:bookmarkEnd w:id="736"/>
    <w:p>
      <w:pPr>
        <w:ind w:right="60" w:firstLine="860"/>
        <w:spacing w:after="0" w:line="311" w:lineRule="auto"/>
        <w:tabs>
          <w:tab w:leader="none" w:pos="1088" w:val="left"/>
        </w:tabs>
        <w:numPr>
          <w:ilvl w:val="0"/>
          <w:numId w:val="56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delivered as to such lesser extent which would result in no portion of such benefits being subject to the Excise Tax, whichever of the foregoing amounts, taking into account the applicable federal, state and local income taxes and the excise tax imposed by Section 4999, results in the receipt by Participant on an after-tax basis, of the greatest amount of benefits, notwithstanding that all or some portion of such benefits may be taxable under Section 4999 of the Code. If a reduction in the 280G Payments is necessary so that no portion of such benefits are subject to the Excise Tax, reduction will occur in the following order: (i) cancellation of awards granted “contingent on a change in ownership or control” (within the meaning of Code Section 280G); (ii) a pro rata reduction of (A) cash payments that are subject to Section 409A as deferred compensation and (B) cash payments not subject to Section 409A of the Code; (iii) a pro rata reduction of (A) employee benefits that are subject to Section 409A as deferred compensation and (B) employee benefits not subject to Section 409A; and (iv) a pro rata cancellation of (A) accelerated vesting equity awards that are subject to Section 409A as deferred compensation and (B) equity awards not subject to Section 409A. In the event that acceleration of vesting of equity awards is to be cancelled, such acceleration of vesting will be cancelled in the reverse order of the date of grant of a Participant’s equity awards.</w:t>
      </w:r>
    </w:p>
    <w:p>
      <w:pPr>
        <w:spacing w:after="0" w:line="138" w:lineRule="exact"/>
        <w:rPr>
          <w:sz w:val="20"/>
          <w:szCs w:val="20"/>
          <w:color w:val="auto"/>
        </w:rPr>
      </w:pPr>
    </w:p>
    <w:p>
      <w:pPr>
        <w:spacing w:after="0" w:line="316" w:lineRule="auto"/>
        <w:rPr>
          <w:sz w:val="20"/>
          <w:szCs w:val="20"/>
          <w:color w:val="auto"/>
        </w:rPr>
      </w:pPr>
      <w:r>
        <w:rPr>
          <w:rFonts w:ascii="Arial" w:cs="Arial" w:eastAsia="Arial" w:hAnsi="Arial"/>
          <w:sz w:val="13"/>
          <w:szCs w:val="13"/>
          <w:color w:val="auto"/>
        </w:rPr>
        <w:t>A nationally recognized professional services firm selected by the Company, the Company’s legal counsel or such other person or entity to which the parties mutually agree (the “</w:t>
      </w:r>
      <w:r>
        <w:rPr>
          <w:rFonts w:ascii="Arial" w:cs="Arial" w:eastAsia="Arial" w:hAnsi="Arial"/>
          <w:sz w:val="13"/>
          <w:szCs w:val="13"/>
          <w:u w:val="single" w:color="auto"/>
          <w:color w:val="auto"/>
        </w:rPr>
        <w:t>Firm”</w:t>
      </w:r>
      <w:r>
        <w:rPr>
          <w:rFonts w:ascii="Arial" w:cs="Arial" w:eastAsia="Arial" w:hAnsi="Arial"/>
          <w:sz w:val="13"/>
          <w:szCs w:val="13"/>
          <w:color w:val="auto"/>
        </w:rPr>
        <w:t>) will make any determination required under this Section 5. Such determinations will be made in writing by the Firm and any good faith determinations of the Firm will be conclusive and binding upon Participant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Participant and the Company will furnish to the Firm such information and documents as the Firm may reasonably request in order to make a determination under this Section 5. The Company will bear all costs the Firm may incur in connection with any calculations contemplated by this Section 5.</w:t>
      </w:r>
    </w:p>
    <w:p>
      <w:pPr>
        <w:spacing w:after="0" w:line="131" w:lineRule="exact"/>
        <w:rPr>
          <w:sz w:val="20"/>
          <w:szCs w:val="20"/>
          <w:color w:val="auto"/>
        </w:rPr>
      </w:pPr>
    </w:p>
    <w:p>
      <w:pPr>
        <w:ind w:left="540" w:hanging="162"/>
        <w:spacing w:after="0"/>
        <w:tabs>
          <w:tab w:leader="none" w:pos="540"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Conditions to Receipt of Severance</w:t>
      </w:r>
      <w:r>
        <w:rPr>
          <w:rFonts w:ascii="Arial" w:cs="Arial" w:eastAsia="Arial" w:hAnsi="Arial"/>
          <w:sz w:val="16"/>
          <w:szCs w:val="16"/>
          <w:color w:val="auto"/>
        </w:rPr>
        <w:t>.</w:t>
      </w:r>
    </w:p>
    <w:p>
      <w:pPr>
        <w:spacing w:after="0" w:line="193" w:lineRule="exact"/>
        <w:rPr>
          <w:sz w:val="20"/>
          <w:szCs w:val="20"/>
          <w:color w:val="auto"/>
        </w:rPr>
      </w:pPr>
    </w:p>
    <w:p>
      <w:pPr>
        <w:ind w:firstLine="866"/>
        <w:spacing w:after="0" w:line="272"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Release Agreement</w:t>
      </w:r>
      <w:r>
        <w:rPr>
          <w:rFonts w:ascii="Arial" w:cs="Arial" w:eastAsia="Arial" w:hAnsi="Arial"/>
          <w:sz w:val="15"/>
          <w:szCs w:val="15"/>
          <w:color w:val="auto"/>
        </w:rPr>
        <w:t>. As a condition to receiving the Severance Benefits, each Participant will be required to sign and not revoke a separation and release of claims agreement in a form reasonably satisfactory to the Company (the “</w:t>
      </w:r>
      <w:r>
        <w:rPr>
          <w:rFonts w:ascii="Arial" w:cs="Arial" w:eastAsia="Arial" w:hAnsi="Arial"/>
          <w:sz w:val="15"/>
          <w:szCs w:val="15"/>
          <w:u w:val="single" w:color="auto"/>
          <w:color w:val="auto"/>
        </w:rPr>
        <w:t>Release</w:t>
      </w:r>
      <w:r>
        <w:rPr>
          <w:rFonts w:ascii="Arial" w:cs="Arial" w:eastAsia="Arial" w:hAnsi="Arial"/>
          <w:sz w:val="15"/>
          <w:szCs w:val="15"/>
          <w:color w:val="auto"/>
        </w:rPr>
        <w:t>”). In all cases, the Release must become effective and irrevocable no later than the 60th day following the Participant’s Qualifying Termination (the “</w:t>
      </w:r>
      <w:r>
        <w:rPr>
          <w:rFonts w:ascii="Arial" w:cs="Arial" w:eastAsia="Arial" w:hAnsi="Arial"/>
          <w:sz w:val="15"/>
          <w:szCs w:val="15"/>
          <w:u w:val="single" w:color="auto"/>
          <w:color w:val="auto"/>
        </w:rPr>
        <w:t>Release Deadline Date</w:t>
      </w:r>
      <w:r>
        <w:rPr>
          <w:rFonts w:ascii="Arial" w:cs="Arial" w:eastAsia="Arial" w:hAnsi="Arial"/>
          <w:sz w:val="15"/>
          <w:szCs w:val="15"/>
          <w:color w:val="auto"/>
        </w:rPr>
        <w:t>”). If the Release does not become effective and irrevocable by the Release Deadline Date, the Participant will forfeit any right to the Severance Benefits. In no event will the Severance Benefits be paid or provided until the Release becomes effective and irrevocable.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560"/>
          </w:cols>
          <w:pgMar w:left="1140" w:top="257" w:right="1199" w:bottom="1440" w:gutter="0" w:footer="0" w:header="0"/>
        </w:sectPr>
      </w:pPr>
    </w:p>
    <w:bookmarkStart w:id="737" w:name="page738"/>
    <w:bookmarkEnd w:id="737"/>
    <w:p>
      <w:pPr>
        <w:ind w:firstLine="866"/>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6.2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 Participant’s receipt of Severance Benefits will be subject to the Participant continuing to comply with the terms of any confidentiality, proprietary information and inventions agreement between the Participant and the Company.</w:t>
      </w:r>
    </w:p>
    <w:p>
      <w:pPr>
        <w:spacing w:after="0" w:line="135" w:lineRule="exact"/>
        <w:rPr>
          <w:sz w:val="20"/>
          <w:szCs w:val="20"/>
          <w:color w:val="auto"/>
        </w:rPr>
      </w:pPr>
    </w:p>
    <w:p>
      <w:pPr>
        <w:ind w:right="240" w:firstLine="866"/>
        <w:spacing w:after="0" w:line="270"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Non-Disparagement</w:t>
      </w:r>
      <w:r>
        <w:rPr>
          <w:rFonts w:ascii="Arial" w:cs="Arial" w:eastAsia="Arial" w:hAnsi="Arial"/>
          <w:sz w:val="15"/>
          <w:szCs w:val="15"/>
          <w:color w:val="auto"/>
        </w:rPr>
        <w:t>. As a condition to receiving Severance Benefits under this Plan, the Participant agrees that following the Participant’s termination, the Participant will not knowingly and materially disparage, libel, slander, or otherwise make any materially derogatory statements regarding the Company or any of its officers or directors. Notwithstanding the foregoing, nothing contained in the Plan will be deemed to restrict the Participant from providing information to any governmental or regulatory agency or body (or in any way limit the content of any such information) to the extent the Participant is required to provide such information pursuant a subpoena or as otherwise required by applicable law or regulation, or in accordance with any governmental investigation or audit relating to the Company.</w:t>
      </w:r>
    </w:p>
    <w:p>
      <w:pPr>
        <w:spacing w:after="0" w:line="156" w:lineRule="exact"/>
        <w:rPr>
          <w:sz w:val="20"/>
          <w:szCs w:val="20"/>
          <w:color w:val="auto"/>
        </w:rPr>
      </w:pPr>
    </w:p>
    <w:p>
      <w:pPr>
        <w:ind w:right="100" w:firstLine="866"/>
        <w:spacing w:after="0" w:line="26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Other Requirements</w:t>
      </w:r>
      <w:r>
        <w:rPr>
          <w:rFonts w:ascii="Arial" w:cs="Arial" w:eastAsia="Arial" w:hAnsi="Arial"/>
          <w:sz w:val="16"/>
          <w:szCs w:val="16"/>
          <w:color w:val="auto"/>
        </w:rPr>
        <w:t>. Severance Benefits under this Plan shall terminate immediately for a Participant if such Participant, at any time, violates any such agreement and/or the provisions of this Section 6.</w:t>
      </w:r>
    </w:p>
    <w:p>
      <w:pPr>
        <w:spacing w:after="0" w:line="158" w:lineRule="exact"/>
        <w:rPr>
          <w:sz w:val="20"/>
          <w:szCs w:val="20"/>
          <w:color w:val="auto"/>
        </w:rPr>
      </w:pPr>
    </w:p>
    <w:p>
      <w:pPr>
        <w:ind w:right="20" w:firstLine="378"/>
        <w:spacing w:after="0" w:line="270" w:lineRule="auto"/>
        <w:tabs>
          <w:tab w:leader="none" w:pos="542" w:val="left"/>
        </w:tabs>
        <w:numPr>
          <w:ilvl w:val="0"/>
          <w:numId w:val="565"/>
        </w:numPr>
        <w:rPr>
          <w:rFonts w:ascii="Arial" w:cs="Arial" w:eastAsia="Arial" w:hAnsi="Arial"/>
          <w:sz w:val="15"/>
          <w:szCs w:val="15"/>
          <w:color w:val="auto"/>
        </w:rPr>
      </w:pPr>
      <w:r>
        <w:rPr>
          <w:rFonts w:ascii="Arial" w:cs="Arial" w:eastAsia="Arial" w:hAnsi="Arial"/>
          <w:sz w:val="15"/>
          <w:szCs w:val="15"/>
          <w:u w:val="single" w:color="auto"/>
          <w:color w:val="auto"/>
        </w:rPr>
        <w:t>Timing of Severance Benefits</w:t>
      </w:r>
      <w:r>
        <w:rPr>
          <w:rFonts w:ascii="Arial" w:cs="Arial" w:eastAsia="Arial" w:hAnsi="Arial"/>
          <w:sz w:val="15"/>
          <w:szCs w:val="15"/>
          <w:color w:val="auto"/>
        </w:rPr>
        <w:t>. Unless otherwise provided in a Participant’s Participation Agreement, provided that the Release becomes effective and irrevocable by the Release Deadline Date and subject to Section 9, the Severance Benefits will be paid, or in the case of installments, will commence, on the first Company payroll date following the Release Deadline Date (such payment date, the “</w:t>
      </w:r>
      <w:r>
        <w:rPr>
          <w:rFonts w:ascii="Arial" w:cs="Arial" w:eastAsia="Arial" w:hAnsi="Arial"/>
          <w:sz w:val="15"/>
          <w:szCs w:val="15"/>
          <w:u w:val="single" w:color="auto"/>
          <w:color w:val="auto"/>
        </w:rPr>
        <w:t>Severance Start Date</w:t>
      </w:r>
      <w:r>
        <w:rPr>
          <w:rFonts w:ascii="Arial" w:cs="Arial" w:eastAsia="Arial" w:hAnsi="Arial"/>
          <w:sz w:val="15"/>
          <w:szCs w:val="15"/>
          <w:color w:val="auto"/>
        </w:rPr>
        <w:t>”), and any Severance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 and the Participant’s Participation Agreement.</w:t>
      </w:r>
    </w:p>
    <w:p>
      <w:pPr>
        <w:spacing w:after="0" w:line="156" w:lineRule="exact"/>
        <w:rPr>
          <w:rFonts w:ascii="Arial" w:cs="Arial" w:eastAsia="Arial" w:hAnsi="Arial"/>
          <w:sz w:val="15"/>
          <w:szCs w:val="15"/>
          <w:color w:val="auto"/>
        </w:rPr>
      </w:pPr>
    </w:p>
    <w:p>
      <w:pPr>
        <w:ind w:right="540" w:firstLine="378"/>
        <w:spacing w:after="0" w:line="266" w:lineRule="auto"/>
        <w:tabs>
          <w:tab w:leader="none" w:pos="542"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Exclusive Benefit</w:t>
      </w:r>
      <w:r>
        <w:rPr>
          <w:rFonts w:ascii="Arial" w:cs="Arial" w:eastAsia="Arial" w:hAnsi="Arial"/>
          <w:sz w:val="16"/>
          <w:szCs w:val="16"/>
          <w:color w:val="auto"/>
        </w:rPr>
        <w:t xml:space="preserve">. Except as otherwise specifically provided in </w:t>
      </w:r>
      <w:r>
        <w:rPr>
          <w:rFonts w:ascii="Arial" w:cs="Arial" w:eastAsia="Arial" w:hAnsi="Arial"/>
          <w:sz w:val="16"/>
          <w:szCs w:val="16"/>
          <w:u w:val="single" w:color="auto"/>
          <w:color w:val="auto"/>
        </w:rPr>
        <w:t>Appendix A</w:t>
      </w:r>
      <w:r>
        <w:rPr>
          <w:rFonts w:ascii="Arial" w:cs="Arial" w:eastAsia="Arial" w:hAnsi="Arial"/>
          <w:sz w:val="16"/>
          <w:szCs w:val="16"/>
          <w:color w:val="auto"/>
        </w:rPr>
        <w:t>, the Severance Benefits shall be the exclusive benefit for a Participant related to termination of employment with the Company (or any parent or subsidiary).</w:t>
      </w:r>
    </w:p>
    <w:p>
      <w:pPr>
        <w:spacing w:after="0" w:line="158" w:lineRule="exact"/>
        <w:rPr>
          <w:rFonts w:ascii="Arial" w:cs="Arial" w:eastAsia="Arial" w:hAnsi="Arial"/>
          <w:sz w:val="16"/>
          <w:szCs w:val="16"/>
          <w:color w:val="auto"/>
        </w:rPr>
      </w:pPr>
    </w:p>
    <w:p>
      <w:pPr>
        <w:ind w:left="540" w:hanging="162"/>
        <w:spacing w:after="0"/>
        <w:tabs>
          <w:tab w:leader="none" w:pos="540"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193" w:lineRule="exact"/>
        <w:rPr>
          <w:sz w:val="20"/>
          <w:szCs w:val="20"/>
          <w:color w:val="auto"/>
        </w:rPr>
      </w:pPr>
    </w:p>
    <w:p>
      <w:pPr>
        <w:ind w:right="120" w:firstLine="866"/>
        <w:spacing w:after="0" w:line="311" w:lineRule="auto"/>
        <w:rPr>
          <w:sz w:val="20"/>
          <w:szCs w:val="20"/>
          <w:color w:val="auto"/>
        </w:rPr>
      </w:pPr>
      <w:r>
        <w:rPr>
          <w:rFonts w:ascii="Arial" w:cs="Arial" w:eastAsia="Arial" w:hAnsi="Arial"/>
          <w:sz w:val="13"/>
          <w:szCs w:val="13"/>
          <w:color w:val="auto"/>
        </w:rPr>
        <w:t>9.1 Notwithstanding anything to the contrary in this Plan, no Severance Benefits to be paid or provided to a Participant, if any, under this Plan that, when considered together with any other severance payments or separation benefits, are considered deferred compensation under</w:t>
      </w:r>
    </w:p>
    <w:p>
      <w:pPr>
        <w:spacing w:after="0" w:line="1" w:lineRule="exact"/>
        <w:rPr>
          <w:sz w:val="20"/>
          <w:szCs w:val="20"/>
          <w:color w:val="auto"/>
        </w:rPr>
      </w:pPr>
    </w:p>
    <w:p>
      <w:pPr>
        <w:ind w:right="220"/>
        <w:spacing w:after="0" w:line="269" w:lineRule="auto"/>
        <w:rPr>
          <w:sz w:val="20"/>
          <w:szCs w:val="20"/>
          <w:color w:val="auto"/>
        </w:rPr>
      </w:pPr>
      <w:r>
        <w:rPr>
          <w:rFonts w:ascii="Arial" w:cs="Arial" w:eastAsia="Arial" w:hAnsi="Arial"/>
          <w:sz w:val="15"/>
          <w:szCs w:val="15"/>
          <w:color w:val="auto"/>
        </w:rPr>
        <w:t>Section 409A of the Code, and the final regulations and any guidance promulgated thereunder (“</w:t>
      </w:r>
      <w:r>
        <w:rPr>
          <w:rFonts w:ascii="Arial" w:cs="Arial" w:eastAsia="Arial" w:hAnsi="Arial"/>
          <w:sz w:val="15"/>
          <w:szCs w:val="15"/>
          <w:u w:val="single" w:color="auto"/>
          <w:color w:val="auto"/>
        </w:rPr>
        <w:t>Section 409A</w:t>
      </w:r>
      <w:r>
        <w:rPr>
          <w:rFonts w:ascii="Arial" w:cs="Arial" w:eastAsia="Arial" w:hAnsi="Arial"/>
          <w:sz w:val="15"/>
          <w:szCs w:val="15"/>
          <w:color w:val="auto"/>
        </w:rPr>
        <w:t>”) (together, the “</w:t>
      </w:r>
      <w:r>
        <w:rPr>
          <w:rFonts w:ascii="Arial" w:cs="Arial" w:eastAsia="Arial" w:hAnsi="Arial"/>
          <w:sz w:val="15"/>
          <w:szCs w:val="15"/>
          <w:u w:val="single" w:color="auto"/>
          <w:color w:val="auto"/>
        </w:rPr>
        <w:t>Deferred Payments</w:t>
      </w:r>
      <w:r>
        <w:rPr>
          <w:rFonts w:ascii="Arial" w:cs="Arial" w:eastAsia="Arial" w:hAnsi="Arial"/>
          <w:sz w:val="15"/>
          <w:szCs w:val="15"/>
          <w:color w:val="auto"/>
        </w:rPr>
        <w:t>”) will be paid or provided until the Participant has a “separation from service” within the meaning of Section 409A. Similarly, no Severance Benefits payable to a Participant, if any, under this Plan that otherwise would be exempt from Section 409A pursuant to Treasury Regulation Section 1.409A-1(b)(9) will be payable until the Participant has a “separation from service” within the meaning of Section 409A.</w:t>
      </w:r>
    </w:p>
    <w:p>
      <w:pPr>
        <w:spacing w:after="0" w:line="100"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580"/>
          </w:cols>
          <w:pgMar w:left="1140" w:top="257" w:right="1179" w:bottom="1440" w:gutter="0" w:footer="0" w:header="0"/>
        </w:sectPr>
      </w:pPr>
    </w:p>
    <w:bookmarkStart w:id="738" w:name="page739"/>
    <w:bookmarkEnd w:id="738"/>
    <w:p>
      <w:pPr>
        <w:ind w:right="120" w:firstLine="866"/>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9.2 It is intended that none of the Severance Benefits will constitute Deferred Payments but rather will be exempt from Section 409A as a payment that would fall within the “short-term deferral period” as described in Section 9(c) below or resulting from an involuntary separation from service as described in Section 9(d) below. In no event will a Participant have discretion to determine the taxable year of payment of any Deferred Payment.</w:t>
      </w:r>
    </w:p>
    <w:p>
      <w:pPr>
        <w:spacing w:after="0" w:line="167" w:lineRule="exact"/>
        <w:rPr>
          <w:sz w:val="20"/>
          <w:szCs w:val="20"/>
          <w:color w:val="auto"/>
        </w:rPr>
      </w:pPr>
    </w:p>
    <w:p>
      <w:pPr>
        <w:ind w:firstLine="866"/>
        <w:spacing w:after="0" w:line="267" w:lineRule="auto"/>
        <w:rPr>
          <w:sz w:val="20"/>
          <w:szCs w:val="20"/>
          <w:color w:val="auto"/>
        </w:rPr>
      </w:pPr>
      <w:r>
        <w:rPr>
          <w:rFonts w:ascii="Arial" w:cs="Arial" w:eastAsia="Arial" w:hAnsi="Arial"/>
          <w:sz w:val="15"/>
          <w:szCs w:val="15"/>
          <w:color w:val="auto"/>
        </w:rPr>
        <w:t>9.3 Notwithstanding anything to the contrary in this Plan, if a Participant is a “specified employee” within the meaning of Section 409A at the time of the Participant’s separation from service (other than due to death), then the Deferred Payments, if any, that are payable within the first 6 months following the Participant’s separation from service, will become payable on the date 6 months and 1 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6 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spacing w:after="0" w:line="159" w:lineRule="exact"/>
        <w:rPr>
          <w:sz w:val="20"/>
          <w:szCs w:val="20"/>
          <w:color w:val="auto"/>
        </w:rPr>
      </w:pPr>
    </w:p>
    <w:p>
      <w:pPr>
        <w:ind w:right="80" w:firstLine="866"/>
        <w:spacing w:after="0" w:line="266" w:lineRule="auto"/>
        <w:rPr>
          <w:sz w:val="20"/>
          <w:szCs w:val="20"/>
          <w:color w:val="auto"/>
        </w:rPr>
      </w:pPr>
      <w:r>
        <w:rPr>
          <w:rFonts w:ascii="Arial" w:cs="Arial" w:eastAsia="Arial" w:hAnsi="Arial"/>
          <w:sz w:val="16"/>
          <w:szCs w:val="16"/>
          <w:color w:val="auto"/>
        </w:rPr>
        <w:t>9.4 Any amount paid under this Plan that satisfies the requirements of the “short-term deferral” rule set forth in Section 1.409A-1(b)(4) of the Treasury Regulations will not constitute Deferred Payments for purposes of this Section 9.</w:t>
      </w:r>
    </w:p>
    <w:p>
      <w:pPr>
        <w:spacing w:after="0" w:line="158" w:lineRule="exact"/>
        <w:rPr>
          <w:sz w:val="20"/>
          <w:szCs w:val="20"/>
          <w:color w:val="auto"/>
        </w:rPr>
      </w:pPr>
    </w:p>
    <w:p>
      <w:pPr>
        <w:ind w:right="60" w:firstLine="866"/>
        <w:spacing w:after="0" w:line="256" w:lineRule="auto"/>
        <w:rPr>
          <w:sz w:val="20"/>
          <w:szCs w:val="20"/>
          <w:color w:val="auto"/>
        </w:rPr>
      </w:pPr>
      <w:r>
        <w:rPr>
          <w:rFonts w:ascii="Arial" w:cs="Arial" w:eastAsia="Arial" w:hAnsi="Arial"/>
          <w:sz w:val="16"/>
          <w:szCs w:val="16"/>
          <w:color w:val="auto"/>
        </w:rPr>
        <w:t>9.5 Any amount paid under this Plan that qualifies as a payment made as a result of an involuntary separation from service pursuant to Section 1.409A-1(b)(9)(iii) of the Treasury Regulations that does not exceed the Section 409A Limit will not constitute Deferred Payments for purposes of this Section 9.</w:t>
      </w:r>
    </w:p>
    <w:p>
      <w:pPr>
        <w:spacing w:after="0" w:line="166" w:lineRule="exact"/>
        <w:rPr>
          <w:sz w:val="20"/>
          <w:szCs w:val="20"/>
          <w:color w:val="auto"/>
        </w:rPr>
      </w:pPr>
    </w:p>
    <w:p>
      <w:pPr>
        <w:ind w:right="100" w:firstLine="866"/>
        <w:spacing w:after="0" w:line="319" w:lineRule="auto"/>
        <w:rPr>
          <w:sz w:val="20"/>
          <w:szCs w:val="20"/>
          <w:color w:val="auto"/>
        </w:rPr>
      </w:pPr>
      <w:r>
        <w:rPr>
          <w:rFonts w:ascii="Arial" w:cs="Arial" w:eastAsia="Arial" w:hAnsi="Arial"/>
          <w:sz w:val="13"/>
          <w:szCs w:val="13"/>
          <w:color w:val="auto"/>
        </w:rPr>
        <w:t>9.6 The foregoing provisions are intended to comply with or be exempt from the requirements of Section 409A so that none of the Severance Benefits will be subject to the additional tax imposed under Section 409A, and any ambiguities herein will be interpreted to so comply or be exempt. Notwithstanding anything to the contrary in the Plan, including but not limited to Sections 11 and 13, the Company reserves the right to amend the Plan as it deems necessary or advisable, in its sole discretion and without the consent of the Participants, to comply with Section 409A or to avoid income recognition under Section 409A prior to the actual payment of Severance Benefits or imposition of any additional tax. In no event will the Company reimburse a Participant for any taxes or other costs that may be imposed on the Participant as result of Section 409A.</w:t>
      </w:r>
    </w:p>
    <w:p>
      <w:pPr>
        <w:spacing w:after="0" w:line="128" w:lineRule="exact"/>
        <w:rPr>
          <w:sz w:val="20"/>
          <w:szCs w:val="20"/>
          <w:color w:val="auto"/>
        </w:rPr>
      </w:pPr>
    </w:p>
    <w:p>
      <w:pPr>
        <w:ind w:right="60" w:firstLine="378"/>
        <w:spacing w:after="0" w:line="266" w:lineRule="auto"/>
        <w:tabs>
          <w:tab w:leader="none" w:pos="620"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Withholdings</w:t>
      </w:r>
      <w:r>
        <w:rPr>
          <w:rFonts w:ascii="Arial" w:cs="Arial" w:eastAsia="Arial" w:hAnsi="Arial"/>
          <w:sz w:val="16"/>
          <w:szCs w:val="16"/>
          <w:color w:val="auto"/>
        </w:rPr>
        <w:t>. The Company will withhold from any Severance Benefits all applicable U.S. federal, state, local and non-U.S. taxes required to be withheld and any other required payroll deductions.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20"/>
          </w:cols>
          <w:pgMar w:left="1140" w:top="256" w:right="1139" w:bottom="1440" w:gutter="0" w:footer="0" w:header="0"/>
        </w:sectPr>
      </w:pPr>
    </w:p>
    <w:bookmarkStart w:id="739" w:name="page740"/>
    <w:bookmarkEnd w:id="739"/>
    <w:p>
      <w:pPr>
        <w:ind w:left="606" w:hanging="222"/>
        <w:spacing w:after="0"/>
        <w:tabs>
          <w:tab w:leader="none" w:pos="606" w:val="left"/>
        </w:tabs>
        <w:numPr>
          <w:ilvl w:val="1"/>
          <w:numId w:val="56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Administration</w:t>
      </w:r>
      <w:r>
        <w:rPr>
          <w:rFonts w:ascii="Arial" w:cs="Arial" w:eastAsia="Arial" w:hAnsi="Arial"/>
          <w:sz w:val="15"/>
          <w:szCs w:val="15"/>
          <w:color w:val="auto"/>
        </w:rPr>
        <w:t>. The Company is the administrator of the Plan (within the meaning of section 3(16)(A) of ERISA). The Plan will be</w:t>
      </w:r>
    </w:p>
    <w:p>
      <w:pPr>
        <w:spacing w:after="0" w:line="27" w:lineRule="exact"/>
        <w:rPr>
          <w:rFonts w:ascii="Arial" w:cs="Arial" w:eastAsia="Arial" w:hAnsi="Arial"/>
          <w:sz w:val="15"/>
          <w:szCs w:val="15"/>
          <w:color w:val="auto"/>
        </w:rPr>
      </w:pPr>
    </w:p>
    <w:p>
      <w:pPr>
        <w:ind w:left="6" w:right="20"/>
        <w:spacing w:after="0" w:line="302" w:lineRule="auto"/>
        <w:rPr>
          <w:rFonts w:ascii="Arial" w:cs="Arial" w:eastAsia="Arial" w:hAnsi="Arial"/>
          <w:sz w:val="15"/>
          <w:szCs w:val="15"/>
          <w:color w:val="auto"/>
        </w:rPr>
      </w:pPr>
      <w:r>
        <w:rPr>
          <w:rFonts w:ascii="Arial" w:cs="Arial" w:eastAsia="Arial" w:hAnsi="Arial"/>
          <w:sz w:val="13"/>
          <w:szCs w:val="13"/>
          <w:color w:val="auto"/>
        </w:rPr>
        <w:t>administered and interpreted by the Administrator (in his or her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2(a), the Administrator</w:t>
      </w:r>
    </w:p>
    <w:p>
      <w:pPr>
        <w:spacing w:after="0" w:line="2" w:lineRule="exact"/>
        <w:rPr>
          <w:rFonts w:ascii="Arial" w:cs="Arial" w:eastAsia="Arial" w:hAnsi="Arial"/>
          <w:sz w:val="15"/>
          <w:szCs w:val="15"/>
          <w:color w:val="auto"/>
        </w:rPr>
      </w:pPr>
    </w:p>
    <w:p>
      <w:pPr>
        <w:jc w:val="both"/>
        <w:ind w:left="6" w:right="100" w:hanging="6"/>
        <w:spacing w:after="0" w:line="248" w:lineRule="auto"/>
        <w:tabs>
          <w:tab w:leader="none" w:pos="22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 xml:space="preserve">may, in its sole discretion and on such terms and conditions as it may provide,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Plan amendment or termination or any other action that reasonably could be expected to increase materially the cost of the Plan must be approved by the Board.</w:t>
      </w:r>
    </w:p>
    <w:p>
      <w:pPr>
        <w:spacing w:after="0" w:line="171" w:lineRule="exact"/>
        <w:rPr>
          <w:rFonts w:ascii="Arial" w:cs="Arial" w:eastAsia="Arial" w:hAnsi="Arial"/>
          <w:sz w:val="16"/>
          <w:szCs w:val="16"/>
          <w:color w:val="auto"/>
        </w:rPr>
      </w:pPr>
    </w:p>
    <w:p>
      <w:pPr>
        <w:ind w:left="6" w:right="20" w:firstLine="378"/>
        <w:spacing w:after="0" w:line="251" w:lineRule="auto"/>
        <w:tabs>
          <w:tab w:leader="none" w:pos="626" w:val="left"/>
        </w:tabs>
        <w:numPr>
          <w:ilvl w:val="1"/>
          <w:numId w:val="568"/>
        </w:numPr>
        <w:rPr>
          <w:rFonts w:ascii="Arial" w:cs="Arial" w:eastAsia="Arial" w:hAnsi="Arial"/>
          <w:sz w:val="16"/>
          <w:szCs w:val="16"/>
          <w:color w:val="auto"/>
        </w:rPr>
      </w:pPr>
      <w:r>
        <w:rPr>
          <w:rFonts w:ascii="Arial" w:cs="Arial" w:eastAsia="Arial" w:hAnsi="Arial"/>
          <w:sz w:val="16"/>
          <w:szCs w:val="16"/>
          <w:u w:val="single" w:color="auto"/>
          <w:color w:val="auto"/>
        </w:rPr>
        <w:t>Eligibility to Participate</w:t>
      </w:r>
      <w:r>
        <w:rPr>
          <w:rFonts w:ascii="Arial" w:cs="Arial" w:eastAsia="Arial" w:hAnsi="Arial"/>
          <w:sz w:val="16"/>
          <w:szCs w:val="16"/>
          <w:color w:val="auto"/>
        </w:rPr>
        <w:t>. To the extent that the Administrator has delegated administrative authority or responsibility to one or more officers of the Company in accordance with Sections 2(a) and 11,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spacing w:after="0" w:line="169" w:lineRule="exact"/>
        <w:rPr>
          <w:rFonts w:ascii="Arial" w:cs="Arial" w:eastAsia="Arial" w:hAnsi="Arial"/>
          <w:sz w:val="16"/>
          <w:szCs w:val="16"/>
          <w:color w:val="auto"/>
        </w:rPr>
      </w:pPr>
    </w:p>
    <w:p>
      <w:pPr>
        <w:ind w:left="6" w:firstLine="378"/>
        <w:spacing w:after="0" w:line="314" w:lineRule="auto"/>
        <w:tabs>
          <w:tab w:leader="none" w:pos="626" w:val="left"/>
        </w:tabs>
        <w:numPr>
          <w:ilvl w:val="1"/>
          <w:numId w:val="568"/>
        </w:numPr>
        <w:rPr>
          <w:rFonts w:ascii="Arial" w:cs="Arial" w:eastAsia="Arial" w:hAnsi="Arial"/>
          <w:sz w:val="13"/>
          <w:szCs w:val="13"/>
          <w:color w:val="auto"/>
        </w:rPr>
      </w:pPr>
      <w:r>
        <w:rPr>
          <w:rFonts w:ascii="Arial" w:cs="Arial" w:eastAsia="Arial" w:hAnsi="Arial"/>
          <w:sz w:val="13"/>
          <w:szCs w:val="13"/>
          <w:u w:val="single" w:color="auto"/>
          <w:color w:val="auto"/>
        </w:rPr>
        <w:t>Amendment or Termination</w:t>
      </w:r>
      <w:r>
        <w:rPr>
          <w:rFonts w:ascii="Arial" w:cs="Arial" w:eastAsia="Arial" w:hAnsi="Arial"/>
          <w:sz w:val="13"/>
          <w:szCs w:val="13"/>
          <w:color w:val="auto"/>
        </w:rPr>
        <w:t>. The Company, by action of the Administrator, reserves the right to amend or terminate the Plan at any time, without advance notice to any Participant and without regard to the effect of the amendment or termination on any Participant or on any other individual, subject to the following; provided, however, that any amendment or termination of the Plan that is materially detrimental to a Participant prior to such amendment or termination of the Plan will not be effective with respect to such Participant without such Participant’s prior written consent. Any amendment or termination of the Plan will be in writing. Notwithstanding the foregoing, any amendment to the Plan that (a) causes an individual to cease to be a Participant, or (b) reduces or alters to the detriment of the Participant the Severance Benefits potentially payable to that Participant (including, without limitation, imposing additional conditions or modifying the timing of payment), will not be effective without that Participant’s written consent. Any action of the Company in amending or terminating the Plan will be taken in a non-fiduciary capacity.</w:t>
      </w:r>
    </w:p>
    <w:p>
      <w:pPr>
        <w:spacing w:after="0" w:line="133" w:lineRule="exact"/>
        <w:rPr>
          <w:rFonts w:ascii="Arial" w:cs="Arial" w:eastAsia="Arial" w:hAnsi="Arial"/>
          <w:sz w:val="13"/>
          <w:szCs w:val="13"/>
          <w:color w:val="auto"/>
        </w:rPr>
      </w:pPr>
    </w:p>
    <w:p>
      <w:pPr>
        <w:ind w:left="626" w:hanging="242"/>
        <w:spacing w:after="0"/>
        <w:tabs>
          <w:tab w:leader="none" w:pos="626" w:val="left"/>
        </w:tabs>
        <w:numPr>
          <w:ilvl w:val="1"/>
          <w:numId w:val="568"/>
        </w:numPr>
        <w:rPr>
          <w:rFonts w:ascii="Arial" w:cs="Arial" w:eastAsia="Arial" w:hAnsi="Arial"/>
          <w:sz w:val="16"/>
          <w:szCs w:val="16"/>
          <w:color w:val="auto"/>
        </w:rPr>
      </w:pPr>
      <w:r>
        <w:rPr>
          <w:rFonts w:ascii="Arial" w:cs="Arial" w:eastAsia="Arial" w:hAnsi="Arial"/>
          <w:sz w:val="16"/>
          <w:szCs w:val="16"/>
          <w:u w:val="single" w:color="auto"/>
          <w:color w:val="auto"/>
        </w:rPr>
        <w:t>Claims and Appeals</w:t>
      </w:r>
      <w:r>
        <w:rPr>
          <w:rFonts w:ascii="Arial" w:cs="Arial" w:eastAsia="Arial" w:hAnsi="Arial"/>
          <w:sz w:val="16"/>
          <w:szCs w:val="16"/>
          <w:color w:val="auto"/>
        </w:rPr>
        <w:t>.</w:t>
      </w:r>
    </w:p>
    <w:p>
      <w:pPr>
        <w:spacing w:after="0" w:line="193" w:lineRule="exact"/>
        <w:rPr>
          <w:sz w:val="20"/>
          <w:szCs w:val="20"/>
          <w:color w:val="auto"/>
        </w:rPr>
      </w:pPr>
    </w:p>
    <w:p>
      <w:pPr>
        <w:ind w:left="6" w:right="100" w:firstLine="866"/>
        <w:spacing w:after="0" w:line="25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Claims Procedure</w:t>
      </w:r>
      <w:r>
        <w:rPr>
          <w:rFonts w:ascii="Arial" w:cs="Arial" w:eastAsia="Arial" w:hAnsi="Arial"/>
          <w:sz w:val="16"/>
          <w:szCs w:val="16"/>
          <w:color w:val="auto"/>
        </w:rPr>
        <w:t>. Any employee or other person who believes he or she is entitled to any Severance Benefits may submit a claim in writing to the Administrator within 90 days of the earlier of (i) the date the claimant learned the amount of his or her Severance Benefits or (ii) the date the claimant learned that he or she will not be entitled to any Severance Benefits.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w:t>
      </w:r>
    </w:p>
    <w:p>
      <w:pPr>
        <w:spacing w:after="0" w:line="11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626"/>
          </w:cols>
          <w:pgMar w:left="1134" w:top="256" w:right="1139" w:bottom="1440" w:gutter="0" w:footer="0" w:header="0"/>
        </w:sectPr>
      </w:pPr>
    </w:p>
    <w:bookmarkStart w:id="740" w:name="page741"/>
    <w:bookmarkEnd w:id="740"/>
    <w:p>
      <w:pPr>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after the claim is received. If special circumstances require an extension of time (up to 90 days), written notice of the extension will be given within the initial 90 day period. This notice of extension will indicate the special circumstances requiring the extension of time and the date by which the Administrator expects to render its decision on the claim.</w:t>
      </w:r>
    </w:p>
    <w:p>
      <w:pPr>
        <w:spacing w:after="0" w:line="166" w:lineRule="exact"/>
        <w:rPr>
          <w:sz w:val="20"/>
          <w:szCs w:val="20"/>
          <w:color w:val="auto"/>
        </w:rPr>
      </w:pPr>
    </w:p>
    <w:p>
      <w:pPr>
        <w:ind w:firstLine="866"/>
        <w:spacing w:after="0" w:line="266" w:lineRule="auto"/>
        <w:rPr>
          <w:sz w:val="20"/>
          <w:szCs w:val="20"/>
          <w:color w:val="auto"/>
        </w:rPr>
      </w:pPr>
      <w:r>
        <w:rPr>
          <w:rFonts w:ascii="Arial" w:cs="Arial" w:eastAsia="Arial" w:hAnsi="Arial"/>
          <w:sz w:val="15"/>
          <w:szCs w:val="15"/>
          <w:color w:val="auto"/>
        </w:rPr>
        <w:t xml:space="preserve">14.2 </w:t>
      </w:r>
      <w:r>
        <w:rPr>
          <w:rFonts w:ascii="Arial" w:cs="Arial" w:eastAsia="Arial" w:hAnsi="Arial"/>
          <w:sz w:val="15"/>
          <w:szCs w:val="15"/>
          <w:u w:val="single" w:color="auto"/>
          <w:color w:val="auto"/>
        </w:rPr>
        <w:t>Appeal Procedure</w:t>
      </w:r>
      <w:r>
        <w:rPr>
          <w:rFonts w:ascii="Arial" w:cs="Arial" w:eastAsia="Arial" w:hAnsi="Arial"/>
          <w:sz w:val="15"/>
          <w:szCs w:val="15"/>
          <w:color w:val="auto"/>
        </w:rPr>
        <w:t>.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61" w:lineRule="exact"/>
        <w:rPr>
          <w:sz w:val="20"/>
          <w:szCs w:val="20"/>
          <w:color w:val="auto"/>
        </w:rPr>
      </w:pPr>
    </w:p>
    <w:p>
      <w:pPr>
        <w:ind w:left="620" w:hanging="242"/>
        <w:spacing w:after="0"/>
        <w:tabs>
          <w:tab w:leader="none" w:pos="620" w:val="left"/>
        </w:tabs>
        <w:numPr>
          <w:ilvl w:val="0"/>
          <w:numId w:val="569"/>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The parties shall each bear their own expenses, legal fees and other fees incurred in connection with this Plan.</w:t>
      </w:r>
    </w:p>
    <w:p>
      <w:pPr>
        <w:spacing w:after="0" w:line="204" w:lineRule="exact"/>
        <w:rPr>
          <w:rFonts w:ascii="Arial" w:cs="Arial" w:eastAsia="Arial" w:hAnsi="Arial"/>
          <w:sz w:val="15"/>
          <w:szCs w:val="15"/>
          <w:color w:val="auto"/>
        </w:rPr>
      </w:pPr>
    </w:p>
    <w:p>
      <w:pPr>
        <w:ind w:right="60" w:firstLine="378"/>
        <w:spacing w:after="0" w:line="256" w:lineRule="auto"/>
        <w:tabs>
          <w:tab w:leader="none" w:pos="620"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Source of Payments</w:t>
      </w:r>
      <w:r>
        <w:rPr>
          <w:rFonts w:ascii="Arial" w:cs="Arial" w:eastAsia="Arial" w:hAnsi="Arial"/>
          <w:sz w:val="16"/>
          <w:szCs w:val="16"/>
          <w:color w:val="auto"/>
        </w:rPr>
        <w:t>. All payments under the Plan will be paid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spacing w:after="0" w:line="165" w:lineRule="exact"/>
        <w:rPr>
          <w:rFonts w:ascii="Arial" w:cs="Arial" w:eastAsia="Arial" w:hAnsi="Arial"/>
          <w:sz w:val="16"/>
          <w:szCs w:val="16"/>
          <w:color w:val="auto"/>
        </w:rPr>
      </w:pPr>
    </w:p>
    <w:p>
      <w:pPr>
        <w:ind w:right="20" w:firstLine="378"/>
        <w:spacing w:after="0" w:line="256" w:lineRule="auto"/>
        <w:tabs>
          <w:tab w:leader="none" w:pos="620"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Inalienability</w:t>
      </w:r>
      <w:r>
        <w:rPr>
          <w:rFonts w:ascii="Arial" w:cs="Arial" w:eastAsia="Arial" w:hAnsi="Arial"/>
          <w:sz w:val="16"/>
          <w:szCs w:val="16"/>
          <w:color w:val="auto"/>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spacing w:after="0" w:line="165" w:lineRule="exact"/>
        <w:rPr>
          <w:rFonts w:ascii="Arial" w:cs="Arial" w:eastAsia="Arial" w:hAnsi="Arial"/>
          <w:sz w:val="16"/>
          <w:szCs w:val="16"/>
          <w:color w:val="auto"/>
        </w:rPr>
      </w:pPr>
    </w:p>
    <w:p>
      <w:pPr>
        <w:jc w:val="both"/>
        <w:ind w:right="40" w:firstLine="378"/>
        <w:spacing w:after="0" w:line="275" w:lineRule="auto"/>
        <w:tabs>
          <w:tab w:leader="none" w:pos="620" w:val="left"/>
        </w:tabs>
        <w:numPr>
          <w:ilvl w:val="0"/>
          <w:numId w:val="569"/>
        </w:numPr>
        <w:rPr>
          <w:rFonts w:ascii="Arial" w:cs="Arial" w:eastAsia="Arial" w:hAnsi="Arial"/>
          <w:sz w:val="15"/>
          <w:szCs w:val="15"/>
          <w:color w:val="auto"/>
        </w:rPr>
      </w:pPr>
      <w:r>
        <w:rPr>
          <w:rFonts w:ascii="Arial" w:cs="Arial" w:eastAsia="Arial" w:hAnsi="Arial"/>
          <w:sz w:val="15"/>
          <w:szCs w:val="15"/>
          <w:u w:val="single" w:color="auto"/>
          <w:color w:val="auto"/>
        </w:rPr>
        <w:t>No Enlargement of Employment Rights</w:t>
      </w:r>
      <w:r>
        <w:rPr>
          <w:rFonts w:ascii="Arial" w:cs="Arial" w:eastAsia="Arial" w:hAnsi="Arial"/>
          <w:sz w:val="15"/>
          <w:szCs w:val="15"/>
          <w:color w:val="auto"/>
        </w:rPr>
        <w:t>. Neither the establishment or maintenance or amendment of the Plan, nor 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 Participant may be entitled to Severance Benefits depending upon the circumstances of his or her termination of employment.</w:t>
      </w:r>
    </w:p>
    <w:p>
      <w:pPr>
        <w:spacing w:after="0" w:line="152" w:lineRule="exact"/>
        <w:rPr>
          <w:rFonts w:ascii="Arial" w:cs="Arial" w:eastAsia="Arial" w:hAnsi="Arial"/>
          <w:sz w:val="15"/>
          <w:szCs w:val="15"/>
          <w:color w:val="auto"/>
        </w:rPr>
      </w:pPr>
    </w:p>
    <w:p>
      <w:pPr>
        <w:ind w:right="20" w:firstLine="378"/>
        <w:spacing w:after="0" w:line="256" w:lineRule="auto"/>
        <w:tabs>
          <w:tab w:leader="none" w:pos="620"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Any successor to the Company of all or substantially all of the Company’s business and/or assets (whether direct or indirect and whether by purchase, merger, consolidation, liquidation or other transaction) will assume the obligations under the Plan and agree expressly to perform the obligations under the Plan in the same manner and to the same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520"/>
          </w:cols>
          <w:pgMar w:left="1140" w:top="256" w:right="1239" w:bottom="1440" w:gutter="0" w:footer="0" w:header="0"/>
        </w:sectPr>
      </w:pPr>
    </w:p>
    <w:bookmarkStart w:id="741" w:name="page742"/>
    <w:bookmarkEnd w:id="741"/>
    <w:p>
      <w:pPr>
        <w:ind w:right="12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166" w:lineRule="exact"/>
        <w:rPr>
          <w:sz w:val="20"/>
          <w:szCs w:val="20"/>
          <w:color w:val="auto"/>
        </w:rPr>
      </w:pPr>
    </w:p>
    <w:p>
      <w:pPr>
        <w:ind w:right="440" w:firstLine="378"/>
        <w:spacing w:after="0" w:line="266" w:lineRule="auto"/>
        <w:tabs>
          <w:tab w:leader="none" w:pos="620"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provisions of the Plan will be construed, administered and enforced in accordance with ERISA and, to the extent applicable, the internal substantive laws of the state of California (but not its conflict of laws provisions).</w:t>
      </w:r>
    </w:p>
    <w:p>
      <w:pPr>
        <w:spacing w:after="0" w:line="158" w:lineRule="exact"/>
        <w:rPr>
          <w:rFonts w:ascii="Arial" w:cs="Arial" w:eastAsia="Arial" w:hAnsi="Arial"/>
          <w:sz w:val="16"/>
          <w:szCs w:val="16"/>
          <w:color w:val="auto"/>
        </w:rPr>
      </w:pPr>
    </w:p>
    <w:p>
      <w:pPr>
        <w:ind w:firstLine="378"/>
        <w:spacing w:after="0" w:line="266" w:lineRule="auto"/>
        <w:tabs>
          <w:tab w:leader="none" w:pos="620"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is held invalid or unenforceable, its invalidity or unenforceability will not affect any other provision of the Plan, and the Plan will be construed and enforced as if such provision had not been included.</w:t>
      </w:r>
    </w:p>
    <w:p>
      <w:pPr>
        <w:spacing w:after="0" w:line="158" w:lineRule="exact"/>
        <w:rPr>
          <w:rFonts w:ascii="Arial" w:cs="Arial" w:eastAsia="Arial" w:hAnsi="Arial"/>
          <w:sz w:val="16"/>
          <w:szCs w:val="16"/>
          <w:color w:val="auto"/>
        </w:rPr>
      </w:pPr>
    </w:p>
    <w:p>
      <w:pPr>
        <w:ind w:left="620" w:hanging="242"/>
        <w:spacing w:after="0"/>
        <w:tabs>
          <w:tab w:leader="none" w:pos="620" w:val="left"/>
        </w:tabs>
        <w:numPr>
          <w:ilvl w:val="0"/>
          <w:numId w:val="570"/>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Headings in this Plan document are for purposes of reference only and will not limit or otherwise affect the meaning hereof.</w:t>
      </w:r>
    </w:p>
    <w:p>
      <w:pPr>
        <w:spacing w:after="0" w:line="204" w:lineRule="exact"/>
        <w:rPr>
          <w:rFonts w:ascii="Arial" w:cs="Arial" w:eastAsia="Arial" w:hAnsi="Arial"/>
          <w:sz w:val="15"/>
          <w:szCs w:val="15"/>
          <w:color w:val="auto"/>
        </w:rPr>
      </w:pPr>
    </w:p>
    <w:p>
      <w:pPr>
        <w:jc w:val="both"/>
        <w:ind w:right="60" w:firstLine="378"/>
        <w:spacing w:after="0" w:line="323" w:lineRule="auto"/>
        <w:tabs>
          <w:tab w:leader="none" w:pos="620" w:val="left"/>
        </w:tabs>
        <w:numPr>
          <w:ilvl w:val="0"/>
          <w:numId w:val="570"/>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The Company hereby agrees to indemnify and hold harmless the officers and employees of the 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125" w:lineRule="exact"/>
        <w:rPr>
          <w:rFonts w:ascii="Arial" w:cs="Arial" w:eastAsia="Arial" w:hAnsi="Arial"/>
          <w:sz w:val="13"/>
          <w:szCs w:val="13"/>
          <w:color w:val="auto"/>
        </w:rPr>
      </w:pPr>
    </w:p>
    <w:p>
      <w:pPr>
        <w:ind w:left="620" w:hanging="242"/>
        <w:spacing w:after="0"/>
        <w:tabs>
          <w:tab w:leader="none" w:pos="620"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Additional Information</w:t>
      </w:r>
      <w:r>
        <w:rPr>
          <w:rFonts w:ascii="Arial" w:cs="Arial" w:eastAsia="Arial" w:hAnsi="Arial"/>
          <w:sz w:val="16"/>
          <w:szCs w:val="16"/>
          <w:color w:val="auto"/>
        </w:rPr>
        <w:t>.</w:t>
      </w:r>
    </w:p>
    <w:p>
      <w:pPr>
        <w:sectPr>
          <w:pgSz w:w="11900" w:h="16838" w:orient="portrait"/>
          <w:cols w:equalWidth="0" w:num="1">
            <w:col w:w="9500"/>
          </w:cols>
          <w:pgMar w:left="1140" w:top="256" w:right="1259" w:bottom="1440" w:gutter="0" w:footer="0" w:header="0"/>
        </w:sect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Plan Name: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Tenaya Therapeutics, Inc. Executive Change in Control and Severance Plan</w:t>
      </w:r>
    </w:p>
    <w:p>
      <w:pPr>
        <w:spacing w:after="0" w:line="200" w:lineRule="exact"/>
        <w:rPr>
          <w:sz w:val="20"/>
          <w:szCs w:val="20"/>
          <w:color w:val="auto"/>
        </w:rPr>
      </w:pPr>
    </w:p>
    <w:p>
      <w:pPr>
        <w:sectPr>
          <w:pgSz w:w="11900" w:h="16838" w:orient="portrait"/>
          <w:cols w:equalWidth="0" w:num="2">
            <w:col w:w="2460" w:space="720"/>
            <w:col w:w="6320"/>
          </w:cols>
          <w:pgMar w:left="1140" w:top="256" w:right="1259" w:bottom="1440" w:gutter="0" w:footer="0" w:header="0"/>
          <w:type w:val="continuous"/>
        </w:sectPr>
      </w:pPr>
    </w:p>
    <w:p>
      <w:pPr>
        <w:spacing w:after="0" w:line="24"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Plan Sponsor: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South San Francisco, CA 94080</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(650) 351-9757</w:t>
      </w:r>
    </w:p>
    <w:p>
      <w:pPr>
        <w:spacing w:after="0" w:line="178" w:lineRule="exact"/>
        <w:rPr>
          <w:sz w:val="20"/>
          <w:szCs w:val="20"/>
          <w:color w:val="auto"/>
        </w:rPr>
      </w:pPr>
    </w:p>
    <w:p>
      <w:pPr>
        <w:sectPr>
          <w:pgSz w:w="11900" w:h="16838" w:orient="portrait"/>
          <w:cols w:equalWidth="0" w:num="2">
            <w:col w:w="2460" w:space="720"/>
            <w:col w:w="6320"/>
          </w:cols>
          <w:pgMar w:left="1140" w:top="256" w:right="1259" w:bottom="1440" w:gutter="0" w:footer="0" w:header="0"/>
          <w:type w:val="continuous"/>
        </w:sectPr>
      </w:pPr>
    </w:p>
    <w:p>
      <w:pPr>
        <w:ind w:left="400"/>
        <w:spacing w:after="0"/>
        <w:rPr>
          <w:sz w:val="20"/>
          <w:szCs w:val="20"/>
          <w:color w:val="auto"/>
        </w:rPr>
      </w:pPr>
      <w:r>
        <w:rPr>
          <w:rFonts w:ascii="Arial" w:cs="Arial" w:eastAsia="Arial" w:hAnsi="Arial"/>
          <w:sz w:val="13"/>
          <w:szCs w:val="13"/>
          <w:b w:val="1"/>
          <w:bCs w:val="1"/>
          <w:color w:val="auto"/>
        </w:rPr>
        <w:t>Identification Numbers: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EIN: [</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412" w:lineRule="exact"/>
        <w:rPr>
          <w:sz w:val="20"/>
          <w:szCs w:val="20"/>
          <w:color w:val="auto"/>
        </w:rPr>
      </w:pPr>
    </w:p>
    <w:p>
      <w:pPr>
        <w:sectPr>
          <w:pgSz w:w="11900" w:h="16838" w:orient="portrait"/>
          <w:cols w:equalWidth="0" w:num="3">
            <w:col w:w="2460" w:space="720"/>
            <w:col w:w="460" w:space="100"/>
            <w:col w:w="5760"/>
          </w:cols>
          <w:pgMar w:left="1140" w:top="256" w:right="1259" w:bottom="1440" w:gutter="0" w:footer="0" w:header="0"/>
          <w:type w:val="continuous"/>
        </w:sectPr>
      </w:pPr>
    </w:p>
    <w:p>
      <w:pPr>
        <w:ind w:left="400"/>
        <w:spacing w:after="0"/>
        <w:rPr>
          <w:sz w:val="20"/>
          <w:szCs w:val="20"/>
          <w:color w:val="auto"/>
        </w:rPr>
      </w:pPr>
      <w:r>
        <w:rPr>
          <w:rFonts w:ascii="Arial" w:cs="Arial" w:eastAsia="Arial" w:hAnsi="Arial"/>
          <w:sz w:val="13"/>
          <w:szCs w:val="13"/>
          <w:b w:val="1"/>
          <w:bCs w:val="1"/>
          <w:color w:val="auto"/>
        </w:rPr>
        <w:t>Plan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Company’s fiscal year</w:t>
      </w:r>
    </w:p>
    <w:p>
      <w:pPr>
        <w:spacing w:after="0" w:line="200" w:lineRule="exact"/>
        <w:rPr>
          <w:sz w:val="20"/>
          <w:szCs w:val="20"/>
          <w:color w:val="auto"/>
        </w:rPr>
      </w:pPr>
    </w:p>
    <w:p>
      <w:pPr>
        <w:sectPr>
          <w:pgSz w:w="11900" w:h="16838" w:orient="portrait"/>
          <w:cols w:equalWidth="0" w:num="2">
            <w:col w:w="2460" w:space="720"/>
            <w:col w:w="6320"/>
          </w:cols>
          <w:pgMar w:left="1140" w:top="256" w:right="1259" w:bottom="1440" w:gutter="0" w:footer="0" w:header="0"/>
          <w:type w:val="continuous"/>
        </w:sectPr>
      </w:pPr>
    </w:p>
    <w:p>
      <w:pPr>
        <w:spacing w:after="0" w:line="24"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Plan Administrator: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Attention: </w:t>
      </w:r>
      <w:r>
        <w:rPr>
          <w:rFonts w:ascii="Arial" w:cs="Arial" w:eastAsia="Arial" w:hAnsi="Arial"/>
          <w:sz w:val="16"/>
          <w:szCs w:val="16"/>
          <w:color w:val="auto"/>
        </w:rPr>
        <w:t>Administrator of the Tenaya</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Therapeutics, Inc. Executive Change in Control and Severance Plan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(650) 351-9757</w:t>
      </w:r>
    </w:p>
    <w:p>
      <w:pPr>
        <w:spacing w:after="0" w:line="135" w:lineRule="exact"/>
        <w:rPr>
          <w:sz w:val="20"/>
          <w:szCs w:val="20"/>
          <w:color w:val="auto"/>
        </w:rPr>
      </w:pPr>
    </w:p>
    <w:p>
      <w:pPr>
        <w:sectPr>
          <w:pgSz w:w="11900" w:h="16838" w:orient="portrait"/>
          <w:cols w:equalWidth="0" w:num="2">
            <w:col w:w="2460" w:space="720"/>
            <w:col w:w="6320"/>
          </w:cols>
          <w:pgMar w:left="1140" w:top="256" w:right="125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500"/>
          </w:cols>
          <w:pgMar w:left="1140" w:top="256" w:right="1259" w:bottom="1440" w:gutter="0" w:footer="0" w:header="0"/>
          <w:type w:val="continuous"/>
        </w:sectPr>
      </w:pPr>
    </w:p>
    <w:bookmarkStart w:id="742" w:name="page743"/>
    <w:bookmarkEnd w:id="742"/>
    <w:p>
      <w:pPr>
        <w:ind w:left="400"/>
        <w:spacing w:after="0"/>
        <w:rPr>
          <w:sz w:val="20"/>
          <w:szCs w:val="20"/>
          <w:color w:val="auto"/>
        </w:rPr>
      </w:pPr>
      <w:r>
        <w:rPr>
          <w:rFonts w:ascii="Arial" w:cs="Arial" w:eastAsia="Arial" w:hAnsi="Arial"/>
          <w:sz w:val="13"/>
          <w:szCs w:val="13"/>
          <w:b w:val="1"/>
          <w:bCs w:val="1"/>
          <w:color w:val="auto"/>
        </w:rPr>
        <w:t>Agent for Service of</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Legal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-189865</wp:posOffset>
            </wp:positionV>
            <wp:extent cx="7190105" cy="342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90105"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 xml:space="preserve">Attention: </w:t>
      </w:r>
      <w:r>
        <w:rPr>
          <w:rFonts w:ascii="Arial" w:cs="Arial" w:eastAsia="Arial" w:hAnsi="Arial"/>
          <w:sz w:val="16"/>
          <w:szCs w:val="16"/>
          <w:color w:val="auto"/>
        </w:rPr>
        <w:t>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South San Francisco, CA 94080</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(650) 351-9757</w:t>
      </w:r>
    </w:p>
    <w:p>
      <w:pPr>
        <w:spacing w:after="0" w:line="182" w:lineRule="exact"/>
        <w:rPr>
          <w:sz w:val="20"/>
          <w:szCs w:val="20"/>
          <w:color w:val="auto"/>
        </w:rPr>
      </w:pPr>
    </w:p>
    <w:p>
      <w:pPr>
        <w:sectPr>
          <w:pgSz w:w="11900" w:h="16838" w:orient="portrait"/>
          <w:cols w:equalWidth="0" w:num="2">
            <w:col w:w="2460" w:space="720"/>
            <w:col w:w="6420"/>
          </w:cols>
          <w:pgMar w:left="1140" w:top="252" w:right="1159" w:bottom="1440" w:gutter="0" w:footer="0" w:header="0"/>
        </w:sectPr>
      </w:pPr>
    </w:p>
    <w:p>
      <w:pPr>
        <w:ind w:left="3180"/>
        <w:spacing w:after="0"/>
        <w:rPr>
          <w:sz w:val="20"/>
          <w:szCs w:val="20"/>
          <w:color w:val="auto"/>
        </w:rPr>
      </w:pPr>
      <w:r>
        <w:rPr>
          <w:rFonts w:ascii="Arial" w:cs="Arial" w:eastAsia="Arial" w:hAnsi="Arial"/>
          <w:sz w:val="13"/>
          <w:szCs w:val="13"/>
          <w:color w:val="auto"/>
        </w:rPr>
        <w:t>Service of process also may be made upon the Administrator.</w:t>
      </w:r>
    </w:p>
    <w:p>
      <w:pPr>
        <w:sectPr>
          <w:pgSz w:w="11900" w:h="16838" w:orient="portrait"/>
          <w:cols w:equalWidth="0" w:num="1">
            <w:col w:w="9600"/>
          </w:cols>
          <w:pgMar w:left="1140" w:top="252" w:right="1159" w:bottom="1440" w:gutter="0" w:footer="0" w:header="0"/>
          <w:type w:val="continuous"/>
        </w:sect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Type of Plan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Severance Plan/Employee Welfare Benefit Plan</w:t>
      </w:r>
    </w:p>
    <w:p>
      <w:pPr>
        <w:spacing w:after="0" w:line="200" w:lineRule="exact"/>
        <w:rPr>
          <w:sz w:val="20"/>
          <w:szCs w:val="20"/>
          <w:color w:val="auto"/>
        </w:rPr>
      </w:pPr>
    </w:p>
    <w:p>
      <w:pPr>
        <w:sectPr>
          <w:pgSz w:w="11900" w:h="16838" w:orient="portrait"/>
          <w:cols w:equalWidth="0" w:num="2">
            <w:col w:w="2460" w:space="720"/>
            <w:col w:w="6420"/>
          </w:cols>
          <w:pgMar w:left="1140" w:top="252" w:right="1159" w:bottom="1440" w:gutter="0" w:footer="0" w:header="0"/>
          <w:type w:val="continuous"/>
        </w:sectPr>
      </w:pPr>
    </w:p>
    <w:p>
      <w:pPr>
        <w:spacing w:after="0" w:line="24"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Plan Costs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The cost of the Plan is paid by the Company.</w:t>
      </w:r>
    </w:p>
    <w:p>
      <w:pPr>
        <w:spacing w:after="0" w:line="200" w:lineRule="exact"/>
        <w:rPr>
          <w:sz w:val="20"/>
          <w:szCs w:val="20"/>
          <w:color w:val="auto"/>
        </w:rPr>
      </w:pPr>
    </w:p>
    <w:p>
      <w:pPr>
        <w:sectPr>
          <w:pgSz w:w="11900" w:h="16838" w:orient="portrait"/>
          <w:cols w:equalWidth="0" w:num="2">
            <w:col w:w="2460" w:space="720"/>
            <w:col w:w="6420"/>
          </w:cols>
          <w:pgMar w:left="1140" w:top="252" w:right="1159" w:bottom="1440" w:gutter="0" w:footer="0" w:header="0"/>
          <w:type w:val="continuous"/>
        </w:sectPr>
      </w:pPr>
    </w:p>
    <w:p>
      <w:pPr>
        <w:spacing w:after="0" w:line="28" w:lineRule="exact"/>
        <w:rPr>
          <w:sz w:val="20"/>
          <w:szCs w:val="20"/>
          <w:color w:val="auto"/>
        </w:rPr>
      </w:pPr>
    </w:p>
    <w:p>
      <w:pPr>
        <w:ind w:left="620" w:hanging="242"/>
        <w:spacing w:after="0"/>
        <w:tabs>
          <w:tab w:leader="none" w:pos="620"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Statement of ERISA Rights.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a Participant under the Plan, you have certain rights and protections under ERISA:</w:t>
      </w:r>
    </w:p>
    <w:p>
      <w:pPr>
        <w:spacing w:after="0" w:line="9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You may examine (without charge) all Plan documents, including any amendments and copies of all documents filed with the U.S.</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Department of Labor. These documents are available for your review in the Company’s human resources department.</w:t>
      </w:r>
    </w:p>
    <w:p>
      <w:pPr>
        <w:spacing w:after="0" w:line="88" w:lineRule="exact"/>
        <w:rPr>
          <w:sz w:val="20"/>
          <w:szCs w:val="20"/>
          <w:color w:val="auto"/>
        </w:rPr>
      </w:pPr>
    </w:p>
    <w:p>
      <w:pPr>
        <w:ind w:left="380" w:right="280" w:firstLine="369"/>
        <w:spacing w:after="0" w:line="266" w:lineRule="auto"/>
        <w:rPr>
          <w:sz w:val="20"/>
          <w:szCs w:val="20"/>
          <w:color w:val="auto"/>
        </w:rPr>
      </w:pPr>
      <w:r>
        <w:rPr>
          <w:rFonts w:ascii="Arial" w:cs="Arial" w:eastAsia="Arial" w:hAnsi="Arial"/>
          <w:sz w:val="16"/>
          <w:szCs w:val="16"/>
          <w:color w:val="auto"/>
        </w:rPr>
        <w:t>You may obtain copies of all Plan documents and other Plan information upon written request to the Administrator. A reasonable charge may be made for such copies.</w:t>
      </w:r>
    </w:p>
    <w:p>
      <w:pPr>
        <w:spacing w:after="0" w:line="158" w:lineRule="exact"/>
        <w:rPr>
          <w:sz w:val="20"/>
          <w:szCs w:val="20"/>
          <w:color w:val="auto"/>
        </w:rPr>
      </w:pPr>
    </w:p>
    <w:p>
      <w:pPr>
        <w:ind w:firstLine="385"/>
        <w:spacing w:after="0" w:line="323" w:lineRule="auto"/>
        <w:rPr>
          <w:sz w:val="20"/>
          <w:szCs w:val="20"/>
          <w:color w:val="auto"/>
        </w:rPr>
      </w:pPr>
      <w:r>
        <w:rPr>
          <w:rFonts w:ascii="Arial" w:cs="Arial" w:eastAsia="Arial" w:hAnsi="Arial"/>
          <w:sz w:val="13"/>
          <w:szCs w:val="13"/>
          <w:color w:val="auto"/>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a severance benefit is denied, in whole or in part, you must receive a written explanation of the reason for the denial. You have the right to have the denial of your claim reviewed. (The claim review procedure is explained in Section 14 above.)</w:t>
      </w:r>
    </w:p>
    <w:p>
      <w:pPr>
        <w:spacing w:after="0" w:line="126" w:lineRule="exact"/>
        <w:rPr>
          <w:sz w:val="20"/>
          <w:szCs w:val="20"/>
          <w:color w:val="auto"/>
        </w:rPr>
      </w:pPr>
    </w:p>
    <w:p>
      <w:pPr>
        <w:ind w:right="60" w:firstLine="385"/>
        <w:spacing w:after="0" w:line="323" w:lineRule="auto"/>
        <w:rPr>
          <w:sz w:val="20"/>
          <w:szCs w:val="20"/>
          <w:color w:val="auto"/>
        </w:rPr>
      </w:pPr>
      <w:r>
        <w:rPr>
          <w:rFonts w:ascii="Arial" w:cs="Arial" w:eastAsia="Arial" w:hAnsi="Arial"/>
          <w:sz w:val="13"/>
          <w:szCs w:val="13"/>
          <w:color w:val="auto"/>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spacing w:after="0" w:line="126" w:lineRule="exact"/>
        <w:rPr>
          <w:sz w:val="20"/>
          <w:szCs w:val="20"/>
          <w:color w:val="auto"/>
        </w:rPr>
      </w:pPr>
    </w:p>
    <w:p>
      <w:pPr>
        <w:ind w:right="200" w:firstLine="385"/>
        <w:spacing w:after="0" w:line="383" w:lineRule="auto"/>
        <w:rPr>
          <w:sz w:val="20"/>
          <w:szCs w:val="20"/>
          <w:color w:val="auto"/>
        </w:rPr>
      </w:pPr>
      <w:r>
        <w:rPr>
          <w:rFonts w:ascii="Arial" w:cs="Arial" w:eastAsia="Arial" w:hAnsi="Arial"/>
          <w:sz w:val="13"/>
          <w:szCs w:val="13"/>
          <w:color w:val="auto"/>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00"/>
          </w:cols>
          <w:pgMar w:left="1140" w:top="252" w:right="1159" w:bottom="1440" w:gutter="0" w:footer="0" w:header="0"/>
          <w:type w:val="continuous"/>
        </w:sectPr>
      </w:pPr>
    </w:p>
    <w:bookmarkStart w:id="743" w:name="page744"/>
    <w:bookmarkEnd w:id="743"/>
    <w:p>
      <w:pPr>
        <w:ind w:firstLine="385"/>
        <w:spacing w:after="0" w:line="32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560"/>
          </w:cols>
          <w:pgMar w:left="1140" w:top="256" w:right="1199" w:bottom="1440" w:gutter="0" w:footer="0" w:header="0"/>
        </w:sectPr>
      </w:pPr>
    </w:p>
    <w:bookmarkStart w:id="744" w:name="page745"/>
    <w:bookmarkEnd w:id="744"/>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Tenaya Therapeutics, Inc. Executive Change in Control and Severance Plan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Participation Agreement</w:t>
      </w:r>
    </w:p>
    <w:p>
      <w:pPr>
        <w:spacing w:after="0" w:line="182"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Tenaya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is pleased to inform you, the undersigned that you have been selected to participate in the Company’s Executive Change in Control and Severance Plan (the “</w:t>
      </w:r>
      <w:r>
        <w:rPr>
          <w:rFonts w:ascii="Arial" w:cs="Arial" w:eastAsia="Arial" w:hAnsi="Arial"/>
          <w:sz w:val="16"/>
          <w:szCs w:val="16"/>
          <w:u w:val="single" w:color="auto"/>
          <w:color w:val="auto"/>
        </w:rPr>
        <w:t>Plan</w:t>
      </w:r>
      <w:r>
        <w:rPr>
          <w:rFonts w:ascii="Arial" w:cs="Arial" w:eastAsia="Arial" w:hAnsi="Arial"/>
          <w:sz w:val="16"/>
          <w:szCs w:val="16"/>
          <w:color w:val="auto"/>
        </w:rPr>
        <w:t>”) as a Participant.</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5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Plan describes in detail certain circumstances under which you may become eligible for Severance Benefits. As described more fully in the Plan, you may become eligible for certain Severance Benefits if you experience a Qualifying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CEO ONLY:</w:t>
      </w:r>
      <w:r>
        <w:rPr>
          <w:rFonts w:ascii="Arial" w:cs="Arial" w:eastAsia="Arial" w:hAnsi="Arial"/>
          <w:sz w:val="16"/>
          <w:szCs w:val="16"/>
          <w:color w:val="auto"/>
        </w:rPr>
        <w:t xml:space="preserve"> For the purposes of this Participation Agreement, the following terms shall have the following meanings:</w:t>
      </w:r>
    </w:p>
    <w:p>
      <w:pPr>
        <w:spacing w:after="0" w:line="193" w:lineRule="exact"/>
        <w:rPr>
          <w:sz w:val="20"/>
          <w:szCs w:val="20"/>
          <w:color w:val="auto"/>
        </w:rPr>
      </w:pPr>
    </w:p>
    <w:p>
      <w:pPr>
        <w:ind w:right="40" w:firstLine="385"/>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 Period</w:t>
      </w:r>
      <w:r>
        <w:rPr>
          <w:rFonts w:ascii="Arial" w:cs="Arial" w:eastAsia="Arial" w:hAnsi="Arial"/>
          <w:sz w:val="16"/>
          <w:szCs w:val="16"/>
          <w:color w:val="auto"/>
        </w:rPr>
        <w:t>” means the time period beginning on the date that is 3 months prior to a Change in Control and ending on the date that is 18 months following a Change in Control.</w:t>
      </w:r>
    </w:p>
    <w:p>
      <w:pPr>
        <w:spacing w:after="0" w:line="158" w:lineRule="exact"/>
        <w:rPr>
          <w:sz w:val="20"/>
          <w:szCs w:val="20"/>
          <w:color w:val="auto"/>
        </w:rPr>
      </w:pPr>
    </w:p>
    <w:p>
      <w:pPr>
        <w:ind w:firstLine="385"/>
        <w:spacing w:after="0" w:line="31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means (1) an act of dishonesty made by you in connection with your responsibilities as an employee that has caused the Company to suffer material harm; (2) your conviction of, or plea of nolo contendere to, a felony or any crime involving fraud, embezzlement or any other act of moral turpitude; (3) your gross misconduct that has caused the Company to suffer material harm; (4) your unauthorized use or disclosure of any proprietary information or trade secrets of the Company or any other party to whom you owe an obligation of nondisclosure as a result of your relationship with the Company; (5) your willful breach of any obligations under any written agreement or covenant with the Company; (6) your continued failure to perform your employment duties after you have received a written demand of performance from the Company which specifically sets forth the factual basis for the Company’s belief that you have not substantially performed your duties. Notwithstanding the foregoing, Cause shall only exist after; (x) the Board delivers written notice to you of the Board’s determination that Cause exists; (y) such notice sets forth in reasonable detail such facts and circumstances; and (z) you have failed to fully correct any of the events listed above, if such events are reasonably capable of being fully corrected, within 10 days following delivery to you of the Board’s written notice of its determination that Cause exists.</w:t>
      </w:r>
    </w:p>
    <w:p>
      <w:pPr>
        <w:spacing w:after="0" w:line="326" w:lineRule="exact"/>
        <w:rPr>
          <w:sz w:val="20"/>
          <w:szCs w:val="20"/>
          <w:color w:val="auto"/>
        </w:rPr>
      </w:pPr>
    </w:p>
    <w:p>
      <w:pPr>
        <w:ind w:right="20" w:firstLine="385"/>
        <w:spacing w:after="0" w:line="32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Good Reason</w:t>
      </w:r>
      <w:r>
        <w:rPr>
          <w:rFonts w:ascii="Arial" w:cs="Arial" w:eastAsia="Arial" w:hAnsi="Arial"/>
          <w:sz w:val="13"/>
          <w:szCs w:val="13"/>
          <w:color w:val="auto"/>
        </w:rPr>
        <w:t>” means the occurrence of one or more of the following without your written consent: (1) a material diminution of your authority, duties or responsibilities; provided, however, that a reduction in authority, duties, or responsibilities solely by virtue of the Company being acquired and made part of a larger entity, whether as a subsidiary, business unit or otherwise (as, for example, when the CEO of the Company remains as such following an acquisition where the Company becomes a wholly owned subsidiary of the acquirer, but is not made the CEO of the</w:t>
      </w:r>
    </w:p>
    <w:p>
      <w:pPr>
        <w:sectPr>
          <w:pgSz w:w="11900" w:h="16838" w:orient="portrait"/>
          <w:cols w:equalWidth="0" w:num="1">
            <w:col w:w="9580"/>
          </w:cols>
          <w:pgMar w:left="1140" w:top="253" w:right="1179" w:bottom="1440" w:gutter="0" w:footer="0" w:header="0"/>
        </w:sectPr>
      </w:pPr>
    </w:p>
    <w:bookmarkStart w:id="745" w:name="page746"/>
    <w:bookmarkEnd w:id="745"/>
    <w:p>
      <w:pPr>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acquiring corporation), will not constitute “Good Reason”, (2) a material change in the geographic location at which you must perform services for Tenaya (which, for this purpose means relocation of the offices of the Company at which you are principally employed to a location more than 40 miles from the location of such offices immediately prior to the relocation), or (3) a material diminution in your annual base salary. In order for your termination of employment to be for Good Reason, you must not terminate employment with the Company without first providing the Company with written notice of the acts or omissions constituting the grounds for “Good Reason” within ninety (90) days of their initial occurrence and a reasonable cure period of not less than thirty (30) days following the date of such notice (the “Cure Period”), and your resignation must occur within thirty (30) days following the end of the Cure Period if the “Good Reason” conditions remain uncured.</w:t>
      </w:r>
    </w:p>
    <w:p>
      <w:pPr>
        <w:spacing w:after="0" w:line="161" w:lineRule="exact"/>
        <w:rPr>
          <w:sz w:val="20"/>
          <w:szCs w:val="20"/>
          <w:color w:val="auto"/>
        </w:rPr>
      </w:pPr>
    </w:p>
    <w:p>
      <w:pPr>
        <w:ind w:right="400" w:firstLine="385"/>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Non-CIC Qualifying Termination</w:t>
      </w:r>
      <w:r>
        <w:rPr>
          <w:rFonts w:ascii="Arial" w:cs="Arial" w:eastAsia="Arial" w:hAnsi="Arial"/>
          <w:sz w:val="16"/>
          <w:szCs w:val="16"/>
          <w:color w:val="auto"/>
        </w:rPr>
        <w:t>” means termination of a Participant’s employment with the Company (or any parent or subsidiary of the Company) other than within the Change in Control Period by (1) you for Good Reason, or (2) the Company (or any parent or subsidiary of the Company) without Cause (excluding by reason of your death or Disability).]</w:t>
      </w:r>
    </w:p>
    <w:p>
      <w:pPr>
        <w:spacing w:after="0" w:line="166" w:lineRule="exact"/>
        <w:rPr>
          <w:sz w:val="20"/>
          <w:szCs w:val="20"/>
          <w:color w:val="auto"/>
        </w:rPr>
      </w:pPr>
    </w:p>
    <w:p>
      <w:pPr>
        <w:ind w:left="540" w:hanging="162"/>
        <w:spacing w:after="0"/>
        <w:tabs>
          <w:tab w:leader="none" w:pos="540" w:val="left"/>
        </w:tabs>
        <w:numPr>
          <w:ilvl w:val="0"/>
          <w:numId w:val="572"/>
        </w:numPr>
        <w:rPr>
          <w:rFonts w:ascii="Arial" w:cs="Arial" w:eastAsia="Arial" w:hAnsi="Arial"/>
          <w:sz w:val="15"/>
          <w:szCs w:val="15"/>
          <w:color w:val="auto"/>
        </w:rPr>
      </w:pPr>
      <w:r>
        <w:rPr>
          <w:rFonts w:ascii="Arial" w:cs="Arial" w:eastAsia="Arial" w:hAnsi="Arial"/>
          <w:sz w:val="15"/>
          <w:szCs w:val="15"/>
          <w:u w:val="single" w:color="auto"/>
          <w:color w:val="auto"/>
        </w:rPr>
        <w:t>Non-CIC Qualifying Termination</w:t>
      </w:r>
      <w:r>
        <w:rPr>
          <w:rFonts w:ascii="Arial" w:cs="Arial" w:eastAsia="Arial" w:hAnsi="Arial"/>
          <w:sz w:val="15"/>
          <w:szCs w:val="15"/>
          <w:color w:val="auto"/>
        </w:rPr>
        <w:t>. Upon your Non-CIC Qualifying Termination, subject to the terms and conditions of the Plan, you will</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receive:</w:t>
      </w:r>
    </w:p>
    <w:p>
      <w:pPr>
        <w:spacing w:after="0" w:line="181" w:lineRule="exact"/>
        <w:rPr>
          <w:rFonts w:ascii="Arial" w:cs="Arial" w:eastAsia="Arial" w:hAnsi="Arial"/>
          <w:sz w:val="15"/>
          <w:szCs w:val="15"/>
          <w:color w:val="auto"/>
        </w:rPr>
      </w:pPr>
    </w:p>
    <w:p>
      <w:pPr>
        <w:ind w:right="460" w:firstLine="860"/>
        <w:spacing w:after="0" w:line="266" w:lineRule="auto"/>
        <w:tabs>
          <w:tab w:leader="none" w:pos="1079" w:val="left"/>
        </w:tabs>
        <w:numPr>
          <w:ilvl w:val="1"/>
          <w:numId w:val="572"/>
        </w:numPr>
        <w:rPr>
          <w:rFonts w:ascii="Arial" w:cs="Arial" w:eastAsia="Arial" w:hAnsi="Arial"/>
          <w:sz w:val="16"/>
          <w:szCs w:val="16"/>
          <w:color w:val="auto"/>
        </w:rPr>
      </w:pPr>
      <w:r>
        <w:rPr>
          <w:rFonts w:ascii="Arial" w:cs="Arial" w:eastAsia="Arial" w:hAnsi="Arial"/>
          <w:sz w:val="16"/>
          <w:szCs w:val="16"/>
          <w:u w:val="single" w:color="auto"/>
          <w:color w:val="auto"/>
        </w:rPr>
        <w:t>Cash Severance Benefits</w:t>
      </w:r>
      <w:r>
        <w:rPr>
          <w:rFonts w:ascii="Arial" w:cs="Arial" w:eastAsia="Arial" w:hAnsi="Arial"/>
          <w:sz w:val="16"/>
          <w:szCs w:val="16"/>
          <w:color w:val="auto"/>
        </w:rPr>
        <w:t>. A lump sum payment equal to [</w:t>
      </w:r>
      <w:r>
        <w:rPr>
          <w:rFonts w:ascii="Arial" w:cs="Arial" w:eastAsia="Arial" w:hAnsi="Arial"/>
          <w:sz w:val="16"/>
          <w:szCs w:val="16"/>
          <w:i w:val="1"/>
          <w:iCs w:val="1"/>
          <w:color w:val="auto"/>
        </w:rPr>
        <w:t>CEO:</w:t>
      </w:r>
      <w:r>
        <w:rPr>
          <w:rFonts w:ascii="Arial" w:cs="Arial" w:eastAsia="Arial" w:hAnsi="Arial"/>
          <w:sz w:val="16"/>
          <w:szCs w:val="16"/>
          <w:color w:val="auto"/>
        </w:rPr>
        <w:t xml:space="preserve"> 12; </w:t>
      </w:r>
      <w:r>
        <w:rPr>
          <w:rFonts w:ascii="Arial" w:cs="Arial" w:eastAsia="Arial" w:hAnsi="Arial"/>
          <w:sz w:val="16"/>
          <w:szCs w:val="16"/>
          <w:i w:val="1"/>
          <w:iCs w:val="1"/>
          <w:color w:val="auto"/>
        </w:rPr>
        <w:t>Tier 2:</w:t>
      </w:r>
      <w:r>
        <w:rPr>
          <w:rFonts w:ascii="Arial" w:cs="Arial" w:eastAsia="Arial" w:hAnsi="Arial"/>
          <w:sz w:val="16"/>
          <w:szCs w:val="16"/>
          <w:color w:val="auto"/>
        </w:rPr>
        <w:t xml:space="preserve"> 9; </w:t>
      </w:r>
      <w:r>
        <w:rPr>
          <w:rFonts w:ascii="Arial" w:cs="Arial" w:eastAsia="Arial" w:hAnsi="Arial"/>
          <w:sz w:val="16"/>
          <w:szCs w:val="16"/>
          <w:i w:val="1"/>
          <w:iCs w:val="1"/>
          <w:color w:val="auto"/>
        </w:rPr>
        <w:t>Tier 3:</w:t>
      </w:r>
      <w:r>
        <w:rPr>
          <w:rFonts w:ascii="Arial" w:cs="Arial" w:eastAsia="Arial" w:hAnsi="Arial"/>
          <w:sz w:val="16"/>
          <w:szCs w:val="16"/>
          <w:color w:val="auto"/>
        </w:rPr>
        <w:t xml:space="preserve"> 6] months of your annual base salary (less applicable withholding taxes).</w:t>
      </w:r>
    </w:p>
    <w:p>
      <w:pPr>
        <w:spacing w:after="0" w:line="158" w:lineRule="exact"/>
        <w:rPr>
          <w:rFonts w:ascii="Arial" w:cs="Arial" w:eastAsia="Arial" w:hAnsi="Arial"/>
          <w:sz w:val="16"/>
          <w:szCs w:val="16"/>
          <w:color w:val="auto"/>
        </w:rPr>
      </w:pPr>
    </w:p>
    <w:p>
      <w:pPr>
        <w:ind w:right="20" w:firstLine="860"/>
        <w:spacing w:after="0" w:line="256" w:lineRule="auto"/>
        <w:tabs>
          <w:tab w:leader="none" w:pos="1088" w:val="left"/>
        </w:tabs>
        <w:numPr>
          <w:ilvl w:val="1"/>
          <w:numId w:val="572"/>
        </w:numPr>
        <w:rPr>
          <w:rFonts w:ascii="Arial" w:cs="Arial" w:eastAsia="Arial" w:hAnsi="Arial"/>
          <w:sz w:val="16"/>
          <w:szCs w:val="16"/>
          <w:color w:val="auto"/>
        </w:rPr>
      </w:pPr>
      <w:r>
        <w:rPr>
          <w:rFonts w:ascii="Arial" w:cs="Arial" w:eastAsia="Arial" w:hAnsi="Arial"/>
          <w:sz w:val="16"/>
          <w:szCs w:val="16"/>
          <w:u w:val="single" w:color="auto"/>
          <w:color w:val="auto"/>
        </w:rPr>
        <w:t>Continued Medical Benefits.</w:t>
      </w:r>
      <w:r>
        <w:rPr>
          <w:rFonts w:ascii="Arial" w:cs="Arial" w:eastAsia="Arial" w:hAnsi="Arial"/>
          <w:sz w:val="16"/>
          <w:szCs w:val="16"/>
          <w:color w:val="auto"/>
        </w:rPr>
        <w:t xml:space="preserve"> Your reimbursement of continued health coverage under COBRA or a taxable lump sum payment in lieu of reimbursement, as applicable, and as described in Section 4(b) of the Plan will be provided for a period of [</w:t>
      </w:r>
      <w:r>
        <w:rPr>
          <w:rFonts w:ascii="Arial" w:cs="Arial" w:eastAsia="Arial" w:hAnsi="Arial"/>
          <w:sz w:val="16"/>
          <w:szCs w:val="16"/>
          <w:i w:val="1"/>
          <w:iCs w:val="1"/>
          <w:color w:val="auto"/>
        </w:rPr>
        <w:t>CEO:</w:t>
      </w:r>
      <w:r>
        <w:rPr>
          <w:rFonts w:ascii="Arial" w:cs="Arial" w:eastAsia="Arial" w:hAnsi="Arial"/>
          <w:sz w:val="16"/>
          <w:szCs w:val="16"/>
          <w:color w:val="auto"/>
        </w:rPr>
        <w:t xml:space="preserve"> 12; </w:t>
      </w:r>
      <w:r>
        <w:rPr>
          <w:rFonts w:ascii="Arial" w:cs="Arial" w:eastAsia="Arial" w:hAnsi="Arial"/>
          <w:sz w:val="16"/>
          <w:szCs w:val="16"/>
          <w:i w:val="1"/>
          <w:iCs w:val="1"/>
          <w:color w:val="auto"/>
        </w:rPr>
        <w:t>Tier 2:</w:t>
      </w:r>
      <w:r>
        <w:rPr>
          <w:rFonts w:ascii="Arial" w:cs="Arial" w:eastAsia="Arial" w:hAnsi="Arial"/>
          <w:sz w:val="16"/>
          <w:szCs w:val="16"/>
          <w:color w:val="auto"/>
        </w:rPr>
        <w:t xml:space="preserve"> 12; </w:t>
      </w:r>
      <w:r>
        <w:rPr>
          <w:rFonts w:ascii="Arial" w:cs="Arial" w:eastAsia="Arial" w:hAnsi="Arial"/>
          <w:sz w:val="16"/>
          <w:szCs w:val="16"/>
          <w:i w:val="1"/>
          <w:iCs w:val="1"/>
          <w:color w:val="auto"/>
        </w:rPr>
        <w:t>Tier 3:</w:t>
      </w:r>
      <w:r>
        <w:rPr>
          <w:rFonts w:ascii="Arial" w:cs="Arial" w:eastAsia="Arial" w:hAnsi="Arial"/>
          <w:sz w:val="16"/>
          <w:szCs w:val="16"/>
          <w:color w:val="auto"/>
        </w:rPr>
        <w:t xml:space="preserve"> 9] months following the date of your Qualifying Termination.</w:t>
      </w:r>
    </w:p>
    <w:p>
      <w:pPr>
        <w:spacing w:after="0" w:line="165" w:lineRule="exact"/>
        <w:rPr>
          <w:rFonts w:ascii="Arial" w:cs="Arial" w:eastAsia="Arial" w:hAnsi="Arial"/>
          <w:sz w:val="16"/>
          <w:szCs w:val="16"/>
          <w:color w:val="auto"/>
        </w:rPr>
      </w:pPr>
    </w:p>
    <w:p>
      <w:pPr>
        <w:ind w:left="540" w:hanging="162"/>
        <w:spacing w:after="0"/>
        <w:tabs>
          <w:tab w:leader="none" w:pos="540" w:val="left"/>
        </w:tabs>
        <w:numPr>
          <w:ilvl w:val="0"/>
          <w:numId w:val="572"/>
        </w:numPr>
        <w:rPr>
          <w:rFonts w:ascii="Arial" w:cs="Arial" w:eastAsia="Arial" w:hAnsi="Arial"/>
          <w:sz w:val="15"/>
          <w:szCs w:val="15"/>
          <w:color w:val="auto"/>
        </w:rPr>
      </w:pPr>
      <w:r>
        <w:rPr>
          <w:rFonts w:ascii="Arial" w:cs="Arial" w:eastAsia="Arial" w:hAnsi="Arial"/>
          <w:sz w:val="15"/>
          <w:szCs w:val="15"/>
          <w:u w:val="single" w:color="auto"/>
          <w:color w:val="auto"/>
        </w:rPr>
        <w:t>CIC Qualifying Termination</w:t>
      </w:r>
      <w:r>
        <w:rPr>
          <w:rFonts w:ascii="Arial" w:cs="Arial" w:eastAsia="Arial" w:hAnsi="Arial"/>
          <w:sz w:val="15"/>
          <w:szCs w:val="15"/>
          <w:color w:val="auto"/>
        </w:rPr>
        <w:t>. Upon your CIC Qualifying Termination, subject to the terms and conditions of the Plan, you will receive:</w:t>
      </w:r>
    </w:p>
    <w:p>
      <w:pPr>
        <w:spacing w:after="0" w:line="204" w:lineRule="exact"/>
        <w:rPr>
          <w:rFonts w:ascii="Arial" w:cs="Arial" w:eastAsia="Arial" w:hAnsi="Arial"/>
          <w:sz w:val="15"/>
          <w:szCs w:val="15"/>
          <w:color w:val="auto"/>
        </w:rPr>
      </w:pPr>
    </w:p>
    <w:p>
      <w:pPr>
        <w:ind w:right="60" w:firstLine="860"/>
        <w:spacing w:after="0" w:line="256" w:lineRule="auto"/>
        <w:tabs>
          <w:tab w:leader="none" w:pos="1079" w:val="left"/>
        </w:tabs>
        <w:numPr>
          <w:ilvl w:val="1"/>
          <w:numId w:val="572"/>
        </w:numPr>
        <w:rPr>
          <w:rFonts w:ascii="Arial" w:cs="Arial" w:eastAsia="Arial" w:hAnsi="Arial"/>
          <w:sz w:val="16"/>
          <w:szCs w:val="16"/>
          <w:color w:val="auto"/>
        </w:rPr>
      </w:pPr>
      <w:r>
        <w:rPr>
          <w:rFonts w:ascii="Arial" w:cs="Arial" w:eastAsia="Arial" w:hAnsi="Arial"/>
          <w:sz w:val="16"/>
          <w:szCs w:val="16"/>
          <w:u w:val="single" w:color="auto"/>
          <w:color w:val="auto"/>
        </w:rPr>
        <w:t>Cash Severance Benefits</w:t>
      </w:r>
      <w:r>
        <w:rPr>
          <w:rFonts w:ascii="Arial" w:cs="Arial" w:eastAsia="Arial" w:hAnsi="Arial"/>
          <w:sz w:val="16"/>
          <w:szCs w:val="16"/>
          <w:color w:val="auto"/>
        </w:rPr>
        <w:t>. A lump-sum payment equal to [</w:t>
      </w:r>
      <w:r>
        <w:rPr>
          <w:rFonts w:ascii="Arial" w:cs="Arial" w:eastAsia="Arial" w:hAnsi="Arial"/>
          <w:sz w:val="16"/>
          <w:szCs w:val="16"/>
          <w:i w:val="1"/>
          <w:iCs w:val="1"/>
          <w:color w:val="auto"/>
        </w:rPr>
        <w:t>CEO:</w:t>
      </w:r>
      <w:r>
        <w:rPr>
          <w:rFonts w:ascii="Arial" w:cs="Arial" w:eastAsia="Arial" w:hAnsi="Arial"/>
          <w:sz w:val="16"/>
          <w:szCs w:val="16"/>
          <w:color w:val="auto"/>
        </w:rPr>
        <w:t xml:space="preserve"> (i) 12 months of your annual base salary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100% of your target annual bonus for the year in which your CIC Qualifying Termination occurs] [</w:t>
      </w:r>
      <w:r>
        <w:rPr>
          <w:rFonts w:ascii="Arial" w:cs="Arial" w:eastAsia="Arial" w:hAnsi="Arial"/>
          <w:sz w:val="16"/>
          <w:szCs w:val="16"/>
          <w:i w:val="1"/>
          <w:iCs w:val="1"/>
          <w:color w:val="auto"/>
        </w:rPr>
        <w:t>Tier 2:</w:t>
      </w:r>
      <w:r>
        <w:rPr>
          <w:rFonts w:ascii="Arial" w:cs="Arial" w:eastAsia="Arial" w:hAnsi="Arial"/>
          <w:sz w:val="16"/>
          <w:szCs w:val="16"/>
          <w:color w:val="auto"/>
        </w:rPr>
        <w:t xml:space="preserve"> 12; </w:t>
      </w:r>
      <w:r>
        <w:rPr>
          <w:rFonts w:ascii="Arial" w:cs="Arial" w:eastAsia="Arial" w:hAnsi="Arial"/>
          <w:sz w:val="16"/>
          <w:szCs w:val="16"/>
          <w:i w:val="1"/>
          <w:iCs w:val="1"/>
          <w:color w:val="auto"/>
        </w:rPr>
        <w:t>Tier 3:</w:t>
      </w:r>
      <w:r>
        <w:rPr>
          <w:rFonts w:ascii="Arial" w:cs="Arial" w:eastAsia="Arial" w:hAnsi="Arial"/>
          <w:sz w:val="16"/>
          <w:szCs w:val="16"/>
          <w:color w:val="auto"/>
        </w:rPr>
        <w:t xml:space="preserve"> 9] months of your annual base salary (less applicable withholding taxes).</w:t>
      </w:r>
    </w:p>
    <w:p>
      <w:pPr>
        <w:spacing w:after="0" w:line="165" w:lineRule="exact"/>
        <w:rPr>
          <w:rFonts w:ascii="Arial" w:cs="Arial" w:eastAsia="Arial" w:hAnsi="Arial"/>
          <w:sz w:val="16"/>
          <w:szCs w:val="16"/>
          <w:color w:val="auto"/>
        </w:rPr>
      </w:pPr>
    </w:p>
    <w:p>
      <w:pPr>
        <w:ind w:right="20" w:firstLine="860"/>
        <w:spacing w:after="0" w:line="256" w:lineRule="auto"/>
        <w:tabs>
          <w:tab w:leader="none" w:pos="1088" w:val="left"/>
        </w:tabs>
        <w:numPr>
          <w:ilvl w:val="1"/>
          <w:numId w:val="572"/>
        </w:numPr>
        <w:rPr>
          <w:rFonts w:ascii="Arial" w:cs="Arial" w:eastAsia="Arial" w:hAnsi="Arial"/>
          <w:sz w:val="16"/>
          <w:szCs w:val="16"/>
          <w:color w:val="auto"/>
        </w:rPr>
      </w:pPr>
      <w:r>
        <w:rPr>
          <w:rFonts w:ascii="Arial" w:cs="Arial" w:eastAsia="Arial" w:hAnsi="Arial"/>
          <w:sz w:val="16"/>
          <w:szCs w:val="16"/>
          <w:u w:val="single" w:color="auto"/>
          <w:color w:val="auto"/>
        </w:rPr>
        <w:t>Continued Medical Benefits</w:t>
      </w:r>
      <w:r>
        <w:rPr>
          <w:rFonts w:ascii="Arial" w:cs="Arial" w:eastAsia="Arial" w:hAnsi="Arial"/>
          <w:sz w:val="16"/>
          <w:szCs w:val="16"/>
          <w:color w:val="auto"/>
        </w:rPr>
        <w:t>. Your reimbursement of continued health coverage under COBRA or a taxable lump sum payment in lieu of reimbursement, as applicable, and as described in Section 4(b) of the Plan, will be provided for a period of [</w:t>
      </w:r>
      <w:r>
        <w:rPr>
          <w:rFonts w:ascii="Arial" w:cs="Arial" w:eastAsia="Arial" w:hAnsi="Arial"/>
          <w:sz w:val="16"/>
          <w:szCs w:val="16"/>
          <w:i w:val="1"/>
          <w:iCs w:val="1"/>
          <w:color w:val="auto"/>
        </w:rPr>
        <w:t>CEO:</w:t>
      </w:r>
      <w:r>
        <w:rPr>
          <w:rFonts w:ascii="Arial" w:cs="Arial" w:eastAsia="Arial" w:hAnsi="Arial"/>
          <w:sz w:val="16"/>
          <w:szCs w:val="16"/>
          <w:color w:val="auto"/>
        </w:rPr>
        <w:t xml:space="preserve"> 12; </w:t>
      </w:r>
      <w:r>
        <w:rPr>
          <w:rFonts w:ascii="Arial" w:cs="Arial" w:eastAsia="Arial" w:hAnsi="Arial"/>
          <w:sz w:val="16"/>
          <w:szCs w:val="16"/>
          <w:i w:val="1"/>
          <w:iCs w:val="1"/>
          <w:color w:val="auto"/>
        </w:rPr>
        <w:t>Tier 2:</w:t>
      </w:r>
      <w:r>
        <w:rPr>
          <w:rFonts w:ascii="Arial" w:cs="Arial" w:eastAsia="Arial" w:hAnsi="Arial"/>
          <w:sz w:val="16"/>
          <w:szCs w:val="16"/>
          <w:color w:val="auto"/>
        </w:rPr>
        <w:t xml:space="preserve"> 12; </w:t>
      </w:r>
      <w:r>
        <w:rPr>
          <w:rFonts w:ascii="Arial" w:cs="Arial" w:eastAsia="Arial" w:hAnsi="Arial"/>
          <w:sz w:val="16"/>
          <w:szCs w:val="16"/>
          <w:i w:val="1"/>
          <w:iCs w:val="1"/>
          <w:color w:val="auto"/>
        </w:rPr>
        <w:t>Tier 3:</w:t>
      </w:r>
      <w:r>
        <w:rPr>
          <w:rFonts w:ascii="Arial" w:cs="Arial" w:eastAsia="Arial" w:hAnsi="Arial"/>
          <w:sz w:val="16"/>
          <w:szCs w:val="16"/>
          <w:color w:val="auto"/>
        </w:rPr>
        <w:t xml:space="preserve"> 9] months following the date of your Qualifying Termination.</w:t>
      </w:r>
    </w:p>
    <w:p>
      <w:pPr>
        <w:spacing w:after="0" w:line="165" w:lineRule="exact"/>
        <w:rPr>
          <w:rFonts w:ascii="Arial" w:cs="Arial" w:eastAsia="Arial" w:hAnsi="Arial"/>
          <w:sz w:val="16"/>
          <w:szCs w:val="16"/>
          <w:color w:val="auto"/>
        </w:rPr>
      </w:pPr>
    </w:p>
    <w:p>
      <w:pPr>
        <w:ind w:firstLine="860"/>
        <w:spacing w:after="0" w:line="270" w:lineRule="auto"/>
        <w:tabs>
          <w:tab w:leader="none" w:pos="1079" w:val="left"/>
        </w:tabs>
        <w:numPr>
          <w:ilvl w:val="1"/>
          <w:numId w:val="572"/>
        </w:numPr>
        <w:rPr>
          <w:rFonts w:ascii="Arial" w:cs="Arial" w:eastAsia="Arial" w:hAnsi="Arial"/>
          <w:sz w:val="15"/>
          <w:szCs w:val="15"/>
          <w:color w:val="auto"/>
        </w:rPr>
      </w:pPr>
      <w:r>
        <w:rPr>
          <w:rFonts w:ascii="Arial" w:cs="Arial" w:eastAsia="Arial" w:hAnsi="Arial"/>
          <w:sz w:val="15"/>
          <w:szCs w:val="15"/>
          <w:u w:val="single" w:color="auto"/>
          <w:color w:val="auto"/>
        </w:rPr>
        <w:t>Equity Award Vesting Acceleration</w:t>
      </w:r>
      <w:r>
        <w:rPr>
          <w:rFonts w:ascii="Arial" w:cs="Arial" w:eastAsia="Arial" w:hAnsi="Arial"/>
          <w:sz w:val="15"/>
          <w:szCs w:val="15"/>
          <w:color w:val="auto"/>
        </w:rPr>
        <w:t>. 100% of your then-outstanding and unvested Equity Awards will become vested in full and, to the extent applicable, become immediately exercisable [</w:t>
      </w:r>
      <w:r>
        <w:rPr>
          <w:rFonts w:ascii="Arial" w:cs="Arial" w:eastAsia="Arial" w:hAnsi="Arial"/>
          <w:sz w:val="15"/>
          <w:szCs w:val="15"/>
          <w:i w:val="1"/>
          <w:iCs w:val="1"/>
          <w:color w:val="auto"/>
        </w:rPr>
        <w:t>CEO ONLY:</w:t>
      </w:r>
      <w:r>
        <w:rPr>
          <w:rFonts w:ascii="Arial" w:cs="Arial" w:eastAsia="Arial" w:hAnsi="Arial"/>
          <w:sz w:val="15"/>
          <w:szCs w:val="15"/>
          <w:color w:val="auto"/>
        </w:rPr>
        <w:t xml:space="preserve"> (it being understood that forfeiture of any equity awards due to termination of employment will be tolled to the extent necessary to implement this section (c))]. If, however, an outstanding Equity Award is to vest and/or the amount of the award to vest is to be determined based on the achievement of performance criteria, then, unless otherwise set forth in the award agreement governing the Equity Award, the Equity Award will vest as to 100% of the amount of the Equity Award assuming the performance criteria had been achieved at target levels for the relevant performance period(s).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540"/>
          </w:cols>
          <w:pgMar w:left="1140" w:top="257" w:right="1219" w:bottom="1440" w:gutter="0" w:footer="0" w:header="0"/>
        </w:sectPr>
      </w:pPr>
    </w:p>
    <w:bookmarkStart w:id="746" w:name="page747"/>
    <w:bookmarkEnd w:id="746"/>
    <w:p>
      <w:pPr>
        <w:ind w:firstLine="378"/>
        <w:spacing w:after="0" w:line="249" w:lineRule="auto"/>
        <w:tabs>
          <w:tab w:leader="none" w:pos="542" w:val="left"/>
        </w:tabs>
        <w:numPr>
          <w:ilvl w:val="0"/>
          <w:numId w:val="5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t>
      </w:r>
      <w:r>
        <w:rPr>
          <w:rFonts w:ascii="Arial" w:cs="Arial" w:eastAsia="Arial" w:hAnsi="Arial"/>
          <w:sz w:val="16"/>
          <w:szCs w:val="16"/>
          <w:i w:val="1"/>
          <w:iCs w:val="1"/>
          <w:color w:val="auto"/>
        </w:rPr>
        <w:t>CEO ONLY:</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Non-Duplication of Payment or Benefits</w:t>
      </w:r>
      <w:r>
        <w:rPr>
          <w:rFonts w:ascii="Arial" w:cs="Arial" w:eastAsia="Arial" w:hAnsi="Arial"/>
          <w:sz w:val="16"/>
          <w:szCs w:val="16"/>
          <w:color w:val="auto"/>
        </w:rPr>
        <w:t>. If (a) your Qualifying Termination occurs prior to a Change in Control that qualifies you for Severance Benefits under Section 1 of this Participation Agreement and (b) a Change in Control occurs within the 3-month period following your Qualifying Termination that qualifies you for the superior Severance Benefits under Section 2 of this Participation Agreement, then (i) you will cease receiving any further payments or benefits under Section 1 of this Participation Agreement and (ii) the Cash Severance Benefits, Continued Medical Benefits, and Equity Award Vesting Acceleration, as applicable, otherwise payable under Section 2 of this Participation Agreement each will be offset by the corresponding payments or benefits you already received under Section 1 of this Participation Agreement in connection your Qualifying Termination (if any).]</w:t>
      </w:r>
    </w:p>
    <w:p>
      <w:pPr>
        <w:spacing w:after="0" w:line="172" w:lineRule="exact"/>
        <w:rPr>
          <w:rFonts w:ascii="Arial" w:cs="Arial" w:eastAsia="Arial" w:hAnsi="Arial"/>
          <w:sz w:val="16"/>
          <w:szCs w:val="16"/>
          <w:color w:val="auto"/>
        </w:rPr>
      </w:pPr>
    </w:p>
    <w:p>
      <w:pPr>
        <w:ind w:firstLine="378"/>
        <w:spacing w:after="0" w:line="250" w:lineRule="auto"/>
        <w:tabs>
          <w:tab w:leader="none" w:pos="542" w:val="left"/>
        </w:tabs>
        <w:numPr>
          <w:ilvl w:val="0"/>
          <w:numId w:val="573"/>
        </w:numPr>
        <w:rPr>
          <w:rFonts w:ascii="Arial" w:cs="Arial" w:eastAsia="Arial" w:hAnsi="Arial"/>
          <w:sz w:val="16"/>
          <w:szCs w:val="16"/>
          <w:color w:val="auto"/>
        </w:rPr>
      </w:pPr>
      <w:r>
        <w:rPr>
          <w:rFonts w:ascii="Arial" w:cs="Arial" w:eastAsia="Arial" w:hAnsi="Arial"/>
          <w:sz w:val="16"/>
          <w:szCs w:val="16"/>
          <w:u w:val="single" w:color="auto"/>
          <w:color w:val="auto"/>
        </w:rPr>
        <w:t>Exclusive Benefit</w:t>
      </w:r>
      <w:r>
        <w:rPr>
          <w:rFonts w:ascii="Arial" w:cs="Arial" w:eastAsia="Arial" w:hAnsi="Arial"/>
          <w:sz w:val="16"/>
          <w:szCs w:val="16"/>
          <w:color w:val="auto"/>
        </w:rPr>
        <w:t>. In accordance with Section 8 of the Plan, the benefits, if any, provided under this Plan will be the exclusive benefits for a Participant related to his or her termination of employment with the Company and/or a change in control of the Company and will supersede and replace any severance and/or change in control benefits set forth in any offer letter, employment or severance agreement and/or other agreement between the Participant and the Company, including any equity award agreement. For the avoidance of doubt, if you were otherwise eligible to participate in any other Company severance and/or change in control plan (whether or not subject to ERISA), then participation in this Plan will supersede and replace eligibility in such other plan.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order to receive any Severance Benefits for which you otherwise become eligible under the Plan, you must sign and deliver to the Company the Release, which must have become effective and irrevocable within the requisite period, and otherwise comply with the requirements under Section 6 of the Plan.</w:t>
      </w:r>
    </w:p>
    <w:p>
      <w:pPr>
        <w:spacing w:after="0" w:line="166" w:lineRule="exact"/>
        <w:rPr>
          <w:sz w:val="20"/>
          <w:szCs w:val="20"/>
          <w:color w:val="auto"/>
        </w:rPr>
      </w:pPr>
    </w:p>
    <w:p>
      <w:pPr>
        <w:ind w:right="60"/>
        <w:spacing w:after="0" w:line="323" w:lineRule="auto"/>
        <w:rPr>
          <w:sz w:val="20"/>
          <w:szCs w:val="20"/>
          <w:color w:val="auto"/>
        </w:rPr>
      </w:pPr>
      <w:r>
        <w:rPr>
          <w:rFonts w:ascii="Arial" w:cs="Arial" w:eastAsia="Arial" w:hAnsi="Arial"/>
          <w:sz w:val="13"/>
          <w:szCs w:val="13"/>
          <w:color w:val="auto"/>
        </w:rPr>
        <w:t>By your signature below, you and the Company agree that your participation in the Plan is governed by this Participation Agreement and the provisions of the Plan. Your signature below confirms that: (1) you have received a copy of the Executive Change in Control and Severance Plan and Summary Plan Description; (2) you have carefully read this Participation Agreement and the Executive Change in Control and Severance Plan and Summary Plan Description and you acknowledge and agree to its terms in accordance with the terms of the Plan and this Participation Agreement; and (3) decisions and determinations by the Administrator under the Plan will be final and binding on you and your successors.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follows]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00"/>
          </w:cols>
          <w:pgMar w:left="1140" w:top="256" w:right="1159" w:bottom="1440" w:gutter="0" w:footer="0" w:header="0"/>
        </w:sectPr>
      </w:pPr>
    </w:p>
    <w:bookmarkStart w:id="747" w:name="page748"/>
    <w:bookmarkEnd w:id="747"/>
    <w:tbl>
      <w:tblPr>
        <w:tblLayout w:type="fixed"/>
        <w:tblInd w:w="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Arial" w:cs="Arial" w:eastAsia="Arial" w:hAnsi="Arial"/>
                <w:sz w:val="16"/>
                <w:szCs w:val="16"/>
                <w:b w:val="1"/>
                <w:bCs w:val="1"/>
                <w:color w:val="auto"/>
              </w:rPr>
              <w:t>TENAYA THERAPEUTICS, INC.</w:t>
            </w:r>
          </w:p>
        </w:tc>
        <w:tc>
          <w:tcPr>
            <w:tcW w:w="5100" w:type="dxa"/>
            <w:vAlign w:val="bottom"/>
            <w:gridSpan w:val="2"/>
          </w:tcPr>
          <w:p>
            <w:pPr>
              <w:ind w:left="580"/>
              <w:spacing w:after="0"/>
              <w:rPr>
                <w:sz w:val="20"/>
                <w:szCs w:val="20"/>
                <w:color w:val="auto"/>
              </w:rPr>
            </w:pPr>
            <w:r>
              <w:rPr>
                <w:rFonts w:ascii="Arial" w:cs="Arial" w:eastAsia="Arial" w:hAnsi="Arial"/>
                <w:sz w:val="16"/>
                <w:szCs w:val="16"/>
                <w:b w:val="1"/>
                <w:bCs w:val="1"/>
                <w:color w:val="auto"/>
              </w:rPr>
              <w:t>PARTICIPANT</w:t>
            </w:r>
          </w:p>
        </w:tc>
      </w:tr>
      <w:tr>
        <w:trPr>
          <w:trHeight w:val="378"/>
        </w:trPr>
        <w:tc>
          <w:tcPr>
            <w:tcW w:w="45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192"/>
        </w:trPr>
        <w:tc>
          <w:tcPr>
            <w:tcW w:w="4520" w:type="dxa"/>
            <w:vAlign w:val="bottom"/>
          </w:tcPr>
          <w:p>
            <w:pPr>
              <w:spacing w:after="0"/>
              <w:rPr>
                <w:sz w:val="20"/>
                <w:szCs w:val="20"/>
                <w:color w:val="auto"/>
              </w:rPr>
            </w:pPr>
            <w:r>
              <w:rPr>
                <w:rFonts w:ascii="Arial" w:cs="Arial" w:eastAsia="Arial" w:hAnsi="Arial"/>
                <w:sz w:val="16"/>
                <w:szCs w:val="16"/>
                <w:color w:val="auto"/>
              </w:rPr>
              <w:t>Signature</w:t>
            </w:r>
          </w:p>
        </w:tc>
        <w:tc>
          <w:tcPr>
            <w:tcW w:w="58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Signature</w:t>
            </w:r>
          </w:p>
        </w:tc>
      </w:tr>
      <w:tr>
        <w:trPr>
          <w:trHeight w:val="378"/>
        </w:trPr>
        <w:tc>
          <w:tcPr>
            <w:tcW w:w="4520" w:type="dxa"/>
            <w:vAlign w:val="bottom"/>
          </w:tcPr>
          <w:p>
            <w:pPr>
              <w:spacing w:after="0"/>
              <w:rPr>
                <w:sz w:val="24"/>
                <w:szCs w:val="24"/>
                <w:color w:val="auto"/>
              </w:rPr>
            </w:pPr>
          </w:p>
        </w:tc>
        <w:tc>
          <w:tcPr>
            <w:tcW w:w="5100" w:type="dxa"/>
            <w:vAlign w:val="bottom"/>
            <w:gridSpan w:val="2"/>
          </w:tcPr>
          <w:p>
            <w:pPr>
              <w:spacing w:after="0"/>
              <w:rPr>
                <w:sz w:val="24"/>
                <w:szCs w:val="24"/>
                <w:color w:val="auto"/>
              </w:rPr>
            </w:pPr>
          </w:p>
        </w:tc>
      </w:tr>
      <w:tr>
        <w:trPr>
          <w:trHeight w:val="192"/>
        </w:trPr>
        <w:tc>
          <w:tcPr>
            <w:tcW w:w="4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580" w:type="dxa"/>
            <w:vAlign w:val="bottom"/>
          </w:tcPr>
          <w:p>
            <w:pPr>
              <w:spacing w:after="0"/>
              <w:rPr>
                <w:sz w:val="16"/>
                <w:szCs w:val="16"/>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r>
      <w:tr>
        <w:trPr>
          <w:trHeight w:val="378"/>
        </w:trPr>
        <w:tc>
          <w:tcPr>
            <w:tcW w:w="4520" w:type="dxa"/>
            <w:vAlign w:val="bottom"/>
          </w:tcPr>
          <w:p>
            <w:pPr>
              <w:spacing w:after="0"/>
              <w:rPr>
                <w:sz w:val="24"/>
                <w:szCs w:val="24"/>
                <w:color w:val="auto"/>
              </w:rPr>
            </w:pPr>
          </w:p>
        </w:tc>
        <w:tc>
          <w:tcPr>
            <w:tcW w:w="5100" w:type="dxa"/>
            <w:vAlign w:val="bottom"/>
            <w:gridSpan w:val="2"/>
          </w:tcPr>
          <w:p>
            <w:pPr>
              <w:spacing w:after="0"/>
              <w:rPr>
                <w:sz w:val="24"/>
                <w:szCs w:val="24"/>
                <w:color w:val="auto"/>
              </w:rPr>
            </w:pPr>
          </w:p>
        </w:tc>
      </w:tr>
      <w:tr>
        <w:trPr>
          <w:trHeight w:val="192"/>
        </w:trPr>
        <w:tc>
          <w:tcPr>
            <w:tcW w:w="4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Title</w:t>
            </w:r>
          </w:p>
        </w:tc>
        <w:tc>
          <w:tcPr>
            <w:tcW w:w="580" w:type="dxa"/>
            <w:vAlign w:val="bottom"/>
          </w:tcPr>
          <w:p>
            <w:pPr>
              <w:spacing w:after="0"/>
              <w:rPr>
                <w:sz w:val="16"/>
                <w:szCs w:val="16"/>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Date</w:t>
            </w:r>
          </w:p>
        </w:tc>
      </w:tr>
    </w:tbl>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3280" w:right="2040" w:hanging="3281"/>
        <w:spacing w:after="0" w:line="483" w:lineRule="auto"/>
        <w:rPr>
          <w:sz w:val="20"/>
          <w:szCs w:val="20"/>
          <w:color w:val="auto"/>
        </w:rPr>
      </w:pPr>
      <w:r>
        <w:rPr>
          <w:rFonts w:ascii="Arial" w:cs="Arial" w:eastAsia="Arial" w:hAnsi="Arial"/>
          <w:sz w:val="15"/>
          <w:szCs w:val="15"/>
          <w:color w:val="auto"/>
        </w:rPr>
        <w:t xml:space="preserve">Attachment: Tenaya Therapeutics, Inc. Executive Change in Control and Severance Plan and Summary Plan Description </w:t>
      </w:r>
      <w:r>
        <w:rPr>
          <w:rFonts w:ascii="Arial" w:cs="Arial" w:eastAsia="Arial" w:hAnsi="Arial"/>
          <w:sz w:val="15"/>
          <w:szCs w:val="15"/>
          <w:i w:val="1"/>
          <w:iCs w:val="1"/>
          <w:color w:val="auto"/>
        </w:rPr>
        <w:t>[Signature page to the Participation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20"/>
          </w:cols>
          <w:pgMar w:left="1140" w:top="252" w:right="1139" w:bottom="1440" w:gutter="0" w:footer="0" w:header="0"/>
        </w:sectPr>
      </w:pPr>
    </w:p>
    <w:bookmarkStart w:id="748" w:name="page749"/>
    <w:bookmarkEnd w:id="748"/>
    <w:p>
      <w:pPr>
        <w:jc w:val="right"/>
        <w:spacing w:after="0"/>
        <w:rPr>
          <w:sz w:val="20"/>
          <w:szCs w:val="20"/>
          <w:color w:val="auto"/>
        </w:rPr>
      </w:pPr>
      <w:r>
        <w:rPr>
          <w:rFonts w:ascii="Arial" w:cs="Arial" w:eastAsia="Arial" w:hAnsi="Arial"/>
          <w:sz w:val="16"/>
          <w:szCs w:val="16"/>
          <w:b w:val="1"/>
          <w:bCs w:val="1"/>
          <w:color w:val="auto"/>
        </w:rPr>
        <w:t>Exhibit 10.13</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EXECUTIVE INCENTIVE COMPENSATION PLAN</w:t>
      </w:r>
    </w:p>
    <w:p>
      <w:pPr>
        <w:spacing w:after="0" w:line="197" w:lineRule="exact"/>
        <w:rPr>
          <w:sz w:val="20"/>
          <w:szCs w:val="20"/>
          <w:color w:val="auto"/>
        </w:rPr>
      </w:pPr>
    </w:p>
    <w:p>
      <w:pPr>
        <w:ind w:left="546" w:hanging="162"/>
        <w:spacing w:after="0"/>
        <w:tabs>
          <w:tab w:leader="none" w:pos="546" w:val="left"/>
        </w:tabs>
        <w:numPr>
          <w:ilvl w:val="1"/>
          <w:numId w:val="574"/>
        </w:numPr>
        <w:rPr>
          <w:rFonts w:ascii="Arial" w:cs="Arial" w:eastAsia="Arial" w:hAnsi="Arial"/>
          <w:sz w:val="15"/>
          <w:szCs w:val="15"/>
          <w:color w:val="auto"/>
        </w:rPr>
      </w:pPr>
      <w:r>
        <w:rPr>
          <w:rFonts w:ascii="Arial" w:cs="Arial" w:eastAsia="Arial" w:hAnsi="Arial"/>
          <w:sz w:val="15"/>
          <w:szCs w:val="15"/>
          <w:u w:val="single" w:color="auto"/>
          <w:color w:val="auto"/>
        </w:rPr>
        <w:t>Purposes of the Plan</w:t>
      </w:r>
      <w:r>
        <w:rPr>
          <w:rFonts w:ascii="Arial" w:cs="Arial" w:eastAsia="Arial" w:hAnsi="Arial"/>
          <w:sz w:val="15"/>
          <w:szCs w:val="15"/>
          <w:color w:val="auto"/>
        </w:rPr>
        <w:t>. The Plan is intended to increase stockholder value and the success of the Company by motivating Employees to</w:t>
      </w:r>
    </w:p>
    <w:p>
      <w:pPr>
        <w:spacing w:after="0" w:line="27" w:lineRule="exact"/>
        <w:rPr>
          <w:rFonts w:ascii="Arial" w:cs="Arial" w:eastAsia="Arial" w:hAnsi="Arial"/>
          <w:sz w:val="15"/>
          <w:szCs w:val="15"/>
          <w:color w:val="auto"/>
        </w:rPr>
      </w:pPr>
    </w:p>
    <w:p>
      <w:pPr>
        <w:ind w:left="206" w:hanging="206"/>
        <w:spacing w:after="0"/>
        <w:tabs>
          <w:tab w:leader="none" w:pos="206" w:val="left"/>
        </w:tabs>
        <w:numPr>
          <w:ilvl w:val="0"/>
          <w:numId w:val="575"/>
        </w:numPr>
        <w:rPr>
          <w:rFonts w:ascii="Arial" w:cs="Arial" w:eastAsia="Arial" w:hAnsi="Arial"/>
          <w:sz w:val="16"/>
          <w:szCs w:val="16"/>
          <w:color w:val="auto"/>
        </w:rPr>
      </w:pPr>
      <w:r>
        <w:rPr>
          <w:rFonts w:ascii="Arial" w:cs="Arial" w:eastAsia="Arial" w:hAnsi="Arial"/>
          <w:sz w:val="16"/>
          <w:szCs w:val="16"/>
          <w:color w:val="auto"/>
        </w:rPr>
        <w:t>perform to the best of their abilities and (b) achieve the Company’s objectives.</w:t>
      </w:r>
    </w:p>
    <w:p>
      <w:pPr>
        <w:spacing w:after="0" w:line="181" w:lineRule="exact"/>
        <w:rPr>
          <w:rFonts w:ascii="Arial" w:cs="Arial" w:eastAsia="Arial" w:hAnsi="Arial"/>
          <w:sz w:val="16"/>
          <w:szCs w:val="16"/>
          <w:color w:val="auto"/>
        </w:rPr>
      </w:pPr>
    </w:p>
    <w:p>
      <w:pPr>
        <w:ind w:left="546" w:hanging="162"/>
        <w:spacing w:after="0"/>
        <w:tabs>
          <w:tab w:leader="none" w:pos="546" w:val="left"/>
        </w:tabs>
        <w:numPr>
          <w:ilvl w:val="1"/>
          <w:numId w:val="57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93" w:lineRule="exact"/>
        <w:rPr>
          <w:sz w:val="20"/>
          <w:szCs w:val="20"/>
          <w:color w:val="auto"/>
        </w:rPr>
      </w:pPr>
    </w:p>
    <w:p>
      <w:pPr>
        <w:ind w:left="6" w:right="260" w:firstLine="866"/>
        <w:spacing w:after="0" w:line="266"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Actual Award</w:t>
      </w:r>
      <w:r>
        <w:rPr>
          <w:rFonts w:ascii="Arial" w:cs="Arial" w:eastAsia="Arial" w:hAnsi="Arial"/>
          <w:sz w:val="16"/>
          <w:szCs w:val="16"/>
          <w:color w:val="auto"/>
        </w:rPr>
        <w:t>” means as to any Performance Period, the actual award (if any) payable to a Participant for the Performance Period, subject to the authority of the Administrator (as defined in Section 3) under Section 4.4.</w:t>
      </w:r>
    </w:p>
    <w:p>
      <w:pPr>
        <w:spacing w:after="0" w:line="158" w:lineRule="exact"/>
        <w:rPr>
          <w:sz w:val="20"/>
          <w:szCs w:val="20"/>
          <w:color w:val="auto"/>
        </w:rPr>
      </w:pPr>
    </w:p>
    <w:p>
      <w:pPr>
        <w:ind w:left="6" w:right="80" w:firstLine="866"/>
        <w:spacing w:after="0" w:line="266" w:lineRule="auto"/>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Affiliate</w:t>
      </w:r>
      <w:r>
        <w:rPr>
          <w:rFonts w:ascii="Arial" w:cs="Arial" w:eastAsia="Arial" w:hAnsi="Arial"/>
          <w:sz w:val="16"/>
          <w:szCs w:val="16"/>
          <w:color w:val="auto"/>
        </w:rPr>
        <w:t>” means any corporation or other entity (including, but not limited to, partnerships and joint ventures) that, from time to time and at the time of any determination, directly or indirectly, is in control of or is controlled by the Company.</w:t>
      </w:r>
    </w:p>
    <w:p>
      <w:pPr>
        <w:spacing w:after="0" w:line="158" w:lineRule="exact"/>
        <w:rPr>
          <w:sz w:val="20"/>
          <w:szCs w:val="20"/>
          <w:color w:val="auto"/>
        </w:rPr>
      </w:pPr>
    </w:p>
    <w:p>
      <w:pPr>
        <w:ind w:left="866"/>
        <w:spacing w:after="0"/>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93" w:lineRule="exact"/>
        <w:rPr>
          <w:sz w:val="20"/>
          <w:szCs w:val="20"/>
          <w:color w:val="auto"/>
        </w:rPr>
      </w:pPr>
    </w:p>
    <w:p>
      <w:pPr>
        <w:ind w:left="6" w:right="340" w:firstLine="866"/>
        <w:spacing w:after="0" w:line="266"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Bonus Pool</w:t>
      </w:r>
      <w:r>
        <w:rPr>
          <w:rFonts w:ascii="Arial" w:cs="Arial" w:eastAsia="Arial" w:hAnsi="Arial"/>
          <w:sz w:val="16"/>
          <w:szCs w:val="16"/>
          <w:color w:val="auto"/>
        </w:rPr>
        <w:t>” means the pool of funds available for distribution to Participants. Subject to the terms of the Plan, the Administrator establishes the Bonus Pool for each Performance Period.</w:t>
      </w:r>
    </w:p>
    <w:p>
      <w:pPr>
        <w:spacing w:after="0" w:line="158" w:lineRule="exact"/>
        <w:rPr>
          <w:sz w:val="20"/>
          <w:szCs w:val="20"/>
          <w:color w:val="auto"/>
        </w:rPr>
      </w:pPr>
    </w:p>
    <w:p>
      <w:pPr>
        <w:ind w:left="6" w:right="320" w:firstLine="866"/>
        <w:spacing w:after="0" w:line="253"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spacing w:after="0" w:line="167" w:lineRule="exact"/>
        <w:rPr>
          <w:sz w:val="20"/>
          <w:szCs w:val="20"/>
          <w:color w:val="auto"/>
        </w:rPr>
      </w:pPr>
    </w:p>
    <w:p>
      <w:pPr>
        <w:ind w:left="866"/>
        <w:spacing w:after="0"/>
        <w:rPr>
          <w:sz w:val="20"/>
          <w:szCs w:val="20"/>
          <w:color w:val="auto"/>
        </w:rPr>
      </w:pPr>
      <w:r>
        <w:rPr>
          <w:rFonts w:ascii="Arial" w:cs="Arial" w:eastAsia="Arial" w:hAnsi="Arial"/>
          <w:sz w:val="16"/>
          <w:szCs w:val="16"/>
          <w:color w:val="auto"/>
        </w:rPr>
        <w:t>2.6 “</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appointed by the Board (pursuant to Section 3) to administer the Plan.</w:t>
      </w:r>
    </w:p>
    <w:p>
      <w:pPr>
        <w:spacing w:after="0" w:line="193" w:lineRule="exact"/>
        <w:rPr>
          <w:sz w:val="20"/>
          <w:szCs w:val="20"/>
          <w:color w:val="auto"/>
        </w:rPr>
      </w:pPr>
    </w:p>
    <w:p>
      <w:pPr>
        <w:ind w:left="866"/>
        <w:spacing w:after="0"/>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Company</w:t>
      </w:r>
      <w:r>
        <w:rPr>
          <w:rFonts w:ascii="Arial" w:cs="Arial" w:eastAsia="Arial" w:hAnsi="Arial"/>
          <w:sz w:val="16"/>
          <w:szCs w:val="16"/>
          <w:color w:val="auto"/>
        </w:rPr>
        <w:t>” means Tenaya Therapeutics, Inc., a Delaware corporation, or any successor thereto.</w:t>
      </w:r>
    </w:p>
    <w:p>
      <w:pPr>
        <w:spacing w:after="0" w:line="193" w:lineRule="exact"/>
        <w:rPr>
          <w:sz w:val="20"/>
          <w:szCs w:val="20"/>
          <w:color w:val="auto"/>
        </w:rPr>
      </w:pPr>
    </w:p>
    <w:p>
      <w:pPr>
        <w:ind w:left="866"/>
        <w:spacing w:after="0"/>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and any Parents, Subsidiaries, and Affiliates.</w:t>
      </w:r>
    </w:p>
    <w:p>
      <w:pPr>
        <w:spacing w:after="0" w:line="193" w:lineRule="exact"/>
        <w:rPr>
          <w:sz w:val="20"/>
          <w:szCs w:val="20"/>
          <w:color w:val="auto"/>
        </w:rPr>
      </w:pPr>
    </w:p>
    <w:p>
      <w:pPr>
        <w:ind w:left="6" w:right="160" w:firstLine="866"/>
        <w:spacing w:after="0" w:line="266"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Disability</w:t>
      </w:r>
      <w:r>
        <w:rPr>
          <w:rFonts w:ascii="Arial" w:cs="Arial" w:eastAsia="Arial" w:hAnsi="Arial"/>
          <w:sz w:val="16"/>
          <w:szCs w:val="16"/>
          <w:color w:val="auto"/>
        </w:rPr>
        <w:t>” means a permanent and total disability determined in accordance with uniform and nondiscriminatory standards adopted by the Administrator from time to time.</w:t>
      </w:r>
    </w:p>
    <w:p>
      <w:pPr>
        <w:spacing w:after="0" w:line="158" w:lineRule="exact"/>
        <w:rPr>
          <w:sz w:val="20"/>
          <w:szCs w:val="20"/>
          <w:color w:val="auto"/>
        </w:rPr>
      </w:pPr>
    </w:p>
    <w:p>
      <w:pPr>
        <w:ind w:left="6" w:right="160" w:firstLine="866"/>
        <w:spacing w:after="0" w:line="266"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Employee</w:t>
      </w:r>
      <w:r>
        <w:rPr>
          <w:rFonts w:ascii="Arial" w:cs="Arial" w:eastAsia="Arial" w:hAnsi="Arial"/>
          <w:sz w:val="16"/>
          <w:szCs w:val="16"/>
          <w:color w:val="auto"/>
        </w:rPr>
        <w:t>” means any executive, officer, or other employee of the Company Group, whether such individual is so employed at the time the Plan is adopted or becomes so employed subsequent to the adoption of the Plan.</w:t>
      </w:r>
    </w:p>
    <w:p>
      <w:pPr>
        <w:spacing w:after="0" w:line="158" w:lineRule="exact"/>
        <w:rPr>
          <w:sz w:val="20"/>
          <w:szCs w:val="20"/>
          <w:color w:val="auto"/>
        </w:rPr>
      </w:pPr>
    </w:p>
    <w:p>
      <w:pPr>
        <w:ind w:left="866"/>
        <w:spacing w:after="0"/>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fiscal year of the Company.</w:t>
      </w:r>
    </w:p>
    <w:p>
      <w:pPr>
        <w:sectPr>
          <w:pgSz w:w="11900" w:h="16838" w:orient="portrait"/>
          <w:cols w:equalWidth="0" w:num="1">
            <w:col w:w="9626"/>
          </w:cols>
          <w:pgMar w:left="1134" w:top="122" w:right="1139" w:bottom="1440" w:gutter="0" w:footer="0" w:header="0"/>
        </w:sectPr>
      </w:pPr>
    </w:p>
    <w:bookmarkStart w:id="749" w:name="page750"/>
    <w:bookmarkEnd w:id="749"/>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2.12 “</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whether now or hereafter existing, as defined in Code Section 424(e).</w:t>
      </w:r>
    </w:p>
    <w:p>
      <w:pPr>
        <w:spacing w:after="0" w:line="193" w:lineRule="exact"/>
        <w:rPr>
          <w:sz w:val="20"/>
          <w:szCs w:val="20"/>
          <w:color w:val="auto"/>
        </w:rPr>
      </w:pPr>
    </w:p>
    <w:p>
      <w:pPr>
        <w:ind w:right="140" w:firstLine="866"/>
        <w:spacing w:after="0" w:line="266"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Participant</w:t>
      </w:r>
      <w:r>
        <w:rPr>
          <w:rFonts w:ascii="Arial" w:cs="Arial" w:eastAsia="Arial" w:hAnsi="Arial"/>
          <w:sz w:val="16"/>
          <w:szCs w:val="16"/>
          <w:color w:val="auto"/>
        </w:rPr>
        <w:t>” means as to any Performance Period, an Employee who has been selected by the Administrator for participation in the Plan for that Performance Period.</w:t>
      </w:r>
    </w:p>
    <w:p>
      <w:pPr>
        <w:spacing w:after="0" w:line="158" w:lineRule="exact"/>
        <w:rPr>
          <w:sz w:val="20"/>
          <w:szCs w:val="20"/>
          <w:color w:val="auto"/>
        </w:rPr>
      </w:pPr>
    </w:p>
    <w:p>
      <w:pPr>
        <w:ind w:firstLine="866"/>
        <w:spacing w:after="0" w:line="343" w:lineRule="auto"/>
        <w:rPr>
          <w:sz w:val="20"/>
          <w:szCs w:val="20"/>
          <w:color w:val="auto"/>
        </w:rPr>
      </w:pPr>
      <w:r>
        <w:rPr>
          <w:rFonts w:ascii="Arial" w:cs="Arial" w:eastAsia="Arial" w:hAnsi="Arial"/>
          <w:sz w:val="13"/>
          <w:szCs w:val="13"/>
          <w:color w:val="auto"/>
        </w:rPr>
        <w:t>2.14 “</w:t>
      </w:r>
      <w:r>
        <w:rPr>
          <w:rFonts w:ascii="Arial" w:cs="Arial" w:eastAsia="Arial" w:hAnsi="Arial"/>
          <w:sz w:val="13"/>
          <w:szCs w:val="13"/>
          <w:u w:val="single" w:color="auto"/>
          <w:color w:val="auto"/>
        </w:rPr>
        <w:t>Performance Period</w:t>
      </w:r>
      <w:r>
        <w:rPr>
          <w:rFonts w:ascii="Arial" w:cs="Arial" w:eastAsia="Arial" w:hAnsi="Arial"/>
          <w:sz w:val="13"/>
          <w:szCs w:val="13"/>
          <w:color w:val="auto"/>
        </w:rPr>
        <w:t>” means the period of time for the measurement of the performance criteria that must 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2.15 “</w:t>
      </w:r>
      <w:r>
        <w:rPr>
          <w:rFonts w:ascii="Arial" w:cs="Arial" w:eastAsia="Arial" w:hAnsi="Arial"/>
          <w:sz w:val="13"/>
          <w:szCs w:val="13"/>
          <w:u w:val="single" w:color="auto"/>
          <w:color w:val="auto"/>
        </w:rPr>
        <w:t>Plan</w:t>
      </w:r>
      <w:r>
        <w:rPr>
          <w:rFonts w:ascii="Arial" w:cs="Arial" w:eastAsia="Arial" w:hAnsi="Arial"/>
          <w:sz w:val="13"/>
          <w:szCs w:val="13"/>
          <w:color w:val="auto"/>
        </w:rPr>
        <w:t>” means this Executive Incentive Compensation Plan (including any appendix attached hereto), as may be amended from time to</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182" w:lineRule="exact"/>
        <w:rPr>
          <w:sz w:val="20"/>
          <w:szCs w:val="20"/>
          <w:color w:val="auto"/>
        </w:rPr>
      </w:pPr>
    </w:p>
    <w:p>
      <w:pPr>
        <w:ind w:right="120" w:firstLine="866"/>
        <w:spacing w:after="0" w:line="266"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and any applicable state law equivalent, as each may be promulgated, amended or modified from time to time.</w:t>
      </w:r>
    </w:p>
    <w:p>
      <w:pPr>
        <w:spacing w:after="0" w:line="158" w:lineRule="exact"/>
        <w:rPr>
          <w:sz w:val="20"/>
          <w:szCs w:val="20"/>
          <w:color w:val="auto"/>
        </w:rPr>
      </w:pPr>
    </w:p>
    <w:p>
      <w:pPr>
        <w:ind w:right="200" w:firstLine="866"/>
        <w:spacing w:after="0" w:line="266"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Code Section 424(f), in relation to the Company.</w:t>
      </w:r>
    </w:p>
    <w:p>
      <w:pPr>
        <w:spacing w:after="0" w:line="158" w:lineRule="exact"/>
        <w:rPr>
          <w:sz w:val="20"/>
          <w:szCs w:val="20"/>
          <w:color w:val="auto"/>
        </w:rPr>
      </w:pPr>
    </w:p>
    <w:p>
      <w:pPr>
        <w:ind w:right="160" w:firstLine="866"/>
        <w:spacing w:after="0" w:line="266"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Target Award</w:t>
      </w:r>
      <w:r>
        <w:rPr>
          <w:rFonts w:ascii="Arial" w:cs="Arial" w:eastAsia="Arial" w:hAnsi="Arial"/>
          <w:sz w:val="16"/>
          <w:szCs w:val="16"/>
          <w:color w:val="auto"/>
        </w:rPr>
        <w:t>” means the target award, at one hundred percent (100%) of target level performance achievement, payable under the Plan to a Participant for a Performance Period, as determined by the Administrator in accordance with Section 4.2.</w:t>
      </w:r>
    </w:p>
    <w:p>
      <w:pPr>
        <w:spacing w:after="0" w:line="158" w:lineRule="exact"/>
        <w:rPr>
          <w:sz w:val="20"/>
          <w:szCs w:val="20"/>
          <w:color w:val="auto"/>
        </w:rPr>
      </w:pPr>
    </w:p>
    <w:p>
      <w:pPr>
        <w:ind w:right="80" w:firstLine="866"/>
        <w:spacing w:after="0" w:line="250"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Tax Withholdings</w:t>
      </w:r>
      <w:r>
        <w:rPr>
          <w:rFonts w:ascii="Arial" w:cs="Arial" w:eastAsia="Arial" w:hAnsi="Arial"/>
          <w:sz w:val="16"/>
          <w:szCs w:val="16"/>
          <w:color w:val="auto"/>
        </w:rPr>
        <w:t>” means tax, social insurance and social security liability or premium obligations in connection with the awards under the Plan, including without limitation: (a) 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spacing w:after="0" w:line="171" w:lineRule="exact"/>
        <w:rPr>
          <w:sz w:val="20"/>
          <w:szCs w:val="20"/>
          <w:color w:val="auto"/>
        </w:rPr>
      </w:pPr>
    </w:p>
    <w:p>
      <w:pPr>
        <w:ind w:right="120" w:firstLine="866"/>
        <w:spacing w:after="0" w:line="275" w:lineRule="auto"/>
        <w:rPr>
          <w:sz w:val="20"/>
          <w:szCs w:val="20"/>
          <w:color w:val="auto"/>
        </w:rPr>
      </w:pPr>
      <w:r>
        <w:rPr>
          <w:rFonts w:ascii="Arial" w:cs="Arial" w:eastAsia="Arial" w:hAnsi="Arial"/>
          <w:sz w:val="15"/>
          <w:szCs w:val="15"/>
          <w:color w:val="auto"/>
        </w:rPr>
        <w:t>2.20 “</w:t>
      </w: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means a cessation of the employee-employer relationship between an 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spacing w:after="0" w:line="153" w:lineRule="exact"/>
        <w:rPr>
          <w:sz w:val="20"/>
          <w:szCs w:val="20"/>
          <w:color w:val="auto"/>
        </w:rPr>
      </w:pPr>
    </w:p>
    <w:p>
      <w:pPr>
        <w:ind w:left="540" w:hanging="162"/>
        <w:spacing w:after="0"/>
        <w:tabs>
          <w:tab w:leader="none" w:pos="540" w:val="left"/>
        </w:tabs>
        <w:numPr>
          <w:ilvl w:val="0"/>
          <w:numId w:val="576"/>
        </w:numPr>
        <w:rPr>
          <w:rFonts w:ascii="Arial" w:cs="Arial" w:eastAsia="Arial" w:hAnsi="Arial"/>
          <w:sz w:val="16"/>
          <w:szCs w:val="16"/>
          <w:color w:val="auto"/>
        </w:rPr>
      </w:pP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w:t>
      </w:r>
    </w:p>
    <w:p>
      <w:pPr>
        <w:spacing w:after="0" w:line="193" w:lineRule="exact"/>
        <w:rPr>
          <w:sz w:val="20"/>
          <w:szCs w:val="20"/>
          <w:color w:val="auto"/>
        </w:rPr>
      </w:pPr>
    </w:p>
    <w:p>
      <w:pPr>
        <w:ind w:right="80" w:firstLine="866"/>
        <w:spacing w:after="0" w:line="25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Administrator</w:t>
      </w:r>
      <w:r>
        <w:rPr>
          <w:rFonts w:ascii="Arial" w:cs="Arial" w:eastAsia="Arial" w:hAnsi="Arial"/>
          <w:sz w:val="16"/>
          <w:szCs w:val="16"/>
          <w:color w:val="auto"/>
        </w:rPr>
        <w:t>. The Plan will be administered by the Board or a Committee (the “</w:t>
      </w:r>
      <w:r>
        <w:rPr>
          <w:rFonts w:ascii="Arial" w:cs="Arial" w:eastAsia="Arial" w:hAnsi="Arial"/>
          <w:sz w:val="16"/>
          <w:szCs w:val="16"/>
          <w:u w:val="single" w:color="auto"/>
          <w:color w:val="auto"/>
        </w:rPr>
        <w:t>Administrator</w:t>
      </w:r>
      <w:r>
        <w:rPr>
          <w:rFonts w:ascii="Arial" w:cs="Arial" w:eastAsia="Arial" w:hAnsi="Arial"/>
          <w:sz w:val="16"/>
          <w:szCs w:val="16"/>
          <w:color w:val="auto"/>
        </w:rPr>
        <w:t>”). To the extent necessary or desirable to satisfy applicable laws, the Committee acting as the Administrator will consist of not less than two (2) members of the Board. The members of any Committee will be appointed from time to time by, and serve at the pleasure of, the Board. The Board may retain the authority to administer the Plan concurrently with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00"/>
          </w:cols>
          <w:pgMar w:left="1140" w:top="257" w:right="1159" w:bottom="1440" w:gutter="0" w:footer="0" w:header="0"/>
        </w:sectPr>
      </w:pPr>
    </w:p>
    <w:bookmarkStart w:id="750" w:name="page751"/>
    <w:bookmarkEnd w:id="750"/>
    <w:p>
      <w:pPr>
        <w:ind w:right="20"/>
        <w:spacing w:after="0" w:line="38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spacing w:after="0" w:line="89" w:lineRule="exact"/>
        <w:rPr>
          <w:sz w:val="20"/>
          <w:szCs w:val="20"/>
          <w:color w:val="auto"/>
        </w:rPr>
      </w:pPr>
    </w:p>
    <w:p>
      <w:pPr>
        <w:ind w:firstLine="866"/>
        <w:spacing w:after="0" w:line="267"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Administrator Authority</w:t>
      </w:r>
      <w:r>
        <w:rPr>
          <w:rFonts w:ascii="Arial" w:cs="Arial" w:eastAsia="Arial" w:hAnsi="Arial"/>
          <w:sz w:val="15"/>
          <w:szCs w:val="15"/>
          <w:color w:val="auto"/>
        </w:rPr>
        <w:t>. It will be the duty of the Administrator to administer the Plan in accordance with the Plan’s provisions. The Administrator will have all powers and discretion necessary or appropriate to administer the Plan and to control its operation, including, but not limited to, the power to (a) determine which Employees will be granted awards, (b) prescribe the terms and conditions of awards, (c) interpret the Plan and the awards, (d) adopt such procedures and sub-plans as are necessary or appropriate to permit participation in the Plan by Employees who are non-U.S. nationals or employed outside of the U.S. or to qualify awards for special tax treatment under the laws of jurisdictions other than the U.S., (e) 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163" w:lineRule="exact"/>
        <w:rPr>
          <w:sz w:val="20"/>
          <w:szCs w:val="20"/>
          <w:color w:val="auto"/>
        </w:rPr>
      </w:pPr>
    </w:p>
    <w:p>
      <w:pPr>
        <w:ind w:right="80" w:firstLine="866"/>
        <w:spacing w:after="0" w:line="383"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Decisions Binding</w:t>
      </w:r>
      <w:r>
        <w:rPr>
          <w:rFonts w:ascii="Arial" w:cs="Arial" w:eastAsia="Arial" w:hAnsi="Arial"/>
          <w:sz w:val="13"/>
          <w:szCs w:val="13"/>
          <w:color w:val="auto"/>
        </w:rPr>
        <w:t>. All determinations and decisions made by the Administrator and/or any delegate of the Administrator pursuant to the provisions of the Plan will be final, conclusive, and binding on all persons, and will be given the maximum deference permitted by law.</w:t>
      </w:r>
    </w:p>
    <w:p>
      <w:pPr>
        <w:spacing w:after="0" w:line="89" w:lineRule="exact"/>
        <w:rPr>
          <w:sz w:val="20"/>
          <w:szCs w:val="20"/>
          <w:color w:val="auto"/>
        </w:rPr>
      </w:pPr>
    </w:p>
    <w:p>
      <w:pPr>
        <w:ind w:right="440" w:firstLine="866"/>
        <w:spacing w:after="0" w:line="383"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Delegation by Administrator</w:t>
      </w:r>
      <w:r>
        <w:rPr>
          <w:rFonts w:ascii="Arial" w:cs="Arial" w:eastAsia="Arial" w:hAnsi="Arial"/>
          <w:sz w:val="13"/>
          <w:szCs w:val="13"/>
          <w:color w:val="auto"/>
        </w:rPr>
        <w:t>. The Administrator, on such terms and conditions as it may provide, may delegate all or part of its authority and powers under the Plan to one or more directors and/or officers of the Company. Such delegation may be revoked at any time.</w:t>
      </w:r>
    </w:p>
    <w:p>
      <w:pPr>
        <w:spacing w:after="0" w:line="89" w:lineRule="exact"/>
        <w:rPr>
          <w:sz w:val="20"/>
          <w:szCs w:val="20"/>
          <w:color w:val="auto"/>
        </w:rPr>
      </w:pPr>
    </w:p>
    <w:p>
      <w:pPr>
        <w:ind w:right="20" w:firstLine="866"/>
        <w:spacing w:after="0" w:line="267"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Indemnification</w:t>
      </w:r>
      <w:r>
        <w:rPr>
          <w:rFonts w:ascii="Arial" w:cs="Arial" w:eastAsia="Arial" w:hAnsi="Arial"/>
          <w:sz w:val="15"/>
          <w:szCs w:val="15"/>
          <w:color w:val="auto"/>
        </w:rPr>
        <w:t>. Each person who is or will have been a member of the Administrator will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59" w:lineRule="exact"/>
        <w:rPr>
          <w:sz w:val="20"/>
          <w:szCs w:val="20"/>
          <w:color w:val="auto"/>
        </w:rPr>
      </w:pPr>
    </w:p>
    <w:p>
      <w:pPr>
        <w:ind w:left="540" w:hanging="162"/>
        <w:spacing w:after="0"/>
        <w:tabs>
          <w:tab w:leader="none" w:pos="540"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Selection of Participants and Determination of Awards</w:t>
      </w:r>
      <w:r>
        <w:rPr>
          <w:rFonts w:ascii="Arial" w:cs="Arial" w:eastAsia="Arial" w:hAnsi="Arial"/>
          <w:sz w:val="16"/>
          <w:szCs w:val="16"/>
          <w:color w:val="auto"/>
        </w:rPr>
        <w:t>.</w:t>
      </w:r>
    </w:p>
    <w:p>
      <w:pPr>
        <w:spacing w:after="0" w:line="193" w:lineRule="exact"/>
        <w:rPr>
          <w:sz w:val="20"/>
          <w:szCs w:val="20"/>
          <w:color w:val="auto"/>
        </w:rPr>
      </w:pPr>
    </w:p>
    <w:p>
      <w:pPr>
        <w:ind w:right="360" w:firstLine="866"/>
        <w:spacing w:after="0" w:line="383"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Selection of Participants</w:t>
      </w:r>
      <w:r>
        <w:rPr>
          <w:rFonts w:ascii="Arial" w:cs="Arial" w:eastAsia="Arial" w:hAnsi="Arial"/>
          <w:sz w:val="13"/>
          <w:szCs w:val="13"/>
          <w:color w:val="auto"/>
        </w:rPr>
        <w:t>. The Administrator will select the Employees who will be Participants for any Performance Period. Participation in the Plan will be on a Performance Period by Performance Period basis. Accordingly, an Employee who is a Participant for a given</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540"/>
          </w:cols>
          <w:pgMar w:left="1140" w:top="257" w:right="1219" w:bottom="1440" w:gutter="0" w:footer="0" w:header="0"/>
        </w:sectPr>
      </w:pPr>
    </w:p>
    <w:bookmarkStart w:id="751" w:name="page752"/>
    <w:bookmarkEnd w:id="751"/>
    <w:p>
      <w:pPr>
        <w:ind w:right="220"/>
        <w:spacing w:after="0" w:line="38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spacing w:after="0" w:line="89" w:lineRule="exact"/>
        <w:rPr>
          <w:sz w:val="20"/>
          <w:szCs w:val="20"/>
          <w:color w:val="auto"/>
        </w:rPr>
      </w:pPr>
    </w:p>
    <w:p>
      <w:pPr>
        <w:ind w:right="160" w:firstLine="866"/>
        <w:spacing w:after="0" w:line="25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Target Awards</w:t>
      </w:r>
      <w:r>
        <w:rPr>
          <w:rFonts w:ascii="Arial" w:cs="Arial" w:eastAsia="Arial" w:hAnsi="Arial"/>
          <w:sz w:val="16"/>
          <w:szCs w:val="16"/>
          <w:color w:val="auto"/>
        </w:rPr>
        <w:t>. The Administrator may establish a Target Award for each Participant (which may be expressed as a percentage of a Participant’s average annual base salary for the Performance Period or a fixed dollar amount or such other amount or based on such other formula or factors as the Administrator determines).</w:t>
      </w:r>
    </w:p>
    <w:p>
      <w:pPr>
        <w:spacing w:after="0" w:line="166" w:lineRule="exact"/>
        <w:rPr>
          <w:sz w:val="20"/>
          <w:szCs w:val="20"/>
          <w:color w:val="auto"/>
        </w:rPr>
      </w:pPr>
    </w:p>
    <w:p>
      <w:pPr>
        <w:ind w:right="20" w:firstLine="866"/>
        <w:spacing w:after="0" w:line="300"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Bonus Pool</w:t>
      </w:r>
      <w:r>
        <w:rPr>
          <w:rFonts w:ascii="Arial" w:cs="Arial" w:eastAsia="Arial" w:hAnsi="Arial"/>
          <w:sz w:val="15"/>
          <w:szCs w:val="15"/>
          <w:color w:val="auto"/>
        </w:rPr>
        <w:t>. Each Performance Period, the Administrator may establish a Bonus Pool, which pool may be established before, during or after the applicable Performance Period. Actual Awards will be paid from the Bonus Pool (if a Bonus Pool has been established).</w:t>
      </w:r>
    </w:p>
    <w:p>
      <w:pPr>
        <w:spacing w:after="0" w:line="135" w:lineRule="exact"/>
        <w:rPr>
          <w:sz w:val="20"/>
          <w:szCs w:val="20"/>
          <w:color w:val="auto"/>
        </w:rPr>
      </w:pPr>
    </w:p>
    <w:p>
      <w:pPr>
        <w:ind w:right="80" w:firstLine="866"/>
        <w:spacing w:after="0" w:line="25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Discretion to Modify Awards</w:t>
      </w:r>
      <w:r>
        <w:rPr>
          <w:rFonts w:ascii="Arial" w:cs="Arial" w:eastAsia="Arial" w:hAnsi="Arial"/>
          <w:sz w:val="16"/>
          <w:szCs w:val="16"/>
          <w:color w:val="auto"/>
        </w:rPr>
        <w:t>. Notwithstanding any contrary provision of the Plan, the Administrator, at any time prior to payment of an Actual Award, may: (a) increase, reduce or eliminate a Participant’s Actual Award, and/or (b)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170" w:lineRule="exact"/>
        <w:rPr>
          <w:sz w:val="20"/>
          <w:szCs w:val="20"/>
          <w:color w:val="auto"/>
        </w:rPr>
      </w:pPr>
    </w:p>
    <w:p>
      <w:pPr>
        <w:ind w:firstLine="866"/>
        <w:spacing w:after="0" w:line="265"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Discretion to Determine Criteria</w:t>
      </w:r>
      <w:r>
        <w:rPr>
          <w:rFonts w:ascii="Arial" w:cs="Arial" w:eastAsia="Arial" w:hAnsi="Arial"/>
          <w:sz w:val="15"/>
          <w:szCs w:val="15"/>
          <w:color w:val="auto"/>
        </w:rPr>
        <w:t>. Notwithstanding any contrary provision of the Plan, the Administrator will determine the performance goals, if any, applicable to any Target Award (or portion thereof) which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As determined by the Administrator, the performance goals may be based on U.S. generally accepted accounting principles (“</w:t>
      </w:r>
      <w:r>
        <w:rPr>
          <w:rFonts w:ascii="Arial" w:cs="Arial" w:eastAsia="Arial" w:hAnsi="Arial"/>
          <w:sz w:val="15"/>
          <w:szCs w:val="15"/>
          <w:u w:val="single" w:color="auto"/>
          <w:color w:val="auto"/>
        </w:rPr>
        <w:t>GAAP</w:t>
      </w:r>
      <w:r>
        <w:rPr>
          <w:rFonts w:ascii="Arial" w:cs="Arial" w:eastAsia="Arial" w:hAnsi="Arial"/>
          <w:sz w:val="15"/>
          <w:szCs w:val="15"/>
          <w:color w:val="auto"/>
        </w:rPr>
        <w:t>”)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may differ from Participant to Participant and from award to award. Failure to meet the applicable performance goals will result in a failure to earn the Target Award, except as provided in Section 4.4.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00"/>
          </w:cols>
          <w:pgMar w:left="1140" w:top="256" w:right="1159" w:bottom="1440" w:gutter="0" w:footer="0" w:header="0"/>
        </w:sectPr>
      </w:pPr>
    </w:p>
    <w:bookmarkStart w:id="752" w:name="page753"/>
    <w:bookmarkEnd w:id="752"/>
    <w:p>
      <w:pPr>
        <w:ind w:left="540" w:hanging="162"/>
        <w:spacing w:after="0"/>
        <w:tabs>
          <w:tab w:leader="none" w:pos="540" w:val="left"/>
        </w:tabs>
        <w:numPr>
          <w:ilvl w:val="0"/>
          <w:numId w:val="5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Payment of Awards</w:t>
      </w:r>
      <w:r>
        <w:rPr>
          <w:rFonts w:ascii="Arial" w:cs="Arial" w:eastAsia="Arial" w:hAnsi="Arial"/>
          <w:sz w:val="16"/>
          <w:szCs w:val="16"/>
          <w:color w:val="auto"/>
        </w:rPr>
        <w:t>.</w:t>
      </w:r>
    </w:p>
    <w:p>
      <w:pPr>
        <w:spacing w:after="0" w:line="193" w:lineRule="exact"/>
        <w:rPr>
          <w:sz w:val="20"/>
          <w:szCs w:val="20"/>
          <w:color w:val="auto"/>
        </w:rPr>
      </w:pPr>
    </w:p>
    <w:p>
      <w:pPr>
        <w:jc w:val="both"/>
        <w:ind w:right="40" w:firstLine="866"/>
        <w:spacing w:after="0" w:line="25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Right to Receive Payment</w:t>
      </w:r>
      <w:r>
        <w:rPr>
          <w:rFonts w:ascii="Arial" w:cs="Arial" w:eastAsia="Arial" w:hAnsi="Arial"/>
          <w:sz w:val="16"/>
          <w:szCs w:val="16"/>
          <w:color w:val="auto"/>
        </w:rPr>
        <w:t>. Each Actual Award will be paid solely from the general assets of the Company Group. Nothing in this Plan will be construed to create a trust or to establish or evidence any Participant’s claim of any right other than as an unsecured general creditor with respect to any payment to which the Participant may be entitled.</w:t>
      </w:r>
    </w:p>
    <w:p>
      <w:pPr>
        <w:spacing w:after="0" w:line="166" w:lineRule="exact"/>
        <w:rPr>
          <w:sz w:val="20"/>
          <w:szCs w:val="20"/>
          <w:color w:val="auto"/>
        </w:rPr>
      </w:pPr>
    </w:p>
    <w:p>
      <w:pPr>
        <w:ind w:right="40" w:firstLine="866"/>
        <w:spacing w:after="0" w:line="24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Timing of Payment</w:t>
      </w:r>
      <w:r>
        <w:rPr>
          <w:rFonts w:ascii="Arial" w:cs="Arial" w:eastAsia="Arial" w:hAnsi="Arial"/>
          <w:sz w:val="16"/>
          <w:szCs w:val="16"/>
          <w:color w:val="auto"/>
        </w:rPr>
        <w:t>. Payment of each Actual Award will be made as soon as practicable after the end of the Performance Period to which the Actual Award relates and after the Actual Award is approved by the Administrator, but in no event after the later of (a) the fifteenth (15</w:t>
      </w:r>
      <w:r>
        <w:rPr>
          <w:rFonts w:ascii="Arial" w:cs="Arial" w:eastAsia="Arial" w:hAnsi="Arial"/>
          <w:sz w:val="13"/>
          <w:szCs w:val="13"/>
          <w:color w:val="auto"/>
        </w:rPr>
        <w:t>th</w:t>
      </w:r>
      <w:r>
        <w:rPr>
          <w:rFonts w:ascii="Arial" w:cs="Arial" w:eastAsia="Arial" w:hAnsi="Arial"/>
          <w:sz w:val="16"/>
          <w:szCs w:val="16"/>
          <w:color w:val="auto"/>
        </w:rPr>
        <w:t>) day of the third (3</w:t>
      </w:r>
      <w:r>
        <w:rPr>
          <w:rFonts w:ascii="Arial" w:cs="Arial" w:eastAsia="Arial" w:hAnsi="Arial"/>
          <w:sz w:val="13"/>
          <w:szCs w:val="13"/>
          <w:color w:val="auto"/>
        </w:rPr>
        <w:t>rd</w:t>
      </w:r>
      <w:r>
        <w:rPr>
          <w:rFonts w:ascii="Arial" w:cs="Arial" w:eastAsia="Arial" w:hAnsi="Arial"/>
          <w:sz w:val="16"/>
          <w:szCs w:val="16"/>
          <w:color w:val="auto"/>
        </w:rPr>
        <w:t>) month of the Fiscal Year immediately following the Fiscal Year in which the Participant’s Actual Award first becomes no longer subject to a substantial risk of forfeiture, and (b) 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4.4.</w:t>
      </w:r>
    </w:p>
    <w:p>
      <w:pPr>
        <w:spacing w:after="0" w:line="173" w:lineRule="exact"/>
        <w:rPr>
          <w:sz w:val="20"/>
          <w:szCs w:val="20"/>
          <w:color w:val="auto"/>
        </w:rPr>
      </w:pPr>
    </w:p>
    <w:p>
      <w:pPr>
        <w:jc w:val="both"/>
        <w:ind w:right="400" w:firstLine="866"/>
        <w:spacing w:after="0" w:line="25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Form of Payment</w:t>
      </w:r>
      <w:r>
        <w:rPr>
          <w:rFonts w:ascii="Arial" w:cs="Arial" w:eastAsia="Arial" w:hAnsi="Arial"/>
          <w:sz w:val="16"/>
          <w:szCs w:val="16"/>
          <w:color w:val="auto"/>
        </w:rPr>
        <w:t>. Each Actual Award generally will be paid in cash (or its equivalent) in a single lump sum. The Administrator reserves the right to settle an Actual Award with a grant of an equity award with such terms and conditions, including any vesting requirements, as determined by the Administrator.</w:t>
      </w:r>
    </w:p>
    <w:p>
      <w:pPr>
        <w:spacing w:after="0" w:line="166" w:lineRule="exact"/>
        <w:rPr>
          <w:sz w:val="20"/>
          <w:szCs w:val="20"/>
          <w:color w:val="auto"/>
        </w:rPr>
      </w:pPr>
    </w:p>
    <w:p>
      <w:pPr>
        <w:ind w:right="100" w:firstLine="866"/>
        <w:spacing w:after="0" w:line="281"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Payment in the Event of Death or Disability</w:t>
      </w:r>
      <w:r>
        <w:rPr>
          <w:rFonts w:ascii="Arial" w:cs="Arial" w:eastAsia="Arial" w:hAnsi="Arial"/>
          <w:sz w:val="15"/>
          <w:szCs w:val="15"/>
          <w:color w:val="auto"/>
        </w:rPr>
        <w:t>. If a Termination of Employment occurs due to a Participant’s death or 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spacing w:after="0" w:line="149" w:lineRule="exact"/>
        <w:rPr>
          <w:sz w:val="20"/>
          <w:szCs w:val="20"/>
          <w:color w:val="auto"/>
        </w:rPr>
      </w:pPr>
    </w:p>
    <w:p>
      <w:pPr>
        <w:ind w:left="860" w:right="7720" w:hanging="482"/>
        <w:spacing w:after="0" w:line="605" w:lineRule="auto"/>
        <w:tabs>
          <w:tab w:leader="none" w:pos="536" w:val="left"/>
        </w:tabs>
        <w:numPr>
          <w:ilvl w:val="0"/>
          <w:numId w:val="579"/>
        </w:numPr>
        <w:rPr>
          <w:rFonts w:ascii="Arial" w:cs="Arial" w:eastAsia="Arial" w:hAnsi="Arial"/>
          <w:sz w:val="13"/>
          <w:szCs w:val="13"/>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 xml:space="preserve">. 6.1 </w:t>
      </w:r>
      <w:r>
        <w:rPr>
          <w:rFonts w:ascii="Arial" w:cs="Arial" w:eastAsia="Arial" w:hAnsi="Arial"/>
          <w:sz w:val="13"/>
          <w:szCs w:val="13"/>
          <w:u w:val="single" w:color="auto"/>
          <w:color w:val="auto"/>
        </w:rPr>
        <w:t>Tax Matters</w:t>
      </w:r>
      <w:r>
        <w:rPr>
          <w:rFonts w:ascii="Arial" w:cs="Arial" w:eastAsia="Arial" w:hAnsi="Arial"/>
          <w:sz w:val="13"/>
          <w:szCs w:val="13"/>
          <w:color w:val="auto"/>
        </w:rPr>
        <w:t>.</w:t>
      </w:r>
    </w:p>
    <w:p>
      <w:pPr>
        <w:spacing w:after="0" w:line="1" w:lineRule="exact"/>
        <w:rPr>
          <w:sz w:val="20"/>
          <w:szCs w:val="20"/>
          <w:color w:val="auto"/>
        </w:rPr>
      </w:pPr>
    </w:p>
    <w:p>
      <w:pPr>
        <w:ind w:right="120" w:firstLine="1251"/>
        <w:spacing w:after="0" w:line="323"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Section 409A</w:t>
      </w:r>
      <w:r>
        <w:rPr>
          <w:rFonts w:ascii="Arial" w:cs="Arial" w:eastAsia="Arial" w:hAnsi="Arial"/>
          <w:sz w:val="13"/>
          <w:szCs w:val="13"/>
          <w:color w:val="auto"/>
        </w:rPr>
        <w:t>. It is the intent that this Plan be exempt from or comply with the requirements of 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spacing w:after="0" w:line="126" w:lineRule="exact"/>
        <w:rPr>
          <w:sz w:val="20"/>
          <w:szCs w:val="20"/>
          <w:color w:val="auto"/>
        </w:rPr>
      </w:pPr>
    </w:p>
    <w:p>
      <w:pPr>
        <w:ind w:firstLine="1251"/>
        <w:spacing w:after="0" w:line="253"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Tax Withholdings</w:t>
      </w:r>
      <w:r>
        <w:rPr>
          <w:rFonts w:ascii="Arial" w:cs="Arial" w:eastAsia="Arial" w:hAnsi="Arial"/>
          <w:sz w:val="16"/>
          <w:szCs w:val="16"/>
          <w:color w:val="auto"/>
        </w:rPr>
        <w:t>. The Company Group will have the right and authority to deduct from any Actual 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00"/>
          </w:cols>
          <w:pgMar w:left="1140" w:top="256" w:right="1159" w:bottom="1440" w:gutter="0" w:footer="0" w:header="0"/>
        </w:sectPr>
      </w:pPr>
    </w:p>
    <w:bookmarkStart w:id="753" w:name="page754"/>
    <w:bookmarkEnd w:id="753"/>
    <w:p>
      <w:pPr>
        <w:ind w:firstLine="866"/>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6.2 </w:t>
      </w:r>
      <w:r>
        <w:rPr>
          <w:rFonts w:ascii="Arial" w:cs="Arial" w:eastAsia="Arial" w:hAnsi="Arial"/>
          <w:sz w:val="16"/>
          <w:szCs w:val="16"/>
          <w:u w:val="single" w:color="auto"/>
          <w:color w:val="auto"/>
        </w:rPr>
        <w:t>No Effect on Employment or Service</w:t>
      </w:r>
      <w:r>
        <w:rPr>
          <w:rFonts w:ascii="Arial" w:cs="Arial" w:eastAsia="Arial" w:hAnsi="Arial"/>
          <w:sz w:val="16"/>
          <w:szCs w:val="16"/>
          <w:color w:val="auto"/>
        </w:rPr>
        <w:t>. Neither the Plan nor any award under the Plan will confer upon a 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Forfeiture Events</w:t>
      </w:r>
      <w:r>
        <w:rPr>
          <w:rFonts w:ascii="Arial" w:cs="Arial" w:eastAsia="Arial" w:hAnsi="Arial"/>
          <w:sz w:val="16"/>
          <w:szCs w:val="16"/>
          <w:color w:val="auto"/>
        </w:rPr>
        <w:t>.</w:t>
      </w:r>
    </w:p>
    <w:p>
      <w:pPr>
        <w:spacing w:after="0" w:line="193" w:lineRule="exact"/>
        <w:rPr>
          <w:sz w:val="20"/>
          <w:szCs w:val="20"/>
          <w:color w:val="auto"/>
        </w:rPr>
      </w:pPr>
    </w:p>
    <w:p>
      <w:pPr>
        <w:ind w:right="60" w:firstLine="1251"/>
        <w:spacing w:after="0" w:line="267" w:lineRule="auto"/>
        <w:rPr>
          <w:sz w:val="20"/>
          <w:szCs w:val="20"/>
          <w:color w:val="auto"/>
        </w:rPr>
      </w:pPr>
      <w:r>
        <w:rPr>
          <w:rFonts w:ascii="Arial" w:cs="Arial" w:eastAsia="Arial" w:hAnsi="Arial"/>
          <w:sz w:val="15"/>
          <w:szCs w:val="15"/>
          <w:color w:val="auto"/>
        </w:rPr>
        <w:t xml:space="preserve">6.3.1 </w:t>
      </w:r>
      <w:r>
        <w:rPr>
          <w:rFonts w:ascii="Arial" w:cs="Arial" w:eastAsia="Arial" w:hAnsi="Arial"/>
          <w:sz w:val="15"/>
          <w:szCs w:val="15"/>
          <w:u w:val="single" w:color="auto"/>
          <w:color w:val="auto"/>
        </w:rPr>
        <w:t>Clawback Policy; Applicable Laws</w:t>
      </w:r>
      <w:r>
        <w:rPr>
          <w:rFonts w:ascii="Arial" w:cs="Arial" w:eastAsia="Arial" w:hAnsi="Arial"/>
          <w:sz w:val="15"/>
          <w:szCs w:val="15"/>
          <w:color w:val="auto"/>
        </w:rPr>
        <w:t>. All awards under the Plan will be subject to reduction, 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6.3.1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spacing w:after="0" w:line="159" w:lineRule="exact"/>
        <w:rPr>
          <w:sz w:val="20"/>
          <w:szCs w:val="20"/>
          <w:color w:val="auto"/>
        </w:rPr>
      </w:pPr>
    </w:p>
    <w:p>
      <w:pPr>
        <w:ind w:right="20" w:firstLine="1251"/>
        <w:spacing w:after="0" w:line="251" w:lineRule="auto"/>
        <w:rPr>
          <w:sz w:val="20"/>
          <w:szCs w:val="20"/>
          <w:color w:val="auto"/>
        </w:rPr>
      </w:pPr>
      <w:r>
        <w:rPr>
          <w:rFonts w:ascii="Arial" w:cs="Arial" w:eastAsia="Arial" w:hAnsi="Arial"/>
          <w:sz w:val="16"/>
          <w:szCs w:val="16"/>
          <w:color w:val="auto"/>
        </w:rPr>
        <w:t xml:space="preserve">6.3.2 </w:t>
      </w:r>
      <w:r>
        <w:rPr>
          <w:rFonts w:ascii="Arial" w:cs="Arial" w:eastAsia="Arial" w:hAnsi="Arial"/>
          <w:sz w:val="16"/>
          <w:szCs w:val="16"/>
          <w:u w:val="single" w:color="auto"/>
          <w:color w:val="auto"/>
        </w:rPr>
        <w:t>Additional Forfeiture Terms</w:t>
      </w:r>
      <w:r>
        <w:rPr>
          <w:rFonts w:ascii="Arial" w:cs="Arial" w:eastAsia="Arial" w:hAnsi="Arial"/>
          <w:sz w:val="16"/>
          <w:szCs w:val="16"/>
          <w:color w:val="auto"/>
        </w:rPr>
        <w:t>. The Administrator may specify when providing for an award under 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170" w:lineRule="exact"/>
        <w:rPr>
          <w:sz w:val="20"/>
          <w:szCs w:val="20"/>
          <w:color w:val="auto"/>
        </w:rPr>
      </w:pPr>
    </w:p>
    <w:p>
      <w:pPr>
        <w:ind w:right="40" w:firstLine="1251"/>
        <w:spacing w:after="0" w:line="249" w:lineRule="auto"/>
        <w:rPr>
          <w:sz w:val="20"/>
          <w:szCs w:val="20"/>
          <w:color w:val="auto"/>
        </w:rPr>
      </w:pPr>
      <w:r>
        <w:rPr>
          <w:rFonts w:ascii="Arial" w:cs="Arial" w:eastAsia="Arial" w:hAnsi="Arial"/>
          <w:sz w:val="16"/>
          <w:szCs w:val="16"/>
          <w:color w:val="auto"/>
        </w:rPr>
        <w:t xml:space="preserve">6.3.3 </w:t>
      </w:r>
      <w:r>
        <w:rPr>
          <w:rFonts w:ascii="Arial" w:cs="Arial" w:eastAsia="Arial" w:hAnsi="Arial"/>
          <w:sz w:val="16"/>
          <w:szCs w:val="16"/>
          <w:u w:val="single" w:color="auto"/>
          <w:color w:val="auto"/>
        </w:rPr>
        <w:t>Accounting Restatements</w:t>
      </w:r>
      <w:r>
        <w:rPr>
          <w:rFonts w:ascii="Arial" w:cs="Arial" w:eastAsia="Arial" w:hAnsi="Arial"/>
          <w:sz w:val="16"/>
          <w:szCs w:val="16"/>
          <w:color w:val="auto"/>
        </w:rPr>
        <w:t>. If the Company is required to prepare an accounting restatement due to 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173" w:lineRule="exact"/>
        <w:rPr>
          <w:sz w:val="20"/>
          <w:szCs w:val="20"/>
          <w:color w:val="auto"/>
        </w:rPr>
      </w:pPr>
    </w:p>
    <w:p>
      <w:pPr>
        <w:ind w:right="40" w:firstLine="866"/>
        <w:spacing w:after="0" w:line="25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Successors</w:t>
      </w:r>
      <w:r>
        <w:rPr>
          <w:rFonts w:ascii="Arial" w:cs="Arial" w:eastAsia="Arial" w:hAnsi="Arial"/>
          <w:sz w:val="16"/>
          <w:szCs w:val="16"/>
          <w:color w:val="auto"/>
        </w:rPr>
        <w:t>. All obligations of the Company under the Plan, with respect to awards under the Plan, will be binding on any successor to the Company, whether the existence of such successor is the result of a direct or indirect purchase, merger, consolidation, or otherwise, of all or substantially all of the business or assets of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580"/>
          </w:cols>
          <w:pgMar w:left="1140" w:top="256" w:right="1179" w:bottom="1440" w:gutter="0" w:footer="0" w:header="0"/>
        </w:sectPr>
      </w:pPr>
    </w:p>
    <w:bookmarkStart w:id="754" w:name="page755"/>
    <w:bookmarkEnd w:id="754"/>
    <w:p>
      <w:pPr>
        <w:ind w:right="240" w:firstLine="866"/>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6.5 </w:t>
      </w:r>
      <w:r>
        <w:rPr>
          <w:rFonts w:ascii="Arial" w:cs="Arial" w:eastAsia="Arial" w:hAnsi="Arial"/>
          <w:sz w:val="16"/>
          <w:szCs w:val="16"/>
          <w:u w:val="single" w:color="auto"/>
          <w:color w:val="auto"/>
        </w:rPr>
        <w:t>Nontransferability of Awards</w:t>
      </w:r>
      <w:r>
        <w:rPr>
          <w:rFonts w:ascii="Arial" w:cs="Arial" w:eastAsia="Arial" w:hAnsi="Arial"/>
          <w:sz w:val="16"/>
          <w:szCs w:val="16"/>
          <w:color w:val="auto"/>
        </w:rPr>
        <w:t>. No award under the Plan may be sold, transferred, pledged, assigned, or otherwise alienated or hypothecated, other than by will or by the laws of descent and distribution, and except as provided in Section 5.3. All rights with respect to an award granted to a Participant will be available during his or her lifetime only to the Participant.</w:t>
      </w:r>
    </w:p>
    <w:p>
      <w:pPr>
        <w:spacing w:after="0" w:line="166" w:lineRule="exact"/>
        <w:rPr>
          <w:sz w:val="20"/>
          <w:szCs w:val="20"/>
          <w:color w:val="auto"/>
        </w:rPr>
      </w:pPr>
    </w:p>
    <w:p>
      <w:pPr>
        <w:ind w:left="540" w:hanging="162"/>
        <w:spacing w:after="0"/>
        <w:tabs>
          <w:tab w:leader="none" w:pos="540" w:val="left"/>
        </w:tabs>
        <w:numPr>
          <w:ilvl w:val="0"/>
          <w:numId w:val="580"/>
        </w:numPr>
        <w:rPr>
          <w:rFonts w:ascii="Arial" w:cs="Arial" w:eastAsia="Arial" w:hAnsi="Arial"/>
          <w:sz w:val="16"/>
          <w:szCs w:val="16"/>
          <w:color w:val="auto"/>
        </w:rPr>
      </w:pPr>
      <w:r>
        <w:rPr>
          <w:rFonts w:ascii="Arial" w:cs="Arial" w:eastAsia="Arial" w:hAnsi="Arial"/>
          <w:sz w:val="16"/>
          <w:szCs w:val="16"/>
          <w:u w:val="single" w:color="auto"/>
          <w:color w:val="auto"/>
        </w:rPr>
        <w:t>Amendment, Termination, and Duration</w:t>
      </w:r>
      <w:r>
        <w:rPr>
          <w:rFonts w:ascii="Arial" w:cs="Arial" w:eastAsia="Arial" w:hAnsi="Arial"/>
          <w:sz w:val="16"/>
          <w:szCs w:val="16"/>
          <w:color w:val="auto"/>
        </w:rPr>
        <w:t>.</w:t>
      </w:r>
    </w:p>
    <w:p>
      <w:pPr>
        <w:spacing w:after="0" w:line="193" w:lineRule="exact"/>
        <w:rPr>
          <w:sz w:val="20"/>
          <w:szCs w:val="20"/>
          <w:color w:val="auto"/>
        </w:rPr>
      </w:pPr>
    </w:p>
    <w:p>
      <w:pPr>
        <w:ind w:right="20" w:firstLine="866"/>
        <w:spacing w:after="0" w:line="25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Amendment, Suspension, or Termination</w:t>
      </w:r>
      <w:r>
        <w:rPr>
          <w:rFonts w:ascii="Arial" w:cs="Arial" w:eastAsia="Arial" w:hAnsi="Arial"/>
          <w:sz w:val="16"/>
          <w:szCs w:val="16"/>
          <w:color w:val="auto"/>
        </w:rPr>
        <w:t>. The Administrator may amend or terminate the Plan, or any part thereof, 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spacing w:after="0" w:line="167" w:lineRule="exact"/>
        <w:rPr>
          <w:sz w:val="20"/>
          <w:szCs w:val="20"/>
          <w:color w:val="auto"/>
        </w:rPr>
      </w:pPr>
    </w:p>
    <w:p>
      <w:pPr>
        <w:ind w:right="160" w:firstLine="866"/>
        <w:spacing w:after="0" w:line="383"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Duration of Plan</w:t>
      </w:r>
      <w:r>
        <w:rPr>
          <w:rFonts w:ascii="Arial" w:cs="Arial" w:eastAsia="Arial" w:hAnsi="Arial"/>
          <w:sz w:val="13"/>
          <w:szCs w:val="13"/>
          <w:color w:val="auto"/>
        </w:rPr>
        <w:t>. The Plan will commence on the date first adopted by the Board or the Compensation Committee of the Board, and subject to Section 7.1 (regarding the Administrator’s right to amend or terminate the Plan), will remain in effect thereafter until terminated.</w:t>
      </w:r>
    </w:p>
    <w:p>
      <w:pPr>
        <w:spacing w:after="0" w:line="89" w:lineRule="exact"/>
        <w:rPr>
          <w:sz w:val="20"/>
          <w:szCs w:val="20"/>
          <w:color w:val="auto"/>
        </w:rPr>
      </w:pPr>
    </w:p>
    <w:p>
      <w:pPr>
        <w:ind w:left="540" w:hanging="162"/>
        <w:spacing w:after="0"/>
        <w:tabs>
          <w:tab w:leader="none" w:pos="540" w:val="left"/>
        </w:tabs>
        <w:numPr>
          <w:ilvl w:val="0"/>
          <w:numId w:val="581"/>
        </w:numPr>
        <w:rPr>
          <w:rFonts w:ascii="Arial" w:cs="Arial" w:eastAsia="Arial" w:hAnsi="Arial"/>
          <w:sz w:val="16"/>
          <w:szCs w:val="16"/>
          <w:color w:val="auto"/>
        </w:rPr>
      </w:pPr>
      <w:r>
        <w:rPr>
          <w:rFonts w:ascii="Arial" w:cs="Arial" w:eastAsia="Arial" w:hAnsi="Arial"/>
          <w:sz w:val="16"/>
          <w:szCs w:val="16"/>
          <w:u w:val="single" w:color="auto"/>
          <w:color w:val="auto"/>
        </w:rPr>
        <w:t>Legal Construction</w:t>
      </w:r>
      <w:r>
        <w:rPr>
          <w:rFonts w:ascii="Arial" w:cs="Arial" w:eastAsia="Arial" w:hAnsi="Arial"/>
          <w:sz w:val="16"/>
          <w:szCs w:val="16"/>
          <w:color w:val="auto"/>
        </w:rPr>
        <w:t>.</w:t>
      </w:r>
    </w:p>
    <w:p>
      <w:pPr>
        <w:spacing w:after="0" w:line="193" w:lineRule="exact"/>
        <w:rPr>
          <w:sz w:val="20"/>
          <w:szCs w:val="20"/>
          <w:color w:val="auto"/>
        </w:rPr>
      </w:pPr>
    </w:p>
    <w:p>
      <w:pPr>
        <w:ind w:firstLine="866"/>
        <w:spacing w:after="0" w:line="300"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Gender and Number</w:t>
      </w:r>
      <w:r>
        <w:rPr>
          <w:rFonts w:ascii="Arial" w:cs="Arial" w:eastAsia="Arial" w:hAnsi="Arial"/>
          <w:sz w:val="15"/>
          <w:szCs w:val="15"/>
          <w:color w:val="auto"/>
        </w:rPr>
        <w:t>. Unless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35" w:lineRule="exact"/>
        <w:rPr>
          <w:sz w:val="20"/>
          <w:szCs w:val="20"/>
          <w:color w:val="auto"/>
        </w:rPr>
      </w:pPr>
    </w:p>
    <w:p>
      <w:pPr>
        <w:ind w:right="260" w:firstLine="866"/>
        <w:spacing w:after="0" w:line="25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66" w:lineRule="exact"/>
        <w:rPr>
          <w:sz w:val="20"/>
          <w:szCs w:val="20"/>
          <w:color w:val="auto"/>
        </w:rPr>
      </w:pPr>
    </w:p>
    <w:p>
      <w:pPr>
        <w:ind w:right="40" w:firstLine="866"/>
        <w:spacing w:after="0" w:line="26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awards will be construed in accordance with and governed by the laws of the State of California, but without regard to its conflict of law provisions.</w:t>
      </w:r>
    </w:p>
    <w:p>
      <w:pPr>
        <w:spacing w:after="0" w:line="158" w:lineRule="exact"/>
        <w:rPr>
          <w:sz w:val="20"/>
          <w:szCs w:val="20"/>
          <w:color w:val="auto"/>
        </w:rPr>
      </w:pPr>
    </w:p>
    <w:p>
      <w:pPr>
        <w:ind w:right="60" w:firstLine="866"/>
        <w:spacing w:after="0" w:line="26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Bonus Plan</w:t>
      </w:r>
      <w:r>
        <w:rPr>
          <w:rFonts w:ascii="Arial" w:cs="Arial" w:eastAsia="Arial" w:hAnsi="Arial"/>
          <w:sz w:val="16"/>
          <w:szCs w:val="16"/>
          <w:color w:val="auto"/>
        </w:rPr>
        <w:t>. The Plan is intended to be a “bonus program” as defined under U.S. Department of Labor regulations section 2510.3-2(c) and will be construed and administered in accordance with such intention.</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Headings</w:t>
      </w:r>
      <w:r>
        <w:rPr>
          <w:rFonts w:ascii="Arial" w:cs="Arial" w:eastAsia="Arial" w:hAnsi="Arial"/>
          <w:sz w:val="13"/>
          <w:szCs w:val="13"/>
          <w:color w:val="auto"/>
        </w:rPr>
        <w:t>. Headings are provided herein for convenience only, and will not serve as a basis for interpretation or construction of the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pacing w:after="0" w:line="182" w:lineRule="exact"/>
        <w:rPr>
          <w:sz w:val="20"/>
          <w:szCs w:val="20"/>
          <w:color w:val="auto"/>
        </w:rPr>
      </w:pPr>
    </w:p>
    <w:p>
      <w:pPr>
        <w:ind w:right="360" w:firstLine="378"/>
        <w:spacing w:after="0" w:line="383" w:lineRule="auto"/>
        <w:tabs>
          <w:tab w:leader="none" w:pos="542" w:val="left"/>
        </w:tabs>
        <w:numPr>
          <w:ilvl w:val="0"/>
          <w:numId w:val="582"/>
        </w:numPr>
        <w:rPr>
          <w:rFonts w:ascii="Arial" w:cs="Arial" w:eastAsia="Arial" w:hAnsi="Arial"/>
          <w:sz w:val="13"/>
          <w:szCs w:val="13"/>
          <w:color w:val="auto"/>
        </w:rPr>
      </w:pPr>
      <w:r>
        <w:rPr>
          <w:rFonts w:ascii="Arial" w:cs="Arial" w:eastAsia="Arial" w:hAnsi="Arial"/>
          <w:sz w:val="13"/>
          <w:szCs w:val="13"/>
          <w:u w:val="single" w:color="auto"/>
          <w:color w:val="auto"/>
        </w:rPr>
        <w:t>Compliance with Applicable Laws</w:t>
      </w:r>
      <w:r>
        <w:rPr>
          <w:rFonts w:ascii="Arial" w:cs="Arial" w:eastAsia="Arial" w:hAnsi="Arial"/>
          <w:sz w:val="13"/>
          <w:szCs w:val="13"/>
          <w:color w:val="auto"/>
        </w:rPr>
        <w:t>. Awards under the Plan (including without limitation the granting of such awards) will be subject to all applicable laws, rules and regulations, and to such approvals by any governmental agencies or national securities exchanges as may be required.</w:t>
      </w:r>
    </w:p>
    <w:p>
      <w:pPr>
        <w:spacing w:after="0" w:line="88" w:lineRule="exact"/>
        <w:rPr>
          <w:rFonts w:ascii="Arial" w:cs="Arial" w:eastAsia="Arial" w:hAnsi="Arial"/>
          <w:sz w:val="13"/>
          <w:szCs w:val="13"/>
          <w:color w:val="auto"/>
        </w:rPr>
      </w:pPr>
    </w:p>
    <w:p>
      <w:pPr>
        <w:ind w:left="4300"/>
        <w:spacing w:after="0"/>
        <w:rPr>
          <w:rFonts w:ascii="Arial" w:cs="Arial" w:eastAsia="Arial" w:hAnsi="Arial"/>
          <w:sz w:val="13"/>
          <w:szCs w:val="13"/>
          <w:color w:val="auto"/>
        </w:rPr>
      </w:pPr>
      <w:r>
        <w:rPr>
          <w:rFonts w:ascii="Arial" w:cs="Arial" w:eastAsia="Arial" w:hAnsi="Arial"/>
          <w:sz w:val="16"/>
          <w:szCs w:val="16"/>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580"/>
          </w:cols>
          <w:pgMar w:left="1140" w:top="256" w:right="1179" w:bottom="1440" w:gutter="0" w:footer="0" w:header="0"/>
        </w:sectPr>
      </w:pPr>
    </w:p>
    <w:bookmarkStart w:id="755" w:name="page756"/>
    <w:bookmarkEnd w:id="755"/>
    <w:p>
      <w:pPr>
        <w:jc w:val="right"/>
        <w:spacing w:after="0"/>
        <w:rPr>
          <w:sz w:val="20"/>
          <w:szCs w:val="20"/>
          <w:color w:val="auto"/>
        </w:rPr>
      </w:pPr>
      <w:r>
        <w:rPr>
          <w:rFonts w:ascii="Arial" w:cs="Arial" w:eastAsia="Arial" w:hAnsi="Arial"/>
          <w:sz w:val="16"/>
          <w:szCs w:val="16"/>
          <w:b w:val="1"/>
          <w:bCs w:val="1"/>
          <w:color w:val="auto"/>
        </w:rPr>
        <w:t>Exhibit 23.1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03" w:lineRule="exact"/>
        <w:rPr>
          <w:sz w:val="20"/>
          <w:szCs w:val="20"/>
          <w:color w:val="auto"/>
        </w:rPr>
      </w:pPr>
    </w:p>
    <w:p>
      <w:pPr>
        <w:ind w:right="600"/>
        <w:spacing w:after="0" w:line="300" w:lineRule="auto"/>
        <w:rPr>
          <w:sz w:val="20"/>
          <w:szCs w:val="20"/>
          <w:color w:val="auto"/>
        </w:rPr>
      </w:pPr>
      <w:r>
        <w:rPr>
          <w:rFonts w:ascii="Arial" w:cs="Arial" w:eastAsia="Arial" w:hAnsi="Arial"/>
          <w:sz w:val="15"/>
          <w:szCs w:val="15"/>
          <w:color w:val="auto"/>
        </w:rPr>
        <w:t>We consent to the use in this Registration Statement on Form S-1 of our report dated May 7, 2021 relating to the financial statements of Tenaya Therapeutics, Inc. We also consent to the reference to us under the heading “Experts” in such Registration Statement.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July 9, 2021</w:t>
      </w:r>
    </w:p>
    <w:sectPr>
      <w:pgSz w:w="11900" w:h="16838" w:orient="portrait"/>
      <w:cols w:equalWidth="0" w:num="1">
        <w:col w:w="9620"/>
      </w:cols>
      <w:pgMar w:left="1140" w:top="12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F0D62F"/>
    <w:multiLevelType w:val="hybridMultilevel"/>
    <w:lvl w:ilvl="0">
      <w:lvlJc w:val="left"/>
      <w:lvlText w:val="(%1)"/>
      <w:numFmt w:val="decimal"/>
      <w:start w:val="1"/>
    </w:lvl>
  </w:abstractNum>
  <w:abstractNum w:abstractNumId="1">
    <w:nsid w:val="7975E8EE"/>
    <w:multiLevelType w:val="hybridMultilevel"/>
    <w:lvl w:ilvl="0">
      <w:lvlJc w:val="left"/>
      <w:lvlText w:val="(%1)"/>
      <w:numFmt w:val="decimal"/>
      <w:start w:val="1"/>
    </w:lvl>
  </w:abstractNum>
  <w:abstractNum w:abstractNumId="2">
    <w:nsid w:val="73154115"/>
    <w:multiLevelType w:val="hybridMultilevel"/>
    <w:lvl w:ilvl="0">
      <w:lvlJc w:val="left"/>
      <w:lvlText w:val="%1."/>
      <w:numFmt w:val="decimal"/>
      <w:start w:val="1"/>
    </w:lvl>
  </w:abstractNum>
  <w:abstractNum w:abstractNumId="3">
    <w:nsid w:val="622D8102"/>
    <w:multiLevelType w:val="hybridMultilevel"/>
    <w:lvl w:ilvl="0">
      <w:lvlJc w:val="left"/>
      <w:lvlText w:val="%1."/>
      <w:numFmt w:val="decimal"/>
      <w:start w:val="1"/>
    </w:lvl>
  </w:abstractNum>
  <w:abstractNum w:abstractNumId="4">
    <w:nsid w:val="2AB26587"/>
    <w:multiLevelType w:val="hybridMultilevel"/>
    <w:lvl w:ilvl="0">
      <w:lvlJc w:val="left"/>
      <w:lvlText w:val="%1."/>
      <w:numFmt w:val="decimal"/>
      <w:start w:val="4"/>
    </w:lvl>
  </w:abstractNum>
  <w:abstractNum w:abstractNumId="5">
    <w:nsid w:val="44B3FA61"/>
    <w:multiLevelType w:val="hybridMultilevel"/>
    <w:lvl w:ilvl="0">
      <w:lvlJc w:val="left"/>
      <w:lvlText w:val="*"/>
      <w:numFmt w:val="bullet"/>
      <w:start w:val="1"/>
    </w:lvl>
    <w:lvl w:ilvl="1">
      <w:lvlJc w:val="left"/>
      <w:lvlText w:val="•"/>
      <w:numFmt w:val="bullet"/>
      <w:start w:val="1"/>
    </w:lvl>
  </w:abstractNum>
  <w:abstractNum w:abstractNumId="6">
    <w:nsid w:val="1C0CA67C"/>
    <w:multiLevelType w:val="hybridMultilevel"/>
    <w:lvl w:ilvl="0">
      <w:lvlJc w:val="left"/>
      <w:lvlText w:val="•"/>
      <w:numFmt w:val="bullet"/>
      <w:start w:val="1"/>
    </w:lvl>
  </w:abstractNum>
  <w:abstractNum w:abstractNumId="7">
    <w:nsid w:val="3D206613"/>
    <w:multiLevelType w:val="hybridMultilevel"/>
    <w:lvl w:ilvl="0">
      <w:lvlJc w:val="left"/>
      <w:lvlText w:val="•"/>
      <w:numFmt w:val="bullet"/>
      <w:start w:val="1"/>
    </w:lvl>
  </w:abstractNum>
  <w:abstractNum w:abstractNumId="8">
    <w:nsid w:val="7993B662"/>
    <w:multiLevelType w:val="hybridMultilevel"/>
    <w:lvl w:ilvl="0">
      <w:lvlJc w:val="left"/>
      <w:lvlText w:val="•"/>
      <w:numFmt w:val="bullet"/>
      <w:start w:val="1"/>
    </w:lvl>
  </w:abstractNum>
  <w:abstractNum w:abstractNumId="9">
    <w:nsid w:val="3BAB699E"/>
    <w:multiLevelType w:val="hybridMultilevel"/>
    <w:lvl w:ilvl="0">
      <w:lvlJc w:val="left"/>
      <w:lvlText w:val="•"/>
      <w:numFmt w:val="bullet"/>
      <w:start w:val="1"/>
    </w:lvl>
  </w:abstractNum>
  <w:abstractNum w:abstractNumId="10">
    <w:nsid w:val="71315369"/>
    <w:multiLevelType w:val="hybridMultilevel"/>
    <w:lvl w:ilvl="0">
      <w:lvlJc w:val="left"/>
      <w:lvlText w:val="•"/>
      <w:numFmt w:val="bullet"/>
      <w:start w:val="1"/>
    </w:lvl>
  </w:abstractNum>
  <w:abstractNum w:abstractNumId="11">
    <w:nsid w:val="7BCFBAFC"/>
    <w:multiLevelType w:val="hybridMultilevel"/>
    <w:lvl w:ilvl="0">
      <w:lvlJc w:val="left"/>
      <w:lvlText w:val="•"/>
      <w:numFmt w:val="bullet"/>
      <w:start w:val="1"/>
    </w:lvl>
  </w:abstractNum>
  <w:abstractNum w:abstractNumId="12">
    <w:nsid w:val="17859F72"/>
    <w:multiLevelType w:val="hybridMultilevel"/>
    <w:lvl w:ilvl="0">
      <w:lvlJc w:val="left"/>
      <w:lvlText w:val="•"/>
      <w:numFmt w:val="bullet"/>
      <w:start w:val="1"/>
    </w:lvl>
  </w:abstractNum>
  <w:abstractNum w:abstractNumId="13">
    <w:nsid w:val="3AA10581"/>
    <w:multiLevelType w:val="hybridMultilevel"/>
    <w:lvl w:ilvl="0">
      <w:lvlJc w:val="left"/>
      <w:lvlText w:val="•"/>
      <w:numFmt w:val="bullet"/>
      <w:start w:val="1"/>
    </w:lvl>
  </w:abstractNum>
  <w:abstractNum w:abstractNumId="14">
    <w:nsid w:val="63DE60CD"/>
    <w:multiLevelType w:val="hybridMultilevel"/>
    <w:lvl w:ilvl="0">
      <w:lvlJc w:val="left"/>
      <w:lvlText w:val="•"/>
      <w:numFmt w:val="bullet"/>
      <w:start w:val="1"/>
    </w:lvl>
  </w:abstractNum>
  <w:abstractNum w:abstractNumId="15">
    <w:nsid w:val="621AF471"/>
    <w:multiLevelType w:val="hybridMultilevel"/>
    <w:lvl w:ilvl="0">
      <w:lvlJc w:val="left"/>
      <w:lvlText w:val="•"/>
      <w:numFmt w:val="bullet"/>
      <w:start w:val="1"/>
    </w:lvl>
  </w:abstractNum>
  <w:abstractNum w:abstractNumId="16">
    <w:nsid w:val="73CFE165"/>
    <w:multiLevelType w:val="hybridMultilevel"/>
    <w:lvl w:ilvl="0">
      <w:lvlJc w:val="left"/>
      <w:lvlText w:val="(%1)"/>
      <w:numFmt w:val="decimal"/>
      <w:start w:val="1"/>
    </w:lvl>
  </w:abstractNum>
  <w:abstractNum w:abstractNumId="17">
    <w:nsid w:val="20F88EA6"/>
    <w:multiLevelType w:val="hybridMultilevel"/>
    <w:lvl w:ilvl="0">
      <w:lvlJc w:val="left"/>
      <w:lvlText w:val="(%1)"/>
      <w:numFmt w:val="decimal"/>
      <w:start w:val="1"/>
    </w:lvl>
  </w:abstractNum>
  <w:abstractNum w:abstractNumId="18">
    <w:nsid w:val="617C843E"/>
    <w:multiLevelType w:val="hybridMultilevel"/>
    <w:lvl w:ilvl="0">
      <w:lvlJc w:val="left"/>
      <w:lvlText w:val="(%1)"/>
      <w:numFmt w:val="decimal"/>
      <w:start w:val="3"/>
    </w:lvl>
  </w:abstractNum>
  <w:abstractNum w:abstractNumId="19">
    <w:nsid w:val="7B541FAB"/>
    <w:multiLevelType w:val="hybridMultilevel"/>
    <w:lvl w:ilvl="0">
      <w:lvlJc w:val="left"/>
      <w:lvlText w:val="(%1)"/>
      <w:numFmt w:val="decimal"/>
      <w:start w:val="4"/>
    </w:lvl>
  </w:abstractNum>
  <w:abstractNum w:abstractNumId="20">
    <w:nsid w:val="2A79EC49"/>
    <w:multiLevelType w:val="hybridMultilevel"/>
    <w:lvl w:ilvl="0">
      <w:lvlJc w:val="left"/>
      <w:lvlText w:val="•"/>
      <w:numFmt w:val="bullet"/>
      <w:start w:val="1"/>
    </w:lvl>
  </w:abstractNum>
  <w:abstractNum w:abstractNumId="21">
    <w:nsid w:val="338125CF"/>
    <w:multiLevelType w:val="hybridMultilevel"/>
    <w:lvl w:ilvl="0">
      <w:lvlJc w:val="left"/>
      <w:lvlText w:val="•"/>
      <w:numFmt w:val="bullet"/>
      <w:start w:val="1"/>
    </w:lvl>
  </w:abstractNum>
  <w:abstractNum w:abstractNumId="22">
    <w:nsid w:val="47C7C971"/>
    <w:multiLevelType w:val="hybridMultilevel"/>
    <w:lvl w:ilvl="0">
      <w:lvlJc w:val="left"/>
      <w:lvlText w:val="•"/>
      <w:numFmt w:val="bullet"/>
      <w:start w:val="1"/>
    </w:lvl>
  </w:abstractNum>
  <w:abstractNum w:abstractNumId="23">
    <w:nsid w:val="46F8284B"/>
    <w:multiLevelType w:val="hybridMultilevel"/>
    <w:lvl w:ilvl="0">
      <w:lvlJc w:val="left"/>
      <w:lvlText w:val="•"/>
      <w:numFmt w:val="bullet"/>
      <w:start w:val="1"/>
    </w:lvl>
  </w:abstractNum>
  <w:abstractNum w:abstractNumId="24">
    <w:nsid w:val="4FA327CE"/>
    <w:multiLevelType w:val="hybridMultilevel"/>
    <w:lvl w:ilvl="0">
      <w:lvlJc w:val="left"/>
      <w:lvlText w:val="•"/>
      <w:numFmt w:val="bullet"/>
      <w:start w:val="1"/>
    </w:lvl>
  </w:abstractNum>
  <w:abstractNum w:abstractNumId="25">
    <w:nsid w:val="1873983A"/>
    <w:multiLevelType w:val="hybridMultilevel"/>
    <w:lvl w:ilvl="0">
      <w:lvlJc w:val="left"/>
      <w:lvlText w:val="•"/>
      <w:numFmt w:val="bullet"/>
      <w:start w:val="1"/>
    </w:lvl>
  </w:abstractNum>
  <w:abstractNum w:abstractNumId="26">
    <w:nsid w:val="3D2DD275"/>
    <w:multiLevelType w:val="hybridMultilevel"/>
    <w:lvl w:ilvl="0">
      <w:lvlJc w:val="left"/>
      <w:lvlText w:val="•"/>
      <w:numFmt w:val="bullet"/>
      <w:start w:val="1"/>
    </w:lvl>
  </w:abstractNum>
  <w:abstractNum w:abstractNumId="27">
    <w:nsid w:val="2E17ECA7"/>
    <w:multiLevelType w:val="hybridMultilevel"/>
    <w:lvl w:ilvl="0">
      <w:lvlJc w:val="left"/>
      <w:lvlText w:val="•"/>
      <w:numFmt w:val="bullet"/>
      <w:start w:val="1"/>
    </w:lvl>
  </w:abstractNum>
  <w:abstractNum w:abstractNumId="28">
    <w:nsid w:val="53B2564F"/>
    <w:multiLevelType w:val="hybridMultilevel"/>
    <w:lvl w:ilvl="0">
      <w:lvlJc w:val="left"/>
      <w:lvlText w:val="•"/>
      <w:numFmt w:val="bullet"/>
      <w:start w:val="1"/>
    </w:lvl>
  </w:abstractNum>
  <w:abstractNum w:abstractNumId="29">
    <w:nsid w:val="75509D76"/>
    <w:multiLevelType w:val="hybridMultilevel"/>
    <w:lvl w:ilvl="0">
      <w:lvlJc w:val="left"/>
      <w:lvlText w:val="•"/>
      <w:numFmt w:val="bullet"/>
      <w:start w:val="1"/>
    </w:lvl>
  </w:abstractNum>
  <w:abstractNum w:abstractNumId="30">
    <w:nsid w:val="1AF7F0EA"/>
    <w:multiLevelType w:val="hybridMultilevel"/>
    <w:lvl w:ilvl="0">
      <w:lvlJc w:val="left"/>
      <w:lvlText w:val="•"/>
      <w:numFmt w:val="bullet"/>
      <w:start w:val="1"/>
    </w:lvl>
  </w:abstractNum>
  <w:abstractNum w:abstractNumId="31">
    <w:nsid w:val="4DA32C7E"/>
    <w:multiLevelType w:val="hybridMultilevel"/>
    <w:lvl w:ilvl="0">
      <w:lvlJc w:val="left"/>
      <w:lvlText w:val="•"/>
      <w:numFmt w:val="bullet"/>
      <w:start w:val="1"/>
    </w:lvl>
  </w:abstractNum>
  <w:abstractNum w:abstractNumId="32">
    <w:nsid w:val="6EC68664"/>
    <w:multiLevelType w:val="hybridMultilevel"/>
    <w:lvl w:ilvl="0">
      <w:lvlJc w:val="left"/>
      <w:lvlText w:val="•"/>
      <w:numFmt w:val="bullet"/>
      <w:start w:val="1"/>
    </w:lvl>
  </w:abstractNum>
  <w:abstractNum w:abstractNumId="33">
    <w:nsid w:val="E0D31FF"/>
    <w:multiLevelType w:val="hybridMultilevel"/>
    <w:lvl w:ilvl="0">
      <w:lvlJc w:val="left"/>
      <w:lvlText w:val="•"/>
      <w:numFmt w:val="bullet"/>
      <w:start w:val="1"/>
    </w:lvl>
  </w:abstractNum>
  <w:abstractNum w:abstractNumId="34">
    <w:nsid w:val="2FD0AD81"/>
    <w:multiLevelType w:val="hybridMultilevel"/>
    <w:lvl w:ilvl="0">
      <w:lvlJc w:val="left"/>
      <w:lvlText w:val="•"/>
      <w:numFmt w:val="bullet"/>
      <w:start w:val="1"/>
    </w:lvl>
  </w:abstractNum>
  <w:abstractNum w:abstractNumId="35">
    <w:nsid w:val="1978EBEB"/>
    <w:multiLevelType w:val="hybridMultilevel"/>
    <w:lvl w:ilvl="0">
      <w:lvlJc w:val="left"/>
      <w:lvlText w:val="•"/>
      <w:numFmt w:val="bullet"/>
      <w:start w:val="1"/>
    </w:lvl>
  </w:abstractNum>
  <w:abstractNum w:abstractNumId="36">
    <w:nsid w:val="52C12C61"/>
    <w:multiLevelType w:val="hybridMultilevel"/>
    <w:lvl w:ilvl="0">
      <w:lvlJc w:val="left"/>
      <w:lvlText w:val="•"/>
      <w:numFmt w:val="bullet"/>
      <w:start w:val="1"/>
    </w:lvl>
  </w:abstractNum>
  <w:abstractNum w:abstractNumId="37">
    <w:nsid w:val="4BDD53FD"/>
    <w:multiLevelType w:val="hybridMultilevel"/>
    <w:lvl w:ilvl="0">
      <w:lvlJc w:val="left"/>
      <w:lvlText w:val="•"/>
      <w:numFmt w:val="bullet"/>
      <w:start w:val="1"/>
    </w:lvl>
  </w:abstractNum>
  <w:abstractNum w:abstractNumId="38">
    <w:nsid w:val="569951FE"/>
    <w:multiLevelType w:val="hybridMultilevel"/>
    <w:lvl w:ilvl="0">
      <w:lvlJc w:val="left"/>
      <w:lvlText w:val="•"/>
      <w:numFmt w:val="bullet"/>
      <w:start w:val="1"/>
    </w:lvl>
  </w:abstractNum>
  <w:abstractNum w:abstractNumId="39">
    <w:nsid w:val="4C54E2C3"/>
    <w:multiLevelType w:val="hybridMultilevel"/>
    <w:lvl w:ilvl="0">
      <w:lvlJc w:val="left"/>
      <w:lvlText w:val="•"/>
      <w:numFmt w:val="bullet"/>
      <w:start w:val="1"/>
    </w:lvl>
  </w:abstractNum>
  <w:abstractNum w:abstractNumId="40">
    <w:nsid w:val="788BD9B"/>
    <w:multiLevelType w:val="hybridMultilevel"/>
    <w:lvl w:ilvl="0">
      <w:lvlJc w:val="left"/>
      <w:lvlText w:val="•"/>
      <w:numFmt w:val="bullet"/>
      <w:start w:val="1"/>
    </w:lvl>
  </w:abstractNum>
  <w:abstractNum w:abstractNumId="41">
    <w:nsid w:val="47CAA567"/>
    <w:multiLevelType w:val="hybridMultilevel"/>
    <w:lvl w:ilvl="0">
      <w:lvlJc w:val="left"/>
      <w:lvlText w:val="•"/>
      <w:numFmt w:val="bullet"/>
      <w:start w:val="1"/>
    </w:lvl>
  </w:abstractNum>
  <w:abstractNum w:abstractNumId="42">
    <w:nsid w:val="48249DBF"/>
    <w:multiLevelType w:val="hybridMultilevel"/>
    <w:lvl w:ilvl="0">
      <w:lvlJc w:val="left"/>
      <w:lvlText w:val="•"/>
      <w:numFmt w:val="bullet"/>
      <w:start w:val="1"/>
    </w:lvl>
  </w:abstractNum>
  <w:abstractNum w:abstractNumId="43">
    <w:nsid w:val="1F0E5D0D"/>
    <w:multiLevelType w:val="hybridMultilevel"/>
    <w:lvl w:ilvl="0">
      <w:lvlJc w:val="left"/>
      <w:lvlText w:val="•"/>
      <w:numFmt w:val="bullet"/>
      <w:start w:val="1"/>
    </w:lvl>
  </w:abstractNum>
  <w:abstractNum w:abstractNumId="44">
    <w:nsid w:val="26BAAE9"/>
    <w:multiLevelType w:val="hybridMultilevel"/>
    <w:lvl w:ilvl="0">
      <w:lvlJc w:val="left"/>
      <w:lvlText w:val="•"/>
      <w:numFmt w:val="bullet"/>
      <w:start w:val="1"/>
    </w:lvl>
  </w:abstractNum>
  <w:abstractNum w:abstractNumId="45">
    <w:nsid w:val="2C02FE8C"/>
    <w:multiLevelType w:val="hybridMultilevel"/>
    <w:lvl w:ilvl="0">
      <w:lvlJc w:val="left"/>
      <w:lvlText w:val="•"/>
      <w:numFmt w:val="bullet"/>
      <w:start w:val="1"/>
    </w:lvl>
  </w:abstractNum>
  <w:abstractNum w:abstractNumId="46">
    <w:nsid w:val="129517E"/>
    <w:multiLevelType w:val="hybridMultilevel"/>
    <w:lvl w:ilvl="0">
      <w:lvlJc w:val="left"/>
      <w:lvlText w:val="•"/>
      <w:numFmt w:val="bullet"/>
      <w:start w:val="1"/>
    </w:lvl>
  </w:abstractNum>
  <w:abstractNum w:abstractNumId="47">
    <w:nsid w:val="763B8C4E"/>
    <w:multiLevelType w:val="hybridMultilevel"/>
    <w:lvl w:ilvl="0">
      <w:lvlJc w:val="left"/>
      <w:lvlText w:val="•"/>
      <w:numFmt w:val="bullet"/>
      <w:start w:val="1"/>
    </w:lvl>
  </w:abstractNum>
  <w:abstractNum w:abstractNumId="48">
    <w:nsid w:val="4CFB8D32"/>
    <w:multiLevelType w:val="hybridMultilevel"/>
    <w:lvl w:ilvl="0">
      <w:lvlJc w:val="left"/>
      <w:lvlText w:val="•"/>
      <w:numFmt w:val="bullet"/>
      <w:start w:val="1"/>
    </w:lvl>
  </w:abstractNum>
  <w:abstractNum w:abstractNumId="49">
    <w:nsid w:val="62A5D5BD"/>
    <w:multiLevelType w:val="hybridMultilevel"/>
    <w:lvl w:ilvl="0">
      <w:lvlJc w:val="left"/>
      <w:lvlText w:val="•"/>
      <w:numFmt w:val="bullet"/>
      <w:start w:val="1"/>
    </w:lvl>
  </w:abstractNum>
  <w:abstractNum w:abstractNumId="50">
    <w:nsid w:val="718FABF9"/>
    <w:multiLevelType w:val="hybridMultilevel"/>
    <w:lvl w:ilvl="0">
      <w:lvlJc w:val="left"/>
      <w:lvlText w:val="•"/>
      <w:numFmt w:val="bullet"/>
      <w:start w:val="1"/>
    </w:lvl>
  </w:abstractNum>
  <w:abstractNum w:abstractNumId="51">
    <w:nsid w:val="7775797C"/>
    <w:multiLevelType w:val="hybridMultilevel"/>
    <w:lvl w:ilvl="0">
      <w:lvlJc w:val="left"/>
      <w:lvlText w:val="•"/>
      <w:numFmt w:val="bullet"/>
      <w:start w:val="1"/>
    </w:lvl>
  </w:abstractNum>
  <w:abstractNum w:abstractNumId="52">
    <w:nsid w:val="1626FB8C"/>
    <w:multiLevelType w:val="hybridMultilevel"/>
    <w:lvl w:ilvl="0">
      <w:lvlJc w:val="left"/>
      <w:lvlText w:val="•"/>
      <w:numFmt w:val="bullet"/>
      <w:start w:val="1"/>
    </w:lvl>
  </w:abstractNum>
  <w:abstractNum w:abstractNumId="53">
    <w:nsid w:val="3957756A"/>
    <w:multiLevelType w:val="hybridMultilevel"/>
    <w:lvl w:ilvl="0">
      <w:lvlJc w:val="left"/>
      <w:lvlText w:val="•"/>
      <w:numFmt w:val="bullet"/>
      <w:start w:val="1"/>
    </w:lvl>
  </w:abstractNum>
  <w:abstractNum w:abstractNumId="54">
    <w:nsid w:val="3E6DA1C7"/>
    <w:multiLevelType w:val="hybridMultilevel"/>
    <w:lvl w:ilvl="0">
      <w:lvlJc w:val="left"/>
      <w:lvlText w:val="•"/>
      <w:numFmt w:val="bullet"/>
      <w:start w:val="1"/>
    </w:lvl>
  </w:abstractNum>
  <w:abstractNum w:abstractNumId="55">
    <w:nsid w:val="65CA235B"/>
    <w:multiLevelType w:val="hybridMultilevel"/>
    <w:lvl w:ilvl="0">
      <w:lvlJc w:val="left"/>
      <w:lvlText w:val="•"/>
      <w:numFmt w:val="bullet"/>
      <w:start w:val="1"/>
    </w:lvl>
  </w:abstractNum>
  <w:abstractNum w:abstractNumId="56">
    <w:nsid w:val="51CB0DA4"/>
    <w:multiLevelType w:val="hybridMultilevel"/>
    <w:lvl w:ilvl="0">
      <w:lvlJc w:val="left"/>
      <w:lvlText w:val="•"/>
      <w:numFmt w:val="bullet"/>
      <w:start w:val="1"/>
    </w:lvl>
  </w:abstractNum>
  <w:abstractNum w:abstractNumId="57">
    <w:nsid w:val="7B9B743C"/>
    <w:multiLevelType w:val="hybridMultilevel"/>
    <w:lvl w:ilvl="0">
      <w:lvlJc w:val="left"/>
      <w:lvlText w:val="•"/>
      <w:numFmt w:val="bullet"/>
      <w:start w:val="1"/>
    </w:lvl>
  </w:abstractNum>
  <w:abstractNum w:abstractNumId="58">
    <w:nsid w:val="13E21002"/>
    <w:multiLevelType w:val="hybridMultilevel"/>
    <w:lvl w:ilvl="0">
      <w:lvlJc w:val="left"/>
      <w:lvlText w:val="•"/>
      <w:numFmt w:val="bullet"/>
      <w:start w:val="1"/>
    </w:lvl>
  </w:abstractNum>
  <w:abstractNum w:abstractNumId="59">
    <w:nsid w:val="257D63F4"/>
    <w:multiLevelType w:val="hybridMultilevel"/>
    <w:lvl w:ilvl="0">
      <w:lvlJc w:val="left"/>
      <w:lvlText w:val="•"/>
      <w:numFmt w:val="bullet"/>
      <w:start w:val="1"/>
    </w:lvl>
  </w:abstractNum>
  <w:abstractNum w:abstractNumId="60">
    <w:nsid w:val="70EC11B2"/>
    <w:multiLevelType w:val="hybridMultilevel"/>
    <w:lvl w:ilvl="0">
      <w:lvlJc w:val="left"/>
      <w:lvlText w:val="•"/>
      <w:numFmt w:val="bullet"/>
      <w:start w:val="1"/>
    </w:lvl>
  </w:abstractNum>
  <w:abstractNum w:abstractNumId="61">
    <w:nsid w:val="2EDA00ED"/>
    <w:multiLevelType w:val="hybridMultilevel"/>
    <w:lvl w:ilvl="0">
      <w:lvlJc w:val="left"/>
      <w:lvlText w:val="•"/>
      <w:numFmt w:val="bullet"/>
      <w:start w:val="1"/>
    </w:lvl>
  </w:abstractNum>
  <w:abstractNum w:abstractNumId="62">
    <w:nsid w:val="73209072"/>
    <w:multiLevelType w:val="hybridMultilevel"/>
    <w:lvl w:ilvl="0">
      <w:lvlJc w:val="left"/>
      <w:lvlText w:val="•"/>
      <w:numFmt w:val="bullet"/>
      <w:start w:val="1"/>
    </w:lvl>
  </w:abstractNum>
  <w:abstractNum w:abstractNumId="63">
    <w:nsid w:val="5FB29816"/>
    <w:multiLevelType w:val="hybridMultilevel"/>
    <w:lvl w:ilvl="0">
      <w:lvlJc w:val="left"/>
      <w:lvlText w:val="(%1)"/>
      <w:numFmt w:val="decimal"/>
      <w:start w:val="1"/>
    </w:lvl>
  </w:abstractNum>
  <w:abstractNum w:abstractNumId="64">
    <w:nsid w:val="3CE732EC"/>
    <w:multiLevelType w:val="hybridMultilevel"/>
    <w:lvl w:ilvl="0">
      <w:lvlJc w:val="left"/>
      <w:lvlText w:val="•"/>
      <w:numFmt w:val="bullet"/>
      <w:start w:val="1"/>
    </w:lvl>
  </w:abstractNum>
  <w:abstractNum w:abstractNumId="65">
    <w:nsid w:val="22F13DF3"/>
    <w:multiLevelType w:val="hybridMultilevel"/>
    <w:lvl w:ilvl="0">
      <w:lvlJc w:val="left"/>
      <w:lvlText w:val="•"/>
      <w:numFmt w:val="bullet"/>
      <w:start w:val="1"/>
    </w:lvl>
  </w:abstractNum>
  <w:abstractNum w:abstractNumId="66">
    <w:nsid w:val="792B8401"/>
    <w:multiLevelType w:val="hybridMultilevel"/>
    <w:lvl w:ilvl="0">
      <w:lvlJc w:val="left"/>
      <w:lvlText w:val="(%1)"/>
      <w:numFmt w:val="decimal"/>
      <w:start w:val="1"/>
    </w:lvl>
  </w:abstractNum>
  <w:abstractNum w:abstractNumId="67">
    <w:nsid w:val="FA85F4D"/>
    <w:multiLevelType w:val="hybridMultilevel"/>
    <w:lvl w:ilvl="0">
      <w:lvlJc w:val="left"/>
      <w:lvlText w:val="(%1)"/>
      <w:numFmt w:val="decimal"/>
      <w:start w:val="1"/>
    </w:lvl>
  </w:abstractNum>
  <w:abstractNum w:abstractNumId="68">
    <w:nsid w:val="6ECE91F0"/>
    <w:multiLevelType w:val="hybridMultilevel"/>
    <w:lvl w:ilvl="0">
      <w:lvlJc w:val="left"/>
      <w:lvlText w:val="•"/>
      <w:numFmt w:val="bullet"/>
      <w:start w:val="1"/>
    </w:lvl>
  </w:abstractNum>
  <w:abstractNum w:abstractNumId="69">
    <w:nsid w:val="4FC4D600"/>
    <w:multiLevelType w:val="hybridMultilevel"/>
    <w:lvl w:ilvl="0">
      <w:lvlJc w:val="left"/>
      <w:lvlText w:val="•"/>
      <w:numFmt w:val="bullet"/>
      <w:start w:val="1"/>
    </w:lvl>
  </w:abstractNum>
  <w:abstractNum w:abstractNumId="70">
    <w:nsid w:val="5BFD4210"/>
    <w:multiLevelType w:val="hybridMultilevel"/>
    <w:lvl w:ilvl="0">
      <w:lvlJc w:val="left"/>
      <w:lvlText w:val="•"/>
      <w:numFmt w:val="bullet"/>
      <w:start w:val="1"/>
    </w:lvl>
  </w:abstractNum>
  <w:abstractNum w:abstractNumId="71">
    <w:nsid w:val="76574F8B"/>
    <w:multiLevelType w:val="hybridMultilevel"/>
    <w:lvl w:ilvl="0">
      <w:lvlJc w:val="left"/>
      <w:lvlText w:val="•"/>
      <w:numFmt w:val="bullet"/>
      <w:start w:val="1"/>
    </w:lvl>
  </w:abstractNum>
  <w:abstractNum w:abstractNumId="72">
    <w:nsid w:val="178F7B67"/>
    <w:multiLevelType w:val="hybridMultilevel"/>
    <w:lvl w:ilvl="0">
      <w:lvlJc w:val="left"/>
      <w:lvlText w:val="•"/>
      <w:numFmt w:val="bullet"/>
      <w:start w:val="1"/>
    </w:lvl>
  </w:abstractNum>
  <w:abstractNum w:abstractNumId="73">
    <w:nsid w:val="2421DFCF"/>
    <w:multiLevelType w:val="hybridMultilevel"/>
    <w:lvl w:ilvl="0">
      <w:lvlJc w:val="left"/>
      <w:lvlText w:val="%1."/>
      <w:numFmt w:val="decimal"/>
      <w:start w:val="1"/>
    </w:lvl>
  </w:abstractNum>
  <w:abstractNum w:abstractNumId="74">
    <w:nsid w:val="1565AC99"/>
    <w:multiLevelType w:val="hybridMultilevel"/>
    <w:lvl w:ilvl="0">
      <w:lvlJc w:val="left"/>
      <w:lvlText w:val="%1."/>
      <w:numFmt w:val="decimal"/>
      <w:start w:val="1"/>
    </w:lvl>
  </w:abstractNum>
  <w:abstractNum w:abstractNumId="75">
    <w:nsid w:val="19FB2650"/>
    <w:multiLevelType w:val="hybridMultilevel"/>
    <w:lvl w:ilvl="0">
      <w:lvlJc w:val="left"/>
      <w:lvlText w:val="%1."/>
      <w:numFmt w:val="decimal"/>
      <w:start w:val="3"/>
    </w:lvl>
  </w:abstractNum>
  <w:abstractNum w:abstractNumId="76">
    <w:nsid w:val="5024DE5B"/>
    <w:multiLevelType w:val="hybridMultilevel"/>
    <w:lvl w:ilvl="0">
      <w:lvlJc w:val="left"/>
      <w:lvlText w:val="*"/>
      <w:numFmt w:val="bullet"/>
      <w:start w:val="1"/>
    </w:lvl>
    <w:lvl w:ilvl="1">
      <w:lvlJc w:val="left"/>
      <w:lvlText w:val="•"/>
      <w:numFmt w:val="bullet"/>
      <w:start w:val="1"/>
    </w:lvl>
  </w:abstractNum>
  <w:abstractNum w:abstractNumId="77">
    <w:nsid w:val="168EFE17"/>
    <w:multiLevelType w:val="hybridMultilevel"/>
    <w:lvl w:ilvl="0">
      <w:lvlJc w:val="left"/>
      <w:lvlText w:val="•"/>
      <w:numFmt w:val="bullet"/>
      <w:start w:val="1"/>
    </w:lvl>
  </w:abstractNum>
  <w:abstractNum w:abstractNumId="78">
    <w:nsid w:val="1036B29F"/>
    <w:multiLevelType w:val="hybridMultilevel"/>
    <w:lvl w:ilvl="0">
      <w:lvlJc w:val="left"/>
      <w:lvlText w:val="•"/>
      <w:numFmt w:val="bullet"/>
      <w:start w:val="1"/>
    </w:lvl>
  </w:abstractNum>
  <w:abstractNum w:abstractNumId="79">
    <w:nsid w:val="1D206B8E"/>
    <w:multiLevelType w:val="hybridMultilevel"/>
    <w:lvl w:ilvl="0">
      <w:lvlJc w:val="left"/>
      <w:lvlText w:val="•"/>
      <w:numFmt w:val="bullet"/>
      <w:start w:val="1"/>
    </w:lvl>
  </w:abstractNum>
  <w:abstractNum w:abstractNumId="80">
    <w:nsid w:val="7934D3D4"/>
    <w:multiLevelType w:val="hybridMultilevel"/>
    <w:lvl w:ilvl="0">
      <w:lvlJc w:val="left"/>
      <w:lvlText w:val="•"/>
      <w:numFmt w:val="bullet"/>
      <w:start w:val="1"/>
    </w:lvl>
  </w:abstractNum>
  <w:abstractNum w:abstractNumId="81">
    <w:nsid w:val="1C65E98"/>
    <w:multiLevelType w:val="hybridMultilevel"/>
    <w:lvl w:ilvl="0">
      <w:lvlJc w:val="left"/>
      <w:lvlText w:val="•"/>
      <w:numFmt w:val="bullet"/>
      <w:start w:val="1"/>
    </w:lvl>
  </w:abstractNum>
  <w:abstractNum w:abstractNumId="82">
    <w:nsid w:val="1495E50A"/>
    <w:multiLevelType w:val="hybridMultilevel"/>
    <w:lvl w:ilvl="0">
      <w:lvlJc w:val="left"/>
      <w:lvlText w:val="(%1)"/>
      <w:numFmt w:val="decimal"/>
      <w:start w:val="1"/>
    </w:lvl>
  </w:abstractNum>
  <w:abstractNum w:abstractNumId="83">
    <w:nsid w:val="F5BCF61"/>
    <w:multiLevelType w:val="hybridMultilevel"/>
    <w:lvl w:ilvl="0">
      <w:lvlJc w:val="left"/>
      <w:lvlText w:val="•"/>
      <w:numFmt w:val="bullet"/>
      <w:start w:val="1"/>
    </w:lvl>
  </w:abstractNum>
  <w:abstractNum w:abstractNumId="84">
    <w:nsid w:val="3B1DD403"/>
    <w:multiLevelType w:val="hybridMultilevel"/>
    <w:lvl w:ilvl="0">
      <w:lvlJc w:val="left"/>
      <w:lvlText w:val="•"/>
      <w:numFmt w:val="bullet"/>
      <w:start w:val="1"/>
    </w:lvl>
  </w:abstractNum>
  <w:abstractNum w:abstractNumId="85">
    <w:nsid w:val="530386D1"/>
    <w:multiLevelType w:val="hybridMultilevel"/>
    <w:lvl w:ilvl="0">
      <w:lvlJc w:val="left"/>
      <w:lvlText w:val="•"/>
      <w:numFmt w:val="bullet"/>
      <w:start w:val="1"/>
    </w:lvl>
  </w:abstractNum>
  <w:abstractNum w:abstractNumId="86">
    <w:nsid w:val="7525F2BC"/>
    <w:multiLevelType w:val="hybridMultilevel"/>
    <w:lvl w:ilvl="0">
      <w:lvlJc w:val="left"/>
      <w:lvlText w:val="•"/>
      <w:numFmt w:val="bullet"/>
      <w:start w:val="1"/>
    </w:lvl>
  </w:abstractNum>
  <w:abstractNum w:abstractNumId="87">
    <w:nsid w:val="CE8E1A7"/>
    <w:multiLevelType w:val="hybridMultilevel"/>
    <w:lvl w:ilvl="0">
      <w:lvlJc w:val="left"/>
      <w:lvlText w:val="%1."/>
      <w:numFmt w:val="decimal"/>
      <w:start w:val="1"/>
    </w:lvl>
    <w:lvl w:ilvl="1">
      <w:lvlJc w:val="left"/>
      <w:lvlText w:val="•"/>
      <w:numFmt w:val="bullet"/>
      <w:start w:val="1"/>
    </w:lvl>
  </w:abstractNum>
  <w:abstractNum w:abstractNumId="88">
    <w:nsid w:val="4E9EFB0D"/>
    <w:multiLevelType w:val="hybridMultilevel"/>
    <w:lvl w:ilvl="0">
      <w:lvlJc w:val="left"/>
      <w:lvlText w:val="•"/>
      <w:numFmt w:val="bullet"/>
      <w:start w:val="1"/>
    </w:lvl>
  </w:abstractNum>
  <w:abstractNum w:abstractNumId="89">
    <w:nsid w:val="90802BE"/>
    <w:multiLevelType w:val="hybridMultilevel"/>
    <w:lvl w:ilvl="0">
      <w:lvlJc w:val="left"/>
      <w:lvlText w:val="•"/>
      <w:numFmt w:val="bullet"/>
      <w:start w:val="1"/>
    </w:lvl>
  </w:abstractNum>
  <w:abstractNum w:abstractNumId="90">
    <w:nsid w:val="3266459B"/>
    <w:multiLevelType w:val="hybridMultilevel"/>
    <w:lvl w:ilvl="0">
      <w:lvlJc w:val="left"/>
      <w:lvlText w:val="•"/>
      <w:numFmt w:val="bullet"/>
      <w:start w:val="1"/>
    </w:lvl>
  </w:abstractNum>
  <w:abstractNum w:abstractNumId="91">
    <w:nsid w:val="3F8B0CBF"/>
    <w:multiLevelType w:val="hybridMultilevel"/>
    <w:lvl w:ilvl="0">
      <w:lvlJc w:val="left"/>
      <w:lvlText w:val="•"/>
      <w:numFmt w:val="bullet"/>
      <w:start w:val="1"/>
    </w:lvl>
  </w:abstractNum>
  <w:abstractNum w:abstractNumId="92">
    <w:nsid w:val="37E203AB"/>
    <w:multiLevelType w:val="hybridMultilevel"/>
    <w:lvl w:ilvl="0">
      <w:lvlJc w:val="left"/>
      <w:lvlText w:val="•"/>
      <w:numFmt w:val="bullet"/>
      <w:start w:val="1"/>
    </w:lvl>
  </w:abstractNum>
  <w:abstractNum w:abstractNumId="93">
    <w:nsid w:val="2586D60E"/>
    <w:multiLevelType w:val="hybridMultilevel"/>
    <w:lvl w:ilvl="0">
      <w:lvlJc w:val="left"/>
      <w:lvlText w:val="•"/>
      <w:numFmt w:val="bullet"/>
      <w:start w:val="1"/>
    </w:lvl>
  </w:abstractNum>
  <w:abstractNum w:abstractNumId="94">
    <w:nsid w:val="1F3DA4D5"/>
    <w:multiLevelType w:val="hybridMultilevel"/>
    <w:lvl w:ilvl="0">
      <w:lvlJc w:val="left"/>
      <w:lvlText w:val="•"/>
      <w:numFmt w:val="bullet"/>
      <w:start w:val="1"/>
    </w:lvl>
  </w:abstractNum>
  <w:abstractNum w:abstractNumId="95">
    <w:nsid w:val="74C93698"/>
    <w:multiLevelType w:val="hybridMultilevel"/>
    <w:lvl w:ilvl="0">
      <w:lvlJc w:val="left"/>
      <w:lvlText w:val="(%1)"/>
      <w:numFmt w:val="decimal"/>
    </w:lvl>
    <w:lvl w:ilvl="1">
      <w:lvlJc w:val="left"/>
      <w:lvlText w:val="•"/>
      <w:numFmt w:val="bullet"/>
      <w:start w:val="1"/>
    </w:lvl>
  </w:abstractNum>
  <w:abstractNum w:abstractNumId="96">
    <w:nsid w:val="48781401"/>
    <w:multiLevelType w:val="hybridMultilevel"/>
    <w:lvl w:ilvl="0">
      <w:lvlJc w:val="left"/>
      <w:lvlText w:val="•"/>
      <w:numFmt w:val="bullet"/>
      <w:start w:val="1"/>
    </w:lvl>
  </w:abstractNum>
  <w:abstractNum w:abstractNumId="97">
    <w:nsid w:val="186928D6"/>
    <w:multiLevelType w:val="hybridMultilevel"/>
    <w:lvl w:ilvl="0">
      <w:lvlJc w:val="left"/>
      <w:lvlText w:val="•"/>
      <w:numFmt w:val="bullet"/>
      <w:start w:val="1"/>
    </w:lvl>
  </w:abstractNum>
  <w:abstractNum w:abstractNumId="98">
    <w:nsid w:val="47195E5"/>
    <w:multiLevelType w:val="hybridMultilevel"/>
    <w:lvl w:ilvl="0">
      <w:lvlJc w:val="left"/>
      <w:lvlText w:val="%1."/>
      <w:numFmt w:val="decimal"/>
      <w:start w:val="1"/>
    </w:lvl>
  </w:abstractNum>
  <w:abstractNum w:abstractNumId="99">
    <w:nsid w:val="3746A5F2"/>
    <w:multiLevelType w:val="hybridMultilevel"/>
    <w:lvl w:ilvl="0">
      <w:lvlJc w:val="left"/>
      <w:lvlText w:val="•"/>
      <w:numFmt w:val="bullet"/>
      <w:start w:val="1"/>
    </w:lvl>
  </w:abstractNum>
  <w:abstractNum w:abstractNumId="100">
    <w:nsid w:val="682DFED6"/>
    <w:multiLevelType w:val="hybridMultilevel"/>
    <w:lvl w:ilvl="0">
      <w:lvlJc w:val="left"/>
      <w:lvlText w:val="•"/>
      <w:numFmt w:val="bullet"/>
      <w:start w:val="1"/>
    </w:lvl>
  </w:abstractNum>
  <w:abstractNum w:abstractNumId="101">
    <w:nsid w:val="606ED7F6"/>
    <w:multiLevelType w:val="hybridMultilevel"/>
    <w:lvl w:ilvl="0">
      <w:lvlJc w:val="left"/>
      <w:lvlText w:val="•"/>
      <w:numFmt w:val="bullet"/>
      <w:start w:val="1"/>
    </w:lvl>
  </w:abstractNum>
  <w:abstractNum w:abstractNumId="102">
    <w:nsid w:val="2D9DF57D"/>
    <w:multiLevelType w:val="hybridMultilevel"/>
    <w:lvl w:ilvl="0">
      <w:lvlJc w:val="left"/>
      <w:lvlText w:val="•"/>
      <w:numFmt w:val="bullet"/>
      <w:start w:val="1"/>
    </w:lvl>
  </w:abstractNum>
  <w:abstractNum w:abstractNumId="103">
    <w:nsid w:val="7FBD7A3E"/>
    <w:multiLevelType w:val="hybridMultilevel"/>
    <w:lvl w:ilvl="0">
      <w:lvlJc w:val="left"/>
      <w:lvlText w:val="•"/>
      <w:numFmt w:val="bullet"/>
      <w:start w:val="1"/>
    </w:lvl>
  </w:abstractNum>
  <w:abstractNum w:abstractNumId="104">
    <w:nsid w:val="490B7C5"/>
    <w:multiLevelType w:val="hybridMultilevel"/>
    <w:lvl w:ilvl="0">
      <w:lvlJc w:val="left"/>
      <w:lvlText w:val="•"/>
      <w:numFmt w:val="bullet"/>
      <w:start w:val="1"/>
    </w:lvl>
  </w:abstractNum>
  <w:abstractNum w:abstractNumId="105">
    <w:nsid w:val="4303A216"/>
    <w:multiLevelType w:val="hybridMultilevel"/>
    <w:lvl w:ilvl="0">
      <w:lvlJc w:val="left"/>
      <w:lvlText w:val="•"/>
      <w:numFmt w:val="bullet"/>
      <w:start w:val="1"/>
    </w:lvl>
  </w:abstractNum>
  <w:abstractNum w:abstractNumId="106">
    <w:nsid w:val="19B8A08E"/>
    <w:multiLevelType w:val="hybridMultilevel"/>
    <w:lvl w:ilvl="0">
      <w:lvlJc w:val="left"/>
      <w:lvlText w:val="•"/>
      <w:numFmt w:val="bullet"/>
      <w:start w:val="1"/>
    </w:lvl>
  </w:abstractNum>
  <w:abstractNum w:abstractNumId="107">
    <w:nsid w:val="54B59621"/>
    <w:multiLevelType w:val="hybridMultilevel"/>
    <w:lvl w:ilvl="0">
      <w:lvlJc w:val="left"/>
      <w:lvlText w:val="•"/>
      <w:numFmt w:val="bullet"/>
      <w:start w:val="1"/>
    </w:lvl>
  </w:abstractNum>
  <w:abstractNum w:abstractNumId="108">
    <w:nsid w:val="5992A02E"/>
    <w:multiLevelType w:val="hybridMultilevel"/>
    <w:lvl w:ilvl="0">
      <w:lvlJc w:val="left"/>
      <w:lvlText w:val="•"/>
      <w:numFmt w:val="bullet"/>
      <w:start w:val="1"/>
    </w:lvl>
  </w:abstractNum>
  <w:abstractNum w:abstractNumId="109">
    <w:nsid w:val="29EF532D"/>
    <w:multiLevelType w:val="hybridMultilevel"/>
    <w:lvl w:ilvl="0">
      <w:lvlJc w:val="left"/>
      <w:lvlText w:val="•"/>
      <w:numFmt w:val="bullet"/>
      <w:start w:val="1"/>
    </w:lvl>
  </w:abstractNum>
  <w:abstractNum w:abstractNumId="110">
    <w:nsid w:val="71D601AF"/>
    <w:multiLevelType w:val="hybridMultilevel"/>
    <w:lvl w:ilvl="0">
      <w:lvlJc w:val="left"/>
      <w:lvlText w:val="•"/>
      <w:numFmt w:val="bullet"/>
      <w:start w:val="1"/>
    </w:lvl>
  </w:abstractNum>
  <w:abstractNum w:abstractNumId="111">
    <w:nsid w:val="52C77402"/>
    <w:multiLevelType w:val="hybridMultilevel"/>
    <w:lvl w:ilvl="0">
      <w:lvlJc w:val="left"/>
      <w:lvlText w:val="•"/>
      <w:numFmt w:val="bullet"/>
      <w:start w:val="1"/>
    </w:lvl>
  </w:abstractNum>
  <w:abstractNum w:abstractNumId="112">
    <w:nsid w:val="2BB5B1C6"/>
    <w:multiLevelType w:val="hybridMultilevel"/>
    <w:lvl w:ilvl="0">
      <w:lvlJc w:val="left"/>
      <w:lvlText w:val="•"/>
      <w:numFmt w:val="bullet"/>
      <w:start w:val="1"/>
    </w:lvl>
  </w:abstractNum>
  <w:abstractNum w:abstractNumId="113">
    <w:nsid w:val="66BE6B9"/>
    <w:multiLevelType w:val="hybridMultilevel"/>
    <w:lvl w:ilvl="0">
      <w:lvlJc w:val="left"/>
      <w:lvlText w:val="•"/>
      <w:numFmt w:val="bullet"/>
      <w:start w:val="1"/>
    </w:lvl>
  </w:abstractNum>
  <w:abstractNum w:abstractNumId="114">
    <w:nsid w:val="62234363"/>
    <w:multiLevelType w:val="hybridMultilevel"/>
    <w:lvl w:ilvl="0">
      <w:lvlJc w:val="left"/>
      <w:lvlText w:val="•"/>
      <w:numFmt w:val="bullet"/>
      <w:start w:val="1"/>
    </w:lvl>
  </w:abstractNum>
  <w:abstractNum w:abstractNumId="115">
    <w:nsid w:val="66D385C9"/>
    <w:multiLevelType w:val="hybridMultilevel"/>
    <w:lvl w:ilvl="0">
      <w:lvlJc w:val="left"/>
      <w:lvlText w:val="•"/>
      <w:numFmt w:val="bullet"/>
      <w:start w:val="1"/>
    </w:lvl>
  </w:abstractNum>
  <w:abstractNum w:abstractNumId="116">
    <w:nsid w:val="596F6D8A"/>
    <w:multiLevelType w:val="hybridMultilevel"/>
    <w:lvl w:ilvl="0">
      <w:lvlJc w:val="left"/>
      <w:lvlText w:val="(%1)"/>
      <w:numFmt w:val="decimal"/>
      <w:start w:val="1"/>
    </w:lvl>
  </w:abstractNum>
  <w:abstractNum w:abstractNumId="117">
    <w:nsid w:val="5749361F"/>
    <w:multiLevelType w:val="hybridMultilevel"/>
    <w:lvl w:ilvl="0">
      <w:lvlJc w:val="left"/>
      <w:lvlText w:val="•"/>
      <w:numFmt w:val="bullet"/>
      <w:start w:val="1"/>
    </w:lvl>
  </w:abstractNum>
  <w:abstractNum w:abstractNumId="118">
    <w:nsid w:val="73BC6770"/>
    <w:multiLevelType w:val="hybridMultilevel"/>
    <w:lvl w:ilvl="0">
      <w:lvlJc w:val="left"/>
      <w:lvlText w:val="•"/>
      <w:numFmt w:val="bullet"/>
      <w:start w:val="1"/>
    </w:lvl>
  </w:abstractNum>
  <w:abstractNum w:abstractNumId="119">
    <w:nsid w:val="280E6897"/>
    <w:multiLevelType w:val="hybridMultilevel"/>
    <w:lvl w:ilvl="0">
      <w:lvlJc w:val="left"/>
      <w:lvlText w:val="•"/>
      <w:numFmt w:val="bullet"/>
      <w:start w:val="1"/>
    </w:lvl>
  </w:abstractNum>
  <w:abstractNum w:abstractNumId="120">
    <w:nsid w:val="605138DE"/>
    <w:multiLevelType w:val="hybridMultilevel"/>
    <w:lvl w:ilvl="0">
      <w:lvlJc w:val="left"/>
      <w:lvlText w:val="•"/>
      <w:numFmt w:val="bullet"/>
      <w:start w:val="1"/>
    </w:lvl>
  </w:abstractNum>
  <w:abstractNum w:abstractNumId="121">
    <w:nsid w:val="2622AD0C"/>
    <w:multiLevelType w:val="hybridMultilevel"/>
    <w:lvl w:ilvl="0">
      <w:lvlJc w:val="left"/>
      <w:lvlText w:val="•"/>
      <w:numFmt w:val="bullet"/>
      <w:start w:val="1"/>
    </w:lvl>
  </w:abstractNum>
  <w:abstractNum w:abstractNumId="122">
    <w:nsid w:val="67997556"/>
    <w:multiLevelType w:val="hybridMultilevel"/>
    <w:lvl w:ilvl="0">
      <w:lvlJc w:val="left"/>
      <w:lvlText w:val="(%1)"/>
      <w:numFmt w:val="decimal"/>
      <w:start w:val="1"/>
    </w:lvl>
  </w:abstractNum>
  <w:abstractNum w:abstractNumId="123">
    <w:nsid w:val="18333C89"/>
    <w:multiLevelType w:val="hybridMultilevel"/>
    <w:lvl w:ilvl="0">
      <w:lvlJc w:val="left"/>
      <w:lvlText w:val="•"/>
      <w:numFmt w:val="bullet"/>
      <w:start w:val="1"/>
    </w:lvl>
  </w:abstractNum>
  <w:abstractNum w:abstractNumId="124">
    <w:nsid w:val="4BA9831A"/>
    <w:multiLevelType w:val="hybridMultilevel"/>
    <w:lvl w:ilvl="0">
      <w:lvlJc w:val="left"/>
      <w:lvlText w:val="(%1)"/>
      <w:numFmt w:val="decimal"/>
      <w:start w:val="1"/>
    </w:lvl>
  </w:abstractNum>
  <w:abstractNum w:abstractNumId="125">
    <w:nsid w:val="6D71A2B"/>
    <w:multiLevelType w:val="hybridMultilevel"/>
    <w:lvl w:ilvl="0">
      <w:lvlJc w:val="left"/>
      <w:lvlText w:val="(%1)"/>
      <w:numFmt w:val="decimal"/>
      <w:start w:val="1"/>
    </w:lvl>
  </w:abstractNum>
  <w:abstractNum w:abstractNumId="126">
    <w:nsid w:val="CFC7321"/>
    <w:multiLevelType w:val="hybridMultilevel"/>
    <w:lvl w:ilvl="0">
      <w:lvlJc w:val="left"/>
      <w:lvlText w:val="(%1)"/>
      <w:numFmt w:val="decimal"/>
      <w:start w:val="2"/>
    </w:lvl>
  </w:abstractNum>
  <w:abstractNum w:abstractNumId="127">
    <w:nsid w:val="1421971B"/>
    <w:multiLevelType w:val="hybridMultilevel"/>
    <w:lvl w:ilvl="0">
      <w:lvlJc w:val="left"/>
      <w:lvlText w:val="•"/>
      <w:numFmt w:val="bullet"/>
      <w:start w:val="1"/>
    </w:lvl>
  </w:abstractNum>
  <w:abstractNum w:abstractNumId="128">
    <w:nsid w:val="1F404301"/>
    <w:multiLevelType w:val="hybridMultilevel"/>
    <w:lvl w:ilvl="0">
      <w:lvlJc w:val="left"/>
      <w:lvlText w:val="•"/>
      <w:numFmt w:val="bullet"/>
      <w:start w:val="1"/>
    </w:lvl>
  </w:abstractNum>
  <w:abstractNum w:abstractNumId="129">
    <w:nsid w:val="116E0907"/>
    <w:multiLevelType w:val="hybridMultilevel"/>
    <w:lvl w:ilvl="0">
      <w:lvlJc w:val="left"/>
      <w:lvlText w:val="•"/>
      <w:numFmt w:val="bullet"/>
      <w:start w:val="1"/>
    </w:lvl>
  </w:abstractNum>
  <w:abstractNum w:abstractNumId="130">
    <w:nsid w:val="4B683D0D"/>
    <w:multiLevelType w:val="hybridMultilevel"/>
    <w:lvl w:ilvl="0">
      <w:lvlJc w:val="left"/>
      <w:lvlText w:val="•"/>
      <w:numFmt w:val="bullet"/>
      <w:start w:val="1"/>
    </w:lvl>
  </w:abstractNum>
  <w:abstractNum w:abstractNumId="131">
    <w:nsid w:val="76E41D8"/>
    <w:multiLevelType w:val="hybridMultilevel"/>
    <w:lvl w:ilvl="0">
      <w:lvlJc w:val="left"/>
      <w:lvlText w:val="(%1)"/>
      <w:numFmt w:val="decimal"/>
      <w:start w:val="1"/>
    </w:lvl>
  </w:abstractNum>
  <w:abstractNum w:abstractNumId="132">
    <w:nsid w:val="71DCE0FD"/>
    <w:multiLevelType w:val="hybridMultilevel"/>
    <w:lvl w:ilvl="0">
      <w:lvlJc w:val="left"/>
      <w:lvlText w:val="(%1)"/>
      <w:numFmt w:val="decimal"/>
      <w:start w:val="1"/>
    </w:lvl>
  </w:abstractNum>
  <w:abstractNum w:abstractNumId="133">
    <w:nsid w:val="7906328B"/>
    <w:multiLevelType w:val="hybridMultilevel"/>
    <w:lvl w:ilvl="0">
      <w:lvlJc w:val="left"/>
      <w:lvlText w:val="(%1)"/>
      <w:numFmt w:val="decimal"/>
      <w:start w:val="3"/>
    </w:lvl>
  </w:abstractNum>
  <w:abstractNum w:abstractNumId="134">
    <w:nsid w:val="72BBC16"/>
    <w:multiLevelType w:val="hybridMultilevel"/>
    <w:lvl w:ilvl="0">
      <w:lvlJc w:val="left"/>
      <w:lvlText w:val="•"/>
      <w:numFmt w:val="bullet"/>
      <w:start w:val="1"/>
    </w:lvl>
  </w:abstractNum>
  <w:abstractNum w:abstractNumId="135">
    <w:nsid w:val="766D98C2"/>
    <w:multiLevelType w:val="hybridMultilevel"/>
    <w:lvl w:ilvl="0">
      <w:lvlJc w:val="left"/>
      <w:lvlText w:val="*"/>
      <w:numFmt w:val="bullet"/>
      <w:start w:val="1"/>
    </w:lvl>
  </w:abstractNum>
  <w:abstractNum w:abstractNumId="136">
    <w:nsid w:val="3C09D4A1"/>
    <w:multiLevelType w:val="hybridMultilevel"/>
    <w:lvl w:ilvl="0">
      <w:lvlJc w:val="left"/>
      <w:lvlText w:val="(%1)"/>
      <w:numFmt w:val="decimal"/>
      <w:start w:val="1"/>
    </w:lvl>
  </w:abstractNum>
  <w:abstractNum w:abstractNumId="137">
    <w:nsid w:val="20E45CA4"/>
    <w:multiLevelType w:val="hybridMultilevel"/>
    <w:lvl w:ilvl="0">
      <w:lvlJc w:val="left"/>
      <w:lvlText w:val="(%1)"/>
      <w:numFmt w:val="decimal"/>
      <w:start w:val="5"/>
    </w:lvl>
  </w:abstractNum>
  <w:abstractNum w:abstractNumId="138">
    <w:nsid w:val="4B232EE3"/>
    <w:multiLevelType w:val="hybridMultilevel"/>
    <w:lvl w:ilvl="0">
      <w:lvlJc w:val="left"/>
      <w:lvlText w:val="•"/>
      <w:numFmt w:val="bullet"/>
      <w:start w:val="1"/>
    </w:lvl>
  </w:abstractNum>
  <w:abstractNum w:abstractNumId="139">
    <w:nsid w:val="159C74CF"/>
    <w:multiLevelType w:val="hybridMultilevel"/>
    <w:lvl w:ilvl="0">
      <w:lvlJc w:val="left"/>
      <w:lvlText w:val="•"/>
      <w:numFmt w:val="bullet"/>
      <w:start w:val="1"/>
    </w:lvl>
  </w:abstractNum>
  <w:abstractNum w:abstractNumId="140">
    <w:nsid w:val="4AD3AFD2"/>
    <w:multiLevelType w:val="hybridMultilevel"/>
    <w:lvl w:ilvl="0">
      <w:lvlJc w:val="left"/>
      <w:lvlText w:val="•"/>
      <w:numFmt w:val="bullet"/>
      <w:start w:val="1"/>
    </w:lvl>
  </w:abstractNum>
  <w:abstractNum w:abstractNumId="141">
    <w:nsid w:val="3CF93092"/>
    <w:multiLevelType w:val="hybridMultilevel"/>
    <w:lvl w:ilvl="0">
      <w:lvlJc w:val="left"/>
      <w:lvlText w:val="•"/>
      <w:numFmt w:val="bullet"/>
      <w:start w:val="1"/>
    </w:lvl>
  </w:abstractNum>
  <w:abstractNum w:abstractNumId="142">
    <w:nsid w:val="6863E8D2"/>
    <w:multiLevelType w:val="hybridMultilevel"/>
    <w:lvl w:ilvl="0">
      <w:lvlJc w:val="left"/>
      <w:lvlText w:val="•"/>
      <w:numFmt w:val="bullet"/>
      <w:start w:val="1"/>
    </w:lvl>
  </w:abstractNum>
  <w:abstractNum w:abstractNumId="143">
    <w:nsid w:val="76896198"/>
    <w:multiLevelType w:val="hybridMultilevel"/>
    <w:lvl w:ilvl="0">
      <w:lvlJc w:val="left"/>
      <w:lvlText w:val="•"/>
      <w:numFmt w:val="bullet"/>
      <w:start w:val="1"/>
    </w:lvl>
  </w:abstractNum>
  <w:abstractNum w:abstractNumId="144">
    <w:nsid w:val="4365174B"/>
    <w:multiLevelType w:val="hybridMultilevel"/>
    <w:lvl w:ilvl="0">
      <w:lvlJc w:val="left"/>
      <w:lvlText w:val="•"/>
      <w:numFmt w:val="bullet"/>
      <w:start w:val="1"/>
    </w:lvl>
  </w:abstractNum>
  <w:abstractNum w:abstractNumId="145">
    <w:nsid w:val="4A872C35"/>
    <w:multiLevelType w:val="hybridMultilevel"/>
    <w:lvl w:ilvl="0">
      <w:lvlJc w:val="left"/>
      <w:lvlText w:val="•"/>
      <w:numFmt w:val="bullet"/>
      <w:start w:val="1"/>
    </w:lvl>
  </w:abstractNum>
  <w:abstractNum w:abstractNumId="146">
    <w:nsid w:val="5D5CE761"/>
    <w:multiLevelType w:val="hybridMultilevel"/>
    <w:lvl w:ilvl="0">
      <w:lvlJc w:val="left"/>
      <w:lvlText w:val="•"/>
      <w:numFmt w:val="bullet"/>
      <w:start w:val="1"/>
    </w:lvl>
  </w:abstractNum>
  <w:abstractNum w:abstractNumId="147">
    <w:nsid w:val="1CD484D5"/>
    <w:multiLevelType w:val="hybridMultilevel"/>
    <w:lvl w:ilvl="0">
      <w:lvlJc w:val="left"/>
      <w:lvlText w:val="(%1)"/>
      <w:numFmt w:val="lowerLetter"/>
      <w:start w:val="1"/>
    </w:lvl>
  </w:abstractNum>
  <w:abstractNum w:abstractNumId="148">
    <w:nsid w:val="21D06255"/>
    <w:multiLevelType w:val="hybridMultilevel"/>
    <w:lvl w:ilvl="0">
      <w:lvlJc w:val="left"/>
      <w:lvlText w:val="(%1)"/>
      <w:numFmt w:val="lowerLetter"/>
      <w:start w:val="1"/>
    </w:lvl>
  </w:abstractNum>
  <w:abstractNum w:abstractNumId="149">
    <w:nsid w:val="51194ED1"/>
    <w:multiLevelType w:val="hybridMultilevel"/>
    <w:lvl w:ilvl="0">
      <w:lvlJc w:val="left"/>
      <w:lvlText w:val="(%1)"/>
      <w:numFmt w:val="lowerLetter"/>
      <w:start w:val="1"/>
    </w:lvl>
  </w:abstractNum>
  <w:abstractNum w:abstractNumId="150">
    <w:nsid w:val="44E2ED6C"/>
    <w:multiLevelType w:val="hybridMultilevel"/>
    <w:lvl w:ilvl="0">
      <w:lvlJc w:val="left"/>
      <w:lvlText w:val="(%1)"/>
      <w:numFmt w:val="lowerLetter"/>
      <w:start w:val="1"/>
    </w:lvl>
  </w:abstractNum>
  <w:abstractNum w:abstractNumId="151">
    <w:nsid w:val="2219B33"/>
    <w:multiLevelType w:val="hybridMultilevel"/>
    <w:lvl w:ilvl="0">
      <w:lvlJc w:val="left"/>
      <w:lvlText w:val="(%1)"/>
      <w:numFmt w:val="lowerLetter"/>
      <w:start w:val="1"/>
    </w:lvl>
  </w:abstractNum>
  <w:abstractNum w:abstractNumId="152">
    <w:nsid w:val="773BFBDD"/>
    <w:multiLevelType w:val="hybridMultilevel"/>
    <w:lvl w:ilvl="0">
      <w:lvlJc w:val="left"/>
      <w:lvlText w:val="(%1)"/>
      <w:numFmt w:val="lowerLetter"/>
      <w:start w:val="1"/>
    </w:lvl>
  </w:abstractNum>
  <w:abstractNum w:abstractNumId="153">
    <w:nsid w:val="2C7C62C2"/>
    <w:multiLevelType w:val="hybridMultilevel"/>
    <w:lvl w:ilvl="0">
      <w:lvlJc w:val="left"/>
      <w:lvlText w:val="(%1)"/>
      <w:numFmt w:val="lowerLetter"/>
      <w:start w:val="6"/>
    </w:lvl>
  </w:abstractNum>
  <w:abstractNum w:abstractNumId="154">
    <w:nsid w:val="1A54D7BC"/>
    <w:multiLevelType w:val="hybridMultilevel"/>
    <w:lvl w:ilvl="0">
      <w:lvlJc w:val="left"/>
      <w:lvlText w:val="%1."/>
      <w:numFmt w:val="decimal"/>
      <w:start w:val="7"/>
    </w:lvl>
  </w:abstractNum>
  <w:abstractNum w:abstractNumId="155">
    <w:nsid w:val="42E57EF7"/>
    <w:multiLevelType w:val="hybridMultilevel"/>
    <w:lvl w:ilvl="0">
      <w:lvlJc w:val="left"/>
      <w:lvlText w:val="%1."/>
      <w:numFmt w:val="decimal"/>
      <w:start w:val="12"/>
    </w:lvl>
  </w:abstractNum>
  <w:abstractNum w:abstractNumId="156">
    <w:nsid w:val="33537CED"/>
    <w:multiLevelType w:val="hybridMultilevel"/>
    <w:lvl w:ilvl="0">
      <w:lvlJc w:val="left"/>
      <w:lvlText w:val="*"/>
      <w:numFmt w:val="bullet"/>
      <w:start w:val="1"/>
    </w:lvl>
  </w:abstractNum>
  <w:abstractNum w:abstractNumId="157">
    <w:nsid w:val="27514ADE"/>
    <w:multiLevelType w:val="hybridMultilevel"/>
    <w:lvl w:ilvl="0">
      <w:lvlJc w:val="left"/>
      <w:lvlText w:val="(%1)"/>
      <w:numFmt w:val="decimal"/>
      <w:start w:val="4"/>
    </w:lvl>
  </w:abstractNum>
  <w:abstractNum w:abstractNumId="158">
    <w:nsid w:val="57071613"/>
    <w:multiLevelType w:val="hybridMultilevel"/>
    <w:lvl w:ilvl="0">
      <w:lvlJc w:val="left"/>
      <w:lvlText w:val="(%1)"/>
      <w:numFmt w:val="lowerLetter"/>
      <w:start w:val="1"/>
    </w:lvl>
  </w:abstractNum>
  <w:abstractNum w:abstractNumId="159">
    <w:nsid w:val="5293BFEF"/>
    <w:multiLevelType w:val="hybridMultilevel"/>
    <w:lvl w:ilvl="0">
      <w:lvlJc w:val="left"/>
      <w:lvlText w:val="(%1)"/>
      <w:numFmt w:val="lowerLetter"/>
      <w:start w:val="4"/>
    </w:lvl>
  </w:abstractNum>
  <w:abstractNum w:abstractNumId="160">
    <w:nsid w:val="38BF53E5"/>
    <w:multiLevelType w:val="hybridMultilevel"/>
    <w:lvl w:ilvl="0">
      <w:lvlJc w:val="left"/>
      <w:lvlText w:val="(%1)"/>
      <w:numFmt w:val="decimal"/>
      <w:start w:val="2"/>
    </w:lvl>
  </w:abstractNum>
  <w:abstractNum w:abstractNumId="161">
    <w:nsid w:val="226F5320"/>
    <w:multiLevelType w:val="hybridMultilevel"/>
    <w:lvl w:ilvl="0">
      <w:lvlJc w:val="left"/>
      <w:lvlText w:val="(%1)"/>
      <w:numFmt w:val="decimal"/>
      <w:start w:val="1"/>
    </w:lvl>
  </w:abstractNum>
  <w:abstractNum w:abstractNumId="162">
    <w:nsid w:val="5A0201C7"/>
    <w:multiLevelType w:val="hybridMultilevel"/>
    <w:lvl w:ilvl="0">
      <w:lvlJc w:val="left"/>
      <w:lvlText w:val="*"/>
      <w:numFmt w:val="bullet"/>
      <w:start w:val="1"/>
    </w:lvl>
  </w:abstractNum>
  <w:abstractNum w:abstractNumId="163">
    <w:nsid w:val="2A9C34E2"/>
    <w:multiLevelType w:val="hybridMultilevel"/>
    <w:lvl w:ilvl="0">
      <w:lvlJc w:val="left"/>
      <w:lvlText w:val="+"/>
      <w:numFmt w:val="bullet"/>
      <w:start w:val="1"/>
    </w:lvl>
  </w:abstractNum>
  <w:abstractNum w:abstractNumId="164">
    <w:nsid w:val="1B7585AB"/>
    <w:multiLevelType w:val="hybridMultilevel"/>
    <w:lvl w:ilvl="0">
      <w:lvlJc w:val="left"/>
      <w:lvlText w:val="#"/>
      <w:numFmt w:val="bullet"/>
      <w:start w:val="1"/>
    </w:lvl>
  </w:abstractNum>
  <w:abstractNum w:abstractNumId="165">
    <w:nsid w:val="612DBDDD"/>
    <w:multiLevelType w:val="hybridMultilevel"/>
    <w:lvl w:ilvl="0">
      <w:lvlJc w:val="left"/>
      <w:lvlText w:val="%1."/>
      <w:numFmt w:val="decimal"/>
      <w:start w:val="1"/>
    </w:lvl>
  </w:abstractNum>
  <w:abstractNum w:abstractNumId="166">
    <w:nsid w:val="2109CDA4"/>
    <w:multiLevelType w:val="hybridMultilevel"/>
    <w:lvl w:ilvl="0">
      <w:lvlJc w:val="left"/>
      <w:lvlText w:val="%1."/>
      <w:numFmt w:val="decimal"/>
      <w:start w:val="1"/>
    </w:lvl>
    <w:lvl w:ilvl="1">
      <w:lvlJc w:val="left"/>
      <w:lvlText w:val="(%2)"/>
      <w:numFmt w:val="lowerLetter"/>
      <w:start w:val="1"/>
    </w:lvl>
  </w:abstractNum>
  <w:abstractNum w:abstractNumId="167">
    <w:nsid w:val="577F5A4D"/>
    <w:multiLevelType w:val="hybridMultilevel"/>
    <w:lvl w:ilvl="0">
      <w:lvlJc w:val="left"/>
      <w:lvlText w:val="%1"/>
      <w:numFmt w:val="decimal"/>
      <w:start w:val="1"/>
    </w:lvl>
    <w:lvl w:ilvl="1">
      <w:lvlJc w:val="left"/>
      <w:lvlText w:val="(%2)"/>
      <w:numFmt w:val="lowerLetter"/>
      <w:start w:val="5"/>
    </w:lvl>
  </w:abstractNum>
  <w:abstractNum w:abstractNumId="168">
    <w:nsid w:val="2121A81"/>
    <w:multiLevelType w:val="hybridMultilevel"/>
    <w:lvl w:ilvl="0">
      <w:lvlJc w:val="left"/>
      <w:lvlText w:val="%1."/>
      <w:numFmt w:val="decimal"/>
      <w:start w:val="2"/>
    </w:lvl>
    <w:lvl w:ilvl="1">
      <w:lvlJc w:val="left"/>
      <w:lvlText w:val="(%2)"/>
      <w:numFmt w:val="lowerLetter"/>
      <w:start w:val="1"/>
    </w:lvl>
  </w:abstractNum>
  <w:abstractNum w:abstractNumId="169">
    <w:nsid w:val="6C2CFC8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70">
    <w:nsid w:val="6D1BCF1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71">
    <w:nsid w:val="4CE5CA53"/>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1"/>
    </w:lvl>
  </w:abstractNum>
  <w:abstractNum w:abstractNumId="172">
    <w:nsid w:val="29262D1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73">
    <w:nsid w:val="557FB7EE"/>
    <w:multiLevelType w:val="hybridMultilevel"/>
    <w:lvl w:ilvl="0">
      <w:lvlJc w:val="left"/>
      <w:lvlText w:val="(%1)"/>
      <w:numFmt w:val="lowerLetter"/>
      <w:start w:val="4"/>
    </w:lvl>
    <w:lvl w:ilvl="1">
      <w:lvlJc w:val="left"/>
      <w:lvlText w:val="(%2)"/>
      <w:numFmt w:val="lowerRoman"/>
      <w:start w:val="1"/>
    </w:lvl>
  </w:abstractNum>
  <w:abstractNum w:abstractNumId="174">
    <w:nsid w:val="436F2BEB"/>
    <w:multiLevelType w:val="hybridMultilevel"/>
    <w:lvl w:ilvl="0">
      <w:lvlJc w:val="left"/>
      <w:lvlText w:val="(%1)"/>
      <w:numFmt w:val="lowerLetter"/>
      <w:start w:val="5"/>
    </w:lvl>
  </w:abstractNum>
  <w:abstractNum w:abstractNumId="175">
    <w:nsid w:val="6C8B4466"/>
    <w:multiLevelType w:val="hybridMultilevel"/>
    <w:lvl w:ilvl="0">
      <w:lvlJc w:val="left"/>
      <w:lvlText w:val="%1"/>
      <w:numFmt w:val="decimal"/>
      <w:start w:val="1"/>
    </w:lvl>
    <w:lvl w:ilvl="1">
      <w:lvlJc w:val="left"/>
      <w:lvlText w:val="(%2)"/>
      <w:numFmt w:val="lowerLetter"/>
      <w:start w:val="6"/>
    </w:lvl>
  </w:abstractNum>
  <w:abstractNum w:abstractNumId="176">
    <w:nsid w:val="2006E424"/>
    <w:multiLevelType w:val="hybridMultilevel"/>
    <w:lvl w:ilvl="0">
      <w:lvlJc w:val="left"/>
      <w:lvlText w:val="%1."/>
      <w:numFmt w:val="decimal"/>
      <w:start w:val="4"/>
    </w:lvl>
    <w:lvl w:ilvl="1">
      <w:lvlJc w:val="left"/>
      <w:lvlText w:val="(%2)"/>
      <w:numFmt w:val="lowerLetter"/>
      <w:start w:val="1"/>
    </w:lvl>
  </w:abstractNum>
  <w:abstractNum w:abstractNumId="177">
    <w:nsid w:val="20CC134C"/>
    <w:multiLevelType w:val="hybridMultilevel"/>
    <w:lvl w:ilvl="0">
      <w:lvlJc w:val="left"/>
      <w:lvlText w:val="(%1)"/>
      <w:numFmt w:val="lowerLetter"/>
      <w:start w:val="3"/>
    </w:lvl>
    <w:lvl w:ilvl="1">
      <w:lvlJc w:val="left"/>
      <w:lvlText w:val="(%2)"/>
      <w:numFmt w:val="lowerRoman"/>
      <w:start w:val="1"/>
    </w:lvl>
  </w:abstractNum>
  <w:abstractNum w:abstractNumId="178">
    <w:nsid w:val="95FC93B"/>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79">
    <w:nsid w:val="41D7467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80">
    <w:nsid w:val="71E5621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81">
    <w:nsid w:val="4E42B6A8"/>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182">
    <w:nsid w:val="43F8E1A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83">
    <w:nsid w:val="69215D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2"/>
    </w:lvl>
  </w:abstractNum>
  <w:abstractNum w:abstractNumId="184">
    <w:nsid w:val="7ABF196A"/>
    <w:multiLevelType w:val="hybridMultilevel"/>
    <w:lvl w:ilvl="0">
      <w:lvlJc w:val="left"/>
      <w:lvlText w:val="(%1)"/>
      <w:numFmt w:val="lowerLetter"/>
      <w:start w:val="2"/>
    </w:lvl>
    <w:lvl w:ilvl="1">
      <w:lvlJc w:val="left"/>
      <w:lvlText w:val="(%2)"/>
      <w:numFmt w:val="lowerLetter"/>
      <w:start w:val="4"/>
    </w:lvl>
    <w:lvl w:ilvl="2">
      <w:lvlJc w:val="left"/>
      <w:lvlText w:val="(%3)"/>
      <w:numFmt w:val="decimal"/>
      <w:start w:val="2"/>
    </w:lvl>
    <w:lvl w:ilvl="3">
      <w:lvlJc w:val="left"/>
      <w:lvlText w:val="(%4)"/>
      <w:numFmt w:val="lowerLetter"/>
      <w:start w:val="24"/>
    </w:lvl>
  </w:abstractNum>
  <w:abstractNum w:abstractNumId="185">
    <w:nsid w:val="5E4DB968"/>
    <w:multiLevelType w:val="hybridMultilevel"/>
    <w:lvl w:ilvl="0">
      <w:lvlJc w:val="left"/>
      <w:lvlText w:val="(%1)"/>
      <w:numFmt w:val="lowerLetter"/>
      <w:start w:val="8"/>
    </w:lvl>
    <w:lvl w:ilvl="1">
      <w:lvlJc w:val="left"/>
      <w:lvlText w:val="(%2)"/>
      <w:numFmt w:val="lowerRoman"/>
      <w:start w:val="1"/>
    </w:lvl>
  </w:abstractNum>
  <w:abstractNum w:abstractNumId="186">
    <w:nsid w:val="2C06DCF3"/>
    <w:multiLevelType w:val="hybridMultilevel"/>
    <w:lvl w:ilvl="0">
      <w:lvlJc w:val="left"/>
      <w:lvlText w:val="%1"/>
      <w:numFmt w:val="decimal"/>
      <w:start w:val="1"/>
    </w:lvl>
    <w:lvl w:ilvl="1">
      <w:lvlJc w:val="left"/>
      <w:lvlText w:val="(%2)"/>
      <w:numFmt w:val="lowerLetter"/>
      <w:start w:val="11"/>
    </w:lvl>
  </w:abstractNum>
  <w:abstractNum w:abstractNumId="187">
    <w:nsid w:val="2E129658"/>
    <w:multiLevelType w:val="hybridMultilevel"/>
    <w:lvl w:ilvl="0">
      <w:lvlJc w:val="left"/>
      <w:lvlText w:val="%1."/>
      <w:numFmt w:val="decimal"/>
      <w:start w:val="5"/>
    </w:lvl>
    <w:lvl w:ilvl="1">
      <w:lvlJc w:val="left"/>
      <w:lvlText w:val="(%2)"/>
      <w:numFmt w:val="lowerLetter"/>
      <w:start w:val="1"/>
    </w:lvl>
  </w:abstractNum>
  <w:abstractNum w:abstractNumId="188">
    <w:nsid w:val="59F0446"/>
    <w:multiLevelType w:val="hybridMultilevel"/>
    <w:lvl w:ilvl="0">
      <w:lvlJc w:val="left"/>
      <w:lvlText w:val="(%1)"/>
      <w:numFmt w:val="lowerLetter"/>
      <w:start w:val="1"/>
    </w:lvl>
  </w:abstractNum>
  <w:abstractNum w:abstractNumId="189">
    <w:nsid w:val="30DF30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190">
    <w:nsid w:val="A65647"/>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91">
    <w:nsid w:val="3E5E582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92">
    <w:nsid w:val="257D4626"/>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193">
    <w:nsid w:val="5AA858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4">
    <w:nsid w:val="68FA8D0D"/>
    <w:multiLevelType w:val="hybridMultilevel"/>
    <w:lvl w:ilvl="0">
      <w:lvlJc w:val="left"/>
      <w:lvlText w:val="(%1)"/>
      <w:numFmt w:val="lowerRoman"/>
      <w:start w:val="2"/>
    </w:lvl>
  </w:abstractNum>
  <w:abstractNum w:abstractNumId="195">
    <w:nsid w:val="40F2CBD2"/>
    <w:multiLevelType w:val="hybridMultilevel"/>
    <w:lvl w:ilvl="0">
      <w:lvlJc w:val="left"/>
      <w:lvlText w:val="(%1)"/>
      <w:numFmt w:val="lowerRoman"/>
      <w:start w:val="2"/>
    </w:lvl>
  </w:abstractNum>
  <w:abstractNum w:abstractNumId="196">
    <w:nsid w:val="3BD615EB"/>
    <w:multiLevelType w:val="hybridMultilevel"/>
    <w:lvl w:ilvl="0">
      <w:lvlJc w:val="left"/>
      <w:lvlText w:val="(%1)"/>
      <w:numFmt w:val="lowerLetter"/>
      <w:start w:val="4"/>
    </w:lvl>
  </w:abstractNum>
  <w:abstractNum w:abstractNumId="197">
    <w:nsid w:val="A045AB2"/>
    <w:multiLevelType w:val="hybridMultilevel"/>
    <w:lvl w:ilvl="0">
      <w:lvlJc w:val="left"/>
      <w:lvlText w:val="%1."/>
      <w:numFmt w:val="decimal"/>
      <w:start w:val="9"/>
    </w:lvl>
  </w:abstractNum>
  <w:abstractNum w:abstractNumId="198">
    <w:nsid w:val="1872261F"/>
    <w:multiLevelType w:val="hybridMultilevel"/>
    <w:lvl w:ilvl="0">
      <w:lvlJc w:val="left"/>
      <w:lvlText w:val="%1."/>
      <w:numFmt w:val="decimal"/>
      <w:start w:val="1"/>
    </w:lvl>
  </w:abstractNum>
  <w:abstractNum w:abstractNumId="199">
    <w:nsid w:val="3DE8306C"/>
    <w:multiLevelType w:val="hybridMultilevel"/>
    <w:lvl w:ilvl="0">
      <w:lvlJc w:val="left"/>
      <w:lvlText w:val="%1."/>
      <w:numFmt w:val="decimal"/>
      <w:start w:val="3"/>
    </w:lvl>
  </w:abstractNum>
  <w:abstractNum w:abstractNumId="200">
    <w:nsid w:val="7631573A"/>
    <w:multiLevelType w:val="hybridMultilevel"/>
    <w:lvl w:ilvl="0">
      <w:lvlJc w:val="left"/>
      <w:lvlText w:val="(%1)"/>
      <w:numFmt w:val="lowerRoman"/>
      <w:start w:val="1"/>
    </w:lvl>
  </w:abstractNum>
  <w:abstractNum w:abstractNumId="201">
    <w:nsid w:val="58DF53B"/>
    <w:multiLevelType w:val="hybridMultilevel"/>
    <w:lvl w:ilvl="0">
      <w:lvlJc w:val="left"/>
      <w:lvlText w:val="(%1)"/>
      <w:numFmt w:val="lowerRoman"/>
      <w:start w:val="1"/>
    </w:lvl>
  </w:abstractNum>
  <w:abstractNum w:abstractNumId="202">
    <w:nsid w:val="ACDFAC0"/>
    <w:multiLevelType w:val="hybridMultilevel"/>
    <w:lvl w:ilvl="0">
      <w:lvlJc w:val="left"/>
      <w:lvlText w:val="(%1)"/>
      <w:numFmt w:val="lowerRoman"/>
      <w:start w:val="1"/>
    </w:lvl>
  </w:abstractNum>
  <w:abstractNum w:abstractNumId="203">
    <w:nsid w:val="1F578454"/>
    <w:multiLevelType w:val="hybridMultilevel"/>
    <w:lvl w:ilvl="0">
      <w:lvlJc w:val="left"/>
      <w:lvlText w:val="(%1)"/>
      <w:numFmt w:val="lowerRoman"/>
      <w:start w:val="1"/>
    </w:lvl>
  </w:abstractNum>
  <w:abstractNum w:abstractNumId="204">
    <w:nsid w:val="5B0DAD2A"/>
    <w:multiLevelType w:val="hybridMultilevel"/>
    <w:lvl w:ilvl="0">
      <w:lvlJc w:val="left"/>
      <w:lvlText w:val="(%1)"/>
      <w:numFmt w:val="lowerRoman"/>
      <w:start w:val="1"/>
    </w:lvl>
  </w:abstractNum>
  <w:abstractNum w:abstractNumId="205">
    <w:nsid w:val="4E3D26AB"/>
    <w:multiLevelType w:val="hybridMultilevel"/>
    <w:lvl w:ilvl="0">
      <w:lvlJc w:val="left"/>
      <w:lvlText w:val="(%1)"/>
      <w:numFmt w:val="lowerRoman"/>
      <w:start w:val="3"/>
    </w:lvl>
  </w:abstractNum>
  <w:abstractNum w:abstractNumId="206">
    <w:nsid w:val="BE2C8BA"/>
    <w:multiLevelType w:val="hybridMultilevel"/>
    <w:lvl w:ilvl="0">
      <w:lvlJc w:val="left"/>
      <w:lvlText w:val="(%1)"/>
      <w:numFmt w:val="lowerRoman"/>
      <w:start w:val="1"/>
    </w:lvl>
  </w:abstractNum>
  <w:abstractNum w:abstractNumId="207">
    <w:nsid w:val="7B14914E"/>
    <w:multiLevelType w:val="hybridMultilevel"/>
    <w:lvl w:ilvl="0">
      <w:lvlJc w:val="left"/>
      <w:lvlText w:val="(%1)"/>
      <w:numFmt w:val="lowerRoman"/>
      <w:start w:val="1"/>
    </w:lvl>
  </w:abstractNum>
  <w:abstractNum w:abstractNumId="208">
    <w:nsid w:val="6F0939F8"/>
    <w:multiLevelType w:val="hybridMultilevel"/>
    <w:lvl w:ilvl="0">
      <w:lvlJc w:val="left"/>
      <w:lvlText w:val="(%1)"/>
      <w:numFmt w:val="lowerRoman"/>
      <w:start w:val="1"/>
    </w:lvl>
  </w:abstractNum>
  <w:abstractNum w:abstractNumId="209">
    <w:nsid w:val="154291F6"/>
    <w:multiLevelType w:val="hybridMultilevel"/>
    <w:lvl w:ilvl="0">
      <w:lvlJc w:val="left"/>
      <w:lvlText w:val="(%1)"/>
      <w:numFmt w:val="lowerRoman"/>
      <w:start w:val="2"/>
    </w:lvl>
  </w:abstractNum>
  <w:abstractNum w:abstractNumId="210">
    <w:nsid w:val="3CEBD7C7"/>
    <w:multiLevelType w:val="hybridMultilevel"/>
    <w:lvl w:ilvl="0">
      <w:lvlJc w:val="left"/>
      <w:lvlText w:val="(%1)"/>
      <w:numFmt w:val="lowerRoman"/>
      <w:start w:val="1"/>
    </w:lvl>
    <w:lvl w:ilvl="1">
      <w:lvlJc w:val="left"/>
      <w:lvlText w:val="-"/>
      <w:numFmt w:val="bullet"/>
      <w:start w:val="1"/>
    </w:lvl>
  </w:abstractNum>
  <w:abstractNum w:abstractNumId="211">
    <w:nsid w:val="60EE9C16"/>
    <w:multiLevelType w:val="hybridMultilevel"/>
    <w:lvl w:ilvl="0">
      <w:lvlJc w:val="left"/>
      <w:lvlText w:val="%1"/>
      <w:numFmt w:val="upperLetter"/>
      <w:start w:val="1"/>
    </w:lvl>
    <w:lvl w:ilvl="1">
      <w:lvlJc w:val="left"/>
      <w:lvlText w:val="(%2)"/>
      <w:numFmt w:val="lowerRoman"/>
      <w:start w:val="3"/>
    </w:lvl>
  </w:abstractNum>
  <w:abstractNum w:abstractNumId="212">
    <w:nsid w:val="6385489E"/>
    <w:multiLevelType w:val="hybridMultilevel"/>
    <w:lvl w:ilvl="0">
      <w:lvlJc w:val="left"/>
      <w:lvlText w:val="(%1)"/>
      <w:numFmt w:val="upperLetter"/>
      <w:start w:val="1"/>
    </w:lvl>
    <w:lvl w:ilvl="1">
      <w:lvlJc w:val="left"/>
      <w:lvlText w:val="(%2)"/>
      <w:numFmt w:val="lowerRoman"/>
      <w:start w:val="4"/>
    </w:lvl>
  </w:abstractNum>
  <w:abstractNum w:abstractNumId="213">
    <w:nsid w:val="E4B973"/>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14">
    <w:nsid w:val="4A0FFA11"/>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215">
    <w:nsid w:val="5E446208"/>
    <w:multiLevelType w:val="hybridMultilevel"/>
    <w:lvl w:ilvl="0">
      <w:lvlJc w:val="left"/>
      <w:lvlText w:val="(%1)"/>
      <w:numFmt w:val="lowerLetter"/>
      <w:start w:val="2"/>
    </w:lvl>
  </w:abstractNum>
  <w:abstractNum w:abstractNumId="216">
    <w:nsid w:val="5F3272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7">
    <w:nsid w:val="7616D70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8">
    <w:nsid w:val="C56F86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19">
    <w:nsid w:val="64D17722"/>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220">
    <w:nsid w:val="7924CA0A"/>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221">
    <w:nsid w:val="CFD4EA7"/>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222">
    <w:nsid w:val="232FCF4D"/>
    <w:multiLevelType w:val="hybridMultilevel"/>
    <w:lvl w:ilvl="0">
      <w:lvlJc w:val="left"/>
      <w:lvlText w:val="%1"/>
      <w:numFmt w:val="lowerRoman"/>
      <w:start w:val="1"/>
    </w:lvl>
    <w:lvl w:ilvl="1">
      <w:lvlJc w:val="left"/>
      <w:lvlText w:val="(%2)"/>
      <w:numFmt w:val="upperLetter"/>
      <w:start w:val="8"/>
    </w:lvl>
    <w:lvl w:ilvl="2">
      <w:lvlJc w:val="left"/>
      <w:lvlText w:val="-"/>
      <w:numFmt w:val="bullet"/>
      <w:start w:val="1"/>
    </w:lvl>
  </w:abstractNum>
  <w:abstractNum w:abstractNumId="223">
    <w:nsid w:val="1EA21031"/>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224">
    <w:nsid w:val="67A5A6B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25">
    <w:nsid w:val="C2A5C5B"/>
    <w:multiLevelType w:val="hybridMultilevel"/>
    <w:lvl w:ilvl="0">
      <w:lvlJc w:val="left"/>
      <w:lvlText w:val="(%1)"/>
      <w:numFmt w:val="lowerRoman"/>
      <w:start w:val="2"/>
    </w:lvl>
    <w:lvl w:ilvl="1">
      <w:lvlJc w:val="left"/>
      <w:lvlText w:val="-"/>
      <w:numFmt w:val="bullet"/>
      <w:start w:val="1"/>
    </w:lvl>
  </w:abstractNum>
  <w:abstractNum w:abstractNumId="226">
    <w:nsid w:val="5F94DC03"/>
    <w:multiLevelType w:val="hybridMultilevel"/>
    <w:lvl w:ilvl="0">
      <w:lvlJc w:val="left"/>
      <w:lvlText w:val="(%1)"/>
      <w:numFmt w:val="lowerLetter"/>
      <w:start w:val="1"/>
    </w:lvl>
  </w:abstractNum>
  <w:abstractNum w:abstractNumId="227">
    <w:nsid w:val="237BBCA0"/>
    <w:multiLevelType w:val="hybridMultilevel"/>
    <w:lvl w:ilvl="0">
      <w:lvlJc w:val="left"/>
      <w:lvlText w:val="(%1)"/>
      <w:numFmt w:val="lowerLetter"/>
      <w:start w:val="1"/>
    </w:lvl>
  </w:abstractNum>
  <w:abstractNum w:abstractNumId="228">
    <w:nsid w:val="162EB70D"/>
    <w:multiLevelType w:val="hybridMultilevel"/>
    <w:lvl w:ilvl="0">
      <w:lvlJc w:val="left"/>
      <w:lvlText w:val="(%1)"/>
      <w:numFmt w:val="lowerLetter"/>
      <w:start w:val="1"/>
    </w:lvl>
  </w:abstractNum>
  <w:abstractNum w:abstractNumId="229">
    <w:nsid w:val="78070222"/>
    <w:multiLevelType w:val="hybridMultilevel"/>
    <w:lvl w:ilvl="0">
      <w:lvlJc w:val="left"/>
      <w:lvlText w:val="(%1)"/>
      <w:numFmt w:val="lowerLetter"/>
      <w:start w:val="1"/>
    </w:lvl>
    <w:lvl w:ilvl="1">
      <w:lvlJc w:val="left"/>
      <w:lvlText w:val="-"/>
      <w:numFmt w:val="bullet"/>
      <w:start w:val="1"/>
    </w:lvl>
  </w:abstractNum>
  <w:abstractNum w:abstractNumId="230">
    <w:nsid w:val="6163ED0D"/>
    <w:multiLevelType w:val="hybridMultilevel"/>
    <w:lvl w:ilvl="0">
      <w:lvlJc w:val="left"/>
      <w:lvlText w:val="(%1)"/>
      <w:numFmt w:val="lowerLetter"/>
      <w:start w:val="1"/>
    </w:lvl>
  </w:abstractNum>
  <w:abstractNum w:abstractNumId="231">
    <w:nsid w:val="C600E47"/>
    <w:multiLevelType w:val="hybridMultilevel"/>
    <w:lvl w:ilvl="0">
      <w:lvlJc w:val="left"/>
      <w:lvlText w:val="(%1)"/>
      <w:numFmt w:val="lowerLetter"/>
      <w:start w:val="1"/>
    </w:lvl>
  </w:abstractNum>
  <w:abstractNum w:abstractNumId="232">
    <w:nsid w:val="7D94F75D"/>
    <w:multiLevelType w:val="hybridMultilevel"/>
    <w:lvl w:ilvl="0">
      <w:lvlJc w:val="left"/>
      <w:lvlText w:val="(%1)"/>
      <w:numFmt w:val="lowerLetter"/>
      <w:start w:val="5"/>
    </w:lvl>
  </w:abstractNum>
  <w:abstractNum w:abstractNumId="233">
    <w:nsid w:val="6C31E7CD"/>
    <w:multiLevelType w:val="hybridMultilevel"/>
    <w:lvl w:ilvl="0">
      <w:lvlJc w:val="left"/>
      <w:lvlText w:val="(%1)"/>
      <w:numFmt w:val="lowerLetter"/>
      <w:start w:val="9"/>
    </w:lvl>
    <w:lvl w:ilvl="1">
      <w:lvlJc w:val="left"/>
      <w:lvlText w:val="(%2)"/>
      <w:numFmt w:val="lowerLetter"/>
      <w:start w:val="16"/>
    </w:lvl>
  </w:abstractNum>
  <w:abstractNum w:abstractNumId="234">
    <w:nsid w:val="2BB7929B"/>
    <w:multiLevelType w:val="hybridMultilevel"/>
    <w:lvl w:ilvl="0">
      <w:lvlJc w:val="left"/>
      <w:lvlText w:val="(%1)"/>
      <w:numFmt w:val="lowerLetter"/>
      <w:start w:val="18"/>
    </w:lvl>
  </w:abstractNum>
  <w:abstractNum w:abstractNumId="235">
    <w:nsid w:val="58A2A487"/>
    <w:multiLevelType w:val="hybridMultilevel"/>
    <w:lvl w:ilvl="0">
      <w:lvlJc w:val="left"/>
      <w:lvlText w:val="(%1)"/>
      <w:numFmt w:val="lowerLetter"/>
      <w:start w:val="1"/>
    </w:lvl>
  </w:abstractNum>
  <w:abstractNum w:abstractNumId="236">
    <w:nsid w:val="3A6F0E78"/>
    <w:multiLevelType w:val="hybridMultilevel"/>
    <w:lvl w:ilvl="0">
      <w:lvlJc w:val="left"/>
      <w:lvlText w:val="(%1)"/>
      <w:numFmt w:val="lowerRoman"/>
      <w:start w:val="1"/>
    </w:lvl>
  </w:abstractNum>
  <w:abstractNum w:abstractNumId="237">
    <w:nsid w:val="379A5B56"/>
    <w:multiLevelType w:val="hybridMultilevel"/>
    <w:lvl w:ilvl="0">
      <w:lvlJc w:val="left"/>
      <w:lvlText w:val="%1"/>
      <w:numFmt w:val="lowerLetter"/>
      <w:start w:val="1"/>
    </w:lvl>
    <w:lvl w:ilvl="1">
      <w:lvlJc w:val="left"/>
      <w:lvlText w:val="(%2)"/>
      <w:numFmt w:val="lowerLetter"/>
      <w:start w:val="35"/>
    </w:lvl>
  </w:abstractNum>
  <w:abstractNum w:abstractNumId="238">
    <w:nsid w:val="53B735D5"/>
    <w:multiLevelType w:val="hybridMultilevel"/>
    <w:lvl w:ilvl="0">
      <w:lvlJc w:val="left"/>
      <w:lvlText w:val="(%1)"/>
      <w:numFmt w:val="lowerLetter"/>
      <w:start w:val="2"/>
    </w:lvl>
    <w:lvl w:ilvl="1">
      <w:lvlJc w:val="left"/>
      <w:lvlText w:val="(%2)"/>
      <w:numFmt w:val="lowerLetter"/>
      <w:start w:val="9"/>
    </w:lvl>
  </w:abstractNum>
  <w:abstractNum w:abstractNumId="239">
    <w:nsid w:val="29784870"/>
    <w:multiLevelType w:val="hybridMultilevel"/>
    <w:lvl w:ilvl="0">
      <w:lvlJc w:val="left"/>
      <w:lvlText w:val="%1"/>
      <w:numFmt w:val="lowerLetter"/>
      <w:start w:val="1"/>
    </w:lvl>
    <w:lvl w:ilvl="1">
      <w:lvlJc w:val="left"/>
      <w:lvlText w:val="(%2)"/>
      <w:numFmt w:val="lowerRoman"/>
      <w:start w:val="2"/>
    </w:lvl>
  </w:abstractNum>
  <w:abstractNum w:abstractNumId="240">
    <w:nsid w:val="4CDCED4C"/>
    <w:multiLevelType w:val="hybridMultilevel"/>
    <w:lvl w:ilvl="0">
      <w:lvlJc w:val="left"/>
      <w:lvlText w:val="(%1)"/>
      <w:numFmt w:val="lowerLetter"/>
      <w:start w:val="3"/>
    </w:lvl>
    <w:lvl w:ilvl="1">
      <w:lvlJc w:val="left"/>
      <w:lvlText w:val="%2"/>
      <w:numFmt w:val="lowerRoman"/>
      <w:start w:val="1"/>
    </w:lvl>
  </w:abstractNum>
  <w:abstractNum w:abstractNumId="241">
    <w:nsid w:val="10A30D9C"/>
    <w:multiLevelType w:val="hybridMultilevel"/>
    <w:lvl w:ilvl="0">
      <w:lvlJc w:val="left"/>
      <w:lvlText w:val="(%1)"/>
      <w:numFmt w:val="lowerLetter"/>
      <w:start w:val="4"/>
    </w:lvl>
  </w:abstractNum>
  <w:abstractNum w:abstractNumId="242">
    <w:nsid w:val="A66E486"/>
    <w:multiLevelType w:val="hybridMultilevel"/>
    <w:lvl w:ilvl="0">
      <w:lvlJc w:val="left"/>
      <w:lvlText w:val="(%1)"/>
      <w:numFmt w:val="lowerLetter"/>
      <w:start w:val="1"/>
    </w:lvl>
    <w:lvl w:ilvl="1">
      <w:lvlJc w:val="left"/>
      <w:lvlText w:val="(%2)"/>
      <w:numFmt w:val="lowerRoman"/>
      <w:start w:val="1"/>
    </w:lvl>
  </w:abstractNum>
  <w:abstractNum w:abstractNumId="243">
    <w:nsid w:val="306235EA"/>
    <w:multiLevelType w:val="hybridMultilevel"/>
    <w:lvl w:ilvl="0">
      <w:lvlJc w:val="left"/>
      <w:lvlText w:val="(%1)"/>
      <w:numFmt w:val="lowerRoman"/>
      <w:start w:val="3"/>
    </w:lvl>
  </w:abstractNum>
  <w:abstractNum w:abstractNumId="244">
    <w:nsid w:val="1187C70F"/>
    <w:multiLevelType w:val="hybridMultilevel"/>
    <w:lvl w:ilvl="0">
      <w:lvlJc w:val="left"/>
      <w:lvlText w:val="(%1)"/>
      <w:numFmt w:val="lowerLetter"/>
      <w:start w:val="3"/>
    </w:lvl>
  </w:abstractNum>
  <w:abstractNum w:abstractNumId="245">
    <w:nsid w:val="5476DE98"/>
    <w:multiLevelType w:val="hybridMultilevel"/>
    <w:lvl w:ilvl="0">
      <w:lvlJc w:val="left"/>
      <w:lvlText w:val="(%1)"/>
      <w:numFmt w:val="lowerLetter"/>
      <w:start w:val="1"/>
    </w:lvl>
    <w:lvl w:ilvl="1">
      <w:lvlJc w:val="left"/>
      <w:lvlText w:val="(%2)"/>
      <w:numFmt w:val="lowerRoman"/>
      <w:start w:val="1"/>
    </w:lvl>
  </w:abstractNum>
  <w:abstractNum w:abstractNumId="246">
    <w:nsid w:val="EA697F2"/>
    <w:multiLevelType w:val="hybridMultilevel"/>
    <w:lvl w:ilvl="0">
      <w:lvlJc w:val="left"/>
      <w:lvlText w:val="%1"/>
      <w:numFmt w:val="lowerLetter"/>
      <w:start w:val="1"/>
    </w:lvl>
    <w:lvl w:ilvl="1">
      <w:lvlJc w:val="left"/>
      <w:lvlText w:val="(%2)"/>
      <w:numFmt w:val="lowerLetter"/>
      <w:start w:val="61"/>
    </w:lvl>
  </w:abstractNum>
  <w:abstractNum w:abstractNumId="247">
    <w:nsid w:val="70BA39EB"/>
    <w:multiLevelType w:val="hybridMultilevel"/>
    <w:lvl w:ilvl="0">
      <w:lvlJc w:val="left"/>
      <w:lvlText w:val="(%1)"/>
      <w:numFmt w:val="lowerLetter"/>
      <w:start w:val="3"/>
    </w:lvl>
    <w:lvl w:ilvl="1">
      <w:lvlJc w:val="left"/>
      <w:lvlText w:val="%2"/>
      <w:numFmt w:val="lowerLetter"/>
      <w:start w:val="1"/>
    </w:lvl>
  </w:abstractNum>
  <w:abstractNum w:abstractNumId="248">
    <w:nsid w:val="4A8DB59C"/>
    <w:multiLevelType w:val="hybridMultilevel"/>
    <w:lvl w:ilvl="0">
      <w:lvlJc w:val="left"/>
      <w:lvlText w:val="(%1)"/>
      <w:numFmt w:val="lowerLetter"/>
      <w:start w:val="1"/>
    </w:lvl>
  </w:abstractNum>
  <w:abstractNum w:abstractNumId="249">
    <w:nsid w:val="1AFD9053"/>
    <w:multiLevelType w:val="hybridMultilevel"/>
    <w:lvl w:ilvl="0">
      <w:lvlJc w:val="left"/>
      <w:lvlText w:val="(%1)"/>
      <w:numFmt w:val="lowerLetter"/>
      <w:start w:val="3"/>
    </w:lvl>
  </w:abstractNum>
  <w:abstractNum w:abstractNumId="250">
    <w:nsid w:val="558BB10D"/>
    <w:multiLevelType w:val="hybridMultilevel"/>
    <w:lvl w:ilvl="0">
      <w:lvlJc w:val="left"/>
      <w:lvlText w:val="(%1)"/>
      <w:numFmt w:val="lowerLetter"/>
      <w:start w:val="1"/>
    </w:lvl>
  </w:abstractNum>
  <w:abstractNum w:abstractNumId="251">
    <w:nsid w:val="43B27FA7"/>
    <w:multiLevelType w:val="hybridMultilevel"/>
    <w:lvl w:ilvl="0">
      <w:lvlJc w:val="left"/>
      <w:lvlText w:val="(%1)"/>
      <w:numFmt w:val="lowerLetter"/>
      <w:start w:val="2"/>
    </w:lvl>
  </w:abstractNum>
  <w:abstractNum w:abstractNumId="252">
    <w:nsid w:val="27FADEFA"/>
    <w:multiLevelType w:val="hybridMultilevel"/>
    <w:lvl w:ilvl="0">
      <w:lvlJc w:val="left"/>
      <w:lvlText w:val="(%1)"/>
      <w:numFmt w:val="lowerLetter"/>
      <w:start w:val="3"/>
    </w:lvl>
  </w:abstractNum>
  <w:abstractNum w:abstractNumId="253">
    <w:nsid w:val="78BB805A"/>
    <w:multiLevelType w:val="hybridMultilevel"/>
    <w:lvl w:ilvl="0">
      <w:lvlJc w:val="left"/>
      <w:lvlText w:val="(%1)"/>
      <w:numFmt w:val="lowerLetter"/>
      <w:start w:val="1"/>
    </w:lvl>
    <w:lvl w:ilvl="1">
      <w:lvlJc w:val="left"/>
      <w:lvlText w:val="(%2)"/>
      <w:numFmt w:val="lowerRoman"/>
      <w:start w:val="1"/>
    </w:lvl>
  </w:abstractNum>
  <w:abstractNum w:abstractNumId="254">
    <w:nsid w:val="62548FD8"/>
    <w:multiLevelType w:val="hybridMultilevel"/>
    <w:lvl w:ilvl="0">
      <w:lvlJc w:val="left"/>
      <w:lvlText w:val="(%1)"/>
      <w:numFmt w:val="lowerLetter"/>
      <w:start w:val="2"/>
    </w:lvl>
  </w:abstractNum>
  <w:abstractNum w:abstractNumId="255">
    <w:nsid w:val="FA085B0"/>
    <w:multiLevelType w:val="hybridMultilevel"/>
    <w:lvl w:ilvl="0">
      <w:lvlJc w:val="left"/>
      <w:lvlText w:val="(%1)"/>
      <w:numFmt w:val="lowerLetter"/>
      <w:start w:val="3"/>
    </w:lvl>
  </w:abstractNum>
  <w:abstractNum w:abstractNumId="256">
    <w:nsid w:val="4E5DCB5"/>
    <w:multiLevelType w:val="hybridMultilevel"/>
    <w:lvl w:ilvl="0">
      <w:lvlJc w:val="left"/>
      <w:lvlText w:val="(%1)"/>
      <w:numFmt w:val="lowerLetter"/>
      <w:start w:val="4"/>
    </w:lvl>
  </w:abstractNum>
  <w:abstractNum w:abstractNumId="257">
    <w:nsid w:val="41E96BDB"/>
    <w:multiLevelType w:val="hybridMultilevel"/>
    <w:lvl w:ilvl="0">
      <w:lvlJc w:val="left"/>
      <w:lvlText w:val="(%1)"/>
      <w:numFmt w:val="lowerLetter"/>
      <w:start w:val="1"/>
    </w:lvl>
  </w:abstractNum>
  <w:abstractNum w:abstractNumId="258">
    <w:nsid w:val="331C42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1B1493C2"/>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2"/>
    </w:lvl>
  </w:abstractNum>
  <w:abstractNum w:abstractNumId="260">
    <w:nsid w:val="39F06DFD"/>
    <w:multiLevelType w:val="hybridMultilevel"/>
    <w:lvl w:ilvl="0">
      <w:lvlJc w:val="left"/>
      <w:lvlText w:val="(%1)"/>
      <w:numFmt w:val="lowerLetter"/>
      <w:start w:val="3"/>
    </w:lvl>
  </w:abstractNum>
  <w:abstractNum w:abstractNumId="261">
    <w:nsid w:val="14802F5D"/>
    <w:multiLevelType w:val="hybridMultilevel"/>
    <w:lvl w:ilvl="0">
      <w:lvlJc w:val="left"/>
      <w:lvlText w:val="(%1)"/>
      <w:numFmt w:val="lowerLetter"/>
      <w:start w:val="1"/>
    </w:lvl>
  </w:abstractNum>
  <w:abstractNum w:abstractNumId="262">
    <w:nsid w:val="2774A209"/>
    <w:multiLevelType w:val="hybridMultilevel"/>
    <w:lvl w:ilvl="0">
      <w:lvlJc w:val="left"/>
      <w:lvlText w:val="(%1)"/>
      <w:numFmt w:val="lowerLetter"/>
      <w:start w:val="1"/>
    </w:lvl>
  </w:abstractNum>
  <w:abstractNum w:abstractNumId="263">
    <w:nsid w:val="3785655A"/>
    <w:multiLevelType w:val="hybridMultilevel"/>
    <w:lvl w:ilvl="0">
      <w:lvlJc w:val="left"/>
      <w:lvlText w:val="(%1)"/>
      <w:numFmt w:val="lowerLetter"/>
      <w:start w:val="5"/>
    </w:lvl>
  </w:abstractNum>
  <w:abstractNum w:abstractNumId="264">
    <w:nsid w:val="B2172A"/>
    <w:multiLevelType w:val="hybridMultilevel"/>
    <w:lvl w:ilvl="0">
      <w:lvlJc w:val="left"/>
      <w:lvlText w:val="(%1)"/>
      <w:numFmt w:val="lowerLetter"/>
      <w:start w:val="1"/>
    </w:lvl>
  </w:abstractNum>
  <w:abstractNum w:abstractNumId="265">
    <w:nsid w:val="532C34A5"/>
    <w:multiLevelType w:val="hybridMultilevel"/>
    <w:lvl w:ilvl="0">
      <w:lvlJc w:val="left"/>
      <w:lvlText w:val="(%1)"/>
      <w:numFmt w:val="lowerRoman"/>
      <w:start w:val="1"/>
    </w:lvl>
  </w:abstractNum>
  <w:abstractNum w:abstractNumId="266">
    <w:nsid w:val="102809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7">
    <w:nsid w:val="3B2125A3"/>
    <w:multiLevelType w:val="hybridMultilevel"/>
    <w:lvl w:ilvl="0">
      <w:lvlJc w:val="left"/>
      <w:lvlText w:val="(%1)"/>
      <w:numFmt w:val="lowerRoman"/>
      <w:start w:val="3"/>
    </w:lvl>
  </w:abstractNum>
  <w:abstractNum w:abstractNumId="268">
    <w:nsid w:val="AC68FFB"/>
    <w:multiLevelType w:val="hybridMultilevel"/>
    <w:lvl w:ilvl="0">
      <w:lvlJc w:val="left"/>
      <w:lvlText w:val="%1"/>
      <w:numFmt w:val="lowerLetter"/>
      <w:start w:val="1"/>
    </w:lvl>
    <w:lvl w:ilvl="1">
      <w:lvlJc w:val="left"/>
      <w:lvlText w:val="(%2)"/>
      <w:numFmt w:val="decimal"/>
      <w:start w:val="1"/>
    </w:lvl>
  </w:abstractNum>
  <w:abstractNum w:abstractNumId="269">
    <w:nsid w:val="63DF3FB7"/>
    <w:multiLevelType w:val="hybridMultilevel"/>
    <w:lvl w:ilvl="0">
      <w:lvlJc w:val="left"/>
      <w:lvlText w:val="(%1)"/>
      <w:numFmt w:val="lowerLetter"/>
      <w:start w:val="2"/>
    </w:lvl>
    <w:lvl w:ilvl="1">
      <w:lvlJc w:val="left"/>
      <w:lvlText w:val="%2"/>
      <w:numFmt w:val="decimal"/>
      <w:start w:val="1"/>
    </w:lvl>
  </w:abstractNum>
  <w:abstractNum w:abstractNumId="270">
    <w:nsid w:val="64996E1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7"/>
    </w:lvl>
  </w:abstractNum>
  <w:abstractNum w:abstractNumId="271">
    <w:nsid w:val="57A37D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2">
    <w:nsid w:val="74824D54"/>
    <w:multiLevelType w:val="hybridMultilevel"/>
    <w:lvl w:ilvl="0">
      <w:lvlJc w:val="left"/>
      <w:lvlText w:val="%1."/>
      <w:numFmt w:val="decimal"/>
      <w:start w:val="7"/>
    </w:lvl>
    <w:lvl w:ilvl="1">
      <w:lvlJc w:val="left"/>
      <w:lvlText w:val="(%2)"/>
      <w:numFmt w:val="lowerLetter"/>
      <w:start w:val="1"/>
    </w:lvl>
  </w:abstractNum>
  <w:abstractNum w:abstractNumId="273">
    <w:nsid w:val="6F00529A"/>
    <w:multiLevelType w:val="hybridMultilevel"/>
    <w:lvl w:ilvl="0">
      <w:lvlJc w:val="left"/>
      <w:lvlText w:val="%1"/>
      <w:numFmt w:val="decimal"/>
      <w:start w:val="1"/>
    </w:lvl>
    <w:lvl w:ilvl="1">
      <w:lvlJc w:val="left"/>
      <w:lvlText w:val="(%2)"/>
      <w:numFmt w:val="lowerLetter"/>
      <w:start w:val="2"/>
    </w:lvl>
  </w:abstractNum>
  <w:abstractNum w:abstractNumId="274">
    <w:nsid w:val="805B331"/>
    <w:multiLevelType w:val="hybridMultilevel"/>
    <w:lvl w:ilvl="0">
      <w:lvlJc w:val="left"/>
      <w:lvlText w:val="%1."/>
      <w:numFmt w:val="decimal"/>
      <w:start w:val="10"/>
    </w:lvl>
    <w:lvl w:ilvl="1">
      <w:lvlJc w:val="left"/>
      <w:lvlText w:val="(%2)"/>
      <w:numFmt w:val="lowerLetter"/>
      <w:start w:val="1"/>
    </w:lvl>
  </w:abstractNum>
  <w:abstractNum w:abstractNumId="275">
    <w:nsid w:val="60A1463"/>
    <w:multiLevelType w:val="hybridMultilevel"/>
    <w:lvl w:ilvl="0">
      <w:lvlJc w:val="left"/>
      <w:lvlText w:val="(%1)"/>
      <w:numFmt w:val="lowerLetter"/>
      <w:start w:val="2"/>
    </w:lvl>
  </w:abstractNum>
  <w:abstractNum w:abstractNumId="276">
    <w:nsid w:val="43773132"/>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77">
    <w:nsid w:val="16AC4B2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78">
    <w:nsid w:val="76C44E4E"/>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abstractNum>
  <w:abstractNum w:abstractNumId="279">
    <w:nsid w:val="E04E6C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80">
    <w:nsid w:val="31A9DB76"/>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4"/>
    </w:lvl>
  </w:abstractNum>
  <w:abstractNum w:abstractNumId="281">
    <w:nsid w:val="4C4FFF5B"/>
    <w:multiLevelType w:val="hybridMultilevel"/>
    <w:lvl w:ilvl="0">
      <w:lvlJc w:val="left"/>
      <w:lvlText w:val="%1."/>
      <w:numFmt w:val="decimal"/>
      <w:start w:val="15"/>
    </w:lvl>
  </w:abstractNum>
  <w:abstractNum w:abstractNumId="282">
    <w:nsid w:val="51B76675"/>
    <w:multiLevelType w:val="hybridMultilevel"/>
    <w:lvl w:ilvl="0">
      <w:lvlJc w:val="left"/>
      <w:lvlText w:val="%1."/>
      <w:numFmt w:val="decimal"/>
      <w:start w:val="20"/>
    </w:lvl>
  </w:abstractNum>
  <w:abstractNum w:abstractNumId="283">
    <w:nsid w:val="59A4BA71"/>
    <w:multiLevelType w:val="hybridMultilevel"/>
    <w:lvl w:ilvl="0">
      <w:lvlJc w:val="left"/>
      <w:lvlText w:val="%1."/>
      <w:numFmt w:val="decimal"/>
      <w:start w:val="26"/>
    </w:lvl>
    <w:lvl w:ilvl="1">
      <w:lvlJc w:val="left"/>
      <w:lvlText w:val="(%2)"/>
      <w:numFmt w:val="lowerLetter"/>
      <w:start w:val="1"/>
    </w:lvl>
  </w:abstractNum>
  <w:abstractNum w:abstractNumId="284">
    <w:nsid w:val="450B7FB6"/>
    <w:multiLevelType w:val="hybridMultilevel"/>
    <w:lvl w:ilvl="0">
      <w:lvlJc w:val="left"/>
      <w:lvlText w:val="%1"/>
      <w:numFmt w:val="lowerRoman"/>
      <w:start w:val="1"/>
    </w:lvl>
    <w:lvl w:ilvl="1">
      <w:lvlJc w:val="left"/>
      <w:lvlText w:val="%2."/>
      <w:numFmt w:val="decimal"/>
      <w:start w:val="27"/>
    </w:lvl>
  </w:abstractNum>
  <w:abstractNum w:abstractNumId="285">
    <w:nsid w:val="340BF64D"/>
    <w:multiLevelType w:val="hybridMultilevel"/>
    <w:lvl w:ilvl="0">
      <w:lvlJc w:val="left"/>
      <w:lvlText w:val="(%1)"/>
      <w:numFmt w:val="lowerRoman"/>
      <w:start w:val="5"/>
    </w:lvl>
    <w:lvl w:ilvl="1">
      <w:lvlJc w:val="left"/>
      <w:lvlText w:val="%2."/>
      <w:numFmt w:val="decimal"/>
      <w:start w:val="28"/>
    </w:lvl>
  </w:abstractNum>
  <w:abstractNum w:abstractNumId="286">
    <w:nsid w:val="69454021"/>
    <w:multiLevelType w:val="hybridMultilevel"/>
    <w:lvl w:ilvl="0">
      <w:lvlJc w:val="left"/>
      <w:lvlText w:val="%1."/>
      <w:numFmt w:val="decimal"/>
      <w:start w:val="29"/>
    </w:lvl>
  </w:abstractNum>
  <w:abstractNum w:abstractNumId="287">
    <w:nsid w:val="49F15C6B"/>
    <w:multiLevelType w:val="hybridMultilevel"/>
    <w:lvl w:ilvl="0">
      <w:lvlJc w:val="left"/>
      <w:lvlText w:val="%1."/>
      <w:numFmt w:val="decimal"/>
      <w:start w:val="1"/>
    </w:lvl>
    <w:lvl w:ilvl="1">
      <w:lvlJc w:val="left"/>
      <w:lvlText w:val="•"/>
      <w:numFmt w:val="bullet"/>
      <w:start w:val="1"/>
    </w:lvl>
  </w:abstractNum>
  <w:abstractNum w:abstractNumId="288">
    <w:nsid w:val="75F5622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89">
    <w:nsid w:val="1C618271"/>
    <w:multiLevelType w:val="hybridMultilevel"/>
    <w:lvl w:ilvl="0">
      <w:lvlJc w:val="left"/>
      <w:lvlText w:val="(%1)"/>
      <w:numFmt w:val="lowerRoman"/>
      <w:start w:val="2"/>
    </w:lvl>
  </w:abstractNum>
  <w:abstractNum w:abstractNumId="290">
    <w:nsid w:val="6505F02E"/>
    <w:multiLevelType w:val="hybridMultilevel"/>
    <w:lvl w:ilvl="0">
      <w:lvlJc w:val="left"/>
      <w:lvlText w:val="(%1)"/>
      <w:numFmt w:val="lowerLetter"/>
      <w:start w:val="7"/>
    </w:lvl>
  </w:abstractNum>
  <w:abstractNum w:abstractNumId="291">
    <w:nsid w:val="2FE5D025"/>
    <w:multiLevelType w:val="hybridMultilevel"/>
    <w:lvl w:ilvl="0">
      <w:lvlJc w:val="left"/>
      <w:lvlText w:val="(%1)"/>
      <w:numFmt w:val="lowerLetter"/>
      <w:start w:val="8"/>
    </w:lvl>
    <w:lvl w:ilvl="1">
      <w:lvlJc w:val="left"/>
      <w:lvlText w:val="(%2)"/>
      <w:numFmt w:val="lowerLetter"/>
      <w:start w:val="9"/>
    </w:lvl>
  </w:abstractNum>
  <w:abstractNum w:abstractNumId="292">
    <w:nsid w:val="30E1B1CF"/>
    <w:multiLevelType w:val="hybridMultilevel"/>
    <w:lvl w:ilvl="0">
      <w:lvlJc w:val="left"/>
      <w:lvlText w:val="%1"/>
      <w:numFmt w:val="lowerLetter"/>
      <w:start w:val="1"/>
    </w:lvl>
    <w:lvl w:ilvl="1">
      <w:lvlJc w:val="left"/>
      <w:lvlText w:val="(%2)"/>
      <w:numFmt w:val="lowerRoman"/>
      <w:start w:val="2"/>
    </w:lvl>
  </w:abstractNum>
  <w:abstractNum w:abstractNumId="293">
    <w:nsid w:val="C7A9237"/>
    <w:multiLevelType w:val="hybridMultilevel"/>
    <w:lvl w:ilvl="0">
      <w:lvlJc w:val="left"/>
      <w:lvlText w:val="(%1)"/>
      <w:numFmt w:val="lowerLetter"/>
      <w:start w:val="18"/>
    </w:lvl>
    <w:lvl w:ilvl="1">
      <w:lvlJc w:val="left"/>
      <w:lvlText w:val="%2"/>
      <w:numFmt w:val="lowerRoman"/>
      <w:start w:val="1"/>
    </w:lvl>
  </w:abstractNum>
  <w:abstractNum w:abstractNumId="294">
    <w:nsid w:val="676B3580"/>
    <w:multiLevelType w:val="hybridMultilevel"/>
    <w:lvl w:ilvl="0">
      <w:lvlJc w:val="left"/>
      <w:lvlText w:val="(%1)"/>
      <w:numFmt w:val="lowerLetter"/>
      <w:start w:val="27"/>
    </w:lvl>
  </w:abstractNum>
  <w:abstractNum w:abstractNumId="295">
    <w:nsid w:val="3193C8F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6">
    <w:nsid w:val="5FA6C6DC"/>
    <w:multiLevelType w:val="hybridMultilevel"/>
    <w:lvl w:ilvl="0">
      <w:lvlJc w:val="left"/>
      <w:lvlText w:val="(%1)"/>
      <w:numFmt w:val="lowerLetter"/>
      <w:start w:val="2"/>
    </w:lvl>
    <w:lvl w:ilvl="1">
      <w:lvlJc w:val="left"/>
      <w:lvlText w:val="(%2)"/>
      <w:numFmt w:val="lowerRoman"/>
      <w:start w:val="1"/>
    </w:lvl>
  </w:abstractNum>
  <w:abstractNum w:abstractNumId="297">
    <w:nsid w:val="77933F6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98">
    <w:nsid w:val="6CB4EE9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99">
    <w:nsid w:val="6A6D56D7"/>
    <w:multiLevelType w:val="hybridMultilevel"/>
    <w:lvl w:ilvl="0">
      <w:lvlJc w:val="left"/>
      <w:lvlText w:val="%1"/>
      <w:numFmt w:val="lowerLetter"/>
      <w:start w:val="1"/>
    </w:lvl>
    <w:lvl w:ilvl="1">
      <w:lvlJc w:val="left"/>
      <w:lvlText w:val="(%2)"/>
      <w:numFmt w:val="lowerRoman"/>
      <w:start w:val="2"/>
    </w:lvl>
  </w:abstractNum>
  <w:abstractNum w:abstractNumId="300">
    <w:nsid w:val="5B727F19"/>
    <w:multiLevelType w:val="hybridMultilevel"/>
    <w:lvl w:ilvl="0">
      <w:lvlJc w:val="left"/>
      <w:lvlText w:val="(%1)"/>
      <w:numFmt w:val="lowerLetter"/>
      <w:start w:val="6"/>
    </w:lvl>
    <w:lvl w:ilvl="1">
      <w:lvlJc w:val="left"/>
      <w:lvlText w:val="(%2)"/>
      <w:numFmt w:val="lowerRoman"/>
      <w:start w:val="1"/>
    </w:lvl>
  </w:abstractNum>
  <w:abstractNum w:abstractNumId="301">
    <w:nsid w:val="514E5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02">
    <w:nsid w:val="4210D41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3">
    <w:nsid w:val="4FF4CC6D"/>
    <w:multiLevelType w:val="hybridMultilevel"/>
    <w:lvl w:ilvl="0">
      <w:lvlJc w:val="left"/>
      <w:lvlText w:val="(%1)"/>
      <w:numFmt w:val="lowerLetter"/>
      <w:start w:val="3"/>
    </w:lvl>
    <w:lvl w:ilvl="1">
      <w:lvlJc w:val="left"/>
      <w:lvlText w:val="(%2)"/>
      <w:numFmt w:val="lowerRoman"/>
      <w:start w:val="1"/>
    </w:lvl>
  </w:abstractNum>
  <w:abstractNum w:abstractNumId="304">
    <w:nsid w:val="404EAF4A"/>
    <w:multiLevelType w:val="hybridMultilevel"/>
    <w:lvl w:ilvl="0">
      <w:lvlJc w:val="left"/>
      <w:lvlText w:val="%1."/>
      <w:numFmt w:val="decimal"/>
      <w:start w:val="8"/>
    </w:lvl>
    <w:lvl w:ilvl="1">
      <w:lvlJc w:val="left"/>
      <w:lvlText w:val="(%2)"/>
      <w:numFmt w:val="lowerLetter"/>
      <w:start w:val="1"/>
    </w:lvl>
  </w:abstractNum>
  <w:abstractNum w:abstractNumId="305">
    <w:nsid w:val="4A16874F"/>
    <w:multiLevelType w:val="hybridMultilevel"/>
    <w:lvl w:ilvl="0">
      <w:lvlJc w:val="left"/>
      <w:lvlText w:val="%1"/>
      <w:numFmt w:val="decimal"/>
      <w:start w:val="1"/>
    </w:lvl>
    <w:lvl w:ilvl="1">
      <w:lvlJc w:val="left"/>
      <w:lvlText w:val="(%2)"/>
      <w:numFmt w:val="lowerLetter"/>
      <w:start w:val="5"/>
    </w:lvl>
  </w:abstractNum>
  <w:abstractNum w:abstractNumId="306">
    <w:nsid w:val="55FEE0D1"/>
    <w:multiLevelType w:val="hybridMultilevel"/>
    <w:lvl w:ilvl="0">
      <w:lvlJc w:val="left"/>
      <w:lvlText w:val="%1."/>
      <w:numFmt w:val="decimal"/>
      <w:start w:val="9"/>
    </w:lvl>
    <w:lvl w:ilvl="1">
      <w:lvlJc w:val="left"/>
      <w:lvlText w:val="(%2)"/>
      <w:numFmt w:val="lowerLetter"/>
      <w:start w:val="1"/>
    </w:lvl>
  </w:abstractNum>
  <w:abstractNum w:abstractNumId="307">
    <w:nsid w:val="3C5E07C"/>
    <w:multiLevelType w:val="hybridMultilevel"/>
    <w:lvl w:ilvl="0">
      <w:lvlJc w:val="left"/>
      <w:lvlText w:val="%1."/>
      <w:numFmt w:val="decimal"/>
      <w:start w:val="10"/>
    </w:lvl>
    <w:lvl w:ilvl="1">
      <w:lvlJc w:val="left"/>
      <w:lvlText w:val="(%2)"/>
      <w:numFmt w:val="lowerLetter"/>
      <w:start w:val="1"/>
    </w:lvl>
  </w:abstractNum>
  <w:abstractNum w:abstractNumId="308">
    <w:nsid w:val="60C2D273"/>
    <w:multiLevelType w:val="hybridMultilevel"/>
    <w:lvl w:ilvl="0">
      <w:lvlJc w:val="left"/>
      <w:lvlText w:val="%1."/>
      <w:numFmt w:val="decimal"/>
      <w:start w:val="13"/>
    </w:lvl>
    <w:lvl w:ilvl="1">
      <w:lvlJc w:val="left"/>
      <w:lvlText w:val="(%2)"/>
      <w:numFmt w:val="lowerLetter"/>
      <w:start w:val="1"/>
    </w:lvl>
  </w:abstractNum>
  <w:abstractNum w:abstractNumId="309">
    <w:nsid w:val="4CC32F1F"/>
    <w:multiLevelType w:val="hybridMultilevel"/>
    <w:lvl w:ilvl="0">
      <w:lvlJc w:val="left"/>
      <w:lvlText w:val="%1."/>
      <w:numFmt w:val="decimal"/>
      <w:start w:val="14"/>
    </w:lvl>
    <w:lvl w:ilvl="1">
      <w:lvlJc w:val="left"/>
      <w:lvlText w:val="(%2)"/>
      <w:numFmt w:val="lowerLetter"/>
      <w:start w:val="1"/>
    </w:lvl>
  </w:abstractNum>
  <w:abstractNum w:abstractNumId="310">
    <w:nsid w:val="11CAC74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11">
    <w:nsid w:val="126CADE9"/>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312">
    <w:nsid w:val="19132E7B"/>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313">
    <w:nsid w:val="63822DC0"/>
    <w:multiLevelType w:val="hybridMultilevel"/>
    <w:lvl w:ilvl="0">
      <w:lvlJc w:val="left"/>
      <w:lvlText w:val="(%1)"/>
      <w:numFmt w:val="decimal"/>
      <w:start w:val="500"/>
    </w:lvl>
    <w:lvl w:ilvl="1">
      <w:lvlJc w:val="left"/>
      <w:lvlText w:val="%2"/>
      <w:numFmt w:val="decimal"/>
      <w:start w:val="1"/>
    </w:lvl>
    <w:lvl w:ilvl="2">
      <w:lvlJc w:val="left"/>
      <w:lvlText w:val="%3"/>
      <w:numFmt w:val="lowerLetter"/>
      <w:start w:val="1"/>
    </w:lvl>
  </w:abstractNum>
  <w:abstractNum w:abstractNumId="314">
    <w:nsid w:val="6C11685A"/>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315">
    <w:nsid w:val="5E1EAE31"/>
    <w:multiLevelType w:val="hybridMultilevel"/>
    <w:lvl w:ilvl="0">
      <w:lvlJc w:val="left"/>
      <w:lvlText w:val="%1."/>
      <w:numFmt w:val="upperLetter"/>
      <w:start w:val="9"/>
    </w:lvl>
  </w:abstractNum>
  <w:abstractNum w:abstractNumId="316">
    <w:nsid w:val="178E240D"/>
    <w:multiLevelType w:val="hybridMultilevel"/>
    <w:lvl w:ilvl="0">
      <w:lvlJc w:val="left"/>
      <w:lvlText w:val="%1."/>
      <w:numFmt w:val="upperLetter"/>
      <w:start w:val="35"/>
    </w:lvl>
    <w:lvl w:ilvl="1">
      <w:lvlJc w:val="left"/>
      <w:lvlText w:val="%2."/>
      <w:numFmt w:val="decimal"/>
      <w:start w:val="1"/>
    </w:lvl>
  </w:abstractNum>
  <w:abstractNum w:abstractNumId="317">
    <w:nsid w:val="5556A87B"/>
    <w:multiLevelType w:val="hybridMultilevel"/>
    <w:lvl w:ilvl="0">
      <w:lvlJc w:val="left"/>
      <w:lvlText w:val="%1."/>
      <w:numFmt w:val="decimal"/>
      <w:start w:val="2"/>
    </w:lvl>
    <w:lvl w:ilvl="1">
      <w:lvlJc w:val="left"/>
      <w:lvlText w:val="(%2)"/>
      <w:numFmt w:val="lowerLetter"/>
      <w:start w:val="1"/>
    </w:lvl>
  </w:abstractNum>
  <w:abstractNum w:abstractNumId="318">
    <w:nsid w:val="28100A9C"/>
    <w:multiLevelType w:val="hybridMultilevel"/>
    <w:lvl w:ilvl="0">
      <w:lvlJc w:val="left"/>
      <w:lvlText w:val="%1."/>
      <w:numFmt w:val="decimal"/>
      <w:start w:val="3"/>
    </w:lvl>
  </w:abstractNum>
  <w:abstractNum w:abstractNumId="319">
    <w:nsid w:val="D838636"/>
    <w:multiLevelType w:val="hybridMultilevel"/>
    <w:lvl w:ilvl="0">
      <w:lvlJc w:val="left"/>
      <w:lvlText w:val="%1."/>
      <w:numFmt w:val="decimal"/>
      <w:start w:val="4"/>
    </w:lvl>
  </w:abstractNum>
  <w:abstractNum w:abstractNumId="320">
    <w:nsid w:val="71B82AED"/>
    <w:multiLevelType w:val="hybridMultilevel"/>
    <w:lvl w:ilvl="0">
      <w:lvlJc w:val="left"/>
      <w:lvlText w:val="%1."/>
      <w:numFmt w:val="decimal"/>
      <w:start w:val="5"/>
    </w:lvl>
    <w:lvl w:ilvl="1">
      <w:lvlJc w:val="left"/>
      <w:lvlText w:val="(%2)"/>
      <w:numFmt w:val="lowerLetter"/>
      <w:start w:val="1"/>
    </w:lvl>
  </w:abstractNum>
  <w:abstractNum w:abstractNumId="321">
    <w:nsid w:val="D15FACA"/>
    <w:multiLevelType w:val="hybridMultilevel"/>
    <w:lvl w:ilvl="0">
      <w:lvlJc w:val="left"/>
      <w:lvlText w:val="%1."/>
      <w:numFmt w:val="decimal"/>
      <w:start w:val="6"/>
    </w:lvl>
    <w:lvl w:ilvl="1">
      <w:lvlJc w:val="left"/>
      <w:lvlText w:val="(%2)"/>
      <w:numFmt w:val="lowerLetter"/>
      <w:start w:val="1"/>
    </w:lvl>
  </w:abstractNum>
  <w:abstractNum w:abstractNumId="322">
    <w:nsid w:val="3D69565B"/>
    <w:multiLevelType w:val="hybridMultilevel"/>
    <w:lvl w:ilvl="0">
      <w:lvlJc w:val="left"/>
      <w:lvlText w:val="%1"/>
      <w:numFmt w:val="decimal"/>
      <w:start w:val="1"/>
    </w:lvl>
    <w:lvl w:ilvl="1">
      <w:lvlJc w:val="left"/>
      <w:lvlText w:val="(%2)"/>
      <w:numFmt w:val="lowerLetter"/>
      <w:start w:val="3"/>
    </w:lvl>
  </w:abstractNum>
  <w:abstractNum w:abstractNumId="323">
    <w:nsid w:val="2299DCBC"/>
    <w:multiLevelType w:val="hybridMultilevel"/>
    <w:lvl w:ilvl="0">
      <w:lvlJc w:val="left"/>
      <w:lvlText w:val="%1."/>
      <w:numFmt w:val="decimal"/>
      <w:start w:val="10"/>
    </w:lvl>
    <w:lvl w:ilvl="1">
      <w:lvlJc w:val="left"/>
      <w:lvlText w:val="%2"/>
      <w:numFmt w:val="lowerLetter"/>
      <w:start w:val="1"/>
    </w:lvl>
  </w:abstractNum>
  <w:abstractNum w:abstractNumId="324">
    <w:nsid w:val="19908D02"/>
    <w:multiLevelType w:val="hybridMultilevel"/>
    <w:lvl w:ilvl="0">
      <w:lvlJc w:val="left"/>
      <w:lvlText w:val="%1."/>
      <w:numFmt w:val="decimal"/>
      <w:start w:val="2"/>
    </w:lvl>
    <w:lvl w:ilvl="1">
      <w:lvlJc w:val="left"/>
      <w:lvlText w:val="(%2)"/>
      <w:numFmt w:val="lowerLetter"/>
      <w:start w:val="1"/>
    </w:lvl>
  </w:abstractNum>
  <w:abstractNum w:abstractNumId="325">
    <w:nsid w:val="24D48BDB"/>
    <w:multiLevelType w:val="hybridMultilevel"/>
    <w:lvl w:ilvl="0">
      <w:lvlJc w:val="left"/>
      <w:lvlText w:val="%1"/>
      <w:numFmt w:val="decimal"/>
      <w:start w:val="1"/>
    </w:lvl>
    <w:lvl w:ilvl="1">
      <w:lvlJc w:val="left"/>
      <w:lvlText w:val="(%2)"/>
      <w:numFmt w:val="lowerLetter"/>
      <w:start w:val="2"/>
    </w:lvl>
  </w:abstractNum>
  <w:abstractNum w:abstractNumId="326">
    <w:nsid w:val="542DA5B5"/>
    <w:multiLevelType w:val="hybridMultilevel"/>
    <w:lvl w:ilvl="0">
      <w:lvlJc w:val="left"/>
      <w:lvlText w:val="(%1)"/>
      <w:numFmt w:val="decimal"/>
      <w:start w:val="120"/>
    </w:lvl>
    <w:lvl w:ilvl="1">
      <w:lvlJc w:val="left"/>
      <w:lvlText w:val="(%2)"/>
      <w:numFmt w:val="lowerLetter"/>
      <w:start w:val="6"/>
    </w:lvl>
  </w:abstractNum>
  <w:abstractNum w:abstractNumId="327">
    <w:nsid w:val="793753DE"/>
    <w:multiLevelType w:val="hybridMultilevel"/>
    <w:lvl w:ilvl="0">
      <w:lvlJc w:val="left"/>
      <w:lvlText w:val="%1."/>
      <w:numFmt w:val="decimal"/>
      <w:start w:val="6"/>
    </w:lvl>
    <w:lvl w:ilvl="1">
      <w:lvlJc w:val="left"/>
      <w:lvlText w:val="(%2)"/>
      <w:numFmt w:val="lowerLetter"/>
      <w:start w:val="1"/>
    </w:lvl>
  </w:abstractNum>
  <w:abstractNum w:abstractNumId="328">
    <w:nsid w:val="1C67CB3D"/>
    <w:multiLevelType w:val="hybridMultilevel"/>
    <w:lvl w:ilvl="0">
      <w:lvlJc w:val="left"/>
      <w:lvlText w:val="(%1)"/>
      <w:numFmt w:val="lowerLetter"/>
      <w:start w:val="2"/>
    </w:lvl>
  </w:abstractNum>
  <w:abstractNum w:abstractNumId="329">
    <w:nsid w:val="40E29452"/>
    <w:multiLevelType w:val="hybridMultilevel"/>
    <w:lvl w:ilvl="0">
      <w:lvlJc w:val="left"/>
      <w:lvlText w:val="%1."/>
      <w:numFmt w:val="decimal"/>
      <w:start w:val="8"/>
    </w:lvl>
  </w:abstractNum>
  <w:abstractNum w:abstractNumId="330">
    <w:nsid w:val="63A4AAB6"/>
    <w:multiLevelType w:val="hybridMultilevel"/>
    <w:lvl w:ilvl="0">
      <w:lvlJc w:val="left"/>
      <w:lvlText w:val="(%1)"/>
      <w:numFmt w:val="lowerLetter"/>
      <w:start w:val="1"/>
    </w:lvl>
  </w:abstractNum>
  <w:abstractNum w:abstractNumId="331">
    <w:nsid w:val="77DA4A57"/>
    <w:multiLevelType w:val="hybridMultilevel"/>
    <w:lvl w:ilvl="0">
      <w:lvlJc w:val="left"/>
      <w:lvlText w:val="(%1)"/>
      <w:numFmt w:val="decimal"/>
      <w:start w:val="2"/>
    </w:lvl>
  </w:abstractNum>
  <w:abstractNum w:abstractNumId="332">
    <w:nsid w:val="1230F102"/>
    <w:multiLevelType w:val="hybridMultilevel"/>
    <w:lvl w:ilvl="0">
      <w:lvlJc w:val="left"/>
      <w:lvlText w:val="(%1)"/>
      <w:numFmt w:val="lowerLetter"/>
      <w:start w:val="4"/>
    </w:lvl>
  </w:abstractNum>
  <w:abstractNum w:abstractNumId="333">
    <w:nsid w:val="25B57ED4"/>
    <w:multiLevelType w:val="hybridMultilevel"/>
    <w:lvl w:ilvl="0">
      <w:lvlJc w:val="left"/>
      <w:lvlText w:val="%1."/>
      <w:numFmt w:val="upperLetter"/>
      <w:start w:val="9"/>
    </w:lvl>
  </w:abstractNum>
  <w:abstractNum w:abstractNumId="334">
    <w:nsid w:val="47CF16C4"/>
    <w:multiLevelType w:val="hybridMultilevel"/>
    <w:lvl w:ilvl="0">
      <w:lvlJc w:val="left"/>
      <w:lvlText w:val="%1."/>
      <w:numFmt w:val="upperLetter"/>
      <w:start w:val="35"/>
    </w:lvl>
    <w:lvl w:ilvl="1">
      <w:lvlJc w:val="left"/>
      <w:lvlText w:val="%2."/>
      <w:numFmt w:val="decimal"/>
      <w:start w:val="1"/>
    </w:lvl>
  </w:abstractNum>
  <w:abstractNum w:abstractNumId="335">
    <w:nsid w:val="527FA04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6">
    <w:nsid w:val="6FCC0624"/>
    <w:multiLevelType w:val="hybridMultilevel"/>
    <w:lvl w:ilvl="0">
      <w:lvlJc w:val="left"/>
      <w:lvlText w:val="%1."/>
      <w:numFmt w:val="decimal"/>
      <w:start w:val="3"/>
    </w:lvl>
  </w:abstractNum>
  <w:abstractNum w:abstractNumId="337">
    <w:nsid w:val="1DCDF795"/>
    <w:multiLevelType w:val="hybridMultilevel"/>
    <w:lvl w:ilvl="0">
      <w:lvlJc w:val="left"/>
      <w:lvlText w:val="%1."/>
      <w:numFmt w:val="decimal"/>
      <w:start w:val="5"/>
    </w:lvl>
    <w:lvl w:ilvl="1">
      <w:lvlJc w:val="left"/>
      <w:lvlText w:val="(%2)"/>
      <w:numFmt w:val="lowerLetter"/>
      <w:start w:val="1"/>
    </w:lvl>
  </w:abstractNum>
  <w:abstractNum w:abstractNumId="338">
    <w:nsid w:val="564580C8"/>
    <w:multiLevelType w:val="hybridMultilevel"/>
    <w:lvl w:ilvl="0">
      <w:lvlJc w:val="left"/>
      <w:lvlText w:val="%1."/>
      <w:numFmt w:val="decimal"/>
      <w:start w:val="9"/>
    </w:lvl>
    <w:lvl w:ilvl="1">
      <w:lvlJc w:val="left"/>
      <w:lvlText w:val="(%2)"/>
      <w:numFmt w:val="lowerLetter"/>
      <w:start w:val="1"/>
    </w:lvl>
  </w:abstractNum>
  <w:abstractNum w:abstractNumId="339">
    <w:nsid w:val="508ED897"/>
    <w:multiLevelType w:val="hybridMultilevel"/>
    <w:lvl w:ilvl="0">
      <w:lvlJc w:val="left"/>
      <w:lvlText w:val="%1."/>
      <w:numFmt w:val="decimal"/>
      <w:start w:val="2"/>
    </w:lvl>
    <w:lvl w:ilvl="1">
      <w:lvlJc w:val="left"/>
      <w:lvlText w:val="(%2)"/>
      <w:numFmt w:val="lowerLetter"/>
      <w:start w:val="1"/>
    </w:lvl>
  </w:abstractNum>
  <w:abstractNum w:abstractNumId="340">
    <w:nsid w:val="6A9126B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41">
    <w:nsid w:val="68104812"/>
    <w:multiLevelType w:val="hybridMultilevel"/>
    <w:lvl w:ilvl="0">
      <w:lvlJc w:val="left"/>
      <w:lvlText w:val="(%1)"/>
      <w:numFmt w:val="decimal"/>
      <w:start w:val="120"/>
    </w:lvl>
    <w:lvl w:ilvl="1">
      <w:lvlJc w:val="left"/>
      <w:lvlText w:val="%2."/>
      <w:numFmt w:val="decimal"/>
      <w:start w:val="5"/>
    </w:lvl>
    <w:lvl w:ilvl="2">
      <w:lvlJc w:val="left"/>
      <w:lvlText w:val="(%3)"/>
      <w:numFmt w:val="lowerLetter"/>
      <w:start w:val="6"/>
    </w:lvl>
  </w:abstractNum>
  <w:abstractNum w:abstractNumId="342">
    <w:nsid w:val="62FB8680"/>
    <w:multiLevelType w:val="hybridMultilevel"/>
    <w:lvl w:ilvl="0">
      <w:lvlJc w:val="left"/>
      <w:lvlText w:val="%1."/>
      <w:numFmt w:val="decimal"/>
      <w:start w:val="7"/>
    </w:lvl>
    <w:lvl w:ilvl="1">
      <w:lvlJc w:val="left"/>
      <w:lvlText w:val="(%2)"/>
      <w:numFmt w:val="lowerLetter"/>
      <w:start w:val="1"/>
    </w:lvl>
  </w:abstractNum>
  <w:abstractNum w:abstractNumId="343">
    <w:nsid w:val="3A45530"/>
    <w:multiLevelType w:val="hybridMultilevel"/>
    <w:lvl w:ilvl="0">
      <w:lvlJc w:val="left"/>
      <w:lvlText w:val="%1"/>
      <w:numFmt w:val="decimal"/>
      <w:start w:val="1"/>
    </w:lvl>
    <w:lvl w:ilvl="1">
      <w:lvlJc w:val="left"/>
      <w:lvlText w:val="(%2)"/>
      <w:numFmt w:val="lowerLetter"/>
      <w:start w:val="2"/>
    </w:lvl>
  </w:abstractNum>
  <w:abstractNum w:abstractNumId="344">
    <w:nsid w:val="4B9275D2"/>
    <w:multiLevelType w:val="hybridMultilevel"/>
    <w:lvl w:ilvl="0">
      <w:lvlJc w:val="left"/>
      <w:lvlText w:val="%1."/>
      <w:numFmt w:val="decimal"/>
      <w:start w:val="8"/>
    </w:lvl>
    <w:lvl w:ilvl="1">
      <w:lvlJc w:val="left"/>
      <w:lvlText w:val="%2"/>
      <w:numFmt w:val="lowerLetter"/>
      <w:start w:val="1"/>
    </w:lvl>
  </w:abstractNum>
  <w:abstractNum w:abstractNumId="345">
    <w:nsid w:val="4F0CEEDB"/>
    <w:multiLevelType w:val="hybridMultilevel"/>
    <w:lvl w:ilvl="0">
      <w:lvlJc w:val="left"/>
      <w:lvlText w:val="%1."/>
      <w:numFmt w:val="decimal"/>
      <w:start w:val="9"/>
    </w:lvl>
  </w:abstractNum>
  <w:abstractNum w:abstractNumId="346">
    <w:nsid w:val="61C30361"/>
    <w:multiLevelType w:val="hybridMultilevel"/>
    <w:lvl w:ilvl="0">
      <w:lvlJc w:val="left"/>
      <w:lvlText w:val="(%1)"/>
      <w:numFmt w:val="lowerLetter"/>
      <w:start w:val="1"/>
    </w:lvl>
  </w:abstractNum>
  <w:abstractNum w:abstractNumId="347">
    <w:nsid w:val="632099E0"/>
    <w:multiLevelType w:val="hybridMultilevel"/>
    <w:lvl w:ilvl="0">
      <w:lvlJc w:val="left"/>
      <w:lvlText w:val="(%1)"/>
      <w:numFmt w:val="decimal"/>
      <w:start w:val="2"/>
    </w:lvl>
  </w:abstractNum>
  <w:abstractNum w:abstractNumId="348">
    <w:nsid w:val="24639756"/>
    <w:multiLevelType w:val="hybridMultilevel"/>
    <w:lvl w:ilvl="0">
      <w:lvlJc w:val="left"/>
      <w:lvlText w:val="(%1)"/>
      <w:numFmt w:val="lowerLetter"/>
      <w:start w:val="4"/>
    </w:lvl>
  </w:abstractNum>
  <w:abstractNum w:abstractNumId="349">
    <w:nsid w:val="9D30DFD"/>
    <w:multiLevelType w:val="hybridMultilevel"/>
    <w:lvl w:ilvl="0">
      <w:lvlJc w:val="left"/>
      <w:lvlText w:val="%1."/>
      <w:numFmt w:val="decimal"/>
      <w:start w:val="1"/>
    </w:lvl>
    <w:lvl w:ilvl="1">
      <w:lvlJc w:val="left"/>
      <w:lvlText w:val="(%2)"/>
      <w:numFmt w:val="lowerLetter"/>
      <w:start w:val="1"/>
    </w:lvl>
  </w:abstractNum>
  <w:abstractNum w:abstractNumId="350">
    <w:nsid w:val="70A42016"/>
    <w:multiLevelType w:val="hybridMultilevel"/>
    <w:lvl w:ilvl="0">
      <w:lvlJc w:val="left"/>
      <w:lvlText w:val="%1"/>
      <w:numFmt w:val="decimal"/>
      <w:start w:val="1"/>
    </w:lvl>
    <w:lvl w:ilvl="1">
      <w:lvlJc w:val="left"/>
      <w:lvlText w:val="(%2)"/>
      <w:numFmt w:val="lowerLetter"/>
      <w:start w:val="3"/>
    </w:lvl>
  </w:abstractNum>
  <w:abstractNum w:abstractNumId="351">
    <w:nsid w:val="161BC243"/>
    <w:multiLevelType w:val="hybridMultilevel"/>
    <w:lvl w:ilvl="0">
      <w:lvlJc w:val="left"/>
      <w:lvlText w:val="%1."/>
      <w:numFmt w:val="decimal"/>
      <w:start w:val="2"/>
    </w:lvl>
    <w:lvl w:ilvl="1">
      <w:lvlJc w:val="left"/>
      <w:lvlText w:val="(%2)"/>
      <w:numFmt w:val="lowerLetter"/>
      <w:start w:val="1"/>
    </w:lvl>
  </w:abstractNum>
  <w:abstractNum w:abstractNumId="352">
    <w:nsid w:val="16E908C8"/>
    <w:multiLevelType w:val="hybridMultilevel"/>
    <w:lvl w:ilvl="0">
      <w:lvlJc w:val="left"/>
      <w:lvlText w:val="%1."/>
      <w:numFmt w:val="decimal"/>
      <w:start w:val="3"/>
    </w:lvl>
  </w:abstractNum>
  <w:abstractNum w:abstractNumId="353">
    <w:nsid w:val="2E0D7671"/>
    <w:multiLevelType w:val="hybridMultilevel"/>
    <w:lvl w:ilvl="0">
      <w:lvlJc w:val="left"/>
      <w:lvlText w:val="%1."/>
      <w:numFmt w:val="decimal"/>
      <w:start w:val="5"/>
    </w:lvl>
  </w:abstractNum>
  <w:abstractNum w:abstractNumId="354">
    <w:nsid w:val="38B59EFF"/>
    <w:multiLevelType w:val="hybridMultilevel"/>
    <w:lvl w:ilvl="0">
      <w:lvlJc w:val="left"/>
      <w:lvlText w:val="%1."/>
      <w:numFmt w:val="decimal"/>
      <w:start w:val="9"/>
    </w:lvl>
  </w:abstractNum>
  <w:abstractNum w:abstractNumId="355">
    <w:nsid w:val="307995CA"/>
    <w:multiLevelType w:val="hybridMultilevel"/>
    <w:lvl w:ilvl="0">
      <w:lvlJc w:val="left"/>
      <w:lvlText w:val="%1."/>
      <w:numFmt w:val="decimal"/>
      <w:start w:val="1"/>
    </w:lvl>
  </w:abstractNum>
  <w:abstractNum w:abstractNumId="356">
    <w:nsid w:val="52E2024D"/>
    <w:multiLevelType w:val="hybridMultilevel"/>
    <w:lvl w:ilvl="0">
      <w:lvlJc w:val="left"/>
      <w:lvlText w:val="%1."/>
      <w:numFmt w:val="decimal"/>
      <w:start w:val="5"/>
    </w:lvl>
  </w:abstractNum>
  <w:abstractNum w:abstractNumId="357">
    <w:nsid w:val="CE344B5"/>
    <w:multiLevelType w:val="hybridMultilevel"/>
    <w:lvl w:ilvl="0">
      <w:lvlJc w:val="left"/>
      <w:lvlText w:val="%1."/>
      <w:numFmt w:val="decimal"/>
      <w:start w:val="14"/>
    </w:lvl>
  </w:abstractNum>
  <w:abstractNum w:abstractNumId="358">
    <w:nsid w:val="29B0E9A8"/>
    <w:multiLevelType w:val="hybridMultilevel"/>
    <w:lvl w:ilvl="0">
      <w:lvlJc w:val="left"/>
      <w:lvlText w:val="%1."/>
      <w:numFmt w:val="decimal"/>
      <w:start w:val="1"/>
    </w:lvl>
  </w:abstractNum>
  <w:abstractNum w:abstractNumId="359">
    <w:nsid w:val="6F49CD8A"/>
    <w:multiLevelType w:val="hybridMultilevel"/>
    <w:lvl w:ilvl="0">
      <w:lvlJc w:val="left"/>
      <w:lvlText w:val="%1."/>
      <w:numFmt w:val="decimal"/>
      <w:start w:val="4"/>
    </w:lvl>
  </w:abstractNum>
  <w:abstractNum w:abstractNumId="360">
    <w:nsid w:val="4DC5D907"/>
    <w:multiLevelType w:val="hybridMultilevel"/>
    <w:lvl w:ilvl="0">
      <w:lvlJc w:val="left"/>
      <w:lvlText w:val="%1."/>
      <w:numFmt w:val="decimal"/>
      <w:start w:val="5"/>
    </w:lvl>
  </w:abstractNum>
  <w:abstractNum w:abstractNumId="361">
    <w:nsid w:val="D55945E"/>
    <w:multiLevelType w:val="hybridMultilevel"/>
    <w:lvl w:ilvl="0">
      <w:lvlJc w:val="left"/>
      <w:lvlText w:val="%1."/>
      <w:numFmt w:val="decimal"/>
      <w:start w:val="1"/>
    </w:lvl>
  </w:abstractNum>
  <w:abstractNum w:abstractNumId="362">
    <w:nsid w:val="672417E1"/>
    <w:multiLevelType w:val="hybridMultilevel"/>
    <w:lvl w:ilvl="0">
      <w:lvlJc w:val="left"/>
      <w:lvlText w:val="%1."/>
      <w:numFmt w:val="decimal"/>
      <w:start w:val="6"/>
    </w:lvl>
  </w:abstractNum>
  <w:abstractNum w:abstractNumId="363">
    <w:nsid w:val="5FF6CA09"/>
    <w:multiLevelType w:val="hybridMultilevel"/>
    <w:lvl w:ilvl="0">
      <w:lvlJc w:val="left"/>
      <w:lvlText w:val="%1."/>
      <w:numFmt w:val="decimal"/>
      <w:start w:val="11"/>
    </w:lvl>
  </w:abstractNum>
  <w:abstractNum w:abstractNumId="364">
    <w:nsid w:val="330B1333"/>
    <w:multiLevelType w:val="hybridMultilevel"/>
    <w:lvl w:ilvl="0">
      <w:lvlJc w:val="left"/>
      <w:lvlText w:val="\ldblquote"/>
      <w:numFmt w:val="bullet"/>
      <w:start w:val="1"/>
    </w:lvl>
  </w:abstractNum>
  <w:abstractNum w:abstractNumId="365">
    <w:nsid w:val="2EF32EA6"/>
    <w:multiLevelType w:val="hybridMultilevel"/>
    <w:lvl w:ilvl="0">
      <w:lvlJc w:val="left"/>
      <w:lvlText w:val="%1."/>
      <w:numFmt w:val="decimal"/>
      <w:start w:val="1"/>
    </w:lvl>
  </w:abstractNum>
  <w:abstractNum w:abstractNumId="366">
    <w:nsid w:val="32766A55"/>
    <w:multiLevelType w:val="hybridMultilevel"/>
    <w:lvl w:ilvl="0">
      <w:lvlJc w:val="left"/>
      <w:lvlText w:val="%1."/>
      <w:numFmt w:val="decimal"/>
      <w:start w:val="6"/>
    </w:lvl>
  </w:abstractNum>
  <w:abstractNum w:abstractNumId="367">
    <w:nsid w:val="22D71957"/>
    <w:multiLevelType w:val="hybridMultilevel"/>
    <w:lvl w:ilvl="0">
      <w:lvlJc w:val="left"/>
      <w:lvlText w:val="%1."/>
      <w:numFmt w:val="decimal"/>
      <w:start w:val="11"/>
    </w:lvl>
  </w:abstractNum>
  <w:abstractNum w:abstractNumId="368">
    <w:nsid w:val="4CC1263B"/>
    <w:multiLevelType w:val="hybridMultilevel"/>
    <w:lvl w:ilvl="0">
      <w:lvlJc w:val="left"/>
      <w:lvlText w:val="\ldblquote"/>
      <w:numFmt w:val="bullet"/>
      <w:start w:val="1"/>
    </w:lvl>
  </w:abstractNum>
  <w:abstractNum w:abstractNumId="369">
    <w:nsid w:val="8BBEB1D"/>
    <w:multiLevelType w:val="hybridMultilevel"/>
    <w:lvl w:ilvl="0">
      <w:lvlJc w:val="left"/>
      <w:lvlText w:val="%1."/>
      <w:numFmt w:val="decimal"/>
      <w:start w:val="1"/>
    </w:lvl>
  </w:abstractNum>
  <w:abstractNum w:abstractNumId="370">
    <w:nsid w:val="7365F1EE"/>
    <w:multiLevelType w:val="hybridMultilevel"/>
    <w:lvl w:ilvl="0">
      <w:lvlJc w:val="left"/>
      <w:lvlText w:val="%1."/>
      <w:numFmt w:val="decimal"/>
      <w:start w:val="6"/>
    </w:lvl>
  </w:abstractNum>
  <w:abstractNum w:abstractNumId="371">
    <w:nsid w:val="37524CF0"/>
    <w:multiLevelType w:val="hybridMultilevel"/>
    <w:lvl w:ilvl="0">
      <w:lvlJc w:val="left"/>
      <w:lvlText w:val="%1."/>
      <w:numFmt w:val="decimal"/>
      <w:start w:val="11"/>
    </w:lvl>
  </w:abstractNum>
  <w:abstractNum w:abstractNumId="372">
    <w:nsid w:val="70CC332F"/>
    <w:multiLevelType w:val="hybridMultilevel"/>
    <w:lvl w:ilvl="0">
      <w:lvlJc w:val="left"/>
      <w:lvlText w:val="\ldblquote"/>
      <w:numFmt w:val="bullet"/>
      <w:start w:val="1"/>
    </w:lvl>
  </w:abstractNum>
  <w:abstractNum w:abstractNumId="373">
    <w:nsid w:val="5661786E"/>
    <w:multiLevelType w:val="hybridMultilevel"/>
    <w:lvl w:ilvl="0">
      <w:lvlJc w:val="left"/>
      <w:lvlText w:val="%1."/>
      <w:numFmt w:val="decimal"/>
      <w:start w:val="1"/>
    </w:lvl>
  </w:abstractNum>
  <w:abstractNum w:abstractNumId="374">
    <w:nsid w:val="3AF6A220"/>
    <w:multiLevelType w:val="hybridMultilevel"/>
    <w:lvl w:ilvl="0">
      <w:lvlJc w:val="left"/>
      <w:lvlText w:val="%1."/>
      <w:numFmt w:val="decimal"/>
      <w:start w:val="6"/>
    </w:lvl>
  </w:abstractNum>
  <w:abstractNum w:abstractNumId="375">
    <w:nsid w:val="3C5EA902"/>
    <w:multiLevelType w:val="hybridMultilevel"/>
    <w:lvl w:ilvl="0">
      <w:lvlJc w:val="left"/>
      <w:lvlText w:val="%1."/>
      <w:numFmt w:val="decimal"/>
      <w:start w:val="11"/>
    </w:lvl>
  </w:abstractNum>
  <w:abstractNum w:abstractNumId="376">
    <w:nsid w:val="256E6749"/>
    <w:multiLevelType w:val="hybridMultilevel"/>
    <w:lvl w:ilvl="0">
      <w:lvlJc w:val="left"/>
      <w:lvlText w:val="\ldblquote"/>
      <w:numFmt w:val="bullet"/>
      <w:start w:val="1"/>
    </w:lvl>
  </w:abstractNum>
  <w:abstractNum w:abstractNumId="377">
    <w:nsid w:val="1CB9A581"/>
    <w:multiLevelType w:val="hybridMultilevel"/>
    <w:lvl w:ilvl="0">
      <w:lvlJc w:val="left"/>
      <w:lvlText w:val="(%1)"/>
      <w:numFmt w:val="lowerLetter"/>
      <w:start w:val="2"/>
    </w:lvl>
  </w:abstractNum>
  <w:abstractNum w:abstractNumId="378">
    <w:nsid w:val="1F7F42E2"/>
    <w:multiLevelType w:val="hybridMultilevel"/>
    <w:lvl w:ilvl="0">
      <w:lvlJc w:val="left"/>
      <w:lvlText w:val="(%1)"/>
      <w:numFmt w:val="lowerLetter"/>
      <w:start w:val="2"/>
    </w:lvl>
  </w:abstractNum>
  <w:abstractNum w:abstractNumId="379">
    <w:nsid w:val="49D1FEA0"/>
    <w:multiLevelType w:val="hybridMultilevel"/>
    <w:lvl w:ilvl="0">
      <w:lvlJc w:val="left"/>
      <w:lvlText w:val="(%1)"/>
      <w:numFmt w:val="lowerLetter"/>
      <w:start w:val="2"/>
    </w:lvl>
  </w:abstractNum>
  <w:abstractNum w:abstractNumId="380">
    <w:nsid w:val="268CB37F"/>
    <w:multiLevelType w:val="hybridMultilevel"/>
    <w:lvl w:ilvl="0">
      <w:lvlJc w:val="left"/>
      <w:lvlText w:val="(%1)"/>
      <w:numFmt w:val="lowerLetter"/>
      <w:start w:val="1"/>
    </w:lvl>
  </w:abstractNum>
  <w:abstractNum w:abstractNumId="381">
    <w:nsid w:val="102362F8"/>
    <w:multiLevelType w:val="hybridMultilevel"/>
    <w:lvl w:ilvl="0">
      <w:lvlJc w:val="left"/>
      <w:lvlText w:val="(%1)"/>
      <w:numFmt w:val="lowerLetter"/>
      <w:start w:val="25"/>
    </w:lvl>
  </w:abstractNum>
  <w:abstractNum w:abstractNumId="382">
    <w:nsid w:val="5FEDC0E3"/>
    <w:multiLevelType w:val="hybridMultilevel"/>
    <w:lvl w:ilvl="0">
      <w:lvlJc w:val="left"/>
      <w:lvlText w:val="(%1)"/>
      <w:numFmt w:val="lowerLetter"/>
      <w:start w:val="25"/>
    </w:lvl>
  </w:abstractNum>
  <w:abstractNum w:abstractNumId="383">
    <w:nsid w:val="3D75BC47"/>
    <w:multiLevelType w:val="hybridMultilevel"/>
    <w:lvl w:ilvl="0">
      <w:lvlJc w:val="left"/>
      <w:lvlText w:val="(%1)"/>
      <w:numFmt w:val="lowerLetter"/>
      <w:start w:val="1"/>
    </w:lvl>
  </w:abstractNum>
  <w:abstractNum w:abstractNumId="384">
    <w:nsid w:val="3E30D969"/>
    <w:multiLevelType w:val="hybridMultilevel"/>
    <w:lvl w:ilvl="0">
      <w:lvlJc w:val="left"/>
      <w:lvlText w:val="(%1)"/>
      <w:numFmt w:val="lowerLetter"/>
      <w:start w:val="1"/>
    </w:lvl>
  </w:abstractNum>
  <w:abstractNum w:abstractNumId="385">
    <w:nsid w:val="18A35FE3"/>
    <w:multiLevelType w:val="hybridMultilevel"/>
    <w:lvl w:ilvl="0">
      <w:lvlJc w:val="left"/>
      <w:lvlText w:val="(%1)"/>
      <w:numFmt w:val="lowerLetter"/>
      <w:start w:val="1"/>
    </w:lvl>
  </w:abstractNum>
  <w:abstractNum w:abstractNumId="386">
    <w:nsid w:val="6DEF5211"/>
    <w:multiLevelType w:val="hybridMultilevel"/>
    <w:lvl w:ilvl="0">
      <w:lvlJc w:val="left"/>
      <w:lvlText w:val="(%1)"/>
      <w:numFmt w:val="lowerLetter"/>
      <w:start w:val="2"/>
    </w:lvl>
  </w:abstractNum>
  <w:abstractNum w:abstractNumId="387">
    <w:nsid w:val="1112DBB6"/>
    <w:multiLevelType w:val="hybridMultilevel"/>
    <w:lvl w:ilvl="0">
      <w:lvlJc w:val="left"/>
      <w:lvlText w:val="(%1)"/>
      <w:numFmt w:val="lowerLetter"/>
      <w:start w:val="1"/>
    </w:lvl>
  </w:abstractNum>
  <w:abstractNum w:abstractNumId="388">
    <w:nsid w:val="2586A498"/>
    <w:multiLevelType w:val="hybridMultilevel"/>
    <w:lvl w:ilvl="0">
      <w:lvlJc w:val="left"/>
      <w:lvlText w:val="(%1)"/>
      <w:numFmt w:val="lowerLetter"/>
      <w:start w:val="1"/>
    </w:lvl>
    <w:lvl w:ilvl="1">
      <w:lvlJc w:val="left"/>
      <w:lvlText w:val="(%2)"/>
      <w:numFmt w:val="lowerRoman"/>
      <w:start w:val="1"/>
    </w:lvl>
  </w:abstractNum>
  <w:abstractNum w:abstractNumId="389">
    <w:nsid w:val="17A03BB9"/>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390">
    <w:nsid w:val="5CA941"/>
    <w:multiLevelType w:val="hybridMultilevel"/>
    <w:lvl w:ilvl="0">
      <w:lvlJc w:val="left"/>
      <w:lvlText w:val="(%1)"/>
      <w:numFmt w:val="lowerLetter"/>
      <w:start w:val="1"/>
    </w:lvl>
  </w:abstractNum>
  <w:abstractNum w:abstractNumId="391">
    <w:nsid w:val="734C7D9F"/>
    <w:multiLevelType w:val="hybridMultilevel"/>
    <w:lvl w:ilvl="0">
      <w:lvlJc w:val="left"/>
      <w:lvlText w:val="(%1)"/>
      <w:numFmt w:val="lowerLetter"/>
      <w:start w:val="1"/>
    </w:lvl>
  </w:abstractNum>
  <w:abstractNum w:abstractNumId="392">
    <w:nsid w:val="24F5D018"/>
    <w:multiLevelType w:val="hybridMultilevel"/>
    <w:lvl w:ilvl="0">
      <w:lvlJc w:val="left"/>
      <w:lvlText w:val="(%1)"/>
      <w:numFmt w:val="lowerLetter"/>
      <w:start w:val="1"/>
    </w:lvl>
  </w:abstractNum>
  <w:abstractNum w:abstractNumId="393">
    <w:nsid w:val="6780C122"/>
    <w:multiLevelType w:val="hybridMultilevel"/>
    <w:lvl w:ilvl="0">
      <w:lvlJc w:val="left"/>
      <w:lvlText w:val="(%1)"/>
      <w:numFmt w:val="lowerLetter"/>
      <w:start w:val="2"/>
    </w:lvl>
  </w:abstractNum>
  <w:abstractNum w:abstractNumId="394">
    <w:nsid w:val="534347A8"/>
    <w:multiLevelType w:val="hybridMultilevel"/>
    <w:lvl w:ilvl="0">
      <w:lvlJc w:val="left"/>
      <w:lvlText w:val="(%1)"/>
      <w:numFmt w:val="lowerLetter"/>
      <w:start w:val="1"/>
    </w:lvl>
  </w:abstractNum>
  <w:abstractNum w:abstractNumId="395">
    <w:nsid w:val="5800E34B"/>
    <w:multiLevelType w:val="hybridMultilevel"/>
    <w:lvl w:ilvl="0">
      <w:lvlJc w:val="left"/>
      <w:lvlText w:val="(%1)"/>
      <w:numFmt w:val="lowerLetter"/>
      <w:start w:val="3"/>
    </w:lvl>
  </w:abstractNum>
  <w:abstractNum w:abstractNumId="396">
    <w:nsid w:val="1673EFC8"/>
    <w:multiLevelType w:val="hybridMultilevel"/>
    <w:lvl w:ilvl="0">
      <w:lvlJc w:val="left"/>
      <w:lvlText w:val="(%1)"/>
      <w:numFmt w:val="lowerLetter"/>
      <w:start w:val="4"/>
    </w:lvl>
  </w:abstractNum>
  <w:abstractNum w:abstractNumId="397">
    <w:nsid w:val="5B9B1FD"/>
    <w:multiLevelType w:val="hybridMultilevel"/>
    <w:lvl w:ilvl="0">
      <w:lvlJc w:val="left"/>
      <w:lvlText w:val="(%1)"/>
      <w:numFmt w:val="lowerLetter"/>
      <w:start w:val="1"/>
    </w:lvl>
  </w:abstractNum>
  <w:abstractNum w:abstractNumId="398">
    <w:nsid w:val="7AD7FCA2"/>
    <w:multiLevelType w:val="hybridMultilevel"/>
    <w:lvl w:ilvl="0">
      <w:lvlJc w:val="left"/>
      <w:lvlText w:val="(%1)"/>
      <w:numFmt w:val="lowerRoman"/>
      <w:start w:val="4"/>
    </w:lvl>
  </w:abstractNum>
  <w:abstractNum w:abstractNumId="399">
    <w:nsid w:val="63351604"/>
    <w:multiLevelType w:val="hybridMultilevel"/>
    <w:lvl w:ilvl="0">
      <w:lvlJc w:val="left"/>
      <w:lvlText w:val="(%1)"/>
      <w:numFmt w:val="lowerLetter"/>
      <w:start w:val="1"/>
    </w:lvl>
  </w:abstractNum>
  <w:abstractNum w:abstractNumId="400">
    <w:nsid w:val="E759D1A"/>
    <w:multiLevelType w:val="hybridMultilevel"/>
    <w:lvl w:ilvl="0">
      <w:lvlJc w:val="left"/>
      <w:lvlText w:val="(%1)"/>
      <w:numFmt w:val="lowerLetter"/>
      <w:start w:val="2"/>
    </w:lvl>
  </w:abstractNum>
  <w:abstractNum w:abstractNumId="401">
    <w:nsid w:val="6E3DEE90"/>
    <w:multiLevelType w:val="hybridMultilevel"/>
    <w:lvl w:ilvl="0">
      <w:lvlJc w:val="left"/>
      <w:lvlText w:val="(%1)"/>
      <w:numFmt w:val="lowerLetter"/>
      <w:start w:val="1"/>
    </w:lvl>
  </w:abstractNum>
  <w:abstractNum w:abstractNumId="402">
    <w:nsid w:val="1A8762F4"/>
    <w:multiLevelType w:val="hybridMultilevel"/>
    <w:lvl w:ilvl="0">
      <w:lvlJc w:val="left"/>
      <w:lvlText w:val="(%1)"/>
      <w:numFmt w:val="lowerLetter"/>
      <w:start w:val="1"/>
    </w:lvl>
  </w:abstractNum>
  <w:abstractNum w:abstractNumId="403">
    <w:nsid w:val="7F41D049"/>
    <w:multiLevelType w:val="hybridMultilevel"/>
    <w:lvl w:ilvl="0">
      <w:lvlJc w:val="left"/>
      <w:lvlText w:val="(%1)"/>
      <w:numFmt w:val="lowerLetter"/>
      <w:start w:val="3"/>
    </w:lvl>
  </w:abstractNum>
  <w:abstractNum w:abstractNumId="404">
    <w:nsid w:val="449F66FE"/>
    <w:multiLevelType w:val="hybridMultilevel"/>
    <w:lvl w:ilvl="0">
      <w:lvlJc w:val="left"/>
      <w:lvlText w:val="%1."/>
      <w:numFmt w:val="decimal"/>
      <w:start w:val="3"/>
    </w:lvl>
  </w:abstractNum>
  <w:abstractNum w:abstractNumId="405">
    <w:nsid w:val="557E0515"/>
    <w:multiLevelType w:val="hybridMultilevel"/>
    <w:lvl w:ilvl="0">
      <w:lvlJc w:val="left"/>
      <w:lvlText w:val="%1."/>
      <w:numFmt w:val="decimal"/>
      <w:start w:val="4"/>
    </w:lvl>
  </w:abstractNum>
  <w:abstractNum w:abstractNumId="406">
    <w:nsid w:val="3BA0794B"/>
    <w:multiLevelType w:val="hybridMultilevel"/>
    <w:lvl w:ilvl="0">
      <w:lvlJc w:val="left"/>
      <w:lvlText w:val="*"/>
      <w:numFmt w:val="bullet"/>
      <w:start w:val="1"/>
    </w:lvl>
  </w:abstractNum>
  <w:abstractNum w:abstractNumId="407">
    <w:nsid w:val="6A0DCE48"/>
    <w:multiLevelType w:val="hybridMultilevel"/>
    <w:lvl w:ilvl="0">
      <w:lvlJc w:val="left"/>
      <w:lvlText w:val="%1."/>
      <w:numFmt w:val="decimal"/>
      <w:start w:val="1"/>
    </w:lvl>
  </w:abstractNum>
  <w:abstractNum w:abstractNumId="408">
    <w:nsid w:val="7237AA96"/>
    <w:multiLevelType w:val="hybridMultilevel"/>
    <w:lvl w:ilvl="0">
      <w:lvlJc w:val="left"/>
      <w:lvlText w:val="(%1)"/>
      <w:numFmt w:val="lowerRoman"/>
      <w:start w:val="1"/>
    </w:lvl>
  </w:abstractNum>
  <w:abstractNum w:abstractNumId="409">
    <w:nsid w:val="5B1FBC2D"/>
    <w:multiLevelType w:val="hybridMultilevel"/>
    <w:lvl w:ilvl="0">
      <w:lvlJc w:val="left"/>
      <w:lvlText w:val="(%1)"/>
      <w:numFmt w:val="lowerRoman"/>
      <w:start w:val="1"/>
    </w:lvl>
  </w:abstractNum>
  <w:abstractNum w:abstractNumId="410">
    <w:nsid w:val="33DFCCE8"/>
    <w:multiLevelType w:val="hybridMultilevel"/>
    <w:lvl w:ilvl="0">
      <w:lvlJc w:val="left"/>
      <w:lvlText w:val="(%1)"/>
      <w:numFmt w:val="decimal"/>
      <w:start w:val="10"/>
    </w:lvl>
  </w:abstractNum>
  <w:abstractNum w:abstractNumId="411">
    <w:nsid w:val="18C45E15"/>
    <w:multiLevelType w:val="hybridMultilevel"/>
    <w:lvl w:ilvl="0">
      <w:lvlJc w:val="left"/>
      <w:lvlText w:val="%1."/>
      <w:numFmt w:val="decimal"/>
      <w:start w:val="3"/>
    </w:lvl>
  </w:abstractNum>
  <w:abstractNum w:abstractNumId="412">
    <w:nsid w:val="6B431F25"/>
    <w:multiLevelType w:val="hybridMultilevel"/>
    <w:lvl w:ilvl="0">
      <w:lvlJc w:val="left"/>
      <w:lvlText w:val="%1."/>
      <w:numFmt w:val="decimal"/>
      <w:start w:val="4"/>
    </w:lvl>
  </w:abstractNum>
  <w:abstractNum w:abstractNumId="413">
    <w:nsid w:val="13CD8DCB"/>
    <w:multiLevelType w:val="hybridMultilevel"/>
    <w:lvl w:ilvl="0">
      <w:lvlJc w:val="left"/>
      <w:lvlText w:val="(%1)"/>
      <w:numFmt w:val="decimal"/>
      <w:start w:val="12"/>
    </w:lvl>
  </w:abstractNum>
  <w:abstractNum w:abstractNumId="414">
    <w:nsid w:val="563A1A5C"/>
    <w:multiLevelType w:val="hybridMultilevel"/>
    <w:lvl w:ilvl="0">
      <w:lvlJc w:val="left"/>
      <w:lvlText w:val="(%1)"/>
      <w:numFmt w:val="lowerRoman"/>
      <w:start w:val="7"/>
    </w:lvl>
  </w:abstractNum>
  <w:abstractNum w:abstractNumId="415">
    <w:nsid w:val="2973F88F"/>
    <w:multiLevelType w:val="hybridMultilevel"/>
    <w:lvl w:ilvl="0">
      <w:lvlJc w:val="left"/>
      <w:lvlText w:val="(%1)"/>
      <w:numFmt w:val="lowerRoman"/>
      <w:start w:val="11"/>
    </w:lvl>
  </w:abstractNum>
  <w:abstractNum w:abstractNumId="416">
    <w:nsid w:val="2C70EDAE"/>
    <w:multiLevelType w:val="hybridMultilevel"/>
    <w:lvl w:ilvl="0">
      <w:lvlJc w:val="left"/>
      <w:lvlText w:val="(%1)"/>
      <w:numFmt w:val="upperLetter"/>
      <w:start w:val="3"/>
    </w:lvl>
    <w:lvl w:ilvl="1">
      <w:lvlJc w:val="left"/>
      <w:lvlText w:val="(%2)"/>
      <w:numFmt w:val="lowerLetter"/>
      <w:start w:val="1"/>
    </w:lvl>
  </w:abstractNum>
  <w:abstractNum w:abstractNumId="417">
    <w:nsid w:val="44296C6D"/>
    <w:multiLevelType w:val="hybridMultilevel"/>
    <w:lvl w:ilvl="0">
      <w:lvlJc w:val="left"/>
      <w:lvlText w:val="(%1)"/>
      <w:numFmt w:val="lowerLetter"/>
      <w:start w:val="9"/>
    </w:lvl>
  </w:abstractNum>
  <w:abstractNum w:abstractNumId="418">
    <w:nsid w:val="3A86D445"/>
    <w:multiLevelType w:val="hybridMultilevel"/>
    <w:lvl w:ilvl="0">
      <w:lvlJc w:val="left"/>
      <w:lvlText w:val="(%1)"/>
      <w:numFmt w:val="lowerRoman"/>
      <w:start w:val="1"/>
    </w:lvl>
  </w:abstractNum>
  <w:abstractNum w:abstractNumId="419">
    <w:nsid w:val="51F79246"/>
    <w:multiLevelType w:val="hybridMultilevel"/>
    <w:lvl w:ilvl="0">
      <w:lvlJc w:val="left"/>
      <w:lvlText w:val="(%1)"/>
      <w:numFmt w:val="lowerRoman"/>
      <w:start w:val="4"/>
    </w:lvl>
  </w:abstractNum>
  <w:abstractNum w:abstractNumId="420">
    <w:nsid w:val="5BC9A827"/>
    <w:multiLevelType w:val="hybridMultilevel"/>
    <w:lvl w:ilvl="0">
      <w:lvlJc w:val="left"/>
      <w:lvlText w:val="(%1)"/>
      <w:numFmt w:val="decimal"/>
      <w:start w:val="30"/>
    </w:lvl>
  </w:abstractNum>
  <w:abstractNum w:abstractNumId="421">
    <w:nsid w:val="3AE37D86"/>
    <w:multiLevelType w:val="hybridMultilevel"/>
    <w:lvl w:ilvl="0">
      <w:lvlJc w:val="left"/>
      <w:lvlText w:val="(%1)"/>
      <w:numFmt w:val="decimal"/>
      <w:start w:val="5"/>
    </w:lvl>
  </w:abstractNum>
  <w:abstractNum w:abstractNumId="422">
    <w:nsid w:val="45440FE5"/>
    <w:multiLevelType w:val="hybridMultilevel"/>
    <w:lvl w:ilvl="0">
      <w:lvlJc w:val="left"/>
      <w:lvlText w:val="%1."/>
      <w:numFmt w:val="decimal"/>
      <w:start w:val="9"/>
    </w:lvl>
  </w:abstractNum>
  <w:abstractNum w:abstractNumId="423">
    <w:nsid w:val="BF783F"/>
    <w:multiLevelType w:val="hybridMultilevel"/>
    <w:lvl w:ilvl="0">
      <w:lvlJc w:val="left"/>
      <w:lvlText w:val="(%1)"/>
      <w:numFmt w:val="decimal"/>
      <w:start w:val="30"/>
    </w:lvl>
  </w:abstractNum>
  <w:abstractNum w:abstractNumId="424">
    <w:nsid w:val="22643EA9"/>
    <w:multiLevelType w:val="hybridMultilevel"/>
    <w:lvl w:ilvl="0">
      <w:lvlJc w:val="left"/>
      <w:lvlText w:val="%1."/>
      <w:numFmt w:val="decimal"/>
      <w:start w:val="12"/>
    </w:lvl>
  </w:abstractNum>
  <w:abstractNum w:abstractNumId="425">
    <w:nsid w:val="1887578D"/>
    <w:multiLevelType w:val="hybridMultilevel"/>
    <w:lvl w:ilvl="0">
      <w:lvlJc w:val="left"/>
      <w:lvlText w:val="(%1)"/>
      <w:numFmt w:val="lowerRoman"/>
      <w:start w:val="5"/>
    </w:lvl>
  </w:abstractNum>
  <w:abstractNum w:abstractNumId="426">
    <w:nsid w:val="58C05B8A"/>
    <w:multiLevelType w:val="hybridMultilevel"/>
    <w:lvl w:ilvl="0">
      <w:lvlJc w:val="left"/>
      <w:lvlText w:val="%1."/>
      <w:numFmt w:val="decimal"/>
      <w:start w:val="16"/>
    </w:lvl>
  </w:abstractNum>
  <w:abstractNum w:abstractNumId="427">
    <w:nsid w:val="38D82E71"/>
    <w:multiLevelType w:val="hybridMultilevel"/>
    <w:lvl w:ilvl="0">
      <w:lvlJc w:val="left"/>
      <w:lvlText w:val="(%1)"/>
      <w:numFmt w:val="decimal"/>
      <w:start w:val="30"/>
    </w:lvl>
  </w:abstractNum>
  <w:abstractNum w:abstractNumId="428">
    <w:nsid w:val="1E41098A"/>
    <w:multiLevelType w:val="hybridMultilevel"/>
    <w:lvl w:ilvl="0">
      <w:lvlJc w:val="left"/>
      <w:lvlText w:val="(%1)"/>
      <w:numFmt w:val="lowerRoman"/>
      <w:start w:val="1"/>
    </w:lvl>
  </w:abstractNum>
  <w:abstractNum w:abstractNumId="429">
    <w:nsid w:val="5398582C"/>
    <w:multiLevelType w:val="hybridMultilevel"/>
    <w:lvl w:ilvl="0">
      <w:lvlJc w:val="left"/>
      <w:lvlText w:val="(%1)"/>
      <w:numFmt w:val="lowerRoman"/>
      <w:start w:val="3"/>
    </w:lvl>
  </w:abstractNum>
  <w:abstractNum w:abstractNumId="430">
    <w:nsid w:val="1C0D4475"/>
    <w:multiLevelType w:val="hybridMultilevel"/>
    <w:lvl w:ilvl="0">
      <w:lvlJc w:val="left"/>
      <w:lvlText w:val="%1."/>
      <w:numFmt w:val="decimal"/>
      <w:start w:val="20"/>
    </w:lvl>
  </w:abstractNum>
  <w:abstractNum w:abstractNumId="431">
    <w:nsid w:val="2CB6A6A4"/>
    <w:multiLevelType w:val="hybridMultilevel"/>
    <w:lvl w:ilvl="0">
      <w:lvlJc w:val="left"/>
      <w:lvlText w:val="(%1)"/>
      <w:numFmt w:val="upperLetter"/>
      <w:start w:val="35"/>
    </w:lvl>
  </w:abstractNum>
  <w:abstractNum w:abstractNumId="432">
    <w:nsid w:val="41D646BC"/>
    <w:multiLevelType w:val="hybridMultilevel"/>
    <w:lvl w:ilvl="0">
      <w:lvlJc w:val="left"/>
      <w:lvlText w:val="(%1)"/>
      <w:numFmt w:val="decimal"/>
      <w:start w:val="3"/>
    </w:lvl>
  </w:abstractNum>
  <w:abstractNum w:abstractNumId="433">
    <w:nsid w:val="3694A76A"/>
    <w:multiLevelType w:val="hybridMultilevel"/>
    <w:lvl w:ilvl="0">
      <w:lvlJc w:val="left"/>
      <w:lvlText w:val="%1."/>
      <w:numFmt w:val="decimal"/>
      <w:start w:val="22"/>
    </w:lvl>
  </w:abstractNum>
  <w:abstractNum w:abstractNumId="434">
    <w:nsid w:val="2BF876EE"/>
    <w:multiLevelType w:val="hybridMultilevel"/>
    <w:lvl w:ilvl="0">
      <w:lvlJc w:val="left"/>
      <w:lvlText w:val="(%1)"/>
      <w:numFmt w:val="lowerRoman"/>
      <w:start w:val="1"/>
    </w:lvl>
  </w:abstractNum>
  <w:abstractNum w:abstractNumId="435">
    <w:nsid w:val="675ADBA"/>
    <w:multiLevelType w:val="hybridMultilevel"/>
    <w:lvl w:ilvl="0">
      <w:lvlJc w:val="left"/>
      <w:lvlText w:val="%1."/>
      <w:numFmt w:val="decimal"/>
      <w:start w:val="24"/>
    </w:lvl>
  </w:abstractNum>
  <w:abstractNum w:abstractNumId="436">
    <w:nsid w:val="C12AC7F"/>
    <w:multiLevelType w:val="hybridMultilevel"/>
    <w:lvl w:ilvl="0">
      <w:lvlJc w:val="left"/>
      <w:lvlText w:val="%1."/>
      <w:numFmt w:val="decimal"/>
      <w:start w:val="25"/>
    </w:lvl>
  </w:abstractNum>
  <w:abstractNum w:abstractNumId="437">
    <w:nsid w:val="6798F039"/>
    <w:multiLevelType w:val="hybridMultilevel"/>
    <w:lvl w:ilvl="0">
      <w:lvlJc w:val="left"/>
      <w:lvlText w:val="%1."/>
      <w:numFmt w:val="decimal"/>
      <w:start w:val="27"/>
    </w:lvl>
  </w:abstractNum>
  <w:abstractNum w:abstractNumId="438">
    <w:nsid w:val="70837C02"/>
    <w:multiLevelType w:val="hybridMultilevel"/>
    <w:lvl w:ilvl="0">
      <w:lvlJc w:val="left"/>
      <w:lvlText w:val="(%1)"/>
      <w:numFmt w:val="lowerRoman"/>
      <w:start w:val="2"/>
    </w:lvl>
  </w:abstractNum>
  <w:abstractNum w:abstractNumId="439">
    <w:nsid w:val="7E4A57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3"/>
    </w:lvl>
    <w:lvl w:ilvl="4">
      <w:lvlJc w:val="left"/>
      <w:lvlText w:val="(%5)"/>
      <w:numFmt w:val="lowerRoman"/>
      <w:start w:val="2"/>
    </w:lvl>
  </w:abstractNum>
  <w:abstractNum w:abstractNumId="440">
    <w:nsid w:val="42B8AC67"/>
    <w:multiLevelType w:val="hybridMultilevel"/>
    <w:lvl w:ilvl="0">
      <w:lvlJc w:val="left"/>
      <w:lvlText w:val="%1"/>
      <w:numFmt w:val="decimal"/>
      <w:start w:val="1"/>
    </w:lvl>
    <w:lvl w:ilvl="1">
      <w:lvlJc w:val="left"/>
      <w:lvlText w:val="(%2)"/>
      <w:numFmt w:val="lowerLetter"/>
      <w:start w:val="11"/>
    </w:lvl>
  </w:abstractNum>
  <w:abstractNum w:abstractNumId="441">
    <w:nsid w:val="246348EA"/>
    <w:multiLevelType w:val="hybridMultilevel"/>
    <w:lvl w:ilvl="0">
      <w:lvlJc w:val="left"/>
      <w:lvlText w:val="%1."/>
      <w:numFmt w:val="decimal"/>
      <w:start w:val="2"/>
    </w:lvl>
    <w:lvl w:ilvl="1">
      <w:lvlJc w:val="left"/>
      <w:lvlText w:val="(%2)"/>
      <w:numFmt w:val="lowerLetter"/>
      <w:start w:val="1"/>
    </w:lvl>
  </w:abstractNum>
  <w:abstractNum w:abstractNumId="442">
    <w:nsid w:val="170EB52B"/>
    <w:multiLevelType w:val="hybridMultilevel"/>
    <w:lvl w:ilvl="0">
      <w:lvlJc w:val="left"/>
      <w:lvlText w:val="(%1)"/>
      <w:numFmt w:val="lowerRoman"/>
      <w:start w:val="8"/>
    </w:lvl>
    <w:lvl w:ilvl="1">
      <w:lvlJc w:val="left"/>
      <w:lvlText w:val="(%2)"/>
      <w:numFmt w:val="lowerLetter"/>
      <w:start w:val="3"/>
    </w:lvl>
    <w:lvl w:ilvl="2">
      <w:lvlJc w:val="left"/>
      <w:lvlText w:val="(%3)"/>
      <w:numFmt w:val="lowerRoman"/>
      <w:start w:val="1"/>
    </w:lvl>
  </w:abstractNum>
  <w:abstractNum w:abstractNumId="443">
    <w:nsid w:val="2DFBCB8C"/>
    <w:multiLevelType w:val="hybridMultilevel"/>
    <w:lvl w:ilvl="0">
      <w:lvlJc w:val="left"/>
      <w:lvlText w:val="%1"/>
      <w:numFmt w:val="decimal"/>
      <w:start w:val="1"/>
    </w:lvl>
    <w:lvl w:ilvl="1">
      <w:lvlJc w:val="left"/>
      <w:lvlText w:val="(%2)"/>
      <w:numFmt w:val="lowerLetter"/>
      <w:start w:val="5"/>
    </w:lvl>
  </w:abstractNum>
  <w:abstractNum w:abstractNumId="444">
    <w:nsid w:val="3830D6B6"/>
    <w:multiLevelType w:val="hybridMultilevel"/>
    <w:lvl w:ilvl="0">
      <w:lvlJc w:val="left"/>
      <w:lvlText w:val="%1."/>
      <w:numFmt w:val="decimal"/>
      <w:start w:val="3"/>
    </w:lvl>
    <w:lvl w:ilvl="1">
      <w:lvlJc w:val="left"/>
      <w:lvlText w:val="(%2)"/>
      <w:numFmt w:val="lowerLetter"/>
      <w:start w:val="1"/>
    </w:lvl>
  </w:abstractNum>
  <w:abstractNum w:abstractNumId="445">
    <w:nsid w:val="6D48CF87"/>
    <w:multiLevelType w:val="hybridMultilevel"/>
    <w:lvl w:ilvl="0">
      <w:lvlJc w:val="left"/>
      <w:lvlText w:val="%1"/>
      <w:numFmt w:val="decimal"/>
      <w:start w:val="1"/>
    </w:lvl>
    <w:lvl w:ilvl="1">
      <w:lvlJc w:val="left"/>
      <w:lvlText w:val="(%2)"/>
      <w:numFmt w:val="lowerLetter"/>
      <w:start w:val="3"/>
    </w:lvl>
  </w:abstractNum>
  <w:abstractNum w:abstractNumId="446">
    <w:nsid w:val="576FC41B"/>
    <w:multiLevelType w:val="hybridMultilevel"/>
    <w:lvl w:ilvl="0">
      <w:lvlJc w:val="left"/>
      <w:lvlText w:val="%1."/>
      <w:numFmt w:val="decimal"/>
      <w:start w:val="4"/>
    </w:lvl>
    <w:lvl w:ilvl="1">
      <w:lvlJc w:val="left"/>
      <w:lvlText w:val="(%2)"/>
      <w:numFmt w:val="lowerLetter"/>
      <w:start w:val="1"/>
    </w:lvl>
  </w:abstractNum>
  <w:abstractNum w:abstractNumId="447">
    <w:nsid w:val="64A1C464"/>
    <w:multiLevelType w:val="hybridMultilevel"/>
    <w:lvl w:ilvl="0">
      <w:lvlJc w:val="left"/>
      <w:lvlText w:val="(%1)"/>
      <w:numFmt w:val="lowerLetter"/>
      <w:start w:val="3"/>
    </w:lvl>
    <w:lvl w:ilvl="1">
      <w:lvlJc w:val="left"/>
      <w:lvlText w:val="(%2)"/>
      <w:numFmt w:val="lowerLetter"/>
      <w:start w:val="2"/>
    </w:lvl>
  </w:abstractNum>
  <w:abstractNum w:abstractNumId="448">
    <w:nsid w:val="31723BF5"/>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449">
    <w:nsid w:val="11F6986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450">
    <w:nsid w:val="369956AB"/>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451">
    <w:nsid w:val="D3BE41C"/>
    <w:multiLevelType w:val="hybridMultilevel"/>
    <w:lvl w:ilvl="0">
      <w:lvlJc w:val="left"/>
      <w:lvlText w:val="%1."/>
      <w:numFmt w:val="decimal"/>
      <w:start w:val="1"/>
    </w:lvl>
  </w:abstractNum>
  <w:abstractNum w:abstractNumId="452">
    <w:nsid w:val="4CDA15E7"/>
    <w:multiLevelType w:val="hybridMultilevel"/>
    <w:lvl w:ilvl="0">
      <w:lvlJc w:val="left"/>
      <w:lvlText w:val="%1."/>
      <w:numFmt w:val="decimal"/>
      <w:start w:val="1"/>
    </w:lvl>
  </w:abstractNum>
  <w:abstractNum w:abstractNumId="453">
    <w:nsid w:val="7BDD6690"/>
    <w:multiLevelType w:val="hybridMultilevel"/>
    <w:lvl w:ilvl="0">
      <w:lvlJc w:val="left"/>
      <w:lvlText w:val="%1."/>
      <w:numFmt w:val="decimal"/>
      <w:start w:val="9"/>
    </w:lvl>
  </w:abstractNum>
  <w:abstractNum w:abstractNumId="454">
    <w:nsid w:val="DFB5C5B"/>
    <w:multiLevelType w:val="hybridMultilevel"/>
    <w:lvl w:ilvl="0">
      <w:lvlJc w:val="left"/>
      <w:lvlText w:val="%1."/>
      <w:numFmt w:val="decimal"/>
      <w:start w:val="1"/>
    </w:lvl>
  </w:abstractNum>
  <w:abstractNum w:abstractNumId="455">
    <w:nsid w:val="6F3E5490"/>
    <w:multiLevelType w:val="hybridMultilevel"/>
    <w:lvl w:ilvl="0">
      <w:lvlJc w:val="left"/>
      <w:lvlText w:val="%1."/>
      <w:numFmt w:val="decimal"/>
      <w:start w:val="1"/>
    </w:lvl>
  </w:abstractNum>
  <w:abstractNum w:abstractNumId="456">
    <w:nsid w:val="1464BE1E"/>
    <w:multiLevelType w:val="hybridMultilevel"/>
    <w:lvl w:ilvl="0">
      <w:lvlJc w:val="left"/>
      <w:lvlText w:val="%1."/>
      <w:numFmt w:val="decimal"/>
      <w:start w:val="1"/>
    </w:lvl>
  </w:abstractNum>
  <w:abstractNum w:abstractNumId="457">
    <w:nsid w:val="66BBB7E5"/>
    <w:multiLevelType w:val="hybridMultilevel"/>
    <w:lvl w:ilvl="0">
      <w:lvlJc w:val="left"/>
      <w:lvlText w:val="%1."/>
      <w:numFmt w:val="decimal"/>
      <w:start w:val="11"/>
    </w:lvl>
  </w:abstractNum>
  <w:abstractNum w:abstractNumId="458">
    <w:nsid w:val="28168302"/>
    <w:multiLevelType w:val="hybridMultilevel"/>
    <w:lvl w:ilvl="0">
      <w:lvlJc w:val="left"/>
      <w:lvlText w:val="%1."/>
      <w:numFmt w:val="decimal"/>
      <w:start w:val="1"/>
    </w:lvl>
  </w:abstractNum>
  <w:abstractNum w:abstractNumId="459">
    <w:nsid w:val="32A5C7A8"/>
    <w:multiLevelType w:val="hybridMultilevel"/>
    <w:lvl w:ilvl="0">
      <w:lvlJc w:val="left"/>
      <w:lvlText w:val="%1."/>
      <w:numFmt w:val="decimal"/>
      <w:start w:val="1"/>
    </w:lvl>
  </w:abstractNum>
  <w:abstractNum w:abstractNumId="460">
    <w:nsid w:val="3A541011"/>
    <w:multiLevelType w:val="hybridMultilevel"/>
    <w:lvl w:ilvl="0">
      <w:lvlJc w:val="left"/>
      <w:lvlText w:val="%1."/>
      <w:numFmt w:val="decimal"/>
      <w:start w:val="1"/>
    </w:lvl>
  </w:abstractNum>
  <w:abstractNum w:abstractNumId="461">
    <w:nsid w:val="4423C777"/>
    <w:multiLevelType w:val="hybridMultilevel"/>
    <w:lvl w:ilvl="0">
      <w:lvlJc w:val="left"/>
      <w:lvlText w:val="%1."/>
      <w:numFmt w:val="decimal"/>
      <w:start w:val="4"/>
    </w:lvl>
  </w:abstractNum>
  <w:abstractNum w:abstractNumId="462">
    <w:nsid w:val="5F5C6E4D"/>
    <w:multiLevelType w:val="hybridMultilevel"/>
    <w:lvl w:ilvl="0">
      <w:lvlJc w:val="left"/>
      <w:lvlText w:val="%1."/>
      <w:numFmt w:val="decimal"/>
      <w:start w:val="1"/>
    </w:lvl>
  </w:abstractNum>
  <w:abstractNum w:abstractNumId="463">
    <w:nsid w:val="7C2A56CD"/>
    <w:multiLevelType w:val="hybridMultilevel"/>
    <w:lvl w:ilvl="0">
      <w:lvlJc w:val="left"/>
      <w:lvlText w:val="%1."/>
      <w:numFmt w:val="decimal"/>
      <w:start w:val="1"/>
    </w:lvl>
  </w:abstractNum>
  <w:abstractNum w:abstractNumId="464">
    <w:nsid w:val="7AB86EE1"/>
    <w:multiLevelType w:val="hybridMultilevel"/>
    <w:lvl w:ilvl="0">
      <w:lvlJc w:val="left"/>
      <w:lvlText w:val="%1."/>
      <w:numFmt w:val="decimal"/>
      <w:start w:val="1"/>
    </w:lvl>
  </w:abstractNum>
  <w:abstractNum w:abstractNumId="465">
    <w:nsid w:val="B54E53B"/>
    <w:multiLevelType w:val="hybridMultilevel"/>
    <w:lvl w:ilvl="0">
      <w:lvlJc w:val="left"/>
      <w:lvlText w:val="%1."/>
      <w:numFmt w:val="decimal"/>
      <w:start w:val="4"/>
    </w:lvl>
  </w:abstractNum>
  <w:abstractNum w:abstractNumId="466">
    <w:nsid w:val="2A00487"/>
    <w:multiLevelType w:val="hybridMultilevel"/>
    <w:lvl w:ilvl="0">
      <w:lvlJc w:val="left"/>
      <w:lvlText w:val="%1."/>
      <w:numFmt w:val="decimal"/>
      <w:start w:val="1"/>
    </w:lvl>
  </w:abstractNum>
  <w:abstractNum w:abstractNumId="467">
    <w:nsid w:val="6CB1B60"/>
    <w:multiLevelType w:val="hybridMultilevel"/>
    <w:lvl w:ilvl="0">
      <w:lvlJc w:val="left"/>
      <w:lvlText w:val="%1."/>
      <w:numFmt w:val="decimal"/>
      <w:start w:val="1"/>
    </w:lvl>
  </w:abstractNum>
  <w:abstractNum w:abstractNumId="468">
    <w:nsid w:val="72EDD574"/>
    <w:multiLevelType w:val="hybridMultilevel"/>
    <w:lvl w:ilvl="0">
      <w:lvlJc w:val="left"/>
      <w:lvlText w:val="%1."/>
      <w:numFmt w:val="decimal"/>
      <w:start w:val="1"/>
    </w:lvl>
  </w:abstractNum>
  <w:abstractNum w:abstractNumId="469">
    <w:nsid w:val="7323808A"/>
    <w:multiLevelType w:val="hybridMultilevel"/>
    <w:lvl w:ilvl="0">
      <w:lvlJc w:val="left"/>
      <w:lvlText w:val="%1."/>
      <w:numFmt w:val="decimal"/>
      <w:start w:val="1"/>
    </w:lvl>
  </w:abstractNum>
  <w:abstractNum w:abstractNumId="470">
    <w:nsid w:val="515727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71">
    <w:nsid w:val="35A681DB"/>
    <w:multiLevelType w:val="hybridMultilevel"/>
    <w:lvl w:ilvl="0">
      <w:lvlJc w:val="left"/>
      <w:lvlText w:val="•"/>
      <w:numFmt w:val="bullet"/>
      <w:start w:val="1"/>
    </w:lvl>
  </w:abstractNum>
  <w:abstractNum w:abstractNumId="472">
    <w:nsid w:val="1786C974"/>
    <w:multiLevelType w:val="hybridMultilevel"/>
    <w:lvl w:ilvl="0">
      <w:lvlJc w:val="left"/>
      <w:lvlText w:val="•"/>
      <w:numFmt w:val="bullet"/>
      <w:start w:val="1"/>
    </w:lvl>
  </w:abstractNum>
  <w:abstractNum w:abstractNumId="473">
    <w:nsid w:val="1C2427A1"/>
    <w:multiLevelType w:val="hybridMultilevel"/>
    <w:lvl w:ilvl="0">
      <w:lvlJc w:val="left"/>
      <w:lvlText w:val="•"/>
      <w:numFmt w:val="bullet"/>
      <w:start w:val="1"/>
    </w:lvl>
  </w:abstractNum>
  <w:abstractNum w:abstractNumId="474">
    <w:nsid w:val="63A24D68"/>
    <w:multiLevelType w:val="hybridMultilevel"/>
    <w:lvl w:ilvl="0">
      <w:lvlJc w:val="left"/>
      <w:lvlText w:val="•"/>
      <w:numFmt w:val="bullet"/>
      <w:start w:val="1"/>
    </w:lvl>
  </w:abstractNum>
  <w:abstractNum w:abstractNumId="475">
    <w:nsid w:val="4FB7A02A"/>
    <w:multiLevelType w:val="hybridMultilevel"/>
    <w:lvl w:ilvl="0">
      <w:lvlJc w:val="left"/>
      <w:lvlText w:val="•"/>
      <w:numFmt w:val="bullet"/>
      <w:start w:val="1"/>
    </w:lvl>
  </w:abstractNum>
  <w:abstractNum w:abstractNumId="476">
    <w:nsid w:val="96CF728"/>
    <w:multiLevelType w:val="hybridMultilevel"/>
    <w:lvl w:ilvl="0">
      <w:lvlJc w:val="left"/>
      <w:lvlText w:val="•"/>
      <w:numFmt w:val="bullet"/>
      <w:start w:val="1"/>
    </w:lvl>
  </w:abstractNum>
  <w:abstractNum w:abstractNumId="477">
    <w:nsid w:val="3B121183"/>
    <w:multiLevelType w:val="hybridMultilevel"/>
    <w:lvl w:ilvl="0">
      <w:lvlJc w:val="left"/>
      <w:lvlText w:val="•"/>
      <w:numFmt w:val="bullet"/>
      <w:start w:val="1"/>
    </w:lvl>
    <w:lvl w:ilvl="1">
      <w:lvlJc w:val="left"/>
      <w:lvlText w:val="•"/>
      <w:numFmt w:val="bullet"/>
      <w:start w:val="1"/>
    </w:lvl>
  </w:abstractNum>
  <w:abstractNum w:abstractNumId="478">
    <w:nsid w:val="3459648F"/>
    <w:multiLevelType w:val="hybridMultilevel"/>
    <w:lvl w:ilvl="0">
      <w:lvlJc w:val="left"/>
      <w:lvlText w:val="•"/>
      <w:numFmt w:val="bullet"/>
      <w:start w:val="1"/>
    </w:lvl>
  </w:abstractNum>
  <w:abstractNum w:abstractNumId="479">
    <w:nsid w:val="3ADF331D"/>
    <w:multiLevelType w:val="hybridMultilevel"/>
    <w:lvl w:ilvl="0">
      <w:lvlJc w:val="left"/>
      <w:lvlText w:val="%1."/>
      <w:numFmt w:val="decimal"/>
      <w:start w:val="1"/>
    </w:lvl>
  </w:abstractNum>
  <w:abstractNum w:abstractNumId="480">
    <w:nsid w:val="4D08A9E4"/>
    <w:multiLevelType w:val="hybridMultilevel"/>
    <w:lvl w:ilvl="0">
      <w:lvlJc w:val="left"/>
      <w:lvlText w:val="•"/>
      <w:numFmt w:val="bullet"/>
      <w:start w:val="1"/>
    </w:lvl>
  </w:abstractNum>
  <w:abstractNum w:abstractNumId="481">
    <w:nsid w:val="6AF2BB3A"/>
    <w:multiLevelType w:val="hybridMultilevel"/>
    <w:lvl w:ilvl="0">
      <w:lvlJc w:val="left"/>
      <w:lvlText w:val="%1."/>
      <w:numFmt w:val="decimal"/>
      <w:start w:val="1"/>
    </w:lvl>
  </w:abstractNum>
  <w:abstractNum w:abstractNumId="482">
    <w:nsid w:val="481B1739"/>
    <w:multiLevelType w:val="hybridMultilevel"/>
    <w:lvl w:ilvl="0">
      <w:lvlJc w:val="left"/>
      <w:lvlText w:val="•"/>
      <w:numFmt w:val="bullet"/>
      <w:start w:val="1"/>
    </w:lvl>
  </w:abstractNum>
  <w:abstractNum w:abstractNumId="483">
    <w:nsid w:val="19E2BFCC"/>
    <w:multiLevelType w:val="hybridMultilevel"/>
    <w:lvl w:ilvl="0">
      <w:lvlJc w:val="left"/>
      <w:lvlText w:val="•"/>
      <w:numFmt w:val="bullet"/>
      <w:start w:val="1"/>
    </w:lvl>
  </w:abstractNum>
  <w:abstractNum w:abstractNumId="484">
    <w:nsid w:val="66D021CA"/>
    <w:multiLevelType w:val="hybridMultilevel"/>
    <w:lvl w:ilvl="0">
      <w:lvlJc w:val="left"/>
      <w:lvlText w:val="%1."/>
      <w:numFmt w:val="decimal"/>
      <w:start w:val="1"/>
    </w:lvl>
    <w:lvl w:ilvl="1">
      <w:lvlJc w:val="left"/>
      <w:lvlText w:val="•"/>
      <w:numFmt w:val="bullet"/>
      <w:start w:val="1"/>
    </w:lvl>
  </w:abstractNum>
  <w:abstractNum w:abstractNumId="485">
    <w:nsid w:val="56167394"/>
    <w:multiLevelType w:val="hybridMultilevel"/>
    <w:lvl w:ilvl="0">
      <w:lvlJc w:val="left"/>
      <w:lvlText w:val="%1."/>
      <w:numFmt w:val="decimal"/>
      <w:start w:val="1"/>
    </w:lvl>
  </w:abstractNum>
  <w:abstractNum w:abstractNumId="486">
    <w:nsid w:val="921145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87">
    <w:nsid w:val="7B34DFE8"/>
    <w:multiLevelType w:val="hybridMultilevel"/>
    <w:lvl w:ilvl="0">
      <w:lvlJc w:val="left"/>
      <w:lvlText w:val="%1."/>
      <w:numFmt w:val="lowerLetter"/>
      <w:start w:val="1"/>
    </w:lvl>
  </w:abstractNum>
  <w:abstractNum w:abstractNumId="488">
    <w:nsid w:val="3CD22B79"/>
    <w:multiLevelType w:val="hybridMultilevel"/>
    <w:lvl w:ilvl="0">
      <w:lvlJc w:val="left"/>
      <w:lvlText w:val="•"/>
      <w:numFmt w:val="bullet"/>
      <w:start w:val="1"/>
    </w:lvl>
  </w:abstractNum>
  <w:abstractNum w:abstractNumId="489">
    <w:nsid w:val="3137975E"/>
    <w:multiLevelType w:val="hybridMultilevel"/>
    <w:lvl w:ilvl="0">
      <w:lvlJc w:val="left"/>
      <w:lvlText w:val="•"/>
      <w:numFmt w:val="bullet"/>
      <w:start w:val="1"/>
    </w:lvl>
  </w:abstractNum>
  <w:abstractNum w:abstractNumId="490">
    <w:nsid w:val="2DDAA791"/>
    <w:multiLevelType w:val="hybridMultilevel"/>
    <w:lvl w:ilvl="0">
      <w:lvlJc w:val="left"/>
      <w:lvlText w:val="•"/>
      <w:numFmt w:val="bullet"/>
      <w:start w:val="1"/>
    </w:lvl>
  </w:abstractNum>
  <w:abstractNum w:abstractNumId="491">
    <w:nsid w:val="77263B8A"/>
    <w:multiLevelType w:val="hybridMultilevel"/>
    <w:lvl w:ilvl="0">
      <w:lvlJc w:val="left"/>
      <w:lvlText w:val="•"/>
      <w:numFmt w:val="bullet"/>
      <w:start w:val="1"/>
    </w:lvl>
  </w:abstractNum>
  <w:abstractNum w:abstractNumId="492">
    <w:nsid w:val="755B5ED6"/>
    <w:multiLevelType w:val="hybridMultilevel"/>
    <w:lvl w:ilvl="0">
      <w:lvlJc w:val="left"/>
      <w:lvlText w:val="(%1)"/>
      <w:numFmt w:val="decimal"/>
      <w:start w:val="2"/>
    </w:lvl>
  </w:abstractNum>
  <w:abstractNum w:abstractNumId="493">
    <w:nsid w:val="D3715DE"/>
    <w:multiLevelType w:val="hybridMultilevel"/>
    <w:lvl w:ilvl="0">
      <w:lvlJc w:val="left"/>
      <w:lvlText w:val="%1."/>
      <w:numFmt w:val="decimal"/>
      <w:start w:val="1"/>
    </w:lvl>
    <w:lvl w:ilvl="1">
      <w:lvlJc w:val="left"/>
      <w:lvlText w:val="%2."/>
      <w:numFmt w:val="lowerLetter"/>
      <w:start w:val="1"/>
    </w:lvl>
  </w:abstractNum>
  <w:abstractNum w:abstractNumId="494">
    <w:nsid w:val="73509257"/>
    <w:multiLevelType w:val="hybridMultilevel"/>
    <w:lvl w:ilvl="0">
      <w:lvlJc w:val="left"/>
      <w:lvlText w:val="%1"/>
      <w:numFmt w:val="decimal"/>
      <w:start w:val="1"/>
    </w:lvl>
    <w:lvl w:ilvl="1">
      <w:lvlJc w:val="left"/>
      <w:lvlText w:val="%2."/>
      <w:numFmt w:val="decimal"/>
      <w:start w:val="1"/>
    </w:lvl>
  </w:abstractNum>
  <w:abstractNum w:abstractNumId="495">
    <w:nsid w:val="7013CDB7"/>
    <w:multiLevelType w:val="hybridMultilevel"/>
    <w:lvl w:ilvl="0">
      <w:lvlJc w:val="left"/>
      <w:lvlText w:val="%1."/>
      <w:numFmt w:val="decimal"/>
      <w:start w:val="5"/>
    </w:lvl>
    <w:lvl w:ilvl="1">
      <w:lvlJc w:val="left"/>
      <w:lvlText w:val="%2"/>
      <w:numFmt w:val="decimal"/>
      <w:start w:val="1"/>
    </w:lvl>
  </w:abstractNum>
  <w:abstractNum w:abstractNumId="496">
    <w:nsid w:val="188BFB19"/>
    <w:multiLevelType w:val="hybridMultilevel"/>
    <w:lvl w:ilvl="0">
      <w:lvlJc w:val="left"/>
      <w:lvlText w:val="%1."/>
      <w:numFmt w:val="decimal"/>
      <w:start w:val="1"/>
    </w:lvl>
  </w:abstractNum>
  <w:abstractNum w:abstractNumId="497">
    <w:nsid w:val="75F096DF"/>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98">
    <w:nsid w:val="76DEE918"/>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99">
    <w:nsid w:val="B79D08D"/>
    <w:multiLevelType w:val="hybridMultilevel"/>
    <w:lvl w:ilvl="0">
      <w:lvlJc w:val="left"/>
      <w:lvlText w:val="•"/>
      <w:numFmt w:val="bullet"/>
      <w:start w:val="1"/>
    </w:lvl>
    <w:lvl w:ilvl="1">
      <w:lvlJc w:val="left"/>
      <w:lvlText w:val="•"/>
      <w:numFmt w:val="bullet"/>
      <w:start w:val="1"/>
    </w:lvl>
  </w:abstractNum>
  <w:abstractNum w:abstractNumId="500">
    <w:nsid w:val="69141769"/>
    <w:multiLevelType w:val="hybridMultilevel"/>
    <w:lvl w:ilvl="0">
      <w:lvlJc w:val="left"/>
      <w:lvlText w:val="%1."/>
      <w:numFmt w:val="decimal"/>
      <w:start w:val="7"/>
    </w:lvl>
    <w:lvl w:ilvl="1">
      <w:lvlJc w:val="left"/>
      <w:lvlText w:val="•"/>
      <w:numFmt w:val="bullet"/>
      <w:start w:val="1"/>
    </w:lvl>
  </w:abstractNum>
  <w:abstractNum w:abstractNumId="501">
    <w:nsid w:val="7BF45B8E"/>
    <w:multiLevelType w:val="hybridMultilevel"/>
    <w:lvl w:ilvl="0">
      <w:lvlJc w:val="left"/>
      <w:lvlText w:val="%1."/>
      <w:numFmt w:val="decimal"/>
      <w:start w:val="1"/>
    </w:lvl>
  </w:abstractNum>
  <w:abstractNum w:abstractNumId="502">
    <w:nsid w:val="412052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3">
    <w:nsid w:val="9AE0DD"/>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504">
    <w:nsid w:val="1818832F"/>
    <w:multiLevelType w:val="hybridMultilevel"/>
    <w:lvl w:ilvl="0">
      <w:lvlJc w:val="left"/>
      <w:lvlText w:val="•"/>
      <w:numFmt w:val="bullet"/>
      <w:start w:val="1"/>
    </w:lvl>
  </w:abstractNum>
  <w:abstractNum w:abstractNumId="505">
    <w:nsid w:val="24C29FD1"/>
    <w:multiLevelType w:val="hybridMultilevel"/>
    <w:lvl w:ilvl="0">
      <w:lvlJc w:val="left"/>
      <w:lvlText w:val="•"/>
      <w:numFmt w:val="bullet"/>
      <w:start w:val="1"/>
    </w:lvl>
  </w:abstractNum>
  <w:abstractNum w:abstractNumId="506">
    <w:nsid w:val="50528108"/>
    <w:multiLevelType w:val="hybridMultilevel"/>
    <w:lvl w:ilvl="0">
      <w:lvlJc w:val="left"/>
      <w:lvlText w:val="%1."/>
      <w:numFmt w:val="decimal"/>
      <w:start w:val="1"/>
    </w:lvl>
  </w:abstractNum>
  <w:abstractNum w:abstractNumId="507">
    <w:nsid w:val="21857A57"/>
    <w:multiLevelType w:val="hybridMultilevel"/>
    <w:lvl w:ilvl="0">
      <w:lvlJc w:val="left"/>
      <w:lvlText w:val="%1."/>
      <w:numFmt w:val="decimal"/>
      <w:start w:val="4"/>
    </w:lvl>
  </w:abstractNum>
  <w:abstractNum w:abstractNumId="508">
    <w:nsid w:val="5FD4B154"/>
    <w:multiLevelType w:val="hybridMultilevel"/>
    <w:lvl w:ilvl="0">
      <w:lvlJc w:val="left"/>
      <w:lvlText w:val="%1."/>
      <w:numFmt w:val="decimal"/>
      <w:start w:val="1"/>
    </w:lvl>
  </w:abstractNum>
  <w:abstractNum w:abstractNumId="509">
    <w:nsid w:val="4ABE597"/>
    <w:multiLevelType w:val="hybridMultilevel"/>
    <w:lvl w:ilvl="0">
      <w:lvlJc w:val="left"/>
      <w:lvlText w:val="%1."/>
      <w:numFmt w:val="decimal"/>
      <w:start w:val="4"/>
    </w:lvl>
  </w:abstractNum>
  <w:abstractNum w:abstractNumId="510">
    <w:nsid w:val="5C64AD75"/>
    <w:multiLevelType w:val="hybridMultilevel"/>
    <w:lvl w:ilvl="0">
      <w:lvlJc w:val="left"/>
      <w:lvlText w:val="%1."/>
      <w:numFmt w:val="decimal"/>
      <w:start w:val="8"/>
    </w:lvl>
  </w:abstractNum>
  <w:abstractNum w:abstractNumId="511">
    <w:nsid w:val="2CDD5B39"/>
    <w:multiLevelType w:val="hybridMultilevel"/>
    <w:lvl w:ilvl="0">
      <w:lvlJc w:val="left"/>
      <w:lvlText w:val="%1."/>
      <w:numFmt w:val="decimal"/>
      <w:start w:val="11"/>
    </w:lvl>
  </w:abstractNum>
  <w:abstractNum w:abstractNumId="512">
    <w:nsid w:val="6F9EA0D1"/>
    <w:multiLevelType w:val="hybridMultilevel"/>
    <w:lvl w:ilvl="0">
      <w:lvlJc w:val="left"/>
      <w:lvlText w:val="☐"/>
      <w:numFmt w:val="bullet"/>
      <w:start w:val="1"/>
    </w:lvl>
  </w:abstractNum>
  <w:abstractNum w:abstractNumId="513">
    <w:nsid w:val="247FC4AE"/>
    <w:multiLevelType w:val="hybridMultilevel"/>
    <w:lvl w:ilvl="0">
      <w:lvlJc w:val="left"/>
      <w:lvlText w:val="☐"/>
      <w:numFmt w:val="bullet"/>
      <w:start w:val="1"/>
    </w:lvl>
  </w:abstractNum>
  <w:abstractNum w:abstractNumId="514">
    <w:nsid w:val="46C01B05"/>
    <w:multiLevelType w:val="hybridMultilevel"/>
    <w:lvl w:ilvl="0">
      <w:lvlJc w:val="left"/>
      <w:lvlText w:val="☐"/>
      <w:numFmt w:val="bullet"/>
      <w:start w:val="1"/>
    </w:lvl>
  </w:abstractNum>
  <w:abstractNum w:abstractNumId="515">
    <w:nsid w:val="566EC29B"/>
    <w:multiLevelType w:val="hybridMultilevel"/>
    <w:lvl w:ilvl="0">
      <w:lvlJc w:val="left"/>
      <w:lvlText w:val="%1."/>
      <w:numFmt w:val="decimal"/>
      <w:start w:val="1"/>
    </w:lvl>
  </w:abstractNum>
  <w:abstractNum w:abstractNumId="516">
    <w:nsid w:val="7A963843"/>
    <w:multiLevelType w:val="hybridMultilevel"/>
    <w:lvl w:ilvl="0">
      <w:lvlJc w:val="left"/>
      <w:lvlText w:val="%1."/>
      <w:numFmt w:val="decimal"/>
      <w:start w:val="1"/>
    </w:lvl>
  </w:abstractNum>
  <w:abstractNum w:abstractNumId="517">
    <w:nsid w:val="4FE12F61"/>
    <w:multiLevelType w:val="hybridMultilevel"/>
    <w:lvl w:ilvl="0">
      <w:lvlJc w:val="left"/>
      <w:lvlText w:val="%1."/>
      <w:numFmt w:val="decimal"/>
      <w:start w:val="5"/>
    </w:lvl>
  </w:abstractNum>
  <w:abstractNum w:abstractNumId="518">
    <w:nsid w:val="51A3A284"/>
    <w:multiLevelType w:val="hybridMultilevel"/>
    <w:lvl w:ilvl="0">
      <w:lvlJc w:val="left"/>
      <w:lvlText w:val="%1."/>
      <w:numFmt w:val="decimal"/>
      <w:start w:val="1"/>
    </w:lvl>
  </w:abstractNum>
  <w:abstractNum w:abstractNumId="519">
    <w:nsid w:val="376863BC"/>
    <w:multiLevelType w:val="hybridMultilevel"/>
    <w:lvl w:ilvl="0">
      <w:lvlJc w:val="left"/>
      <w:lvlText w:val="(%1)"/>
      <w:numFmt w:val="decimal"/>
      <w:start w:val="60"/>
    </w:lvl>
  </w:abstractNum>
  <w:abstractNum w:abstractNumId="520">
    <w:nsid w:val="118C6C0"/>
    <w:multiLevelType w:val="hybridMultilevel"/>
    <w:lvl w:ilvl="0">
      <w:lvlJc w:val="left"/>
      <w:lvlText w:val="%1."/>
      <w:numFmt w:val="decimal"/>
      <w:start w:val="1"/>
    </w:lvl>
  </w:abstractNum>
  <w:abstractNum w:abstractNumId="521">
    <w:nsid w:val="7F7E4A15"/>
    <w:multiLevelType w:val="hybridMultilevel"/>
    <w:lvl w:ilvl="0">
      <w:lvlJc w:val="left"/>
      <w:lvlText w:val="A"/>
      <w:numFmt w:val="bullet"/>
      <w:start w:val="1"/>
    </w:lvl>
  </w:abstractNum>
  <w:abstractNum w:abstractNumId="522">
    <w:nsid w:val="2E8E9F47"/>
    <w:multiLevelType w:val="hybridMultilevel"/>
    <w:lvl w:ilvl="0">
      <w:lvlJc w:val="left"/>
      <w:lvlText w:val="%1."/>
      <w:numFmt w:val="decimal"/>
      <w:start w:val="1"/>
    </w:lvl>
  </w:abstractNum>
  <w:abstractNum w:abstractNumId="523">
    <w:nsid w:val="76742596"/>
    <w:multiLevelType w:val="hybridMultilevel"/>
    <w:lvl w:ilvl="0">
      <w:lvlJc w:val="left"/>
      <w:lvlText w:val="(%1)"/>
      <w:numFmt w:val="lowerLetter"/>
      <w:start w:val="1"/>
    </w:lvl>
  </w:abstractNum>
  <w:abstractNum w:abstractNumId="524">
    <w:nsid w:val="CB55FF3"/>
    <w:multiLevelType w:val="hybridMultilevel"/>
    <w:lvl w:ilvl="0">
      <w:lvlJc w:val="left"/>
      <w:lvlText w:val="(%1)"/>
      <w:numFmt w:val="lowerLetter"/>
      <w:start w:val="1"/>
    </w:lvl>
  </w:abstractNum>
  <w:abstractNum w:abstractNumId="525">
    <w:nsid w:val="21DF319E"/>
    <w:multiLevelType w:val="hybridMultilevel"/>
    <w:lvl w:ilvl="0">
      <w:lvlJc w:val="left"/>
      <w:lvlText w:val="(%1)"/>
      <w:numFmt w:val="lowerLetter"/>
      <w:start w:val="3"/>
    </w:lvl>
  </w:abstractNum>
  <w:abstractNum w:abstractNumId="526">
    <w:nsid w:val="6687F34D"/>
    <w:multiLevelType w:val="hybridMultilevel"/>
    <w:lvl w:ilvl="0">
      <w:lvlJc w:val="left"/>
      <w:lvlText w:val="(%1)"/>
      <w:numFmt w:val="lowerLetter"/>
      <w:start w:val="1"/>
    </w:lvl>
    <w:lvl w:ilvl="1">
      <w:lvlJc w:val="left"/>
      <w:lvlText w:val="(%2)"/>
      <w:numFmt w:val="lowerRoman"/>
      <w:start w:val="1"/>
    </w:lvl>
  </w:abstractNum>
  <w:abstractNum w:abstractNumId="527">
    <w:nsid w:val="25415B0C"/>
    <w:multiLevelType w:val="hybridMultilevel"/>
    <w:lvl w:ilvl="0">
      <w:lvlJc w:val="left"/>
      <w:lvlText w:val="(%1)"/>
      <w:numFmt w:val="lowerLetter"/>
      <w:start w:val="9"/>
    </w:lvl>
    <w:lvl w:ilvl="1">
      <w:lvlJc w:val="left"/>
      <w:lvlText w:val="(%2)"/>
      <w:numFmt w:val="lowerLetter"/>
      <w:start w:val="2"/>
    </w:lvl>
  </w:abstractNum>
  <w:abstractNum w:abstractNumId="528">
    <w:nsid w:val="17CFC87D"/>
    <w:multiLevelType w:val="hybridMultilevel"/>
    <w:lvl w:ilvl="0">
      <w:lvlJc w:val="left"/>
      <w:lvlText w:val="%1."/>
      <w:numFmt w:val="decimal"/>
      <w:start w:val="5"/>
    </w:lvl>
  </w:abstractNum>
  <w:abstractNum w:abstractNumId="529">
    <w:nsid w:val="5D66DC65"/>
    <w:multiLevelType w:val="hybridMultilevel"/>
    <w:lvl w:ilvl="0">
      <w:lvlJc w:val="left"/>
      <w:lvlText w:val="(%1)"/>
      <w:numFmt w:val="lowerLetter"/>
      <w:start w:val="1"/>
    </w:lvl>
  </w:abstractNum>
  <w:abstractNum w:abstractNumId="530">
    <w:nsid w:val="30BB2B99"/>
    <w:multiLevelType w:val="hybridMultilevel"/>
    <w:lvl w:ilvl="0">
      <w:lvlJc w:val="left"/>
      <w:lvlText w:val="(%1)"/>
      <w:numFmt w:val="lowerLetter"/>
      <w:start w:val="35"/>
    </w:lvl>
    <w:lvl w:ilvl="1">
      <w:lvlJc w:val="left"/>
      <w:lvlText w:val="(%2)"/>
      <w:numFmt w:val="lowerLetter"/>
      <w:start w:val="2"/>
    </w:lvl>
  </w:abstractNum>
  <w:abstractNum w:abstractNumId="531">
    <w:nsid w:val="E3DFE6"/>
    <w:multiLevelType w:val="hybridMultilevel"/>
    <w:lvl w:ilvl="0">
      <w:lvlJc w:val="left"/>
      <w:lvlText w:val="(%1)"/>
      <w:numFmt w:val="lowerLetter"/>
      <w:start w:val="1"/>
    </w:lvl>
    <w:lvl w:ilvl="1">
      <w:lvlJc w:val="left"/>
      <w:lvlText w:val="(%2)"/>
      <w:numFmt w:val="lowerRoman"/>
      <w:start w:val="1"/>
    </w:lvl>
  </w:abstractNum>
  <w:abstractNum w:abstractNumId="532">
    <w:nsid w:val="595B37F3"/>
    <w:multiLevelType w:val="hybridMultilevel"/>
    <w:lvl w:ilvl="0">
      <w:lvlJc w:val="left"/>
      <w:lvlText w:val="(%1)"/>
      <w:numFmt w:val="lowerLetter"/>
      <w:start w:val="1"/>
    </w:lvl>
  </w:abstractNum>
  <w:abstractNum w:abstractNumId="533">
    <w:nsid w:val="71DB7E02"/>
    <w:multiLevelType w:val="hybridMultilevel"/>
    <w:lvl w:ilvl="0">
      <w:lvlJc w:val="left"/>
      <w:lvlText w:val="(%1)"/>
      <w:numFmt w:val="lowerRoman"/>
      <w:start w:val="1"/>
    </w:lvl>
  </w:abstractNum>
  <w:abstractNum w:abstractNumId="534">
    <w:nsid w:val="17EC0C4"/>
    <w:multiLevelType w:val="hybridMultilevel"/>
    <w:lvl w:ilvl="0">
      <w:lvlJc w:val="left"/>
      <w:lvlText w:val="(%1)"/>
      <w:numFmt w:val="lowerLetter"/>
      <w:start w:val="3"/>
    </w:lvl>
  </w:abstractNum>
  <w:abstractNum w:abstractNumId="535">
    <w:nsid w:val="7173BB22"/>
    <w:multiLevelType w:val="hybridMultilevel"/>
    <w:lvl w:ilvl="0">
      <w:lvlJc w:val="left"/>
      <w:lvlText w:val="%1."/>
      <w:numFmt w:val="decimal"/>
      <w:start w:val="11"/>
    </w:lvl>
  </w:abstractNum>
  <w:abstractNum w:abstractNumId="536">
    <w:nsid w:val="169E1DD3"/>
    <w:multiLevelType w:val="hybridMultilevel"/>
    <w:lvl w:ilvl="0">
      <w:lvlJc w:val="left"/>
      <w:lvlText w:val="%1"/>
      <w:numFmt w:val="decimal"/>
      <w:start w:val="1"/>
    </w:lvl>
    <w:lvl w:ilvl="1">
      <w:lvlJc w:val="left"/>
      <w:lvlText w:val="(%2)"/>
      <w:numFmt w:val="lowerLetter"/>
      <w:start w:val="1"/>
    </w:lvl>
  </w:abstractNum>
  <w:abstractNum w:abstractNumId="537">
    <w:nsid w:val="51D141CC"/>
    <w:multiLevelType w:val="hybridMultilevel"/>
    <w:lvl w:ilvl="0">
      <w:lvlJc w:val="left"/>
      <w:lvlText w:val="%1."/>
      <w:numFmt w:val="decimal"/>
      <w:start w:val="13"/>
    </w:lvl>
    <w:lvl w:ilvl="1">
      <w:lvlJc w:val="left"/>
      <w:lvlText w:val="%2"/>
      <w:numFmt w:val="lowerLetter"/>
      <w:start w:val="1"/>
    </w:lvl>
  </w:abstractNum>
  <w:abstractNum w:abstractNumId="538">
    <w:nsid w:val="12F9357A"/>
    <w:multiLevelType w:val="hybridMultilevel"/>
    <w:lvl w:ilvl="0">
      <w:lvlJc w:val="left"/>
      <w:lvlText w:val="(%1)"/>
      <w:numFmt w:val="lowerLetter"/>
      <w:start w:val="1"/>
    </w:lvl>
  </w:abstractNum>
  <w:abstractNum w:abstractNumId="539">
    <w:nsid w:val="7672CF28"/>
    <w:multiLevelType w:val="hybridMultilevel"/>
    <w:lvl w:ilvl="0">
      <w:lvlJc w:val="left"/>
      <w:lvlText w:val="%1."/>
      <w:numFmt w:val="decimal"/>
      <w:start w:val="14"/>
    </w:lvl>
  </w:abstractNum>
  <w:abstractNum w:abstractNumId="540">
    <w:nsid w:val="567D2763"/>
    <w:multiLevelType w:val="hybridMultilevel"/>
    <w:lvl w:ilvl="0">
      <w:lvlJc w:val="left"/>
      <w:lvlText w:val="(%1)"/>
      <w:numFmt w:val="lowerLetter"/>
      <w:start w:val="1"/>
    </w:lvl>
  </w:abstractNum>
  <w:abstractNum w:abstractNumId="541">
    <w:nsid w:val="6F5DE2EF"/>
    <w:multiLevelType w:val="hybridMultilevel"/>
    <w:lvl w:ilvl="0">
      <w:lvlJc w:val="left"/>
      <w:lvlText w:val="(%1)"/>
      <w:numFmt w:val="lowerLetter"/>
      <w:start w:val="1"/>
    </w:lvl>
  </w:abstractNum>
  <w:abstractNum w:abstractNumId="542">
    <w:nsid w:val="23502A6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43">
    <w:nsid w:val="461BC834"/>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544">
    <w:nsid w:val="13DDA79D"/>
    <w:multiLevelType w:val="hybridMultilevel"/>
    <w:lvl w:ilvl="0">
      <w:lvlJc w:val="left"/>
      <w:lvlText w:val="(%1)"/>
      <w:numFmt w:val="lowerLetter"/>
      <w:start w:val="1"/>
    </w:lvl>
    <w:lvl w:ilvl="1">
      <w:lvlJc w:val="left"/>
      <w:lvlText w:val="(%2)"/>
      <w:numFmt w:val="decimal"/>
      <w:start w:val="1"/>
    </w:lvl>
  </w:abstractNum>
  <w:abstractNum w:abstractNumId="545">
    <w:nsid w:val="6A104566"/>
    <w:multiLevelType w:val="hybridMultilevel"/>
    <w:lvl w:ilvl="0">
      <w:lvlJc w:val="left"/>
      <w:lvlText w:val="%1"/>
      <w:numFmt w:val="decimal"/>
      <w:start w:val="1"/>
    </w:lvl>
    <w:lvl w:ilvl="1">
      <w:lvlJc w:val="left"/>
      <w:lvlText w:val="(%2)"/>
      <w:numFmt w:val="lowerLetter"/>
      <w:start w:val="6"/>
    </w:lvl>
  </w:abstractNum>
  <w:abstractNum w:abstractNumId="546">
    <w:nsid w:val="1C8A8ACF"/>
    <w:multiLevelType w:val="hybridMultilevel"/>
    <w:lvl w:ilvl="0">
      <w:lvlJc w:val="left"/>
      <w:lvlText w:val="(%1)"/>
      <w:numFmt w:val="decimal"/>
      <w:start w:val="12"/>
    </w:lvl>
    <w:lvl w:ilvl="1">
      <w:lvlJc w:val="left"/>
      <w:lvlText w:val="(%2)"/>
      <w:numFmt w:val="lowerLetter"/>
      <w:start w:val="7"/>
    </w:lvl>
  </w:abstractNum>
  <w:abstractNum w:abstractNumId="547">
    <w:nsid w:val="E73DFE0"/>
    <w:multiLevelType w:val="hybridMultilevel"/>
    <w:lvl w:ilvl="0">
      <w:lvlJc w:val="left"/>
      <w:lvlText w:val="(%1)"/>
      <w:numFmt w:val="decimal"/>
      <w:start w:val="30"/>
    </w:lvl>
  </w:abstractNum>
  <w:abstractNum w:abstractNumId="548">
    <w:nsid w:val="39F174C7"/>
    <w:multiLevelType w:val="hybridMultilevel"/>
    <w:lvl w:ilvl="0">
      <w:lvlJc w:val="left"/>
      <w:lvlText w:val="%1)"/>
      <w:numFmt w:val="lowerLetter"/>
      <w:start w:val="1"/>
    </w:lvl>
  </w:abstractNum>
  <w:abstractNum w:abstractNumId="549">
    <w:nsid w:val="6E2E2D53"/>
    <w:multiLevelType w:val="hybridMultilevel"/>
    <w:lvl w:ilvl="0">
      <w:lvlJc w:val="left"/>
      <w:lvlText w:val="(%1)"/>
      <w:numFmt w:val="decimal"/>
      <w:start w:val="1"/>
    </w:lvl>
  </w:abstractNum>
  <w:abstractNum w:abstractNumId="550">
    <w:nsid w:val="45DC439D"/>
    <w:multiLevelType w:val="hybridMultilevel"/>
    <w:lvl w:ilvl="0">
      <w:lvlJc w:val="left"/>
      <w:lvlText w:val="%1)"/>
      <w:numFmt w:val="lowerLetter"/>
      <w:start w:val="2"/>
    </w:lvl>
    <w:lvl w:ilvl="1">
      <w:lvlJc w:val="left"/>
      <w:lvlText w:val="%2)"/>
      <w:numFmt w:val="lowerRoman"/>
      <w:start w:val="1"/>
    </w:lvl>
  </w:abstractNum>
  <w:abstractNum w:abstractNumId="551">
    <w:nsid w:val="3B0A3B87"/>
    <w:multiLevelType w:val="hybridMultilevel"/>
    <w:lvl w:ilvl="0">
      <w:lvlJc w:val="left"/>
      <w:lvlText w:val="%1."/>
      <w:numFmt w:val="decimal"/>
      <w:start w:val="1"/>
    </w:lvl>
  </w:abstractNum>
  <w:abstractNum w:abstractNumId="552">
    <w:nsid w:val="6DAC7768"/>
    <w:multiLevelType w:val="hybridMultilevel"/>
    <w:lvl w:ilvl="0">
      <w:lvlJc w:val="left"/>
      <w:lvlText w:val="☐"/>
      <w:numFmt w:val="bullet"/>
      <w:start w:val="1"/>
    </w:lvl>
  </w:abstractNum>
  <w:abstractNum w:abstractNumId="553">
    <w:nsid w:val="746AE2E4"/>
    <w:multiLevelType w:val="hybridMultilevel"/>
    <w:lvl w:ilvl="0">
      <w:lvlJc w:val="left"/>
      <w:lvlText w:val="☒"/>
      <w:numFmt w:val="bullet"/>
      <w:start w:val="1"/>
    </w:lvl>
  </w:abstractNum>
  <w:abstractNum w:abstractNumId="554">
    <w:nsid w:val="317E611D"/>
    <w:multiLevelType w:val="hybridMultilevel"/>
    <w:lvl w:ilvl="0">
      <w:lvlJc w:val="left"/>
      <w:lvlText w:val="%1."/>
      <w:numFmt w:val="decimal"/>
      <w:start w:val="1"/>
    </w:lvl>
  </w:abstractNum>
  <w:abstractNum w:abstractNumId="555">
    <w:nsid w:val="7A61D75B"/>
    <w:multiLevelType w:val="hybridMultilevel"/>
    <w:lvl w:ilvl="0">
      <w:lvlJc w:val="left"/>
      <w:lvlText w:val="%1."/>
      <w:numFmt w:val="decimal"/>
      <w:start w:val="15"/>
    </w:lvl>
  </w:abstractNum>
  <w:abstractNum w:abstractNumId="556">
    <w:nsid w:val="164A1482"/>
    <w:multiLevelType w:val="hybridMultilevel"/>
    <w:lvl w:ilvl="0">
      <w:lvlJc w:val="left"/>
      <w:lvlText w:val="%1."/>
      <w:numFmt w:val="decimal"/>
      <w:start w:val="1"/>
    </w:lvl>
  </w:abstractNum>
  <w:abstractNum w:abstractNumId="557">
    <w:nsid w:val="1806546B"/>
    <w:multiLevelType w:val="hybridMultilevel"/>
    <w:lvl w:ilvl="0">
      <w:lvlJc w:val="left"/>
      <w:lvlText w:val="(%1)"/>
      <w:numFmt w:val="lowerLetter"/>
      <w:start w:val="1"/>
    </w:lvl>
  </w:abstractNum>
  <w:abstractNum w:abstractNumId="558">
    <w:nsid w:val="1FA33267"/>
    <w:multiLevelType w:val="hybridMultilevel"/>
    <w:lvl w:ilvl="0">
      <w:lvlJc w:val="left"/>
      <w:lvlText w:val="(%1)"/>
      <w:numFmt w:val="lowerLetter"/>
      <w:start w:val="2"/>
    </w:lvl>
  </w:abstractNum>
  <w:abstractNum w:abstractNumId="559">
    <w:nsid w:val="2E19DD00"/>
    <w:multiLevelType w:val="hybridMultilevel"/>
    <w:lvl w:ilvl="0">
      <w:lvlJc w:val="left"/>
      <w:lvlText w:val="%1."/>
      <w:numFmt w:val="decimal"/>
      <w:start w:val="3"/>
    </w:lvl>
  </w:abstractNum>
  <w:abstractNum w:abstractNumId="560">
    <w:nsid w:val="756D30D0"/>
    <w:multiLevelType w:val="hybridMultilevel"/>
    <w:lvl w:ilvl="0">
      <w:lvlJc w:val="left"/>
      <w:lvlText w:val="%1"/>
      <w:numFmt w:val="lowerRoman"/>
      <w:start w:val="1"/>
    </w:lvl>
    <w:lvl w:ilvl="1">
      <w:lvlJc w:val="left"/>
      <w:lvlText w:val="%2."/>
      <w:numFmt w:val="decimal"/>
      <w:start w:val="5"/>
    </w:lvl>
    <w:lvl w:ilvl="2">
      <w:lvlJc w:val="left"/>
      <w:lvlText w:val="%3"/>
      <w:numFmt w:val="lowerRoman"/>
      <w:start w:val="1"/>
    </w:lvl>
  </w:abstractNum>
  <w:abstractNum w:abstractNumId="561">
    <w:nsid w:val="505E5E01"/>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0"/>
    </w:lvl>
  </w:abstractNum>
  <w:abstractNum w:abstractNumId="562">
    <w:nsid w:val="2EFDBCE6"/>
    <w:multiLevelType w:val="hybridMultilevel"/>
    <w:lvl w:ilvl="0">
      <w:lvlJc w:val="left"/>
      <w:lvlText w:val="(%1)"/>
      <w:numFmt w:val="lowerLetter"/>
      <w:start w:val="25"/>
    </w:lvl>
  </w:abstractNum>
  <w:abstractNum w:abstractNumId="563">
    <w:nsid w:val="4EC868C4"/>
    <w:multiLevelType w:val="hybridMultilevel"/>
    <w:lvl w:ilvl="0">
      <w:lvlJc w:val="left"/>
      <w:lvlText w:val="%1."/>
      <w:numFmt w:val="decimal"/>
      <w:start w:val="6"/>
    </w:lvl>
  </w:abstractNum>
  <w:abstractNum w:abstractNumId="564">
    <w:nsid w:val="4239DC03"/>
    <w:multiLevelType w:val="hybridMultilevel"/>
    <w:lvl w:ilvl="0">
      <w:lvlJc w:val="left"/>
      <w:lvlText w:val="%1."/>
      <w:numFmt w:val="decimal"/>
      <w:start w:val="7"/>
    </w:lvl>
  </w:abstractNum>
  <w:abstractNum w:abstractNumId="565">
    <w:nsid w:val="307C7DAA"/>
    <w:multiLevelType w:val="hybridMultilevel"/>
    <w:lvl w:ilvl="0">
      <w:lvlJc w:val="left"/>
      <w:lvlText w:val="%1."/>
      <w:numFmt w:val="decimal"/>
      <w:start w:val="10"/>
    </w:lvl>
  </w:abstractNum>
  <w:abstractNum w:abstractNumId="566">
    <w:nsid w:val="403C23E6"/>
    <w:multiLevelType w:val="hybridMultilevel"/>
    <w:lvl w:ilvl="0">
      <w:lvlJc w:val="left"/>
      <w:lvlText w:val="%1"/>
      <w:numFmt w:val="lowerLetter"/>
      <w:start w:val="1"/>
    </w:lvl>
    <w:lvl w:ilvl="1">
      <w:lvlJc w:val="left"/>
      <w:lvlText w:val="%2."/>
      <w:numFmt w:val="decimal"/>
      <w:start w:val="11"/>
    </w:lvl>
  </w:abstractNum>
  <w:abstractNum w:abstractNumId="567">
    <w:nsid w:val="58D7F9D7"/>
    <w:multiLevelType w:val="hybridMultilevel"/>
    <w:lvl w:ilvl="0">
      <w:lvlJc w:val="left"/>
      <w:lvlText w:val="(%1)"/>
      <w:numFmt w:val="lowerLetter"/>
      <w:start w:val="1"/>
    </w:lvl>
    <w:lvl w:ilvl="1">
      <w:lvlJc w:val="left"/>
      <w:lvlText w:val="%2."/>
      <w:numFmt w:val="decimal"/>
      <w:start w:val="12"/>
    </w:lvl>
  </w:abstractNum>
  <w:abstractNum w:abstractNumId="568">
    <w:nsid w:val="24DBF76"/>
    <w:multiLevelType w:val="hybridMultilevel"/>
    <w:lvl w:ilvl="0">
      <w:lvlJc w:val="left"/>
      <w:lvlText w:val="%1."/>
      <w:numFmt w:val="decimal"/>
      <w:start w:val="15"/>
    </w:lvl>
  </w:abstractNum>
  <w:abstractNum w:abstractNumId="569">
    <w:nsid w:val="53355960"/>
    <w:multiLevelType w:val="hybridMultilevel"/>
    <w:lvl w:ilvl="0">
      <w:lvlJc w:val="left"/>
      <w:lvlText w:val="%1."/>
      <w:numFmt w:val="decimal"/>
      <w:start w:val="20"/>
    </w:lvl>
  </w:abstractNum>
  <w:abstractNum w:abstractNumId="570">
    <w:nsid w:val="4F4AC8FF"/>
    <w:multiLevelType w:val="hybridMultilevel"/>
    <w:lvl w:ilvl="0">
      <w:lvlJc w:val="left"/>
      <w:lvlText w:val="%1."/>
      <w:numFmt w:val="decimal"/>
      <w:start w:val="25"/>
    </w:lvl>
  </w:abstractNum>
  <w:abstractNum w:abstractNumId="571">
    <w:nsid w:val="58CAE6D9"/>
    <w:multiLevelType w:val="hybridMultilevel"/>
    <w:lvl w:ilvl="0">
      <w:lvlJc w:val="left"/>
      <w:lvlText w:val="%1."/>
      <w:numFmt w:val="decimal"/>
      <w:start w:val="1"/>
    </w:lvl>
    <w:lvl w:ilvl="1">
      <w:lvlJc w:val="left"/>
      <w:lvlText w:val="(%2)"/>
      <w:numFmt w:val="lowerLetter"/>
      <w:start w:val="1"/>
    </w:lvl>
  </w:abstractNum>
  <w:abstractNum w:abstractNumId="572">
    <w:nsid w:val="42933C4F"/>
    <w:multiLevelType w:val="hybridMultilevel"/>
    <w:lvl w:ilvl="0">
      <w:lvlJc w:val="left"/>
      <w:lvlText w:val="%1."/>
      <w:numFmt w:val="decimal"/>
      <w:start w:val="3"/>
    </w:lvl>
  </w:abstractNum>
  <w:abstractNum w:abstractNumId="573">
    <w:nsid w:val="729AF360"/>
    <w:multiLevelType w:val="hybridMultilevel"/>
    <w:lvl w:ilvl="0">
      <w:lvlJc w:val="left"/>
      <w:lvlText w:val="%1"/>
      <w:numFmt w:val="lowerLetter"/>
      <w:start w:val="1"/>
    </w:lvl>
    <w:lvl w:ilvl="1">
      <w:lvlJc w:val="left"/>
      <w:lvlText w:val="%2."/>
      <w:numFmt w:val="decimal"/>
      <w:start w:val="1"/>
    </w:lvl>
  </w:abstractNum>
  <w:abstractNum w:abstractNumId="574">
    <w:nsid w:val="1EE6AF0D"/>
    <w:multiLevelType w:val="hybridMultilevel"/>
    <w:lvl w:ilvl="0">
      <w:lvlJc w:val="left"/>
      <w:lvlText w:val="(%1)"/>
      <w:numFmt w:val="lowerLetter"/>
      <w:start w:val="1"/>
    </w:lvl>
    <w:lvl w:ilvl="1">
      <w:lvlJc w:val="left"/>
      <w:lvlText w:val="%2."/>
      <w:numFmt w:val="decimal"/>
      <w:start w:val="2"/>
    </w:lvl>
  </w:abstractNum>
  <w:abstractNum w:abstractNumId="575">
    <w:nsid w:val="5670E3ED"/>
    <w:multiLevelType w:val="hybridMultilevel"/>
    <w:lvl w:ilvl="0">
      <w:lvlJc w:val="left"/>
      <w:lvlText w:val="%1."/>
      <w:numFmt w:val="decimal"/>
      <w:start w:val="3"/>
    </w:lvl>
  </w:abstractNum>
  <w:abstractNum w:abstractNumId="576">
    <w:nsid w:val="5CAB38C6"/>
    <w:multiLevelType w:val="hybridMultilevel"/>
    <w:lvl w:ilvl="0">
      <w:lvlJc w:val="left"/>
      <w:lvlText w:val="%1."/>
      <w:numFmt w:val="decimal"/>
      <w:start w:val="4"/>
    </w:lvl>
  </w:abstractNum>
  <w:abstractNum w:abstractNumId="577">
    <w:nsid w:val="3B7139DD"/>
    <w:multiLevelType w:val="hybridMultilevel"/>
    <w:lvl w:ilvl="0">
      <w:lvlJc w:val="left"/>
      <w:lvlText w:val="%1."/>
      <w:numFmt w:val="decimal"/>
      <w:start w:val="5"/>
    </w:lvl>
  </w:abstractNum>
  <w:abstractNum w:abstractNumId="578">
    <w:nsid w:val="64E4C3CD"/>
    <w:multiLevelType w:val="hybridMultilevel"/>
    <w:lvl w:ilvl="0">
      <w:lvlJc w:val="left"/>
      <w:lvlText w:val="%1."/>
      <w:numFmt w:val="decimal"/>
      <w:start w:val="6"/>
    </w:lvl>
  </w:abstractNum>
  <w:abstractNum w:abstractNumId="579">
    <w:nsid w:val="169CAD8D"/>
    <w:multiLevelType w:val="hybridMultilevel"/>
    <w:lvl w:ilvl="0">
      <w:lvlJc w:val="left"/>
      <w:lvlText w:val="%1."/>
      <w:numFmt w:val="decimal"/>
      <w:start w:val="7"/>
    </w:lvl>
  </w:abstractNum>
  <w:abstractNum w:abstractNumId="580">
    <w:nsid w:val="299F6730"/>
    <w:multiLevelType w:val="hybridMultilevel"/>
    <w:lvl w:ilvl="0">
      <w:lvlJc w:val="left"/>
      <w:lvlText w:val="%1."/>
      <w:numFmt w:val="decimal"/>
      <w:start w:val="8"/>
    </w:lvl>
  </w:abstractNum>
  <w:abstractNum w:abstractNumId="581">
    <w:nsid w:val="2AC1076A"/>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jpeg"/><Relationship Id="rId826" Type="http://schemas.openxmlformats.org/officeDocument/2006/relationships/image" Target="media/image819.png"/><Relationship Id="rId827" Type="http://schemas.openxmlformats.org/officeDocument/2006/relationships/image" Target="media/image820.jpe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jpe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jpe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jpe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2021-07-09T16:35:58Z</dcterms:created>
  <dcterms:modified xsi:type="dcterms:W3CDTF">2021-07-09T16:35:58Z</dcterms:modified>
</cp:coreProperties>
</file>