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
        <w:spacing w:after="0"/>
        <w:rPr>
          <w:sz w:val="20"/>
          <w:szCs w:val="20"/>
          <w:color w:val="auto"/>
        </w:rPr>
      </w:pPr>
      <w:r>
        <w:rPr>
          <w:rFonts w:ascii="Times New Roman" w:cs="Times New Roman" w:eastAsia="Times New Roman" w:hAnsi="Times New Roman"/>
          <w:sz w:val="5"/>
          <w:szCs w:val="5"/>
          <w:color w:val="454546"/>
        </w:rPr>
        <mc:AlternateContent>
          <mc:Choice Requires="wps">
            <w:drawing>
              <wp:anchor simplePos="0" relativeHeight="251657728" behindDoc="1" locked="0" layoutInCell="0" allowOverlap="1">
                <wp:simplePos x="0" y="0"/>
                <wp:positionH relativeFrom="page">
                  <wp:posOffset>598805</wp:posOffset>
                </wp:positionH>
                <wp:positionV relativeFrom="page">
                  <wp:posOffset>621665</wp:posOffset>
                </wp:positionV>
                <wp:extent cx="634619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619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7.15pt,48.95pt" to="546.85pt,48.95pt" o:allowincell="f" strokecolor="#454546" strokeweight="0.75pt">
                <w10:wrap anchorx="page" anchory="page"/>
              </v:line>
            </w:pict>
          </mc:Fallback>
        </mc:AlternateContent>
        <w:t>A</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-24765</wp:posOffset>
                </wp:positionV>
                <wp:extent cx="634555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555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99pt,-1.9499pt" to="497.85pt,-1.9499pt" o:allowincell="f" strokecolor="#454546" strokeweight="0.75pt"/>
            </w:pict>
          </mc:Fallback>
        </mc:AlternateContent>
      </w:r>
    </w:p>
    <w:p>
      <w:pPr>
        <w:sectPr>
          <w:pgSz w:w="11880" w:h="15480" w:orient="portrait"/>
          <w:cols w:equalWidth="0" w:num="1">
            <w:col w:w="9920"/>
          </w:cols>
          <w:pgMar w:left="980" w:top="991" w:right="980" w:bottom="690" w:gutter="0" w:footer="0" w:header="0"/>
        </w:sectPr>
      </w:pP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54546"/>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54546"/>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454546"/>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2719705</wp:posOffset>
                </wp:positionH>
                <wp:positionV relativeFrom="paragraph">
                  <wp:posOffset>57150</wp:posOffset>
                </wp:positionV>
                <wp:extent cx="8597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15pt,4.5pt" to="281.85pt,4.5pt" o:allowincell="f" strokecolor="#454546" strokeweight="1pt"/>
            </w:pict>
          </mc:Fallback>
        </mc:AlternateConten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2719705</wp:posOffset>
                </wp:positionH>
                <wp:positionV relativeFrom="paragraph">
                  <wp:posOffset>89535</wp:posOffset>
                </wp:positionV>
                <wp:extent cx="8597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15pt,7.05pt" to="281.85pt,7.05pt" o:allowincell="f" strokecolor="#454546" strokeweight="1pt"/>
            </w:pict>
          </mc:Fallback>
        </mc:AlternateConten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454546"/>
        </w:rPr>
        <w:t>(Mark One)</w:t>
      </w:r>
    </w:p>
    <w:p>
      <w:pPr>
        <w:spacing w:after="0" w:line="19" w:lineRule="exact"/>
        <w:rPr>
          <w:sz w:val="24"/>
          <w:szCs w:val="24"/>
          <w:color w:val="auto"/>
        </w:rPr>
      </w:pPr>
    </w:p>
    <w:p>
      <w:pPr>
        <w:ind w:left="400" w:hanging="394"/>
        <w:spacing w:after="0"/>
        <w:tabs>
          <w:tab w:leader="none" w:pos="400" w:val="left"/>
        </w:tabs>
        <w:numPr>
          <w:ilvl w:val="0"/>
          <w:numId w:val="1"/>
        </w:numPr>
        <w:rPr>
          <w:rFonts w:ascii="MS PGothic" w:cs="MS PGothic" w:eastAsia="MS PGothic" w:hAnsi="MS PGothic"/>
          <w:sz w:val="18"/>
          <w:szCs w:val="18"/>
          <w:b w:val="1"/>
          <w:bCs w:val="1"/>
          <w:color w:val="454546"/>
        </w:rPr>
      </w:pPr>
      <w:r>
        <w:rPr>
          <w:rFonts w:ascii="Times New Roman" w:cs="Times New Roman" w:eastAsia="Times New Roman" w:hAnsi="Times New Roman"/>
          <w:sz w:val="18"/>
          <w:szCs w:val="18"/>
          <w:b w:val="1"/>
          <w:bCs w:val="1"/>
          <w:color w:val="454546"/>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For the fiscal year ended December 31, 2023</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OR</w:t>
      </w:r>
    </w:p>
    <w:p>
      <w:pPr>
        <w:spacing w:after="0" w:line="60" w:lineRule="exact"/>
        <w:rPr>
          <w:sz w:val="24"/>
          <w:szCs w:val="24"/>
          <w:color w:val="auto"/>
        </w:rPr>
      </w:pPr>
    </w:p>
    <w:p>
      <w:pPr>
        <w:ind w:left="400" w:hanging="394"/>
        <w:spacing w:after="0"/>
        <w:tabs>
          <w:tab w:leader="none" w:pos="400" w:val="left"/>
        </w:tabs>
        <w:numPr>
          <w:ilvl w:val="0"/>
          <w:numId w:val="2"/>
        </w:numPr>
        <w:rPr>
          <w:rFonts w:ascii="MS PGothic" w:cs="MS PGothic" w:eastAsia="MS PGothic" w:hAnsi="MS PGothic"/>
          <w:sz w:val="18"/>
          <w:szCs w:val="18"/>
          <w:b w:val="1"/>
          <w:bCs w:val="1"/>
          <w:color w:val="454546"/>
        </w:rPr>
      </w:pPr>
      <w:r>
        <w:rPr>
          <w:rFonts w:ascii="Times New Roman" w:cs="Times New Roman" w:eastAsia="Times New Roman" w:hAnsi="Times New Roman"/>
          <w:sz w:val="18"/>
          <w:szCs w:val="18"/>
          <w:b w:val="1"/>
          <w:bCs w:val="1"/>
          <w:color w:val="454546"/>
        </w:rPr>
        <w:t>TRANSITION REPORT PURSUANT TO SECTION 13 OR 15(d) OF THE SECURITIES EXCHANGE ACT OF 1934</w:t>
      </w:r>
    </w:p>
    <w:p>
      <w:pPr>
        <w:spacing w:after="0" w:line="9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454546"/>
        </w:rPr>
        <w:t>FOR THE TRANSITION PERIOD FROM___________TO___________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Commission File Number 001-40656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2719705</wp:posOffset>
                </wp:positionH>
                <wp:positionV relativeFrom="paragraph">
                  <wp:posOffset>75565</wp:posOffset>
                </wp:positionV>
                <wp:extent cx="8597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15pt,5.95pt" to="281.85pt,5.95pt" o:allowincell="f" strokecolor="#454546" strokeweight="1pt"/>
            </w:pict>
          </mc:Fallback>
        </mc:AlternateConten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TENAYA THERAPEUTICS,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2719705</wp:posOffset>
                </wp:positionH>
                <wp:positionV relativeFrom="paragraph">
                  <wp:posOffset>57150</wp:posOffset>
                </wp:positionV>
                <wp:extent cx="85979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15pt,4.5pt" to="281.85pt,4.5pt" o:allowincell="f" strokecolor="#454546" strokeweight="1pt"/>
            </w:pict>
          </mc:Fallback>
        </mc:AlternateContent>
      </w:r>
    </w:p>
    <w:p>
      <w:pPr>
        <w:sectPr>
          <w:pgSz w:w="11880" w:h="15480" w:orient="portrait"/>
          <w:cols w:equalWidth="0" w:num="1">
            <w:col w:w="9920"/>
          </w:cols>
          <w:pgMar w:left="980" w:top="991" w:right="980" w:bottom="690" w:gutter="0" w:footer="0" w:header="0"/>
          <w:type w:val="continuous"/>
        </w:sectPr>
      </w:pPr>
    </w:p>
    <w:p>
      <w:pPr>
        <w:spacing w:after="0" w:line="1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454546"/>
        </w:rPr>
        <w:t>Delaware</w:t>
      </w:r>
    </w:p>
    <w:p>
      <w:pPr>
        <w:spacing w:after="0" w:line="26"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454546"/>
        </w:rPr>
        <w:t>(State or other jurisdiction of</w:t>
      </w:r>
    </w:p>
    <w:p>
      <w:pPr>
        <w:ind w:left="1560"/>
        <w:spacing w:after="0"/>
        <w:rPr>
          <w:sz w:val="20"/>
          <w:szCs w:val="20"/>
          <w:color w:val="auto"/>
        </w:rPr>
      </w:pPr>
      <w:r>
        <w:rPr>
          <w:rFonts w:ascii="Times New Roman" w:cs="Times New Roman" w:eastAsia="Times New Roman" w:hAnsi="Times New Roman"/>
          <w:sz w:val="13"/>
          <w:szCs w:val="13"/>
          <w:b w:val="1"/>
          <w:bCs w:val="1"/>
          <w:color w:val="454546"/>
        </w:rPr>
        <w:t>incorporation or organization)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454546"/>
        </w:rPr>
        <w:t>81-3789973</w:t>
      </w:r>
    </w:p>
    <w:p>
      <w:pPr>
        <w:spacing w:after="0" w:line="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454546"/>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454546"/>
        </w:rPr>
        <w:t>Identification No.)</w:t>
      </w:r>
    </w:p>
    <w:p>
      <w:pPr>
        <w:spacing w:after="0" w:line="1" w:lineRule="exact"/>
        <w:rPr>
          <w:sz w:val="24"/>
          <w:szCs w:val="24"/>
          <w:color w:val="auto"/>
        </w:rPr>
      </w:pPr>
    </w:p>
    <w:p>
      <w:pPr>
        <w:sectPr>
          <w:pgSz w:w="11880" w:h="15480" w:orient="portrait"/>
          <w:cols w:equalWidth="0" w:num="2">
            <w:col w:w="6160" w:space="720"/>
            <w:col w:w="3040"/>
          </w:cols>
          <w:pgMar w:left="980" w:top="991" w:right="980" w:bottom="690" w:gutter="0" w:footer="0" w:header="0"/>
          <w:type w:val="continuous"/>
        </w:sectPr>
      </w:pPr>
    </w:p>
    <w:tbl>
      <w:tblPr>
        <w:tblLayout w:type="fixed"/>
        <w:tblInd w:w="1000" w:type="dxa"/>
        <w:tblCellMar>
          <w:top w:w="0" w:type="dxa"/>
          <w:left w:w="0" w:type="dxa"/>
          <w:bottom w:w="0" w:type="dxa"/>
          <w:right w:w="0" w:type="dxa"/>
        </w:tblCellMar>
      </w:tblPr>
      <w:tr>
        <w:trPr>
          <w:trHeight w:val="196"/>
        </w:trPr>
        <w:tc>
          <w:tcPr>
            <w:tcW w:w="4520" w:type="dxa"/>
            <w:vAlign w:val="bottom"/>
          </w:tcPr>
          <w:p>
            <w:pPr>
              <w:jc w:val="center"/>
              <w:ind w:right="1497"/>
              <w:spacing w:after="0" w:line="195" w:lineRule="exact"/>
              <w:rPr>
                <w:sz w:val="20"/>
                <w:szCs w:val="20"/>
                <w:color w:val="auto"/>
              </w:rPr>
            </w:pPr>
            <w:r>
              <w:rPr>
                <w:rFonts w:ascii="Times New Roman" w:cs="Times New Roman" w:eastAsia="Times New Roman" w:hAnsi="Times New Roman"/>
                <w:sz w:val="18"/>
                <w:szCs w:val="18"/>
                <w:b w:val="1"/>
                <w:bCs w:val="1"/>
                <w:color w:val="454546"/>
              </w:rPr>
              <w:t>171 Oyster Point Boulevard, Suite 500</w:t>
            </w:r>
          </w:p>
        </w:tc>
        <w:tc>
          <w:tcPr>
            <w:tcW w:w="2240" w:type="dxa"/>
            <w:vAlign w:val="bottom"/>
          </w:tcPr>
          <w:p>
            <w:pPr>
              <w:spacing w:after="0"/>
              <w:rPr>
                <w:sz w:val="17"/>
                <w:szCs w:val="17"/>
                <w:color w:val="auto"/>
              </w:rPr>
            </w:pPr>
          </w:p>
        </w:tc>
      </w:tr>
      <w:tr>
        <w:trPr>
          <w:trHeight w:val="226"/>
        </w:trPr>
        <w:tc>
          <w:tcPr>
            <w:tcW w:w="4520" w:type="dxa"/>
            <w:vAlign w:val="bottom"/>
          </w:tcPr>
          <w:p>
            <w:pPr>
              <w:jc w:val="center"/>
              <w:ind w:right="1497"/>
              <w:spacing w:after="0"/>
              <w:rPr>
                <w:sz w:val="20"/>
                <w:szCs w:val="20"/>
                <w:color w:val="auto"/>
              </w:rPr>
            </w:pPr>
            <w:r>
              <w:rPr>
                <w:rFonts w:ascii="Times New Roman" w:cs="Times New Roman" w:eastAsia="Times New Roman" w:hAnsi="Times New Roman"/>
                <w:sz w:val="18"/>
                <w:szCs w:val="18"/>
                <w:b w:val="1"/>
                <w:bCs w:val="1"/>
                <w:color w:val="454546"/>
              </w:rPr>
              <w:t>South San Francisco, CA</w:t>
            </w:r>
          </w:p>
        </w:tc>
        <w:tc>
          <w:tcPr>
            <w:tcW w:w="224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454546"/>
              </w:rPr>
              <w:t>94080</w:t>
            </w:r>
          </w:p>
        </w:tc>
      </w:tr>
      <w:tr>
        <w:trPr>
          <w:trHeight w:val="191"/>
        </w:trPr>
        <w:tc>
          <w:tcPr>
            <w:tcW w:w="4520" w:type="dxa"/>
            <w:vAlign w:val="bottom"/>
          </w:tcPr>
          <w:p>
            <w:pPr>
              <w:jc w:val="center"/>
              <w:ind w:right="1497"/>
              <w:spacing w:after="0"/>
              <w:rPr>
                <w:sz w:val="20"/>
                <w:szCs w:val="20"/>
                <w:color w:val="auto"/>
              </w:rPr>
            </w:pPr>
            <w:r>
              <w:rPr>
                <w:rFonts w:ascii="Times New Roman" w:cs="Times New Roman" w:eastAsia="Times New Roman" w:hAnsi="Times New Roman"/>
                <w:sz w:val="14"/>
                <w:szCs w:val="14"/>
                <w:b w:val="1"/>
                <w:bCs w:val="1"/>
                <w:color w:val="454546"/>
                <w:w w:val="99"/>
              </w:rPr>
              <w:t>(Address of principal executive offices)</w:t>
            </w:r>
          </w:p>
        </w:tc>
        <w:tc>
          <w:tcPr>
            <w:tcW w:w="2240" w:type="dxa"/>
            <w:vAlign w:val="bottom"/>
          </w:tcPr>
          <w:p>
            <w:pPr>
              <w:jc w:val="center"/>
              <w:ind w:left="1520"/>
              <w:spacing w:after="0"/>
              <w:rPr>
                <w:sz w:val="20"/>
                <w:szCs w:val="20"/>
                <w:color w:val="auto"/>
              </w:rPr>
            </w:pPr>
            <w:r>
              <w:rPr>
                <w:rFonts w:ascii="Times New Roman" w:cs="Times New Roman" w:eastAsia="Times New Roman" w:hAnsi="Times New Roman"/>
                <w:sz w:val="14"/>
                <w:szCs w:val="14"/>
                <w:b w:val="1"/>
                <w:bCs w:val="1"/>
                <w:color w:val="454546"/>
                <w:w w:val="98"/>
              </w:rPr>
              <w:t>(Zip Code)</w:t>
            </w:r>
          </w:p>
        </w:tc>
      </w:tr>
    </w:tbl>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454546"/>
        </w:rPr>
        <w:t>Registrant’s telephone number, including area code: (650) 825-6990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2719705</wp:posOffset>
                </wp:positionH>
                <wp:positionV relativeFrom="paragraph">
                  <wp:posOffset>75565</wp:posOffset>
                </wp:positionV>
                <wp:extent cx="8597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15pt,5.95pt" to="281.85pt,5.95pt" o:allowincell="f" strokecolor="#454546" strokeweight="1pt"/>
            </w:pict>
          </mc:Fallback>
        </mc:AlternateConten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454546"/>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54546"/>
                <w:w w:val="97"/>
              </w:rPr>
              <w:t>Trading</w:t>
            </w:r>
          </w:p>
        </w:tc>
        <w:tc>
          <w:tcPr>
            <w:tcW w:w="20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77"/>
        </w:trPr>
        <w:tc>
          <w:tcPr>
            <w:tcW w:w="3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w w:val="98"/>
              </w:rPr>
              <w:t>Title of each class</w:t>
            </w:r>
          </w:p>
        </w:tc>
        <w:tc>
          <w:tcPr>
            <w:tcW w:w="200" w:type="dxa"/>
            <w:vAlign w:val="bottom"/>
          </w:tcPr>
          <w:p>
            <w:pPr>
              <w:spacing w:after="0"/>
              <w:rPr>
                <w:sz w:val="15"/>
                <w:szCs w:val="15"/>
                <w:color w:val="auto"/>
              </w:rPr>
            </w:pPr>
          </w:p>
        </w:tc>
        <w:tc>
          <w:tcPr>
            <w:tcW w:w="16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rPr>
              <w:t>Symbol(s)</w:t>
            </w:r>
          </w:p>
        </w:tc>
        <w:tc>
          <w:tcPr>
            <w:tcW w:w="200" w:type="dxa"/>
            <w:vAlign w:val="bottom"/>
          </w:tcPr>
          <w:p>
            <w:pPr>
              <w:spacing w:after="0"/>
              <w:rPr>
                <w:sz w:val="15"/>
                <w:szCs w:val="15"/>
                <w:color w:val="auto"/>
              </w:rPr>
            </w:pPr>
          </w:p>
        </w:tc>
        <w:tc>
          <w:tcPr>
            <w:tcW w:w="3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w w:val="99"/>
              </w:rPr>
              <w:t>Name of each exchange on which registered</w:t>
            </w:r>
          </w:p>
        </w:tc>
      </w:tr>
      <w:tr>
        <w:trPr>
          <w:trHeight w:val="177"/>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454546"/>
                <w:w w:val="99"/>
              </w:rPr>
              <w:t>Common Stock $0.0001 par value per share</w:t>
            </w:r>
          </w:p>
        </w:tc>
        <w:tc>
          <w:tcPr>
            <w:tcW w:w="2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454546"/>
              </w:rPr>
              <w:t>TNYA</w:t>
            </w:r>
          </w:p>
        </w:tc>
        <w:tc>
          <w:tcPr>
            <w:tcW w:w="2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454546"/>
                <w:w w:val="99"/>
              </w:rPr>
              <w:t>Nasdaq Global Select Market</w:t>
            </w: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454546"/>
              </w:rPr>
              <w:t xml:space="preserve">Securities registered pursuant to Section 12(g) of the Act: </w:t>
            </w:r>
            <w:r>
              <w:rPr>
                <w:rFonts w:ascii="Times New Roman" w:cs="Times New Roman" w:eastAsia="Times New Roman" w:hAnsi="Times New Roman"/>
                <w:sz w:val="14"/>
                <w:szCs w:val="14"/>
                <w:b w:val="1"/>
                <w:bCs w:val="1"/>
                <w:color w:val="454546"/>
              </w:rPr>
              <w:t>None</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30" w:lineRule="exact"/>
        <w:rPr>
          <w:sz w:val="24"/>
          <w:szCs w:val="24"/>
          <w:color w:val="auto"/>
        </w:rPr>
      </w:pPr>
    </w:p>
    <w:p>
      <w:pPr>
        <w:ind w:right="2540"/>
        <w:spacing w:after="0" w:line="237" w:lineRule="exact"/>
        <w:rPr>
          <w:sz w:val="20"/>
          <w:szCs w:val="20"/>
          <w:color w:val="auto"/>
        </w:rPr>
      </w:pPr>
      <w:r>
        <w:rPr>
          <w:rFonts w:ascii="Times New Roman" w:cs="Times New Roman" w:eastAsia="Times New Roman" w:hAnsi="Times New Roman"/>
          <w:sz w:val="14"/>
          <w:szCs w:val="14"/>
          <w:color w:val="454546"/>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No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Indicate by check mark if the Registrant is not required to file reports pursuant to Section 13 or 15(d) of the Act. Yes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No </w:t>
      </w:r>
      <w:r>
        <w:rPr>
          <w:rFonts w:ascii="MS PGothic" w:cs="MS PGothic" w:eastAsia="MS PGothic" w:hAnsi="MS PGothic"/>
          <w:sz w:val="14"/>
          <w:szCs w:val="14"/>
          <w:b w:val="1"/>
          <w:bCs w:val="1"/>
          <w:color w:val="454546"/>
        </w:rPr>
        <w:t>☒</w:t>
      </w:r>
    </w:p>
    <w:p>
      <w:pPr>
        <w:spacing w:after="0" w:line="22" w:lineRule="exact"/>
        <w:rPr>
          <w:sz w:val="24"/>
          <w:szCs w:val="24"/>
          <w:color w:val="auto"/>
        </w:rPr>
      </w:pPr>
    </w:p>
    <w:p>
      <w:pPr>
        <w:ind w:right="120"/>
        <w:spacing w:after="0" w:line="181" w:lineRule="exact"/>
        <w:rPr>
          <w:sz w:val="20"/>
          <w:szCs w:val="20"/>
          <w:color w:val="auto"/>
        </w:rPr>
      </w:pPr>
      <w:r>
        <w:rPr>
          <w:rFonts w:ascii="Times New Roman" w:cs="Times New Roman" w:eastAsia="Times New Roman" w:hAnsi="Times New Roman"/>
          <w:sz w:val="14"/>
          <w:szCs w:val="14"/>
          <w:color w:val="45454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No</w:t>
      </w:r>
    </w:p>
    <w:p>
      <w:pPr>
        <w:spacing w:after="0" w:line="141" w:lineRule="exact"/>
        <w:rPr>
          <w:sz w:val="20"/>
          <w:szCs w:val="20"/>
          <w:color w:val="auto"/>
        </w:rPr>
      </w:pPr>
      <w:r>
        <w:rPr>
          <w:rFonts w:ascii="MS PGothic" w:cs="MS PGothic" w:eastAsia="MS PGothic" w:hAnsi="MS PGothic"/>
          <w:sz w:val="14"/>
          <w:szCs w:val="14"/>
          <w:b w:val="1"/>
          <w:bCs w:val="1"/>
          <w:color w:val="454546"/>
        </w:rPr>
        <w:t>☐</w:t>
      </w:r>
    </w:p>
    <w:p>
      <w:pPr>
        <w:spacing w:after="0" w:line="92" w:lineRule="exact"/>
        <w:rPr>
          <w:sz w:val="24"/>
          <w:szCs w:val="24"/>
          <w:color w:val="auto"/>
        </w:rPr>
      </w:pPr>
    </w:p>
    <w:p>
      <w:pPr>
        <w:ind w:right="520"/>
        <w:spacing w:after="0" w:line="193" w:lineRule="exact"/>
        <w:rPr>
          <w:sz w:val="20"/>
          <w:szCs w:val="20"/>
          <w:color w:val="auto"/>
        </w:rPr>
      </w:pPr>
      <w:r>
        <w:rPr>
          <w:rFonts w:ascii="Times New Roman" w:cs="Times New Roman" w:eastAsia="Times New Roman" w:hAnsi="Times New Roman"/>
          <w:sz w:val="14"/>
          <w:szCs w:val="14"/>
          <w:color w:val="45454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No </w:t>
      </w:r>
      <w:r>
        <w:rPr>
          <w:rFonts w:ascii="MS PGothic" w:cs="MS PGothic" w:eastAsia="MS PGothic" w:hAnsi="MS PGothic"/>
          <w:sz w:val="14"/>
          <w:szCs w:val="14"/>
          <w:b w:val="1"/>
          <w:bCs w:val="1"/>
          <w:color w:val="454546"/>
        </w:rPr>
        <w:t>☐</w:t>
      </w:r>
    </w:p>
    <w:p>
      <w:pPr>
        <w:spacing w:after="0" w:line="22" w:lineRule="exact"/>
        <w:rPr>
          <w:sz w:val="24"/>
          <w:szCs w:val="24"/>
          <w:color w:val="auto"/>
        </w:rPr>
      </w:pPr>
    </w:p>
    <w:p>
      <w:pPr>
        <w:ind w:right="20"/>
        <w:spacing w:after="0" w:line="318" w:lineRule="auto"/>
        <w:rPr>
          <w:sz w:val="20"/>
          <w:szCs w:val="20"/>
          <w:color w:val="auto"/>
        </w:rPr>
      </w:pPr>
      <w:r>
        <w:rPr>
          <w:rFonts w:ascii="Times New Roman" w:cs="Times New Roman" w:eastAsia="Times New Roman" w:hAnsi="Times New Roman"/>
          <w:sz w:val="13"/>
          <w:szCs w:val="13"/>
          <w:color w:val="45454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Large accelerated filer</w:t>
            </w:r>
          </w:p>
        </w:tc>
        <w:tc>
          <w:tcPr>
            <w:tcW w:w="3100" w:type="dxa"/>
            <w:vAlign w:val="bottom"/>
          </w:tcPr>
          <w:p>
            <w:pPr>
              <w:ind w:left="420"/>
              <w:spacing w:after="0" w:line="141" w:lineRule="exact"/>
              <w:rPr>
                <w:sz w:val="20"/>
                <w:szCs w:val="20"/>
                <w:color w:val="auto"/>
              </w:rPr>
            </w:pPr>
            <w:r>
              <w:rPr>
                <w:rFonts w:ascii="MS PGothic" w:cs="MS PGothic" w:eastAsia="MS PGothic" w:hAnsi="MS PGothic"/>
                <w:sz w:val="14"/>
                <w:szCs w:val="14"/>
                <w:b w:val="1"/>
                <w:bCs w:val="1"/>
                <w:color w:val="454546"/>
              </w:rPr>
              <w:t>☐</w:t>
            </w:r>
          </w:p>
        </w:tc>
        <w:tc>
          <w:tcPr>
            <w:tcW w:w="4380" w:type="dxa"/>
            <w:vAlign w:val="bottom"/>
          </w:tcPr>
          <w:p>
            <w:pPr>
              <w:ind w:left="2560"/>
              <w:spacing w:after="0"/>
              <w:rPr>
                <w:sz w:val="20"/>
                <w:szCs w:val="20"/>
                <w:color w:val="auto"/>
              </w:rPr>
            </w:pPr>
            <w:r>
              <w:rPr>
                <w:rFonts w:ascii="Times New Roman" w:cs="Times New Roman" w:eastAsia="Times New Roman" w:hAnsi="Times New Roman"/>
                <w:sz w:val="14"/>
                <w:szCs w:val="14"/>
                <w:color w:val="454546"/>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b w:val="1"/>
                <w:bCs w:val="1"/>
                <w:color w:val="454546"/>
                <w:w w:val="71"/>
              </w:rPr>
              <w:t>☐</w:t>
            </w:r>
          </w:p>
        </w:tc>
      </w:tr>
      <w:tr>
        <w:trPr>
          <w:trHeight w:val="31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Non-accelerated filer</w:t>
            </w:r>
          </w:p>
        </w:tc>
        <w:tc>
          <w:tcPr>
            <w:tcW w:w="3100" w:type="dxa"/>
            <w:vAlign w:val="bottom"/>
          </w:tcPr>
          <w:p>
            <w:pPr>
              <w:ind w:left="420"/>
              <w:spacing w:after="0" w:line="141" w:lineRule="exact"/>
              <w:rPr>
                <w:sz w:val="20"/>
                <w:szCs w:val="20"/>
                <w:color w:val="auto"/>
              </w:rPr>
            </w:pPr>
            <w:r>
              <w:rPr>
                <w:rFonts w:ascii="MS PGothic" w:cs="MS PGothic" w:eastAsia="MS PGothic" w:hAnsi="MS PGothic"/>
                <w:sz w:val="14"/>
                <w:szCs w:val="14"/>
                <w:b w:val="1"/>
                <w:bCs w:val="1"/>
                <w:color w:val="454546"/>
              </w:rPr>
              <w:t>☒</w:t>
            </w:r>
          </w:p>
        </w:tc>
        <w:tc>
          <w:tcPr>
            <w:tcW w:w="4380" w:type="dxa"/>
            <w:vAlign w:val="bottom"/>
          </w:tcPr>
          <w:p>
            <w:pPr>
              <w:ind w:left="2560"/>
              <w:spacing w:after="0"/>
              <w:rPr>
                <w:sz w:val="20"/>
                <w:szCs w:val="20"/>
                <w:color w:val="auto"/>
              </w:rPr>
            </w:pPr>
            <w:r>
              <w:rPr>
                <w:rFonts w:ascii="Times New Roman" w:cs="Times New Roman" w:eastAsia="Times New Roman" w:hAnsi="Times New Roman"/>
                <w:sz w:val="14"/>
                <w:szCs w:val="14"/>
                <w:color w:val="454546"/>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b w:val="1"/>
                <w:bCs w:val="1"/>
                <w:color w:val="454546"/>
                <w:w w:val="71"/>
              </w:rPr>
              <w:t>☒</w:t>
            </w:r>
          </w:p>
        </w:tc>
      </w:t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Emerging growth company</w:t>
            </w:r>
          </w:p>
        </w:tc>
        <w:tc>
          <w:tcPr>
            <w:tcW w:w="3100" w:type="dxa"/>
            <w:vAlign w:val="bottom"/>
          </w:tcPr>
          <w:p>
            <w:pPr>
              <w:ind w:left="420"/>
              <w:spacing w:after="0" w:line="141" w:lineRule="exact"/>
              <w:rPr>
                <w:sz w:val="20"/>
                <w:szCs w:val="20"/>
                <w:color w:val="auto"/>
              </w:rPr>
            </w:pPr>
            <w:r>
              <w:rPr>
                <w:rFonts w:ascii="MS PGothic" w:cs="MS PGothic" w:eastAsia="MS PGothic" w:hAnsi="MS PGothic"/>
                <w:sz w:val="14"/>
                <w:szCs w:val="14"/>
                <w:b w:val="1"/>
                <w:bCs w:val="1"/>
                <w:color w:val="454546"/>
              </w:rPr>
              <w:t>☒</w:t>
            </w:r>
          </w:p>
        </w:tc>
        <w:tc>
          <w:tcPr>
            <w:tcW w:w="43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0" w:lineRule="exact"/>
        <w:rPr>
          <w:sz w:val="24"/>
          <w:szCs w:val="24"/>
          <w:color w:val="auto"/>
        </w:rPr>
      </w:pPr>
    </w:p>
    <w:p>
      <w:pPr>
        <w:ind w:right="180"/>
        <w:spacing w:after="0" w:line="193" w:lineRule="exact"/>
        <w:rPr>
          <w:sz w:val="20"/>
          <w:szCs w:val="20"/>
          <w:color w:val="auto"/>
        </w:rPr>
      </w:pPr>
      <w:r>
        <w:rPr>
          <w:rFonts w:ascii="Times New Roman" w:cs="Times New Roman" w:eastAsia="Times New Roman" w:hAnsi="Times New Roman"/>
          <w:sz w:val="14"/>
          <w:szCs w:val="14"/>
          <w:color w:val="45454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b w:val="1"/>
          <w:bCs w:val="1"/>
          <w:color w:val="454546"/>
        </w:rPr>
        <w:t>☐</w:t>
      </w:r>
    </w:p>
    <w:p>
      <w:pPr>
        <w:spacing w:after="0" w:line="22" w:lineRule="exact"/>
        <w:rPr>
          <w:sz w:val="24"/>
          <w:szCs w:val="24"/>
          <w:color w:val="auto"/>
        </w:rPr>
      </w:pPr>
    </w:p>
    <w:p>
      <w:pPr>
        <w:ind w:right="340"/>
        <w:spacing w:after="0" w:line="193" w:lineRule="exact"/>
        <w:rPr>
          <w:sz w:val="20"/>
          <w:szCs w:val="20"/>
          <w:color w:val="auto"/>
        </w:rPr>
      </w:pPr>
      <w:r>
        <w:rPr>
          <w:rFonts w:ascii="Times New Roman" w:cs="Times New Roman" w:eastAsia="Times New Roman" w:hAnsi="Times New Roman"/>
          <w:sz w:val="13"/>
          <w:szCs w:val="13"/>
          <w:color w:val="45454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b w:val="1"/>
          <w:bCs w:val="1"/>
          <w:color w:val="454546"/>
        </w:rPr>
        <w:t>☐</w:t>
      </w:r>
    </w:p>
    <w:p>
      <w:pPr>
        <w:spacing w:after="0" w:line="22" w:lineRule="exact"/>
        <w:rPr>
          <w:sz w:val="24"/>
          <w:szCs w:val="24"/>
          <w:color w:val="auto"/>
        </w:rPr>
      </w:pPr>
    </w:p>
    <w:p>
      <w:pPr>
        <w:ind w:right="480"/>
        <w:spacing w:after="0" w:line="193" w:lineRule="exact"/>
        <w:rPr>
          <w:sz w:val="20"/>
          <w:szCs w:val="20"/>
          <w:color w:val="auto"/>
        </w:rPr>
      </w:pPr>
      <w:r>
        <w:rPr>
          <w:rFonts w:ascii="Times New Roman" w:cs="Times New Roman" w:eastAsia="Times New Roman" w:hAnsi="Times New Roman"/>
          <w:sz w:val="14"/>
          <w:szCs w:val="14"/>
          <w:color w:val="45454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b w:val="1"/>
          <w:bCs w:val="1"/>
          <w:color w:val="454546"/>
        </w:rPr>
        <w:t>☐</w:t>
      </w:r>
    </w:p>
    <w:p>
      <w:pPr>
        <w:spacing w:after="0" w:line="344" w:lineRule="exact"/>
        <w:rPr>
          <w:sz w:val="24"/>
          <w:szCs w:val="24"/>
          <w:color w:val="auto"/>
        </w:rPr>
      </w:pPr>
    </w:p>
    <w:p>
      <w:pPr>
        <w:ind w:right="500"/>
        <w:spacing w:after="0" w:line="193" w:lineRule="exact"/>
        <w:rPr>
          <w:sz w:val="20"/>
          <w:szCs w:val="20"/>
          <w:color w:val="auto"/>
        </w:rPr>
      </w:pPr>
      <w:r>
        <w:rPr>
          <w:rFonts w:ascii="Times New Roman" w:cs="Times New Roman" w:eastAsia="Times New Roman" w:hAnsi="Times New Roman"/>
          <w:sz w:val="14"/>
          <w:szCs w:val="14"/>
          <w:color w:val="45454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b w:val="1"/>
          <w:bCs w:val="1"/>
          <w:color w:val="454546"/>
        </w:rPr>
        <w:t>☐</w:t>
      </w:r>
    </w:p>
    <w:p>
      <w:pPr>
        <w:spacing w:after="0" w:line="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454546"/>
        </w:rPr>
        <w:t xml:space="preserve">Indicate by check mark whether the Registrant is a shell company (as defined in Rule 12b-2 of the Exchange Act). Yes </w:t>
      </w:r>
      <w:r>
        <w:rPr>
          <w:rFonts w:ascii="MS PGothic" w:cs="MS PGothic" w:eastAsia="MS PGothic" w:hAnsi="MS PGothic"/>
          <w:sz w:val="14"/>
          <w:szCs w:val="14"/>
          <w:b w:val="1"/>
          <w:bCs w:val="1"/>
          <w:color w:val="454546"/>
        </w:rPr>
        <w:t>☐</w:t>
      </w:r>
      <w:r>
        <w:rPr>
          <w:rFonts w:ascii="Times New Roman" w:cs="Times New Roman" w:eastAsia="Times New Roman" w:hAnsi="Times New Roman"/>
          <w:sz w:val="14"/>
          <w:szCs w:val="14"/>
          <w:color w:val="454546"/>
        </w:rPr>
        <w:t xml:space="preserve"> No </w:t>
      </w:r>
      <w:r>
        <w:rPr>
          <w:rFonts w:ascii="MS PGothic" w:cs="MS PGothic" w:eastAsia="MS PGothic" w:hAnsi="MS PGothic"/>
          <w:sz w:val="14"/>
          <w:szCs w:val="14"/>
          <w:b w:val="1"/>
          <w:bCs w:val="1"/>
          <w:color w:val="454546"/>
        </w:rPr>
        <w:t>☒</w:t>
      </w:r>
    </w:p>
    <w:p>
      <w:pPr>
        <w:spacing w:after="0" w:line="87"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454546"/>
        </w:rPr>
        <w:t>The aggregate market value of the voting and non-voting common equity held by non-affiliates of the Registrant, based on the closing price of the shares of common stock on the Nasdaq Global Select Stock Market on June 30, 2023 was approximately $271.5 million.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454546"/>
        </w:rPr>
        <w:t>The number of shares of Registrant’s Common Stock outstanding as of March 1, 2024 was 78,516,142.</w:t>
      </w:r>
    </w:p>
    <w:p>
      <w:pPr>
        <w:spacing w:after="0" w:line="6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color w:val="454546"/>
        </w:rPr>
        <w:t>DOCUMENTS INCORPORATED BY REFERENCE</w:t>
      </w:r>
    </w:p>
    <w:p>
      <w:pPr>
        <w:spacing w:after="0" w:line="20" w:lineRule="exact"/>
        <w:rPr>
          <w:sz w:val="24"/>
          <w:szCs w:val="24"/>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454546"/>
        </w:rPr>
        <w:t>Portions of the definitive proxy statement for the Registrant’s 2023 Annual Meeting of Stockholders are incorporated by reference in Part III of this Form 10-K. Such definitive proxy statement will be filed with the Securities and Exchange Commission within 120 days after the end of the Registrant’s 2023 fiscal year ended December 31, 2023.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38100</wp:posOffset>
                </wp:positionV>
                <wp:extent cx="63455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555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99pt,3pt" to="497.85pt,3pt" o:allowincell="f" strokecolor="#454546" strokeweight="0.75pt"/>
            </w:pict>
          </mc:Fallback>
        </mc:AlternateContent>
        <mc:AlternateContent>
          <mc:Choice Requires="wps">
            <w:drawing>
              <wp:anchor simplePos="0" relativeHeight="251657728" behindDoc="1" locked="0" layoutInCell="0" allowOverlap="1">
                <wp:simplePos x="0" y="0"/>
                <wp:positionH relativeFrom="column">
                  <wp:posOffset>-22860</wp:posOffset>
                </wp:positionH>
                <wp:positionV relativeFrom="paragraph">
                  <wp:posOffset>19050</wp:posOffset>
                </wp:positionV>
                <wp:extent cx="63455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555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99pt,1.5pt" to="497.85pt,1.5pt" o:allowincell="f" strokecolor="#454546" strokeweight="0.75pt"/>
            </w:pict>
          </mc:Fallback>
        </mc:AlternateContent>
      </w:r>
    </w:p>
    <w:p>
      <w:pPr>
        <w:sectPr>
          <w:pgSz w:w="11880" w:h="15480" w:orient="portrait"/>
          <w:cols w:equalWidth="0" w:num="1">
            <w:col w:w="9920"/>
          </w:cols>
          <w:pgMar w:left="980" w:top="991" w:right="980" w:bottom="690" w:gutter="0" w:footer="0" w:header="0"/>
          <w:type w:val="continuous"/>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7720" w:type="dxa"/>
            <w:vAlign w:val="bottom"/>
          </w:tcPr>
          <w:p>
            <w:pPr>
              <w:ind w:left="3020"/>
              <w:spacing w:after="0"/>
              <w:rPr>
                <w:sz w:val="20"/>
                <w:szCs w:val="20"/>
                <w:color w:val="auto"/>
              </w:rPr>
            </w:pPr>
            <w:r>
              <w:rPr>
                <w:rFonts w:ascii="Times New Roman" w:cs="Times New Roman" w:eastAsia="Times New Roman" w:hAnsi="Times New Roman"/>
                <w:sz w:val="20"/>
                <w:szCs w:val="20"/>
                <w:b w:val="1"/>
                <w:bCs w:val="1"/>
                <w:color w:val="454546"/>
              </w:rPr>
              <w:t>Table of Contents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PART I</w:t>
            </w:r>
          </w:p>
        </w:tc>
        <w:tc>
          <w:tcPr>
            <w:tcW w:w="7720" w:type="dxa"/>
            <w:vAlign w:val="bottom"/>
          </w:tcPr>
          <w:p>
            <w:pPr>
              <w:spacing w:after="0"/>
              <w:rPr>
                <w:sz w:val="24"/>
                <w:szCs w:val="24"/>
                <w:color w:val="auto"/>
              </w:rPr>
            </w:pPr>
          </w:p>
        </w:tc>
        <w:tc>
          <w:tcPr>
            <w:tcW w:w="740" w:type="dxa"/>
            <w:vAlign w:val="bottom"/>
            <w:tcBorders>
              <w:bottom w:val="single" w:sz="8" w:color="454546"/>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454546"/>
              </w:rPr>
              <w:t>Page</w:t>
            </w:r>
          </w:p>
        </w:tc>
        <w:tc>
          <w:tcPr>
            <w:tcW w:w="0" w:type="dxa"/>
            <w:vAlign w:val="bottom"/>
          </w:tcPr>
          <w:p>
            <w:pPr>
              <w:spacing w:after="0"/>
              <w:rPr>
                <w:sz w:val="1"/>
                <w:szCs w:val="1"/>
                <w:color w:val="auto"/>
              </w:rPr>
            </w:pPr>
          </w:p>
        </w:tc>
      </w:tr>
      <w:tr>
        <w:trPr>
          <w:trHeight w:val="226"/>
        </w:trPr>
        <w:tc>
          <w:tcPr>
            <w:tcW w:w="90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1B.</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87</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1C.</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87</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2.</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3.</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4.</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II</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5.</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Market for Registrant’s Common Equity, Related Stockholder Matters and Issuer Purchases of</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89</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6.</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89</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7.</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90</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7A.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8.</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119</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119</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9B.</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120</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9C.</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120</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III</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10.</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11.</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12.</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Security Ownership of Certain Beneficial Owners and Management and Related Stockholder</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13.</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14.</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IV</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15.</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Exhibits,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122</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16</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122</w:t>
            </w:r>
          </w:p>
        </w:tc>
        <w:tc>
          <w:tcPr>
            <w:tcW w:w="0" w:type="dxa"/>
            <w:vAlign w:val="bottom"/>
          </w:tcPr>
          <w:p>
            <w:pPr>
              <w:spacing w:after="0"/>
              <w:rPr>
                <w:sz w:val="1"/>
                <w:szCs w:val="1"/>
                <w:color w:val="auto"/>
              </w:rPr>
            </w:pPr>
          </w:p>
        </w:tc>
      </w:tr>
      <w:tr>
        <w:trPr>
          <w:trHeight w:val="266"/>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454546"/>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36" w:right="126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454546"/>
        </w:rPr>
        <w:t>i</w:t>
      </w:r>
    </w:p>
    <w:p>
      <w:pPr>
        <w:sectPr>
          <w:pgSz w:w="11880" w:h="15480" w:orient="portrait"/>
          <w:cols w:equalWidth="0" w:num="1">
            <w:col w:w="9360"/>
          </w:cols>
          <w:pgMar w:left="1260" w:top="1236" w:right="1260" w:bottom="64"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[THIS PAGE INTENTIONALLY LEFT BLANK]</w:t>
      </w:r>
    </w:p>
    <w:p>
      <w:pPr>
        <w:sectPr>
          <w:pgSz w:w="11880" w:h="15480" w:orient="portrait"/>
          <w:cols w:equalWidth="0" w:num="1">
            <w:col w:w="9000"/>
          </w:cols>
          <w:pgMar w:left="1440" w:top="1440" w:right="1440"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454546"/>
        </w:rPr>
        <w:t>SPECIAL NOTE REGARDING FORWARD-LOOKING STATEMENTS</w:t>
      </w:r>
    </w:p>
    <w:p>
      <w:pPr>
        <w:spacing w:after="0" w:line="364"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454546"/>
        </w:rPr>
        <w:t>This Annual Report on Form 10-K, or Annual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“vision,” or “continue” or the negative of these terms or other similar expressions. These forward-looking statements include, but are not limited to, statements about:</w:t>
      </w:r>
    </w:p>
    <w:p>
      <w:pPr>
        <w:spacing w:after="0" w:line="103" w:lineRule="exact"/>
        <w:rPr>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vision to change the treatment paradigm for heart disease;</w:t>
      </w:r>
    </w:p>
    <w:p>
      <w:pPr>
        <w:spacing w:after="0" w:line="133" w:lineRule="exact"/>
        <w:rPr>
          <w:rFonts w:ascii="Arial" w:cs="Arial" w:eastAsia="Arial" w:hAnsi="Arial"/>
          <w:sz w:val="20"/>
          <w:szCs w:val="20"/>
          <w:color w:val="454546"/>
        </w:rPr>
      </w:pPr>
    </w:p>
    <w:p>
      <w:pPr>
        <w:ind w:left="980" w:hanging="491"/>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ability of our ongoing preclinical studies and ongoing or planned clinical trials to demonstrate safety and efficacy of our product candidates, and other positive results;</w:t>
      </w:r>
    </w:p>
    <w:p>
      <w:pPr>
        <w:spacing w:after="0" w:line="64" w:lineRule="exact"/>
        <w:rPr>
          <w:rFonts w:ascii="Arial" w:cs="Arial" w:eastAsia="Arial" w:hAnsi="Arial"/>
          <w:sz w:val="20"/>
          <w:szCs w:val="20"/>
          <w:color w:val="454546"/>
        </w:rPr>
      </w:pPr>
    </w:p>
    <w:p>
      <w:pPr>
        <w:ind w:left="980" w:right="220" w:hanging="491"/>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dosing, patient enrollment and populations, progress, and results of preclinical studies and ongoing or planned clinical trials for our current product candidates and other product candidates we may develop;</w:t>
      </w:r>
    </w:p>
    <w:p>
      <w:pPr>
        <w:spacing w:after="0" w:line="81" w:lineRule="exact"/>
        <w:rPr>
          <w:rFonts w:ascii="Arial" w:cs="Arial" w:eastAsia="Arial" w:hAnsi="Arial"/>
          <w:sz w:val="20"/>
          <w:szCs w:val="20"/>
          <w:color w:val="454546"/>
        </w:rPr>
      </w:pPr>
    </w:p>
    <w:p>
      <w:pPr>
        <w:ind w:left="980" w:right="80" w:hanging="491"/>
        <w:spacing w:after="0" w:line="252"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87"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develop and advance our current product candidates and programs into, and successfully complete, clinical trials;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size and the number of patients of the market opportunities we address with our product candidates;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manufacturing, commercialization, and marketing capabilities and strategy;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competitive position and the success of competing therapies that are or may become available;</w:t>
      </w:r>
    </w:p>
    <w:p>
      <w:pPr>
        <w:spacing w:after="0" w:line="133" w:lineRule="exact"/>
        <w:rPr>
          <w:rFonts w:ascii="Arial" w:cs="Arial" w:eastAsia="Arial" w:hAnsi="Arial"/>
          <w:sz w:val="20"/>
          <w:szCs w:val="20"/>
          <w:color w:val="454546"/>
        </w:rPr>
      </w:pPr>
    </w:p>
    <w:p>
      <w:pPr>
        <w:ind w:left="980" w:right="40" w:hanging="491"/>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plans relating to the further development of our product candidates, including additional indications and targets we may pursue;</w:t>
      </w:r>
    </w:p>
    <w:p>
      <w:pPr>
        <w:spacing w:after="0" w:line="64"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existing laws and regulations and regulatory developments in the United States, Europe and other jurisdictions;</w:t>
      </w:r>
    </w:p>
    <w:p>
      <w:pPr>
        <w:spacing w:after="0" w:line="64" w:lineRule="exact"/>
        <w:rPr>
          <w:rFonts w:ascii="Arial" w:cs="Arial" w:eastAsia="Arial" w:hAnsi="Arial"/>
          <w:sz w:val="20"/>
          <w:szCs w:val="20"/>
          <w:color w:val="454546"/>
        </w:rPr>
      </w:pPr>
    </w:p>
    <w:p>
      <w:pPr>
        <w:ind w:left="980" w:right="140" w:hanging="491"/>
        <w:spacing w:after="0" w:line="249"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0" w:lineRule="exact"/>
        <w:rPr>
          <w:rFonts w:ascii="Arial" w:cs="Arial" w:eastAsia="Arial" w:hAnsi="Arial"/>
          <w:sz w:val="20"/>
          <w:szCs w:val="20"/>
          <w:color w:val="454546"/>
        </w:rPr>
      </w:pPr>
    </w:p>
    <w:p>
      <w:pPr>
        <w:jc w:val="both"/>
        <w:ind w:left="980" w:right="100" w:hanging="491"/>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81" w:lineRule="exact"/>
        <w:rPr>
          <w:rFonts w:ascii="Arial" w:cs="Arial" w:eastAsia="Arial" w:hAnsi="Arial"/>
          <w:sz w:val="20"/>
          <w:szCs w:val="20"/>
          <w:color w:val="454546"/>
        </w:rPr>
      </w:pPr>
    </w:p>
    <w:p>
      <w:pPr>
        <w:jc w:val="both"/>
        <w:ind w:left="980" w:right="60" w:hanging="491"/>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obtain, and negotiate favorable terms of, any collaboration, partnership, licensing or other arrangements that may be necessary or desirable to develop, manufacture or commercialize our product candidates;</w:t>
      </w:r>
    </w:p>
    <w:p>
      <w:pPr>
        <w:spacing w:after="0" w:line="81" w:lineRule="exact"/>
        <w:rPr>
          <w:rFonts w:ascii="Arial" w:cs="Arial" w:eastAsia="Arial" w:hAnsi="Arial"/>
          <w:sz w:val="20"/>
          <w:szCs w:val="20"/>
          <w:color w:val="454546"/>
        </w:rPr>
      </w:pPr>
    </w:p>
    <w:p>
      <w:pPr>
        <w:jc w:val="both"/>
        <w:ind w:left="980" w:right="120" w:hanging="491"/>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pricing and reimbursement of our current product candidates and other product candidates we may develop, if approved, including any increase in demand as a result of the availability of reimbursement from the government and third-party payors;</w:t>
      </w:r>
    </w:p>
    <w:p>
      <w:pPr>
        <w:sectPr>
          <w:pgSz w:w="11880" w:h="15480" w:orient="portrait"/>
          <w:cols w:equalWidth="0" w:num="1">
            <w:col w:w="9320"/>
          </w:cols>
          <w:pgMar w:left="1260" w:top="123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1</w:t>
      </w:r>
    </w:p>
    <w:p>
      <w:pPr>
        <w:sectPr>
          <w:pgSz w:w="11880" w:h="15480" w:orient="portrait"/>
          <w:cols w:equalWidth="0" w:num="1">
            <w:col w:w="9320"/>
          </w:cols>
          <w:pgMar w:left="1260" w:top="1236" w:right="1300" w:bottom="0" w:gutter="0" w:footer="0" w:header="0"/>
          <w:type w:val="continuous"/>
        </w:sectPr>
      </w:pPr>
    </w:p>
    <w:bookmarkStart w:id="5" w:name="page6"/>
    <w:bookmarkEnd w:id="5"/>
    <w:p>
      <w:pPr>
        <w:ind w:left="980" w:right="100" w:hanging="491"/>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rate and degree of market acceptance and clinical utility of our current product candidates and other product candidates we may develop;</w:t>
      </w:r>
    </w:p>
    <w:p>
      <w:pPr>
        <w:spacing w:after="0" w:line="64" w:lineRule="exact"/>
        <w:rPr>
          <w:rFonts w:ascii="Arial" w:cs="Arial" w:eastAsia="Arial" w:hAnsi="Arial"/>
          <w:sz w:val="20"/>
          <w:szCs w:val="20"/>
          <w:color w:val="454546"/>
        </w:rPr>
      </w:pPr>
    </w:p>
    <w:p>
      <w:pPr>
        <w:jc w:val="both"/>
        <w:ind w:left="980" w:right="280" w:hanging="491"/>
        <w:spacing w:after="0" w:line="304" w:lineRule="auto"/>
        <w:tabs>
          <w:tab w:leader="none" w:pos="980" w:val="left"/>
        </w:tabs>
        <w:numPr>
          <w:ilvl w:val="0"/>
          <w:numId w:val="4"/>
        </w:numPr>
        <w:rPr>
          <w:rFonts w:ascii="Arial" w:cs="Arial" w:eastAsia="Arial" w:hAnsi="Arial"/>
          <w:sz w:val="19"/>
          <w:szCs w:val="19"/>
          <w:color w:val="454546"/>
        </w:rPr>
      </w:pPr>
      <w:r>
        <w:rPr>
          <w:rFonts w:ascii="Times New Roman" w:cs="Times New Roman" w:eastAsia="Times New Roman" w:hAnsi="Times New Roman"/>
          <w:sz w:val="19"/>
          <w:szCs w:val="19"/>
          <w:color w:val="454546"/>
        </w:rPr>
        <w:t>our estimates regarding expenses, operating losses, future revenue, cash outlays, capital requirements and needs for additional financing, including expenses arising as a result of being a public company;</w:t>
      </w:r>
    </w:p>
    <w:p>
      <w:pPr>
        <w:spacing w:after="0" w:line="39" w:lineRule="exact"/>
        <w:rPr>
          <w:rFonts w:ascii="Arial" w:cs="Arial" w:eastAsia="Arial" w:hAnsi="Arial"/>
          <w:sz w:val="19"/>
          <w:szCs w:val="19"/>
          <w:color w:val="454546"/>
        </w:rPr>
      </w:pPr>
    </w:p>
    <w:p>
      <w:pPr>
        <w:ind w:left="980" w:hanging="491"/>
        <w:spacing w:after="0"/>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financial performance;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facilities;</w:t>
      </w:r>
    </w:p>
    <w:p>
      <w:pPr>
        <w:spacing w:after="0" w:line="133" w:lineRule="exact"/>
        <w:rPr>
          <w:rFonts w:ascii="Arial" w:cs="Arial" w:eastAsia="Arial" w:hAnsi="Arial"/>
          <w:sz w:val="20"/>
          <w:szCs w:val="20"/>
          <w:color w:val="454546"/>
        </w:rPr>
      </w:pPr>
    </w:p>
    <w:p>
      <w:pPr>
        <w:ind w:left="980" w:right="120" w:hanging="491"/>
        <w:spacing w:after="0" w:line="304" w:lineRule="auto"/>
        <w:tabs>
          <w:tab w:leader="none" w:pos="980" w:val="left"/>
        </w:tabs>
        <w:numPr>
          <w:ilvl w:val="0"/>
          <w:numId w:val="4"/>
        </w:numPr>
        <w:rPr>
          <w:rFonts w:ascii="Arial" w:cs="Arial" w:eastAsia="Arial" w:hAnsi="Arial"/>
          <w:sz w:val="19"/>
          <w:szCs w:val="19"/>
          <w:color w:val="454546"/>
        </w:rPr>
      </w:pPr>
      <w:r>
        <w:rPr>
          <w:rFonts w:ascii="Times New Roman" w:cs="Times New Roman" w:eastAsia="Times New Roman" w:hAnsi="Times New Roman"/>
          <w:sz w:val="19"/>
          <w:szCs w:val="19"/>
          <w:color w:val="454546"/>
        </w:rPr>
        <w:t>the period over which we estimate our existing cash, cash equivalents and investments in marketable securities will be sufficient to fund our future operating expenses and capital expenditure requirements;</w:t>
      </w:r>
    </w:p>
    <w:p>
      <w:pPr>
        <w:spacing w:after="0" w:line="39" w:lineRule="exact"/>
        <w:rPr>
          <w:rFonts w:ascii="Arial" w:cs="Arial" w:eastAsia="Arial" w:hAnsi="Arial"/>
          <w:sz w:val="19"/>
          <w:szCs w:val="19"/>
          <w:color w:val="454546"/>
        </w:rPr>
      </w:pPr>
    </w:p>
    <w:p>
      <w:pPr>
        <w:ind w:left="980" w:right="160" w:hanging="491"/>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critical accounting policies on investor’s ability to understand our financial performance; and</w:t>
      </w:r>
    </w:p>
    <w:p>
      <w:pPr>
        <w:spacing w:after="0" w:line="64" w:lineRule="exact"/>
        <w:rPr>
          <w:rFonts w:ascii="Arial" w:cs="Arial" w:eastAsia="Arial" w:hAnsi="Arial"/>
          <w:sz w:val="20"/>
          <w:szCs w:val="20"/>
          <w:color w:val="454546"/>
        </w:rPr>
      </w:pPr>
    </w:p>
    <w:p>
      <w:pPr>
        <w:ind w:left="980" w:right="80" w:hanging="491"/>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expectations regarding the period during which we will remain an emerging growth company under the JOBS Act.</w:t>
      </w:r>
    </w:p>
    <w:p>
      <w:pPr>
        <w:spacing w:after="0" w:line="5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454546"/>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w:t>
      </w:r>
    </w:p>
    <w:p>
      <w:pPr>
        <w:sectPr>
          <w:pgSz w:w="11880" w:h="15480" w:orient="portrait"/>
          <w:cols w:equalWidth="0" w:num="1">
            <w:col w:w="9360"/>
          </w:cols>
          <w:pgMar w:left="1260" w:top="1254" w:right="126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454546"/>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We are a clinical-stage biotechnology company committed to a bold mission: to discover, develop and deliver potentially curative therapies that address the underlying drivers of heart disease. Heart disease is the leading cause of death in the world, representing an estimated 32% of all global fatalities. In the United States (U.S.), one in every five deaths is attributable to heart disease, and an estimated 40,000 infants are born each year with congenital heart conditions. While there is a clear need for improved treatments, the rate of cardiovascular drug product approvals has declined in recent years and few of the approved treatments address the underlying cause of such diseases.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Our collective understanding of the links between heart disease and genetic factors is increasing exponentially, creating new opportunities for the advancement of novel disease-modifying therapeutics that target the underlying cause of disease. Roughly one-third to one-half of all heart diseases are linked to genetic risks, regardless of major racial and ethnic backgrounds, and there are over 250 known genetically defined disorders where the primary source of morbidity and mortality involves the heart. Leveraging this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w:t>
      </w:r>
    </w:p>
    <w:p>
      <w:pPr>
        <w:spacing w:after="0" w:line="8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Our goal is to build a leading fully-integrated biopharmaceutical company focused on precision medicines for heart disease. We believe that our drug development efforts benefit from a deep understanding of the underlying causes of disease for specific subpopulations of patients within both rare and prevalent forms of heart disease. We have invested in differentiated capabilities that enable target identification, target validation, and drug discovery that is anchored in human genetics and the use of human disease models. These capabilities, and the insights they enable, allow us to generate promising leads for drug development in a modality agnostic manner, and help us to prioritize the best approaches to address the underlying disease biology using a range of methods, including but not restricted to gene therapy, gene editing, small molecules, gene silencing, and regenerative medicine approaches. We have to date made a deliberate effort to internalize and integrate the capabilities necessary to design, develop, and manufacture medicines that are based on the use of AAVs as the method of delivery to the heart, which are most relevant for our efforts in gene therapy, gene editing, or cardiac regeneration. For programs addressing relatively rare conditions – for example, potentially curative genetic medicines for genetic cardiomyopathies – our strategy is to develop, manufacture, and commercialize at least some of these programs on our own, although we may selectively consider partnerships to access technology, accelerate our progress, or improve our global reach to patients. Where our discovery efforts lead to product candidates intended for relatively prevalent indications – for example, small molecules or genetic medicines for heart failure with preserved ejection fraction (HFpEF) – our strategy is to out-license or partner such programs earlier during preclinical or clinical development.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Our Product Pipeline</w:t>
      </w:r>
    </w:p>
    <w:p>
      <w:pPr>
        <w:spacing w:after="0" w:line="12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We are advancing a deep and diverse pipeline of product candidates intended to target the underlying causes of rare and highly prevalent forms of heart disease.</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w:t>
      </w:r>
    </w:p>
    <w:p>
      <w:pPr>
        <w:sectPr>
          <w:pgSz w:w="11880" w:h="15480" w:orient="portrait"/>
          <w:cols w:equalWidth="0" w:num="1">
            <w:col w:w="9360"/>
          </w:cols>
          <w:pgMar w:left="1260" w:top="1236" w:right="126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1054735</wp:posOffset>
            </wp:positionH>
            <wp:positionV relativeFrom="page">
              <wp:posOffset>800100</wp:posOffset>
            </wp:positionV>
            <wp:extent cx="5435600" cy="2639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435600" cy="263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Each of our most advanced product candidates, TN-201, TN-401, and TN-301, emerged from an initial examination of the genetic underpinnings of heart conditions and has progressed to clinical stage with the support of our proprietary internal capabilities.</w:t>
      </w:r>
    </w:p>
    <w:p>
      <w:pPr>
        <w:spacing w:after="0" w:line="83" w:lineRule="exact"/>
        <w:rPr>
          <w:sz w:val="20"/>
          <w:szCs w:val="20"/>
          <w:color w:val="auto"/>
        </w:rPr>
      </w:pPr>
    </w:p>
    <w:p>
      <w:pPr>
        <w:ind w:left="980" w:hanging="491"/>
        <w:spacing w:after="0" w:line="237"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TN-201 gene therapy for hypertrophic cardiomyopathy (HCM) caused by variants in the Myosin Binding Protein C3 (MYBPC3) gene: </w:t>
      </w:r>
      <w:r>
        <w:rPr>
          <w:rFonts w:ascii="Times New Roman" w:cs="Times New Roman" w:eastAsia="Times New Roman" w:hAnsi="Times New Roman"/>
          <w:sz w:val="20"/>
          <w:szCs w:val="20"/>
          <w:color w:val="454546"/>
        </w:rPr>
        <w:t>TN-201 is our adeno-associated virus serotype 9 (AAV9)-based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gene therapy being developed to treat the underlying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by delivering a working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to specific cells of the heart via a single infusion.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mutations are the most common genetic cause of HCM, accounting for approximately 20% of the overall HCM population or more than 115,000 people in the U.S. alone. Patients may experience serious complications such as shortness of breath, fainting and palpitations, significant impairment in overall quality of life, heart failure, and sudden cardiac death. We are currently conducting the Phase 1b MyPeak</w:t>
      </w:r>
      <w:r>
        <w:rPr>
          <w:rFonts w:ascii="Times New Roman" w:cs="Times New Roman" w:eastAsia="Times New Roman" w:hAnsi="Times New Roman"/>
          <w:sz w:val="26"/>
          <w:szCs w:val="26"/>
          <w:color w:val="454546"/>
          <w:vertAlign w:val="superscript"/>
        </w:rPr>
        <w:t>TM</w:t>
      </w:r>
      <w:r>
        <w:rPr>
          <w:rFonts w:ascii="Times New Roman" w:cs="Times New Roman" w:eastAsia="Times New Roman" w:hAnsi="Times New Roman"/>
          <w:sz w:val="20"/>
          <w:szCs w:val="20"/>
          <w:color w:val="454546"/>
        </w:rPr>
        <w:t xml:space="preserve">-1 clinical trial in symptomatic adults diagnosed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nonobstructive HCM, for which the first subject was dosed in October 2023 and initial data are anticipated in the second half of 2024. TN-201 has received orphan drug designation from the FDA and orphan medicinal product designation from the European Commission (EC), as well as Fast Track Designation from the FDA.</w:t>
      </w:r>
    </w:p>
    <w:p>
      <w:pPr>
        <w:spacing w:after="0" w:line="102" w:lineRule="exact"/>
        <w:rPr>
          <w:rFonts w:ascii="Arial" w:cs="Arial" w:eastAsia="Arial" w:hAnsi="Arial"/>
          <w:sz w:val="20"/>
          <w:szCs w:val="20"/>
          <w:color w:val="454546"/>
        </w:rPr>
      </w:pPr>
    </w:p>
    <w:p>
      <w:pPr>
        <w:ind w:left="980" w:right="40" w:hanging="491"/>
        <w:spacing w:after="0" w:line="237"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TN-401 gene therapy for arrhythmogenic right ventricular cardiomyopathy (ARVC) caused by variants in the Plakophilin-2 (PKP2) gene: </w:t>
      </w:r>
      <w:r>
        <w:rPr>
          <w:rFonts w:ascii="Times New Roman" w:cs="Times New Roman" w:eastAsia="Times New Roman" w:hAnsi="Times New Roman"/>
          <w:sz w:val="20"/>
          <w:szCs w:val="20"/>
          <w:color w:val="454546"/>
        </w:rPr>
        <w:t>TN-401 is our AAV9-based gene therapy being developed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for the treatment of ARVC due to disease-causing variants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are the most common genetic cause of ARVC, also known as arrhythmogenic cardiomyopathy (ACM), a condition characterized by arrhythmias, palpitations, lightheadedness, dizziness and fainting that typically strikes before age 40. The prevalence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is estimated at more than 70,000 people in the U.S. alone, though it frequently goes undiagnosed as sudden cardiac death is the first sign of disease in nearly one quarter of known cases. We received clearance of our IND application for TN-401 in October 2023 from the FDA and expect to commence patient dosing in the Phase 1b RIDGE</w:t>
      </w:r>
      <w:r>
        <w:rPr>
          <w:rFonts w:ascii="Times New Roman" w:cs="Times New Roman" w:eastAsia="Times New Roman" w:hAnsi="Times New Roman"/>
          <w:sz w:val="26"/>
          <w:szCs w:val="26"/>
          <w:color w:val="454546"/>
          <w:vertAlign w:val="superscript"/>
        </w:rPr>
        <w:t>TM</w:t>
      </w:r>
      <w:r>
        <w:rPr>
          <w:rFonts w:ascii="Times New Roman" w:cs="Times New Roman" w:eastAsia="Times New Roman" w:hAnsi="Times New Roman"/>
          <w:sz w:val="20"/>
          <w:szCs w:val="20"/>
          <w:color w:val="454546"/>
        </w:rPr>
        <w:t>-1 clinical trial of TN-401 in the second half of 2024. TN-401 has received orphan drug designation from the FDA and orphan medicinal product designation from the EC, as well as Fast Track Designation from the FDA.</w:t>
      </w:r>
    </w:p>
    <w:p>
      <w:pPr>
        <w:spacing w:after="0" w:line="99" w:lineRule="exact"/>
        <w:rPr>
          <w:rFonts w:ascii="Arial" w:cs="Arial" w:eastAsia="Arial" w:hAnsi="Arial"/>
          <w:sz w:val="20"/>
          <w:szCs w:val="20"/>
          <w:color w:val="454546"/>
        </w:rPr>
      </w:pPr>
    </w:p>
    <w:p>
      <w:pPr>
        <w:ind w:left="980" w:right="140" w:hanging="491"/>
        <w:spacing w:after="0" w:line="246"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TN-301 small molecule histone deacetylase-6 (HDAC6) inhibitor for the potential treatment of HFpEF: </w:t>
      </w:r>
      <w:r>
        <w:rPr>
          <w:rFonts w:ascii="Times New Roman" w:cs="Times New Roman" w:eastAsia="Times New Roman" w:hAnsi="Times New Roman"/>
          <w:sz w:val="20"/>
          <w:szCs w:val="20"/>
          <w:color w:val="454546"/>
        </w:rPr>
        <w:t>HFpEF accounts for approximately 50 percent of all heart failure, or an estimated 3 million</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patients in the U.S. alone. We initially discovered the cardioprotective qualities of selective HDAC6 inhibition in a genetic model of dilated cardiomyopathy. In preclinical studies, TN-301 was subsequently shown to reverse many of the signs and symptoms of HFpEF, with evidence of improved cardiac function and glucose tolerance and reduced inflammation and fibrosis. In 2023, we completed Phase 1 clinical testing of TN-301 in healthy volunteers, observing an encouraging safety profile,</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w:t>
      </w:r>
    </w:p>
    <w:p>
      <w:pPr>
        <w:sectPr>
          <w:pgSz w:w="11880" w:h="15480" w:orient="portrait"/>
          <w:cols w:equalWidth="0" w:num="1">
            <w:col w:w="9360"/>
          </w:cols>
          <w:pgMar w:left="1260" w:top="1440" w:right="1260" w:bottom="0" w:gutter="0" w:footer="0" w:header="0"/>
          <w:type w:val="continuous"/>
        </w:sectPr>
      </w:pPr>
    </w:p>
    <w:bookmarkStart w:id="8" w:name="page9"/>
    <w:bookmarkEnd w:id="8"/>
    <w:p>
      <w:pPr>
        <w:ind w:left="980" w:right="100"/>
        <w:spacing w:after="0" w:line="252" w:lineRule="auto"/>
        <w:rPr>
          <w:sz w:val="20"/>
          <w:szCs w:val="20"/>
          <w:color w:val="auto"/>
        </w:rPr>
      </w:pPr>
      <w:r>
        <w:rPr>
          <w:rFonts w:ascii="Times New Roman" w:cs="Times New Roman" w:eastAsia="Times New Roman" w:hAnsi="Times New Roman"/>
          <w:sz w:val="20"/>
          <w:szCs w:val="20"/>
          <w:color w:val="454546"/>
        </w:rPr>
        <w:t>suitability for once-daily dosing, and dose-dependent target engagement. Due to the large HFpEF patient population, we believe that TN-301’s late-stage development and commercialization would best be led by a strategic pharmaceutical partner with the global resources to explore the full potential of the molecule and are currently evaluating opportunities to partner TN-301.</w:t>
      </w:r>
    </w:p>
    <w:p>
      <w:pPr>
        <w:spacing w:after="0" w:line="7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 Today, our pipeline consists of programs to which we have exclusive worldwide rights and that have emerged from our internal efforts, with select product candidates originating based on intellectual property licensed from academic institutions.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Our Integrated Capabilities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Our distinct suite of integrated capabilities broadly enable target identification and validation, design of AAV-based genetic medicines and in-house manufacturing to support our efforts to discover and develop disease-modifying treatments focused on heart disease. We have invested in our interrelated capabilities, including the use of human-induced Pluripotent Stem Cell (iPSC) and engineered heart tissue disease models, machine learning and phenotypic screening, capsid engineering and novel promoter constructs, to enable the discovery, design, delivery and development of therapeutics that are best suited to a given cardiovascular condition. We have also chosen to have complete ownership of process development, analytical development, and quality control for our gene therapy product candidates and produce our AAV-based gene therapy candidates at our Good Manufacturing Practice (cGMP)-certified Genetic Medicines Manufacturing Center (GMMC) in Union City, California. We continue to invest in complementary new technologies and the optimization of our existing proprietary capabilities with the aim of increasing the safety and efficacy of genetic medicines, accelerating early-stage discovery and preclinical optimization and, reducing the overall cost of goods by increasing manufacturing productivity.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 of Heart Disease</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Heart disease is the leading cause of death in the world, representing an estimated 32% of all global fatalities. The heart is a complex organ due to its biological structure as well as its tightly regulated and coordinated electrophysiological and biomechanical properties. Heart disease comes in many forms, affects individuals at many ages, and is a result of many factors. In each case, the underlying cause could be genetic or due to normal aging or due to environmental factors. Our initial research and development focus has been on the genetics associated with conditions affecting the heart muscle, also known as cardiomyopathies, that can lead to heart failure. Heart failure occurs when the heart cannot pump enough blood to meet the body’s demands. Rates of heart failure are on the rise, and a recent study places the lifetime risk of heart failure at 24%. In spite of recent advancements in heart failure treatment, the five-year mortality rate remains 50%, highlighting the need for improved treatments.</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Historically, the most common treatments for heart disease have been aimed at broadly addressing symptoms and the development of novel treatments has been stymied by the need for lengthy studies primarily focused on survival and hospitalization outcomes. Such studies required enrolling large, heterogeneous patient populations in an effort to achieve statistically significant signals of efficacy. Consequently, innovation in heart disease drug development has lagged in comparison to therapeutic areas such as oncology and rare diseases where more targeted approaches have achieved clinical and regulatory success.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Growing Momentum for Precision Approaches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In the past several years, increasing clinical and regulatory validation for more targeted approaches have emerged for precision approaches to heart disease and AAV-based gene therapies. These include FDA draft guidance supporting smaller clinical studies that emphasize the use of clinically meaningful endpoints of “feel and function” and a small but growing number of examples of clinical success and regulatory approvals for disease-modifying treatments geared toward targeted disease populations, including in genetic cardiomyopathies, that have followed similar development and regulatory paths.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A combination of increasing insights into the genetic causes of heart disease and recognition of the importance of genetic testing support the discovery, development and commercial opportunities for precision medicines that target the underlying genetic cause of heart conditions. More than 250 genetically defined disorders are now known where the primary source of morbidity and mortality involves the heart, providing numerous potentially druggable targets for characterization. Updated clinical practice guidelines from the American College of Cardiology,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w:t>
      </w:r>
    </w:p>
    <w:p>
      <w:pPr>
        <w:sectPr>
          <w:pgSz w:w="11880" w:h="15480" w:orient="portrait"/>
          <w:cols w:equalWidth="0" w:num="1">
            <w:col w:w="9360"/>
          </w:cols>
          <w:pgMar w:left="1260" w:top="1240" w:right="1260" w:bottom="0" w:gutter="0" w:footer="0" w:header="0"/>
          <w:type w:val="continuous"/>
        </w:sectPr>
      </w:pPr>
    </w:p>
    <w:bookmarkStart w:id="9" w:name="page10"/>
    <w:bookmarkEnd w:id="9"/>
    <w:p>
      <w:pPr>
        <w:ind w:right="300"/>
        <w:spacing w:after="0" w:line="258" w:lineRule="auto"/>
        <w:rPr>
          <w:sz w:val="20"/>
          <w:szCs w:val="20"/>
          <w:color w:val="auto"/>
        </w:rPr>
      </w:pPr>
      <w:r>
        <w:rPr>
          <w:rFonts w:ascii="Times New Roman" w:cs="Times New Roman" w:eastAsia="Times New Roman" w:hAnsi="Times New Roman"/>
          <w:sz w:val="20"/>
          <w:szCs w:val="20"/>
          <w:color w:val="454546"/>
        </w:rPr>
        <w:t>American Heart Association and European Society of Cardiology recommending genetic testing and family counseling, and the push for mandatory screening of young athletes, are all leading to improved access to genetic testing, patient diagnosis and disease management.</w:t>
      </w:r>
    </w:p>
    <w:p>
      <w:pPr>
        <w:spacing w:after="0" w:line="6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At the same time, the field of gene therapy drug development has matured. The safety and efficacy of genetic medicines, and AAV9-based gene therapies in particular, continues to grow with multiple new regulatory approvals in recent years resulting in thousands of patients dosed worldwide. A study by the Association for Regenerative Medicine found that gene therapies for rare disease have a 2 to 3.5-fold higher likelihood of achieving regulatory approval as compared to other modalities. This report is bolstered by FDA actions with gene therapy sponsors indicating a willingness to consider surrogate markers of efficacy and expedited regulatory review, as well as the FDA’s issuance of important guidance to help streamline the development of gene therapies and mitigate safety and tolerability concerns that can delay development timelines.</w:t>
      </w:r>
    </w:p>
    <w:p>
      <w:pPr>
        <w:spacing w:after="0" w:line="82"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We believe with the evolving understanding of heart disease, and the genetic underpinnings of disease in particular, there are significant opportunities where our proprietary capabilities and singular focus will enable us to benefit from and support the evolution towards more precise diagnosis, drug development, and treatment for heart disease.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Strategy</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Our goal is to become a leading, fully integrated biotechnology company delivering next-generation therapies that address the underlying causes of heart disease.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spacing w:after="0" w:line="87" w:lineRule="exact"/>
        <w:rPr>
          <w:sz w:val="20"/>
          <w:szCs w:val="20"/>
          <w:color w:val="auto"/>
        </w:rPr>
      </w:pPr>
    </w:p>
    <w:p>
      <w:pPr>
        <w:ind w:left="980" w:right="80" w:hanging="491"/>
        <w:spacing w:after="0" w:line="246"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Focus exclusively on heart disease</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Heart disease remains a leading cause of death globally, and the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93" w:lineRule="exact"/>
        <w:rPr>
          <w:rFonts w:ascii="Arial" w:cs="Arial" w:eastAsia="Arial" w:hAnsi="Arial"/>
          <w:sz w:val="20"/>
          <w:szCs w:val="20"/>
          <w:color w:val="454546"/>
        </w:rPr>
      </w:pPr>
    </w:p>
    <w:p>
      <w:pPr>
        <w:ind w:left="980" w:right="60" w:hanging="491"/>
        <w:spacing w:after="0" w:line="248"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Develop disease-modifying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We are focused on developing disease-modifying and potentially</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life-saving novel therapies that 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therapy candidates for genetically defined conditions have the potential to be curative after a single dose.</w:t>
      </w:r>
    </w:p>
    <w:p>
      <w:pPr>
        <w:spacing w:after="0" w:line="110" w:lineRule="exact"/>
        <w:rPr>
          <w:rFonts w:ascii="Arial" w:cs="Arial" w:eastAsia="Arial" w:hAnsi="Arial"/>
          <w:sz w:val="20"/>
          <w:szCs w:val="20"/>
          <w:color w:val="454546"/>
        </w:rPr>
      </w:pPr>
    </w:p>
    <w:p>
      <w:pPr>
        <w:ind w:left="980" w:right="140" w:hanging="491"/>
        <w:spacing w:after="0" w:line="246"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Target defined sub-populations of patients most likely to respond to our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We seek to focus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on patient populations where the genetic cause of the disease is well-established, including genetic cardiomyopathies and other monogenic disorders. We also seek to use different strategies to sub-segment larger heart failure populations through the use of genetics or biomarkers to improve selection of patients with attributes that are more suited to the specific mechanism of action of a given product candidate. We believe this strategy can accelerate clinical development, reduce overall development costs, and improve the probability of clinical and regulatory success.</w:t>
      </w:r>
    </w:p>
    <w:p>
      <w:pPr>
        <w:spacing w:after="0" w:line="93" w:lineRule="exact"/>
        <w:rPr>
          <w:rFonts w:ascii="Arial" w:cs="Arial" w:eastAsia="Arial" w:hAnsi="Arial"/>
          <w:sz w:val="20"/>
          <w:szCs w:val="20"/>
          <w:color w:val="454546"/>
        </w:rPr>
      </w:pPr>
    </w:p>
    <w:p>
      <w:pPr>
        <w:ind w:left="980" w:right="160" w:hanging="491"/>
        <w:spacing w:after="0" w:line="245"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Internalize and integrate core capabilities to support our innovation</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Powering our drug discovery</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engine are genetic insights into cardiac biology, coupled with a suite of core capabilities centered on modality agnostic target discovery and validation and design, production and delivery know-how for AAV-based genetic medicines.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contract research organizations (CROs), or contract development and manufacturing organizations (CDMOs)—providing us better control of our timelines and costs.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w:t>
      </w:r>
    </w:p>
    <w:p>
      <w:pPr>
        <w:sectPr>
          <w:pgSz w:w="11880" w:h="15480" w:orient="portrait"/>
          <w:cols w:equalWidth="0" w:num="1">
            <w:col w:w="9360"/>
          </w:cols>
          <w:pgMar w:left="1260" w:top="1240" w:right="1260" w:bottom="0" w:gutter="0" w:footer="0" w:header="0"/>
          <w:type w:val="continuous"/>
        </w:sectPr>
      </w:pPr>
    </w:p>
    <w:bookmarkStart w:id="10" w:name="page11"/>
    <w:bookmarkEnd w:id="10"/>
    <w:p>
      <w:pPr>
        <w:ind w:left="980" w:hanging="491"/>
        <w:spacing w:after="0" w:line="245" w:lineRule="auto"/>
        <w:tabs>
          <w:tab w:leader="none" w:pos="98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Advance a deep and diverse pipeline of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The diversity of our programs illustrates the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ambition of our vision and the versatility and depth of our scientific approach. Our pipeline includes therapeutics for both rare and prevalent heart diseases across multiple treatment modalities. Our most advanced rare disease programs include two AAV-based gene therapy candidates in early clinical development: TN-201, our product candidate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and TN-401, our product candidate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TN-301, a small molecule inhibitor of HDAC6 intended to address HFpEF has successfully completed a Phase 1 clinical trial. We are also working on several other early-stage programs, that we believe will add to our future pipeline opportunities.</w:t>
      </w:r>
    </w:p>
    <w:p>
      <w:pPr>
        <w:spacing w:after="0" w:line="99" w:lineRule="exact"/>
        <w:rPr>
          <w:rFonts w:ascii="Arial" w:cs="Arial" w:eastAsia="Arial" w:hAnsi="Arial"/>
          <w:sz w:val="20"/>
          <w:szCs w:val="20"/>
          <w:color w:val="454546"/>
        </w:rPr>
      </w:pPr>
    </w:p>
    <w:p>
      <w:pPr>
        <w:ind w:left="980" w:hanging="491"/>
        <w:spacing w:after="0" w:line="246" w:lineRule="auto"/>
        <w:tabs>
          <w:tab w:leader="none" w:pos="98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Seek partnerships that can expand our reach and accelerate our efforts. </w:t>
      </w:r>
      <w:r>
        <w:rPr>
          <w:rFonts w:ascii="Times New Roman" w:cs="Times New Roman" w:eastAsia="Times New Roman" w:hAnsi="Times New Roman"/>
          <w:sz w:val="20"/>
          <w:szCs w:val="20"/>
          <w:color w:val="454546"/>
        </w:rPr>
        <w:t>We believe our singular focus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on heart disease and extensive platform and 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93" w:lineRule="exact"/>
        <w:rPr>
          <w:rFonts w:ascii="Arial" w:cs="Arial" w:eastAsia="Arial" w:hAnsi="Arial"/>
          <w:sz w:val="20"/>
          <w:szCs w:val="20"/>
          <w:color w:val="454546"/>
        </w:rPr>
      </w:pPr>
    </w:p>
    <w:p>
      <w:pPr>
        <w:ind w:left="980" w:right="160" w:hanging="491"/>
        <w:spacing w:after="0" w:line="258" w:lineRule="auto"/>
        <w:tabs>
          <w:tab w:leader="none" w:pos="98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Become a fully integrated biopharmaceutical company with commercial capabilities. </w:t>
      </w:r>
      <w:r>
        <w:rPr>
          <w:rFonts w:ascii="Times New Roman" w:cs="Times New Roman" w:eastAsia="Times New Roman" w:hAnsi="Times New Roman"/>
          <w:sz w:val="20"/>
          <w:szCs w:val="20"/>
          <w:color w:val="454546"/>
        </w:rPr>
        <w:t>We aim to</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discover, develop, manufacture, and eventually commercialize therapies, with an initial focus on those therapies for rare disease populations that could be marketed by a relatively small salesforce.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Gene Therapy Programs</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Gene therapy is a way of treating or preventing diseases or medical conditions caused by genetic mutations. Our initial programs target loss-of-function mutations that affect that gene’s ability to make a protein where the resulting protein deficiency is pathogenic. Gene therapy replaces the mutated gene by delivering a working gene to target cells in order to restore healthy function and thereby address the underlying cause of a disease.</w:t>
      </w:r>
    </w:p>
    <w:p>
      <w:pPr>
        <w:spacing w:after="0" w:line="18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We utilize AAVs, and specifically AAV9, to deliver the therapeutic working gene to target cells of the heart muscle. AAVs are naturally occurring viruses that are not known to cause diseases in people and are the most common viral vectors used in gene therapy. Viral DNA is removed and the resulting viral shell, or capsid, is loaded with a working gene and regulatory elements to ensure preferential delivery to target tissues and successful transduction. AAV9 is the most widely studied and clinically validated capsid and has been proven to transduce human cardiomyocytes.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TN-201: Gene Therapy for MYBPC3-associated HCM</w:t>
      </w:r>
    </w:p>
    <w:p>
      <w:pPr>
        <w:spacing w:after="0" w:line="120" w:lineRule="exact"/>
        <w:rPr>
          <w:sz w:val="20"/>
          <w:szCs w:val="20"/>
          <w:color w:val="auto"/>
        </w:rPr>
      </w:pPr>
    </w:p>
    <w:p>
      <w:pPr>
        <w:ind w:right="180" w:firstLine="490"/>
        <w:spacing w:after="0" w:line="265" w:lineRule="auto"/>
        <w:rPr>
          <w:sz w:val="20"/>
          <w:szCs w:val="20"/>
          <w:color w:val="auto"/>
        </w:rPr>
      </w:pPr>
      <w:r>
        <w:rPr>
          <w:rFonts w:ascii="Times New Roman" w:cs="Times New Roman" w:eastAsia="Times New Roman" w:hAnsi="Times New Roman"/>
          <w:sz w:val="19"/>
          <w:szCs w:val="19"/>
          <w:color w:val="454546"/>
        </w:rPr>
        <w:t xml:space="preserve">We are developing TN-201, an investigational and potential first-in-class and best-in-class AAV-based gene therapy for </w:t>
      </w:r>
      <w:r>
        <w:rPr>
          <w:rFonts w:ascii="Times New Roman" w:cs="Times New Roman" w:eastAsia="Times New Roman" w:hAnsi="Times New Roman"/>
          <w:sz w:val="19"/>
          <w:szCs w:val="19"/>
          <w:i w:val="1"/>
          <w:iCs w:val="1"/>
          <w:color w:val="454546"/>
        </w:rPr>
        <w:t>MYBPC3</w:t>
      </w:r>
      <w:r>
        <w:rPr>
          <w:rFonts w:ascii="Times New Roman" w:cs="Times New Roman" w:eastAsia="Times New Roman" w:hAnsi="Times New Roman"/>
          <w:sz w:val="19"/>
          <w:szCs w:val="19"/>
          <w:color w:val="454546"/>
        </w:rPr>
        <w:t xml:space="preserve">-associated HCM. </w:t>
      </w:r>
      <w:r>
        <w:rPr>
          <w:rFonts w:ascii="Times New Roman" w:cs="Times New Roman" w:eastAsia="Times New Roman" w:hAnsi="Times New Roman"/>
          <w:sz w:val="19"/>
          <w:szCs w:val="19"/>
          <w:i w:val="1"/>
          <w:iCs w:val="1"/>
          <w:color w:val="454546"/>
        </w:rPr>
        <w:t>MYBPC3</w:t>
      </w:r>
      <w:r>
        <w:rPr>
          <w:rFonts w:ascii="Times New Roman" w:cs="Times New Roman" w:eastAsia="Times New Roman" w:hAnsi="Times New Roman"/>
          <w:sz w:val="19"/>
          <w:szCs w:val="19"/>
          <w:color w:val="454546"/>
        </w:rPr>
        <w:t xml:space="preserve"> genetic mutations are the most common cause of familial HCM. These mutations can cause the heart walls of affected individuals to become significantly thickened, leading to fibrosis, abnormal heart rhythms, cardiac dysfunction, heart failure, and increased risk of sudden cardiac death. There are currently no approved therapies that address the underlying cause of </w:t>
      </w:r>
      <w:r>
        <w:rPr>
          <w:rFonts w:ascii="Times New Roman" w:cs="Times New Roman" w:eastAsia="Times New Roman" w:hAnsi="Times New Roman"/>
          <w:sz w:val="19"/>
          <w:szCs w:val="19"/>
          <w:i w:val="1"/>
          <w:iCs w:val="1"/>
          <w:color w:val="454546"/>
        </w:rPr>
        <w:t>MYBPC3</w:t>
      </w:r>
      <w:r>
        <w:rPr>
          <w:rFonts w:ascii="Times New Roman" w:cs="Times New Roman" w:eastAsia="Times New Roman" w:hAnsi="Times New Roman"/>
          <w:sz w:val="19"/>
          <w:szCs w:val="19"/>
          <w:color w:val="454546"/>
        </w:rPr>
        <w:t>-associated HCM.</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HCM</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HCM is a condition in which the heart walls become thickened (hypertrophy), resulting in a reduced ability of the left ventricle (LV) to relax and fill (diastole) and pump (systole) blood effectively with each contraction.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disease course is typically more aggressive and prognosis is worse than that observed in older patients. While a relatively rare occurrence, HCM is the leading cause of sudden cardiac death in young adults.</w:t>
      </w:r>
    </w:p>
    <w:p>
      <w:pPr>
        <w:spacing w:after="0" w:line="82" w:lineRule="exact"/>
        <w:rPr>
          <w:sz w:val="20"/>
          <w:szCs w:val="20"/>
          <w:color w:val="auto"/>
        </w:rPr>
      </w:pPr>
    </w:p>
    <w:p>
      <w:pPr>
        <w:jc w:val="both"/>
        <w:ind w:right="160" w:firstLine="490"/>
        <w:spacing w:after="0" w:line="277" w:lineRule="auto"/>
        <w:rPr>
          <w:sz w:val="20"/>
          <w:szCs w:val="20"/>
          <w:color w:val="auto"/>
        </w:rPr>
      </w:pPr>
      <w:r>
        <w:rPr>
          <w:rFonts w:ascii="Times New Roman" w:cs="Times New Roman" w:eastAsia="Times New Roman" w:hAnsi="Times New Roman"/>
          <w:sz w:val="20"/>
          <w:szCs w:val="20"/>
          <w:color w:val="454546"/>
        </w:rPr>
        <w:t>HCM is estimated to affect one in every 500 people, approximating more than 600,000 people in the U.S. A majority of HCM patients are currently undiagnosed, with diagnosis typically starting with the onset of symptoms,</w:t>
      </w:r>
    </w:p>
    <w:p>
      <w:pPr>
        <w:sectPr>
          <w:pgSz w:w="11880" w:h="15480" w:orient="portrait"/>
          <w:cols w:equalWidth="0" w:num="1">
            <w:col w:w="9340"/>
          </w:cols>
          <w:pgMar w:left="1260" w:top="125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7</w:t>
      </w:r>
    </w:p>
    <w:p>
      <w:pPr>
        <w:sectPr>
          <w:pgSz w:w="11880" w:h="15480" w:orient="portrait"/>
          <w:cols w:equalWidth="0" w:num="1">
            <w:col w:w="9340"/>
          </w:cols>
          <w:pgMar w:left="1260" w:top="1250" w:right="1280" w:bottom="0" w:gutter="0" w:footer="0" w:header="0"/>
          <w:type w:val="continuous"/>
        </w:sectPr>
      </w:pPr>
    </w:p>
    <w:bookmarkStart w:id="11" w:name="page12"/>
    <w:bookmarkEnd w:id="11"/>
    <w:p>
      <w:pPr>
        <w:ind w:right="20"/>
        <w:spacing w:after="0" w:line="243" w:lineRule="auto"/>
        <w:rPr>
          <w:sz w:val="20"/>
          <w:szCs w:val="20"/>
          <w:color w:val="auto"/>
        </w:rPr>
      </w:pPr>
      <w:r>
        <w:rPr>
          <w:rFonts w:ascii="Times New Roman" w:cs="Times New Roman" w:eastAsia="Times New Roman" w:hAnsi="Times New Roman"/>
          <w:sz w:val="20"/>
          <w:szCs w:val="20"/>
          <w:color w:val="454546"/>
        </w:rPr>
        <w:t xml:space="preserve">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 The genetic causes of HCM may be diverse, but approximately 60% of patients with HCM have clearly identifiable familial disease with an autosomal dominant pattern of inheritance. Mutations in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are estimated to represent approximately 20% of the overall HCM population and to affect approximately 115,000 patients in the 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result in both oHCM and nHCM, with one study involving a series of more than 1000 patients finding that 69% of patients with truncating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mutations had nHCM, while 31% presented with LVOT characteristic of oHCM.</w:t>
      </w:r>
    </w:p>
    <w:p>
      <w:pPr>
        <w:spacing w:after="0" w:line="8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Infants with homozygous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represent a particularly severe patient group with high risk of death within a year after birth without heart transplantation. With no ability to produce MyBP-C protein and no available treatment to address the underlying genetic mutation, the only option for this young patient population is a heart transplant. HCM patients who are heterozygous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are typically diagnosed earlier in life and have more severe disease associated with increases in arrhythmia, sudden cardiac death and cardiovascular mortality as compared to genotype negative HCM patients.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encodes the MyBP-C protein, which forms a key component of the cardiac sarcomere, the fundamental contractile unit of the cardiomyocyte. MyBP-C protein is central to regulation of both contraction and relaxation of the cardiac muscle. Reduced MyBP-C protein levels associated with heterozygous mutations in the </w:t>
      </w:r>
      <w:r>
        <w:rPr>
          <w:rFonts w:ascii="Times New Roman" w:cs="Times New Roman" w:eastAsia="Times New Roman" w:hAnsi="Times New Roman"/>
          <w:sz w:val="20"/>
          <w:szCs w:val="20"/>
          <w:i w:val="1"/>
          <w:iCs w:val="1"/>
          <w:color w:val="454546"/>
        </w:rPr>
        <w:t xml:space="preserve">MYBPC3 </w:t>
      </w:r>
      <w:r>
        <w:rPr>
          <w:rFonts w:ascii="Times New Roman" w:cs="Times New Roman" w:eastAsia="Times New Roman" w:hAnsi="Times New Roman"/>
          <w:sz w:val="20"/>
          <w:szCs w:val="20"/>
          <w:color w:val="454546"/>
        </w:rPr>
        <w:t>gene result in increased activity of the myosin contractile machinery, which over time leads to LV muscle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w:t>
      </w:r>
    </w:p>
    <w:p>
      <w:pPr>
        <w:spacing w:after="0" w:line="8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Analysis of the hearts of patients who carry truncation mutations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show on average an approximately 40% reduction in the level of functional MyBP-C protein. In the most severe cases in which both copies of the gene are affected, there is a complete lack of functional MyBP-C protein expression. We believe these findings support the idea that mutations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cause human disease through haploinsufficiency, and also support the hypothesis that gene replacement may address the underlying cause of disease by increasing the levels of functional MyBP-C protein.</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w:t>
      </w:r>
    </w:p>
    <w:p>
      <w:pPr>
        <w:spacing w:after="0" w:line="82" w:lineRule="exact"/>
        <w:rPr>
          <w:sz w:val="20"/>
          <w:szCs w:val="20"/>
          <w:color w:val="auto"/>
        </w:rPr>
      </w:pPr>
    </w:p>
    <w:p>
      <w:pPr>
        <w:ind w:right="60" w:firstLine="540"/>
        <w:spacing w:after="0" w:line="252" w:lineRule="auto"/>
        <w:rPr>
          <w:sz w:val="20"/>
          <w:szCs w:val="20"/>
          <w:color w:val="auto"/>
        </w:rPr>
      </w:pPr>
      <w:r>
        <w:rPr>
          <w:rFonts w:ascii="Times New Roman" w:cs="Times New Roman" w:eastAsia="Times New Roman" w:hAnsi="Times New Roman"/>
          <w:sz w:val="20"/>
          <w:szCs w:val="20"/>
          <w:color w:val="454546"/>
        </w:rPr>
        <w:t xml:space="preserve">In recent years, a class of agents known as myosin inhibitors have emerged as potential treatments for oHCM and nHCM. One of these agents, mavacamten, was approved by the FDA in April 2022 for the treatment of oHCM. Other agents continue to be evaluated in clinical studies. However, there are no therapies approved specifically for HCM patients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that address the underlying cause of the disease.</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We believe TN-201 has the potential to address the underlying biological basis of disease in adult and pediatric HCM patients with homozygous or heterozygous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Based on our preclinical data, TN-201 gene therapy has the potential to achieve highly selective and robust expression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and to</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8</w:t>
      </w:r>
    </w:p>
    <w:p>
      <w:pPr>
        <w:sectPr>
          <w:pgSz w:w="11880" w:h="15480" w:orient="portrait"/>
          <w:cols w:equalWidth="0" w:num="1">
            <w:col w:w="9360"/>
          </w:cols>
          <w:pgMar w:left="1260" w:top="1240" w:right="1260" w:bottom="0" w:gutter="0" w:footer="0" w:header="0"/>
          <w:type w:val="continuous"/>
        </w:sectPr>
      </w:pPr>
    </w:p>
    <w:bookmarkStart w:id="12" w:name="page13"/>
    <w:bookmarkEnd w:id="12"/>
    <w:p>
      <w:pPr>
        <w:spacing w:after="0" w:line="249" w:lineRule="auto"/>
        <w:rPr>
          <w:sz w:val="20"/>
          <w:szCs w:val="20"/>
          <w:color w:val="auto"/>
        </w:rPr>
      </w:pPr>
      <w:r>
        <w:rPr>
          <w:rFonts w:ascii="Times New Roman" w:cs="Times New Roman" w:eastAsia="Times New Roman" w:hAnsi="Times New Roman"/>
          <w:sz w:val="20"/>
          <w:szCs w:val="20"/>
          <w:color w:val="454546"/>
        </w:rPr>
        <w:t xml:space="preserve">slow or even reverse the course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including LV hypertrophy, outflow tract obstruction, heart failure, atrial fibrillation, and malignant arrhythmias. By improving upon these aspects of disease, TN-201 may improve heart functional capacity, stabilize or reverse disease symptoms, reduce the need for invasive treatments and improve survival. As with other AAV-based gene therapies, benefits are expected to be durable and a one-time dose may be sufficient to halt or even reverse disease.</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TN-201 Clinical Development Plan</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 xml:space="preserve">In October 2023, we dosed our first patient in MyPeak-1, our Phase 1b clinical trial of TN-201 in symptomatic adults with the nonobstructive form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MyPeak-1 is a multi-center, open-label clinical trial designed to assess the safety, tolerability and efficacy of a one-time intravenous infusion of TN-201. The trial will seek to enroll up to fifteen symptomatic (New York Heart Association class II or III) adults (ages 18-65) with low titers of AAV9 neutralizing antibodies who have been diagnosed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nHCM and have an implantable cardioverter defibrillator (ICD). Endpoints for the trial include safety and tolerability, pharmacokinetic (PK) (as measured by transgene and mRNA expression via cardiac biopsies), pharmacodynamic (PD) (as measured by imaging and plasma biomarkers), exercise capacity (as measured by a six-minute walk test and cardiopulmonary exercise testing (CPET)) and patient-reported outcomes (as measured by a Kansas City Cardiomyopathy Questionnaire). The trial will include a preventative immunosuppressive regimen and close safety monitoring, as well as a 5-year follow-up to evaluate long-term safety and efficacy. We plan to assess two dose levels of TN-201 in the trial, starting with 3×10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20"/>
          <w:szCs w:val="20"/>
          <w:color w:val="454546"/>
        </w:rPr>
        <w:t xml:space="preserve"> vg/kg, a dose associated with near-maximal efficacy in preclinical studies. Three patients are expected to be enrolled in the first dose cohort and will be dosed sequentially, with a pause between patient doses to monitor for safety. An independent safety review following the initial cohort will inform plans for dose escalation to 6×10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20"/>
          <w:szCs w:val="20"/>
          <w:color w:val="454546"/>
        </w:rPr>
        <w:t xml:space="preserve"> vg/kg, as needed, and/or enrollment of additional patients in the initial cohort. TN-201 has received orphan drug designation from the FDA and orphan medicinal product designation from the EC, as well as Fast Track Designation from the FDA. Initial data from the trial is anticipated in the second half of 2024.</w:t>
      </w:r>
    </w:p>
    <w:p>
      <w:pPr>
        <w:spacing w:after="0" w:line="8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In order to support our development efforts for TN-201, we have initiated two noninterventional studies: a study evaluating seroprevalence to AAV9 antibodies among adults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and MyClimb, a prospective and retrospective global natural history study focused on pediatric patients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as well as treatments and procedures. This study complements existing disease registries focused primarily on adult patient HCM populations and may support and expedite the development of TN-201 in the pediatric patient population. To date, we have activated more than 40 sites in the U.S. and Europe in connection with these noninterventional studies.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Evidence Supporting TN-201 Clinical Development</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 preclinical studies, we systemically administered a mouse surrogate of TN-201 (AAV:mMybpc3 or mTN-</w:t>
      </w:r>
    </w:p>
    <w:p>
      <w:pPr>
        <w:spacing w:after="0" w:line="28" w:lineRule="exact"/>
        <w:rPr>
          <w:sz w:val="20"/>
          <w:szCs w:val="20"/>
          <w:color w:val="auto"/>
        </w:rPr>
      </w:pPr>
    </w:p>
    <w:p>
      <w:pPr>
        <w:ind w:right="20"/>
        <w:spacing w:after="0"/>
        <w:tabs>
          <w:tab w:leader="none" w:pos="417"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 xml:space="preserve">in two-week-old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knockout (KO) mice.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model develops marked LV hypertrophy, poor cardiac function, and dilation at two-weeks of age, comparable to HCM patients with truncating or null mutations. Due to the severe phenotype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mice and the lack of any MyBP-C protein, this is considered a demanding model to demonstrate efficacy particularly for modeling heterozygous patients, who lack only 35% to 40% of normal sarcomeric MyBP-C protein levels. Treatment with mTN-201 improved LV hypertrophy and cardiac function compared to their pre-treatment baseline levels, indicating partial reversal of the disease and dramatically extended lifespan. Treated mice exhibited an absolute improvement of ejection fraction (EF) of more than 20% versus untreated controls that eventually increases to more than 30% at 13 months the last echocardiography measurement. EF and LV hypertrophy (LV mass normalized to body weight) improvements did not diminish over time, suggesting that a single systemic dose may be sufficient for a durable reversal of </w:t>
      </w:r>
      <w:r>
        <w:rPr>
          <w:rFonts w:ascii="Times New Roman" w:cs="Times New Roman" w:eastAsia="Times New Roman" w:hAnsi="Times New Roman"/>
          <w:sz w:val="20"/>
          <w:szCs w:val="20"/>
          <w:i w:val="1"/>
          <w:iCs w:val="1"/>
          <w:color w:val="454546"/>
        </w:rPr>
        <w:t>MYBPC3-associated</w:t>
      </w:r>
      <w:r>
        <w:rPr>
          <w:rFonts w:ascii="Times New Roman" w:cs="Times New Roman" w:eastAsia="Times New Roman" w:hAnsi="Times New Roman"/>
          <w:sz w:val="20"/>
          <w:szCs w:val="20"/>
          <w:color w:val="454546"/>
        </w:rPr>
        <w:t xml:space="preserve"> HCM. Additionally, we observed improvements in LV diameter and ECG measurements. There is also a clear survival benefit with 100% survival in the mTN-201 arm and 100% mortality in the untreated control arm out to 18 months following dosing.</w:t>
      </w:r>
    </w:p>
    <w:p>
      <w:pPr>
        <w:spacing w:after="0" w:line="92" w:lineRule="exact"/>
        <w:rPr>
          <w:sz w:val="20"/>
          <w:szCs w:val="20"/>
          <w:color w:val="auto"/>
        </w:rPr>
      </w:pPr>
    </w:p>
    <w:p>
      <w:pPr>
        <w:jc w:val="both"/>
        <w:ind w:right="60" w:firstLine="490"/>
        <w:spacing w:after="0" w:line="270" w:lineRule="auto"/>
        <w:rPr>
          <w:sz w:val="20"/>
          <w:szCs w:val="20"/>
          <w:color w:val="auto"/>
        </w:rPr>
      </w:pPr>
      <w:r>
        <w:rPr>
          <w:rFonts w:ascii="Times New Roman" w:cs="Times New Roman" w:eastAsia="Times New Roman" w:hAnsi="Times New Roman"/>
          <w:sz w:val="19"/>
          <w:szCs w:val="19"/>
          <w:color w:val="454546"/>
        </w:rPr>
        <w:t>In addition, a dose-response relationship has been demonstrated with mTN-201. Weight-based doses, 1×10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19"/>
          <w:szCs w:val="19"/>
          <w:color w:val="454546"/>
        </w:rPr>
        <w:t xml:space="preserve"> vg/kg, 3×10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19"/>
          <w:szCs w:val="19"/>
          <w:color w:val="454546"/>
        </w:rPr>
        <w:t xml:space="preserve"> vg/kg and 1×10</w:t>
      </w:r>
      <w:r>
        <w:rPr>
          <w:rFonts w:ascii="Times New Roman" w:cs="Times New Roman" w:eastAsia="Times New Roman" w:hAnsi="Times New Roman"/>
          <w:sz w:val="11"/>
          <w:szCs w:val="11"/>
          <w:color w:val="454546"/>
        </w:rPr>
        <w:t>14</w:t>
      </w:r>
      <w:r>
        <w:rPr>
          <w:rFonts w:ascii="Times New Roman" w:cs="Times New Roman" w:eastAsia="Times New Roman" w:hAnsi="Times New Roman"/>
          <w:sz w:val="19"/>
          <w:szCs w:val="19"/>
          <w:color w:val="454546"/>
        </w:rPr>
        <w:t xml:space="preserve"> vg/kg, all produced significant improvements in EF, LV hypertrophy, and measures of electrophysiological function (QT interval) at eight months post-injection in the </w:t>
      </w:r>
      <w:r>
        <w:rPr>
          <w:rFonts w:ascii="Times New Roman" w:cs="Times New Roman" w:eastAsia="Times New Roman" w:hAnsi="Times New Roman"/>
          <w:sz w:val="19"/>
          <w:szCs w:val="19"/>
          <w:i w:val="1"/>
          <w:iCs w:val="1"/>
          <w:color w:val="454546"/>
        </w:rPr>
        <w:t>Mybpc3</w:t>
      </w:r>
      <w:r>
        <w:rPr>
          <w:rFonts w:ascii="Times New Roman" w:cs="Times New Roman" w:eastAsia="Times New Roman" w:hAnsi="Times New Roman"/>
          <w:sz w:val="19"/>
          <w:szCs w:val="19"/>
          <w:color w:val="454546"/>
        </w:rPr>
        <w:t xml:space="preserve"> KO HCM mouse model. The 1×10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19"/>
          <w:szCs w:val="19"/>
          <w:color w:val="454546"/>
        </w:rPr>
        <w:t xml:space="preserve"> vg/kg dose had the lowest levels of efficacy, while the 3×10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19"/>
          <w:szCs w:val="19"/>
          <w:color w:val="454546"/>
        </w:rPr>
        <w:t xml:space="preserve"> vg/kg had high improvement with a mean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w:t>
      </w:r>
    </w:p>
    <w:p>
      <w:pPr>
        <w:sectPr>
          <w:pgSz w:w="11880" w:h="15480" w:orient="portrait"/>
          <w:cols w:equalWidth="0" w:num="1">
            <w:col w:w="9360"/>
          </w:cols>
          <w:pgMar w:left="1260" w:top="1240" w:right="1260" w:bottom="0" w:gutter="0" w:footer="0" w:header="0"/>
          <w:type w:val="continuous"/>
        </w:sectPr>
      </w:pPr>
    </w:p>
    <w:bookmarkStart w:id="13" w:name="page14"/>
    <w:bookmarkEnd w:id="13"/>
    <w:p>
      <w:pPr>
        <w:ind w:right="560"/>
        <w:spacing w:after="0" w:line="277" w:lineRule="auto"/>
        <w:rPr>
          <w:sz w:val="20"/>
          <w:szCs w:val="20"/>
          <w:color w:val="auto"/>
        </w:rPr>
      </w:pPr>
      <w:r>
        <w:rPr>
          <w:rFonts w:ascii="Times New Roman" w:cs="Times New Roman" w:eastAsia="Times New Roman" w:hAnsi="Times New Roman"/>
          <w:sz w:val="20"/>
          <w:szCs w:val="20"/>
          <w:color w:val="454546"/>
        </w:rPr>
        <w:t>decrease of hypertrophy of more 5.3 mg/g LV Mass (± 1.3) and a mean improvement of EF of 26% (± 3.7%), similar to the 1×10</w:t>
      </w:r>
      <w:r>
        <w:rPr>
          <w:rFonts w:ascii="Times New Roman" w:cs="Times New Roman" w:eastAsia="Times New Roman" w:hAnsi="Times New Roman"/>
          <w:sz w:val="11"/>
          <w:szCs w:val="11"/>
          <w:color w:val="454546"/>
        </w:rPr>
        <w:t>14</w:t>
      </w:r>
      <w:r>
        <w:rPr>
          <w:rFonts w:ascii="Times New Roman" w:cs="Times New Roman" w:eastAsia="Times New Roman" w:hAnsi="Times New Roman"/>
          <w:sz w:val="20"/>
          <w:szCs w:val="20"/>
          <w:color w:val="454546"/>
        </w:rPr>
        <w:t xml:space="preserve"> vg/kg dose, suggesting a plateau in the dose-response curve.</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In our preclinical studies with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model, we have not observed MyBP-C protein levels substantially above normal levels, suggesting that protein accumulation does not occur and lowers the potential concern of overexpression-related toxicities. In addition, histological assessments of mTN-201 treated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model murine hearts support the uniform and robust distribution of expression following mTN-201 infusion, suggesting gene therapy may be able to replace the missing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uniformly across the heart. This observation is consistent with heart biopsy samples from patients treated with other AAV9-based gene therapies in development. Consistent with observed therapeutic benefit, treatment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mice with mTN-201 is also associated with a substantial reduction of expression of genes associated with fibrosis and B-type natriuretic peptide (BNP), a circulating factor associated with cardiac wall stress.</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Differentiating Characteristics for TN-201</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During optimization of our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therapies, we discovered a cardiomyocyte-specific promoter, TNP-CM1, with improved performance attributes as compared to the standard cardiac troponin T (cTnT) promoter. </w:t>
      </w:r>
      <w:r>
        <w:rPr>
          <w:rFonts w:ascii="Times New Roman" w:cs="Times New Roman" w:eastAsia="Times New Roman" w:hAnsi="Times New Roman"/>
          <w:sz w:val="20"/>
          <w:szCs w:val="20"/>
          <w:i w:val="1"/>
          <w:iCs w:val="1"/>
          <w:color w:val="454546"/>
        </w:rPr>
        <w:t>In</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vitro </w:t>
      </w:r>
      <w:r>
        <w:rPr>
          <w:rFonts w:ascii="Times New Roman" w:cs="Times New Roman" w:eastAsia="Times New Roman" w:hAnsi="Times New Roman"/>
          <w:sz w:val="20"/>
          <w:szCs w:val="20"/>
          <w:color w:val="454546"/>
        </w:rPr>
        <w:t>and</w:t>
      </w:r>
      <w:r>
        <w:rPr>
          <w:rFonts w:ascii="Times New Roman" w:cs="Times New Roman" w:eastAsia="Times New Roman" w:hAnsi="Times New Roman"/>
          <w:sz w:val="20"/>
          <w:szCs w:val="20"/>
          <w:i w:val="1"/>
          <w:iCs w:val="1"/>
          <w:color w:val="454546"/>
        </w:rPr>
        <w:t xml:space="preserve"> in vivo </w:t>
      </w:r>
      <w:r>
        <w:rPr>
          <w:rFonts w:ascii="Times New Roman" w:cs="Times New Roman" w:eastAsia="Times New Roman" w:hAnsi="Times New Roman"/>
          <w:sz w:val="20"/>
          <w:szCs w:val="20"/>
          <w:color w:val="454546"/>
        </w:rPr>
        <w:t>analyses confirmed that TNP-CM1 significantly increased expression of the</w:t>
      </w:r>
      <w:r>
        <w:rPr>
          <w:rFonts w:ascii="Times New Roman" w:cs="Times New Roman" w:eastAsia="Times New Roman" w:hAnsi="Times New Roman"/>
          <w:sz w:val="20"/>
          <w:szCs w:val="20"/>
          <w:i w:val="1"/>
          <w:iCs w:val="1"/>
          <w:color w:val="454546"/>
        </w:rPr>
        <w:t xml:space="preserve"> MYBPC3 </w:t>
      </w:r>
      <w:r>
        <w:rPr>
          <w:rFonts w:ascii="Times New Roman" w:cs="Times New Roman" w:eastAsia="Times New Roman" w:hAnsi="Times New Roman"/>
          <w:sz w:val="20"/>
          <w:szCs w:val="20"/>
          <w:color w:val="454546"/>
        </w:rPr>
        <w:t>gene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compared to what can be achieved with the standard cTnT promoter.</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TN-401: Gene Therapy for PKP2-associated ARVC</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We are developing TN-401, an investigational and potential first-in-class and best-in-class AAV-based gene therapy for the potential treatment of ARVC, also known as arrhythmogenic cardiomyopathy or ACM, caused by mutations to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Such mutations are estimated to affect more than 70,000 patients in the U.S.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result in insufficient expression of a protein needed for the proper functioning of the desmosomal complex that maintains physical connections and electrical signaling between heart muscle cells. As the desmosome structure is impaired, cardiac muscle cells are progressively replaced by fibrofatty tissue and electrical pulses in the heart become unstable, resulting in adverse remodeling and irregular heart rhythms. TN-401 is designed to deliver a working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to cardiomyocytes to restore function and reverse or slow progression of disease by addressing the genetic mutation most frequently underlying ARVC.</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ARVC</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ARVC is a chronic, progressive disease with an estimated prevalence in the general population of approximately 1:1000 to 1:5000. It occurs when the structure and electrical signals of cardiomyocytes are disrupted, resulting in irregular heart rhythms and a gradual replacement of heart muscle cells with fatty deposits and fibrotic tissue which can lead to heart failure over time.</w:t>
      </w:r>
    </w:p>
    <w:p>
      <w:pPr>
        <w:spacing w:after="0" w:line="7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Patients with ARVC most commonly present with symptoms related to VAs, particularly abnormally high heart rates known as ventricular tachycardia and premature ventricular contractions (PVCs). These dangerous rhythm abnormalities place patients at increased risk for sudden cardiac arrest or sudden cardiac death. In an effort to reduce the risk of sudden cardiac death, patients with ARVC are typically discouraged from competitive or endurance sports activities and physical exercise may be limited. The mean age of diagnosis in patients occurs before the age of 40. ARVC is a common cause of sudden cardiac arrest in young patients, and particularly in athletes. In an estimated 23% of ARVC cases, the first sign of disease is sudden cardiac death. ARVC patients may also grapple with additional symptoms, including palpitations, lightheadedness, dizziness, and fainting.</w:t>
      </w:r>
    </w:p>
    <w:p>
      <w:pPr>
        <w:spacing w:after="0" w:line="82"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Mutations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are the most common genetic cause of ARVC, with more than 40% of ARVC patients carrying pathogenic variants. PKP2 protein is an integral component of cell adhesion protein complexes known as desmosomes which connect adjacent cardiomyocytes in the heart. Desmosomes are responsible for maintaining the heart tissue integrity and for stabilizing channels called gap junctions that allow for cellular communication among heart cells, which in turn is important to proper synchronization of cardiomyocyte contractions across the myocardium contributing to each heartbeat. When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is mutated, reduction of PKP2 protein disrupts structure and function of desmosomes and gap junctions. As a result of these disruptions, cardiomyocytes become more sensitive to the normal mechanical stress of the beating heart, leading to progressive cell loss, inflammation, scar formation, and fat deposition, illustrating the crucial role the PKP2 protein plays in maintaining the structural and functional integrity of heart tissue.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w:t>
      </w:r>
    </w:p>
    <w:p>
      <w:pPr>
        <w:sectPr>
          <w:pgSz w:w="11880" w:h="15480" w:orient="portrait"/>
          <w:cols w:equalWidth="0" w:num="1">
            <w:col w:w="9340"/>
          </w:cols>
          <w:pgMar w:left="1260" w:top="1240" w:right="1280" w:bottom="0" w:gutter="0" w:footer="0" w:header="0"/>
          <w:type w:val="continuous"/>
        </w:sectPr>
      </w:pPr>
    </w:p>
    <w:bookmarkStart w:id="14" w:name="page15"/>
    <w:bookmarkEnd w:id="14"/>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Mutations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are commonly heterozygous and inherited in an autosomal dominant fashion, i.e., a mutation in one gene is sufficient to cause the disease. Most of these mutations lead to a reduction of wild-type protein level of less than or equal to 50%. We believe these findings support the idea that mutations of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cause human disease through haploinsufficiency, and also support the hypothesis that gene replacement may address the underlying cause of disease by increasing the levels of functional PKP2 protein.</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Following a diagnosis, ARVC patients are typically implanted with an ICD to control arrhythmias and prevent sudden cardiac death. ICD implantation is currently the only proven effective treatment for preventing sudden cardiac death in ARVC patients, but ICDs are also associated with complications, including inappropriate interventions. Patients may progress to catheter ablation procedures which have a high rate of recurrence of VA and have not been shown to reduce risk of sudden cardiac death or improve survival. ARVC treatment options may also include beta blockers and other anti-arrhythmic or heart failure medications, intended to reduce VAs. However, studies comparing the efficacy of such treatments have not been conducted. Despite the availability of these treatments, clinical heart failure has been documented in up to 40% of ARVC patients and there remains no approved therapies that address the underlying genetic causes of the disease.</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80" w:firstLine="490"/>
        <w:spacing w:after="0" w:line="260" w:lineRule="auto"/>
        <w:rPr>
          <w:sz w:val="20"/>
          <w:szCs w:val="20"/>
          <w:color w:val="auto"/>
        </w:rPr>
      </w:pPr>
      <w:r>
        <w:rPr>
          <w:rFonts w:ascii="Times New Roman" w:cs="Times New Roman" w:eastAsia="Times New Roman" w:hAnsi="Times New Roman"/>
          <w:sz w:val="19"/>
          <w:szCs w:val="19"/>
          <w:color w:val="454546"/>
        </w:rPr>
        <w:t xml:space="preserve">We are developing a potential first-in-class and best-in-class AAV-based gene therapy to deliver a fully functional copy of the human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to the hearts of ARVC patients carrying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mutations. We believe that delivery of a working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to cardiomyocytes represents a promising treatment that can address the underlying genetic cause of this disease. As the disease is most often caused by haploinsufficiency, expression of a functional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to replace the missing PKP2 protein in cardiomyocytes is expected to restore proper structure and function of the desmosome. This in turn has the potential to slow and even reverse the progression of disease in patients. The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will be delivered using AAV9 capsid with well-established tropism for the heart and expression of the PKP2 protein will be targeted to the heart through use of a cardiomyocyte-specific promoter.</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TN-401 Clinical Development Plan</w:t>
      </w:r>
    </w:p>
    <w:p>
      <w:pPr>
        <w:spacing w:after="0" w:line="118"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In October 2023, we received clearance of our IND from the FDA to conduct a Phase 1b clinical trial of TN-401 in patients with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mutation-associated ARVC. We expect to commence patient dosing in RIDGE-1 in the second half of 2024 and have completed all necessary manufacturing of TN-401 to supply the clinical trial.</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RIDGE-1 is a multi-center, open-label clinical trial designed to assess the safety, tolerability and efficacy of a one-time intravenous infusion of TN-401. The trial will seek to enroll at least six symptomatic (New York Heart Association class I, II or III) adults (ages 18-65) with low titers of AAV9 neutralizing antibodies who have been diagnosed with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and have an ICD. The primary endpoints for the trial include safety and tolerability, PK (as measured by transgene and mRNA expression via cardiac biopsies at 8 weeks and 52 weeks) and PD (as measured by changes in daily PVCs and non-sustained ventricular tachycardia).</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Additional endpoints include frequency of ICD shocks or pacing, frequency of ventricular tachycardia, changes in premature ventricular contractions, imaging biomarkers by echo evaluating structural/hemodynamic changes, plasma biomarkers and patient-reported outcomes. The trial will include a preventative immunosuppressive regimen and close safety monitoring, as well as a 5-year follow-up on safety and efficacy. We expect to assess two dose levels of TN-401 in the trial, starting with 3×10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20"/>
          <w:szCs w:val="20"/>
          <w:color w:val="454546"/>
        </w:rPr>
        <w:t xml:space="preserve"> vg/kg, a dose associated with near-maximal efficacy in preclinical studies. Three patients are expected to be enrolled in the first dose cohort and will be dosed sequentially, with a pause between patient doses to monitor for safety. An independent safety review following the initial cohort will inform plans for dose escalation to 6×10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20"/>
          <w:szCs w:val="20"/>
          <w:color w:val="454546"/>
        </w:rPr>
        <w:t xml:space="preserve"> vg/kg, as needed, and/or enrollment of additional patients in the initial cohort. In order to support our development efforts for TN-401, we have initiated RIDGE-1 a global noninterventional study to collect treatment history and seroprevalence to AAV9 antibodies data among ARVC patients who carry pathogenic or likely pathogenic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mutations.</w:t>
      </w:r>
    </w:p>
    <w:p>
      <w:pPr>
        <w:spacing w:after="0" w:line="8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TN-401 has received orphan drug designation from the FDA and orphan medicinal product designation from the EC, and in November 2023, received Fast Track Designation from the FDA.</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Evidence Supporting TN-401 Clinical Development Plan</w:t>
      </w:r>
    </w:p>
    <w:p>
      <w:pPr>
        <w:spacing w:after="0" w:line="118"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 xml:space="preserve">We developed a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cardiac conditional knockout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mouse model that simulates key aspects of ARVC including dilation of the right ventricle (RV) and LV, decline in LV heart function, severe ventricular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11</w:t>
      </w:r>
    </w:p>
    <w:p>
      <w:pPr>
        <w:sectPr>
          <w:pgSz w:w="11880" w:h="15480" w:orient="portrait"/>
          <w:cols w:equalWidth="0" w:num="1">
            <w:col w:w="9360"/>
          </w:cols>
          <w:pgMar w:left="1260" w:top="1240" w:right="1260" w:bottom="0" w:gutter="0" w:footer="0" w:header="0"/>
          <w:type w:val="continuous"/>
        </w:sectPr>
      </w:pPr>
    </w:p>
    <w:bookmarkStart w:id="15" w:name="page16"/>
    <w:bookmarkEnd w:id="15"/>
    <w:p>
      <w:pPr>
        <w:ind w:right="60"/>
        <w:spacing w:after="0" w:line="246" w:lineRule="auto"/>
        <w:rPr>
          <w:sz w:val="20"/>
          <w:szCs w:val="20"/>
          <w:color w:val="auto"/>
        </w:rPr>
      </w:pPr>
      <w:r>
        <w:rPr>
          <w:rFonts w:ascii="Times New Roman" w:cs="Times New Roman" w:eastAsia="Times New Roman" w:hAnsi="Times New Roman"/>
          <w:sz w:val="20"/>
          <w:szCs w:val="20"/>
          <w:color w:val="454546"/>
        </w:rPr>
        <w:t xml:space="preserve">arrhythmia, and early mortality. The onset of symptoms in this model is very rapid and occurs within three weeks after induction of the gene deletion. It is important to note that this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model is homozygous with no production of PKP2 protein in cardiomyocytes, resulting in a severity of disease and rate of disease progression that is greater than what is normally observed in most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patients who are almost all heterozygous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mutations, and produce less than or equal to 50% of the necessary PKP2 protein. The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model is nonetheless useful as it provides important proof of concept for the potentially beneficial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effect of the PKP2 protein replacement via a gene therapy approach.</w:t>
      </w:r>
    </w:p>
    <w:p>
      <w:pPr>
        <w:spacing w:after="0" w:line="8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In preclinical studies, we systemically administered either TN-401 or a mouse surrogate (referred to interchangeably as a “PKP2 gene therapy”) in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mice across a range of dose levels from 1×10</w:t>
      </w:r>
      <w:r>
        <w:rPr>
          <w:rFonts w:ascii="Times New Roman" w:cs="Times New Roman" w:eastAsia="Times New Roman" w:hAnsi="Times New Roman"/>
          <w:sz w:val="11"/>
          <w:szCs w:val="11"/>
          <w:color w:val="454546"/>
        </w:rPr>
        <w:t>13</w:t>
      </w:r>
      <w:r>
        <w:rPr>
          <w:rFonts w:ascii="Times New Roman" w:cs="Times New Roman" w:eastAsia="Times New Roman" w:hAnsi="Times New Roman"/>
          <w:sz w:val="20"/>
          <w:szCs w:val="20"/>
          <w:color w:val="454546"/>
        </w:rPr>
        <w:t xml:space="preserve"> vg/kg to 1×10</w:t>
      </w:r>
      <w:r>
        <w:rPr>
          <w:rFonts w:ascii="Times New Roman" w:cs="Times New Roman" w:eastAsia="Times New Roman" w:hAnsi="Times New Roman"/>
          <w:sz w:val="11"/>
          <w:szCs w:val="11"/>
          <w:color w:val="454546"/>
        </w:rPr>
        <w:t>14</w:t>
      </w:r>
      <w:r>
        <w:rPr>
          <w:rFonts w:ascii="Times New Roman" w:cs="Times New Roman" w:eastAsia="Times New Roman" w:hAnsi="Times New Roman"/>
          <w:sz w:val="20"/>
          <w:szCs w:val="20"/>
          <w:color w:val="454546"/>
        </w:rPr>
        <w:t xml:space="preserve"> vg/kg and observed similar efficacy utilizing either intervention. The severity and rapid progression of this disease model, combined with the homozygous gene knockout (KO) and near complete loss of PKP2 protein in cardiac tissue, resulted in 100% mortality within 4-6 weeks post induction of KO. This model represents a high bar for demonstration of efficacy with gene therapy, particularly given the slow kinetics (weeks) of AAV-based gene expression and protein production. Nevertheless, whether administered prior to or following disease onset, PKP2 gene therapy demonstrated prevention of disease progression, ultimately culminating in improved survival in both modes of treatment. These improvements in disease state were accompanied by restoration of desmosomes and gap junctions at the molecular and cellular level. All dose levels were well-tolerated.</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Specifically, when administered prior to disease onset, PKP2 gene therapy prevented all ARVC disease characteristics in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mice including RV enlargement, LVEF decline, ventricular arrhythmias, and adverse fibrotic remodeling. Even when administered after disease onset in this rapidly progressing model, PKP2 gene therapy attenuated LVEF decline with an average 15% (+/- 5.6%) increase in EF versus the vehicle-treated group and attenuated worsening of VA event frequency and severity. Administration of PKP2 gene therapy also supported a near-complete reversal of RV enlargement leading to a restoration of the wild-type level. In either intervention, the beneficial effects of PKP2 gene therapy have been shown to be dose dependent and durable following a single dose lasting the remainder of the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mouse model’s natural life span. Survival was also improved in a dose-dependent manner and the effect was sustained for the duration of study; PKP2 gene therapy extended median lifespan from 4.7 weeks to ≥ 50 weeks, regardless of preventative or post-onset dosing.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Clinical-Stage Small Molecule Program</w:t>
      </w:r>
    </w:p>
    <w:p>
      <w:pPr>
        <w:spacing w:after="0" w:line="124"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20"/>
          <w:szCs w:val="20"/>
          <w:color w:val="454546"/>
        </w:rPr>
        <w:t>While much of our research, development and manufacturing focus is on cardiac conditions for which genetic medicines can address the underlying cause of disease, our target discovery and validation capabilities allow us to pursue modality-agnostic drug discovery efforts.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TN-301: HDAC6 Inhibitor Program for HFpEF</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Using our proprietary modality-agnostic drug discovery capabilities, we discovered an HDAC6 small molecule inhibitor for the potential treatment of HFpEF. HFpEF is one of the greatest areas of unmet need in heart disease with more than three million patients in the U.S. for which there are few approved disease-specific treatment options. A complex syndrome, the causes of HFpEF are diverse, but result in a shared pathophysiology with systemic inflammation and metabolic dysfunction leading to hypertrophy, fibrosis, and diastolic dysfunction among other characteristic consequences. The result is high morbidity and mortality in affected individuals. Our product candidate, TN-301, is a differentiated compound with unique chemical structure and high specificity for HDAC6. In 2023 we completed a Phase 1 clinical trial in which TN-301 demonstrated safety and tolerability in healthy participants with dose-proportional pharmacokinetics and robust target engagement. We have also generated robust preclinical evidence of improving many of the hallmarks of HFpEF when utilized alone or in combination with sodium-glucose cotransporter-2 (SGLT2) inhibitors, a relatively new class of medicines that have shown some efficacy in HFpEF. Based on the large HFpEF patient population, we believe that TN-301’s late-stage development and commercialization would best be led by a strategic pharmaceutical partner with the global resources to explore the full potential of the molecule in HFpEF and other indications.</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HFpEF</w:t>
      </w:r>
    </w:p>
    <w:p>
      <w:pPr>
        <w:spacing w:after="0" w:line="118"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454546"/>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w:t>
      </w:r>
    </w:p>
    <w:p>
      <w:pPr>
        <w:sectPr>
          <w:pgSz w:w="11880" w:h="15480" w:orient="portrait"/>
          <w:cols w:equalWidth="0" w:num="1">
            <w:col w:w="9340"/>
          </w:cols>
          <w:pgMar w:left="1260" w:top="1240" w:right="1280" w:bottom="0" w:gutter="0" w:footer="0" w:header="0"/>
          <w:type w:val="continuous"/>
        </w:sectPr>
      </w:pPr>
    </w:p>
    <w:bookmarkStart w:id="16" w:name="page17"/>
    <w:bookmarkEnd w:id="16"/>
    <w:p>
      <w:pPr>
        <w:ind w:right="120"/>
        <w:spacing w:after="0" w:line="258" w:lineRule="auto"/>
        <w:rPr>
          <w:sz w:val="20"/>
          <w:szCs w:val="20"/>
          <w:color w:val="auto"/>
        </w:rPr>
      </w:pPr>
      <w:r>
        <w:rPr>
          <w:rFonts w:ascii="Times New Roman" w:cs="Times New Roman" w:eastAsia="Times New Roman" w:hAnsi="Times New Roman"/>
          <w:sz w:val="20"/>
          <w:szCs w:val="20"/>
          <w:color w:val="454546"/>
        </w:rPr>
        <w:t>tissues of the body. HFpEF is a progressive disease in many patients. Symptoms initially include fatigue, shortness of breath, and edema, resulting in reduced physical activity. Over time, this results in a substantial limitation in activities and impact on quality of life, and patients are at risk of premature death.</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Patients with HFpEF represent approximately half of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heart failure and mortality rates over a five-year period are as high as 40% and 75%, respectively. Historically, HFpEF patients have generally been prescribed therapies for HFrEF, including diuretics, beta-blockers, and ACE inhibitors, in spite of a limited data demonstrating efficacy or improved outcomes. Recently, a class of glucose lowering drugs known SGLT2 inhibitors have demonstrated encouraging evidence of reducing hospitalizations and mortality versus placebo in HFpEF patients, with one such agent approved by the FDA for the treatment of HFpEF. In spite of this recent progress, HFpEF remains one of the greatest unmet needs in cardiovascular medicine.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TN-301 is a small molecule inhibitor of HDAC6 intended for the potential treatment of HFpEF. TN-301 has demonstrated up to 2500-fold preferential selectivity for HDAC6 in contrast to pan HDACs which have been utilized in oncology. We believe that TN-301’s selectivity may reduce the risk of off target effects observed with less selective HDAC6 inhibitors or pan-HDAC inhibition.</w:t>
      </w:r>
    </w:p>
    <w:p>
      <w:pPr>
        <w:spacing w:after="0" w:line="7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454546"/>
        </w:rPr>
        <w:t>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between patients with HFpEF population and those suffering from diabetes and obesity.</w:t>
      </w:r>
    </w:p>
    <w:p>
      <w:pPr>
        <w:spacing w:after="0" w:line="7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preclinical data is suggestive of a multi-modal mechanism of action that may address these multiple aspects of HFpEF disease. In the preclinical setting, TN-301 was shown to reverse measures of HFpEF, including restoration of LV wall thickness, LV end diastolic pressure, LV relaxation and filling, and LV mass. Treatment with TN-301 also resulted in a trend of decreased lung weight, indicative of improvement in pulmonary congestion consistent with the reduction of filling pressure. In addition, we observed an improvement in glucose tolerance, suggesting that treatment with a selective HDAC6i may have a positive impact on glucose metabolism, as well as reductions of key biomarkers of fibrosis, hypertrophy and cardiac damage, and inflammation.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TN-301 Clinical Development Plan</w:t>
      </w:r>
    </w:p>
    <w:p>
      <w:pPr>
        <w:spacing w:after="0" w:line="118"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454546"/>
        </w:rPr>
        <w:t>Building on our preclinical data, we initiated a randomized (3:1), double-blind, placebo-controlled Phase 1 clinical trial to assess the safety and tolerability of escalating oral doses of TN-301 in healthy adult participants. Secondary objectives of the clinical trial included assessment of PK and PD measures. In October 2023, we shared positive data from our Phase 1 clinical trial of TN-301 in healthy participants at the 2023 Heart Failure Society of America (HFSA) Annual Scientific Meeting. The Phase 1 trial enrolled participants in two stages. In Stage 1, participants received single ascending doses (SAD) (1mg – 700mg) and in Stage 2, participants received multiple ascending doses (MAD) (25mg, 100mg and 300mg once daily for 14 days). TN-301 was generally well tolerated across the broad range of doses studied.</w:t>
      </w:r>
    </w:p>
    <w:p>
      <w:pPr>
        <w:spacing w:after="0" w:line="82"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19"/>
          <w:szCs w:val="19"/>
          <w:color w:val="454546"/>
        </w:rPr>
        <w:t>PK results showed dose proportional increase in plasma exposure in the SAD and MAD stages of the study with a half-life supportive of once-daily dosing. Increasing TN-301 doses and exposures in both stages of the clinical trial also resulted in corresponding increases in PD effect (as measured by acetylated tubulin). HDAC6 is localized to the cell cytoplasm where it interacts with multiple proteins to coordinate cellular processes and one of its main substrates is tubulin. Inhibition of HDAC6 therefore, results in an increase in acetylated tubulin over baseline. In the Phase 1 clinical trial, acetylated tubulin was evaluated in circulating cells in a robust and reproducible manner. There were no corresponding changes in histone acetylation with TN-301, underscoring the selectivity of TN-301 for HDAC6 and potentially reducing the risk of off target effects observed with less selective</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13</w:t>
      </w:r>
    </w:p>
    <w:p>
      <w:pPr>
        <w:sectPr>
          <w:pgSz w:w="11880" w:h="15480" w:orient="portrait"/>
          <w:cols w:equalWidth="0" w:num="1">
            <w:col w:w="9320"/>
          </w:cols>
          <w:pgMar w:left="1260" w:top="1240" w:right="1300" w:bottom="0" w:gutter="0" w:footer="0" w:header="0"/>
          <w:type w:val="continuous"/>
        </w:sectPr>
      </w:pPr>
    </w:p>
    <w:bookmarkStart w:id="17" w:name="page18"/>
    <w:bookmarkEnd w:id="17"/>
    <w:p>
      <w:pPr>
        <w:ind w:right="540"/>
        <w:spacing w:after="0" w:line="277" w:lineRule="auto"/>
        <w:rPr>
          <w:sz w:val="20"/>
          <w:szCs w:val="20"/>
          <w:color w:val="auto"/>
        </w:rPr>
      </w:pPr>
      <w:r>
        <w:rPr>
          <w:rFonts w:ascii="Times New Roman" w:cs="Times New Roman" w:eastAsia="Times New Roman" w:hAnsi="Times New Roman"/>
          <w:sz w:val="20"/>
          <w:szCs w:val="20"/>
          <w:color w:val="454546"/>
        </w:rPr>
        <w:t>HDAC6 inhibitors or pan-HDAC inhibition. Most adverse events were gastro-intestinal related, occurred with similar frequency in the placebo group and did not increase as doses of TN-301 increased.</w:t>
      </w:r>
    </w:p>
    <w:p>
      <w:pPr>
        <w:spacing w:after="0" w:line="49"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Given the encouraging safety profile, potential for once-daily dosing and robust target engagement observed, we believe the results from the Phase 1 clinical trial of TN-301 provide early evidence of a suitable profile for the treatment of HFpEF and warrant further testing in HFpEF patients.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Comparison with SGLT2 Inhibitors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454546"/>
        </w:rPr>
        <w:t>In order to test our selective HDAC6 inhibitor, we conducted a comparison study with empagliflozin, an SGLT2 inhibitor approved for HFpEF in a proprietary mouse model of disease using a combination of high fat diet (60%) and Nω-nitrol-arginine methyl ester (L-NAME, 0.5 g/L) to recapitulate systemic and cardiovascular features of HFpEF in humans. In the study, empagliflozin behaved as anticipated based on the data generated from large clinical trials providing validation of our mouse model. TYA-018, a structurally and functionally equivalent compound to TN-301 used for preclinical testing, improved glucose tolerance, reduced LV mass and diastolic pressure, and increased diastolic function with comparable efficacy, suggesting that preclinical results may translate to the clinic. More recently, using a validated mouse model of disease, we demonstrated that HDAC6 inhibition co-administered with empagliflozin demonstrated additive benefit compared to either agent alone improving several measures of heart function. Taken together, these data support the potential for TN-301 to be used either alone or in combination with SGLT2 inhibitors, as a potential treatment for patients with HFpEF.</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Potential Indications for HDAC6 Inhibitors Beyond HFpEF</w:t>
      </w:r>
    </w:p>
    <w:p>
      <w:pPr>
        <w:spacing w:after="0" w:line="118"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454546"/>
        </w:rPr>
        <w:t>Data from preclinical studies evaluating TN-301 as a treatment for HFpEF suggest that there may also be a role for TN-301 in the treatment of sub-populations of patients with obesity, diabetes or metabolic syndrome, as well as potentially in sub-populations of patients with dilated cardiomyopathy (DCM) where there is strong alignment between the multi-modal mechanism of action of TN-301 with the pathophysiology of the HFpEF disease.</w:t>
      </w:r>
    </w:p>
    <w:p>
      <w:pPr>
        <w:spacing w:after="0" w:line="5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454546"/>
        </w:rPr>
        <w:t>In addition to improvements in glucose metabolism associated with TN-301 treatment in HFpEF mouse models, treatment with TN-301 also led to improvements in glucose tolerance (after a single dose) and insulin sensitivity (after once daily dosing for four weeks) in a diet-induced obesity (DIO) mouse model. A single dose of TN-301 in the DIO model was also associated with a significant reduction in inflammatory markers in adipose tissue, which are thought to be linked to glucose tolerance and insulin sensitivity.</w:t>
      </w:r>
    </w:p>
    <w:p>
      <w:pPr>
        <w:spacing w:after="0" w:line="7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Our small molecule HDAC6 inhibitors were initially discovered and validated as having cardioprotective qualities in preclinical studies of a rapidly worsening mouse model of BAG3 mutant DCM. In this model, treatment resulted in a greater than 20% improvement in EF after eight weeks of treatment relative to controls. These initial data support the potential of TN-301 as a potential treatment for DCM, a form of cardiomyopathy characterized by an enlarged and weakened left ventricle. Collectively, these data are supportive of a role for HDAC6 inhibition in multiple indications beyond HFpEF.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Next Steps in TN-301’s Development</w:t>
      </w:r>
    </w:p>
    <w:p>
      <w:pPr>
        <w:spacing w:after="0" w:line="11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Given the extensive preclinical data generated and the positive Phase 1 clinical trial results, we are encouraged by TN-301’s emerging therapeutic profile as a potential differentiated treatment for HFpEF. We believe that TN-301 will best be advanced into efficacy studies by a well-resourced partner.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Integrated Capabilities</w:t>
      </w:r>
    </w:p>
    <w:p>
      <w:pPr>
        <w:spacing w:after="0" w:line="12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Foundational to our research and drug discovery efforts are our proprietary integrated capabilities that collectively support discovery of novel targets,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optimization and lead validation,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characterization, rapid product development, precise product delivery, and efficient production.</w:t>
      </w:r>
    </w:p>
    <w:p>
      <w:pPr>
        <w:spacing w:after="0" w:line="68" w:lineRule="exact"/>
        <w:rPr>
          <w:sz w:val="20"/>
          <w:szCs w:val="20"/>
          <w:color w:val="auto"/>
        </w:rPr>
      </w:pPr>
    </w:p>
    <w:p>
      <w:pPr>
        <w:ind w:right="140" w:firstLine="490"/>
        <w:spacing w:after="0" w:line="261" w:lineRule="auto"/>
        <w:rPr>
          <w:sz w:val="20"/>
          <w:szCs w:val="20"/>
          <w:color w:val="auto"/>
        </w:rPr>
      </w:pPr>
      <w:r>
        <w:rPr>
          <w:rFonts w:ascii="Times New Roman" w:cs="Times New Roman" w:eastAsia="Times New Roman" w:hAnsi="Times New Roman"/>
          <w:sz w:val="19"/>
          <w:szCs w:val="19"/>
          <w:color w:val="454546"/>
        </w:rPr>
        <w:t>We believe integration of these in-house capabilities provides us with several advantages and differentiates our efforts relative to other drug discovery companies, especially for gene therapy drug development. For example, we believe the application of our capsid engineering and promoter design and delivery expertise may enable us to overcome the limitations faced by prior cardiac gene therapy approaches by enabling more precise delivery and more robust gene expression and lowering the risk of off-target effects. Leveraging our extensive in-house capabilities, we are able to take a competitively advantageous approach to target identification and validation and preclinical characterization of each of our prospective candidates, which we believe provides us with deeper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14</w:t>
      </w:r>
    </w:p>
    <w:p>
      <w:pPr>
        <w:sectPr>
          <w:pgSz w:w="11880" w:h="15480" w:orient="portrait"/>
          <w:cols w:equalWidth="0" w:num="1">
            <w:col w:w="9360"/>
          </w:cols>
          <w:pgMar w:left="1260" w:top="1240" w:right="1260" w:bottom="0" w:gutter="0" w:footer="0" w:header="0"/>
          <w:type w:val="continuous"/>
        </w:sectPr>
      </w:pPr>
    </w:p>
    <w:bookmarkStart w:id="18" w:name="page19"/>
    <w:bookmarkEnd w:id="18"/>
    <w:p>
      <w:pPr>
        <w:ind w:right="200"/>
        <w:spacing w:after="0" w:line="249" w:lineRule="auto"/>
        <w:rPr>
          <w:sz w:val="20"/>
          <w:szCs w:val="20"/>
          <w:color w:val="auto"/>
        </w:rPr>
      </w:pPr>
      <w:r>
        <w:rPr>
          <w:rFonts w:ascii="Times New Roman" w:cs="Times New Roman" w:eastAsia="Times New Roman" w:hAnsi="Times New Roman"/>
          <w:sz w:val="20"/>
          <w:szCs w:val="20"/>
          <w:color w:val="454546"/>
        </w:rPr>
        <w:t>insights, shortened product development cycles, reduced scientific risks and improved probability of technical and regulatory success for our product candidates. Ultimately, we believe our differentiated capabilities can support development of product candidates that, if approved, could address the high unmet need of patients with heart diseases. Our core internal capabilities include disease models, capsid engineering, promoters and regulatory elements, drug delivery and manufacturing, each described in more detail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Disease Models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We have internalized the ability to create and integrate proprietary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models within our research organization, which allows us to simulate human heart disease phenotypes. This creates significant value to the organization, as existing models of human heart disease may not be adequate to assess the efficacy or safety of novel therapies. Our disease modelling capabilities serve to facilitate the discovery of new leads and to characterize the activity of existing leads as we move through preclinical development.</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454546"/>
        </w:rPr>
        <w:t xml:space="preserve">In Vitro: </w:t>
      </w:r>
      <w:r>
        <w:rPr>
          <w:rFonts w:ascii="Times New Roman" w:cs="Times New Roman" w:eastAsia="Times New Roman" w:hAnsi="Times New Roman"/>
          <w:sz w:val="20"/>
          <w:szCs w:val="20"/>
          <w:color w:val="454546"/>
        </w:rPr>
        <w:t>For our</w:t>
      </w:r>
      <w:r>
        <w:rPr>
          <w:rFonts w:ascii="Times New Roman" w:cs="Times New Roman" w:eastAsia="Times New Roman" w:hAnsi="Times New Roman"/>
          <w:sz w:val="20"/>
          <w:szCs w:val="20"/>
          <w:i w:val="1"/>
          <w:iCs w:val="1"/>
          <w:color w:val="454546"/>
        </w:rPr>
        <w:t xml:space="preserve"> in vitro </w:t>
      </w:r>
      <w:r>
        <w:rPr>
          <w:rFonts w:ascii="Times New Roman" w:cs="Times New Roman" w:eastAsia="Times New Roman" w:hAnsi="Times New Roman"/>
          <w:sz w:val="20"/>
          <w:szCs w:val="20"/>
          <w:color w:val="454546"/>
        </w:rPr>
        <w:t>human iPSC-cardiomyocyte (iPSC-CM) disease models, we use multiple methods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induce phenotypes within cell lines that simulate human diseases and then use these models for high throughput target identification and drug discovery. Specifically, we have implemented three primary approaches to model human heart disease: (i) short interfering ribonucleic acid (siRNA) constructs to silence specific genes of interest in human iPSC-CMs; (ii) CRISPR-based gene editing approaches to create isogenic human iPSC-cell lines where specific genes have been altered; and (iii) iPSCs derived from patients with severe heart disease. We have developed our own high throughput imaging analyses technologies, known as TAMARACK and PORCUPINE, to characterize the impact of drug leads directly on cardiomyocytes and cardiac fibroblasts. Taken together, our advancements in disease modeling, including our practice of characterizing targets using three-dimensional human engineering heart tissues, our ability to produce human iPSC-CM’s reliably and at an increasing scale, our use of immunostaining, high-resolution imaging and our application of imaging and machine learning algorithms to support high-throughput phenotypic screening, enhance our ability to both identify and characterize potential product candidates early in the discovery process.</w:t>
      </w:r>
    </w:p>
    <w:p>
      <w:pPr>
        <w:spacing w:after="0" w:line="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454546"/>
        </w:rPr>
        <w:t xml:space="preserve">In Vivo: </w:t>
      </w:r>
      <w:r>
        <w:rPr>
          <w:rFonts w:ascii="Times New Roman" w:cs="Times New Roman" w:eastAsia="Times New Roman" w:hAnsi="Times New Roman"/>
          <w:sz w:val="20"/>
          <w:szCs w:val="20"/>
          <w:color w:val="454546"/>
        </w:rPr>
        <w:t>For our</w:t>
      </w:r>
      <w:r>
        <w:rPr>
          <w:rFonts w:ascii="Times New Roman" w:cs="Times New Roman" w:eastAsia="Times New Roman" w:hAnsi="Times New Roman"/>
          <w:sz w:val="20"/>
          <w:szCs w:val="20"/>
          <w:i w:val="1"/>
          <w:iCs w:val="1"/>
          <w:color w:val="454546"/>
        </w:rPr>
        <w:t xml:space="preserve"> in vivo </w:t>
      </w:r>
      <w:r>
        <w:rPr>
          <w:rFonts w:ascii="Times New Roman" w:cs="Times New Roman" w:eastAsia="Times New Roman" w:hAnsi="Times New Roman"/>
          <w:sz w:val="20"/>
          <w:szCs w:val="20"/>
          <w:color w:val="454546"/>
        </w:rPr>
        <w:t>disease models, we have a dedicated onsite</w:t>
      </w:r>
      <w:r>
        <w:rPr>
          <w:rFonts w:ascii="Times New Roman" w:cs="Times New Roman" w:eastAsia="Times New Roman" w:hAnsi="Times New Roman"/>
          <w:sz w:val="20"/>
          <w:szCs w:val="20"/>
          <w:i w:val="1"/>
          <w:iCs w:val="1"/>
          <w:color w:val="454546"/>
        </w:rPr>
        <w:t xml:space="preserve"> in vivo </w:t>
      </w:r>
      <w:r>
        <w:rPr>
          <w:rFonts w:ascii="Times New Roman" w:cs="Times New Roman" w:eastAsia="Times New Roman" w:hAnsi="Times New Roman"/>
          <w:sz w:val="20"/>
          <w:szCs w:val="20"/>
          <w:color w:val="454546"/>
        </w:rPr>
        <w:t>pharmacology group and vivarium,</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where we have established approximately 20 rodent heart disease models. We can dose with gene therapies as well as small molecules or biologics. We also have the ability to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8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We believe our success will be supported by the know-how we are developing and the proprietary integration of these disease models across our programs.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Capsid Engineering</w:t>
      </w:r>
    </w:p>
    <w:p>
      <w:pPr>
        <w:spacing w:after="0" w:line="12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We believe selection of the right capsid for optimal delivery and safety of genetic medicines can make a profound difference in patient safety, therapeutic efficacy, manufacturing productivity and cost of goods. For our initial pipeline programs, we elected to use AAV9 as the capsid due to its clinically established safety and cardiac tropism and proven manufacturability. As part of our early product design efforts, we tested AAV9 alongside several other capsids for tropism to cardiomyocytes and for resulting mRNA and protein expression, and in our hands AAV9 proved to be superior to other available capsids. This work contributed to the selection of AAV9 for use with TN-201 and TN-401, and also contributed to the foundations of our novel capsid engineering efforts.</w:t>
      </w:r>
    </w:p>
    <w:p>
      <w:pPr>
        <w:spacing w:after="0" w:line="80" w:lineRule="exact"/>
        <w:rPr>
          <w:sz w:val="20"/>
          <w:szCs w:val="20"/>
          <w:color w:val="auto"/>
        </w:rPr>
      </w:pPr>
    </w:p>
    <w:p>
      <w:pPr>
        <w:ind w:right="220" w:firstLine="490"/>
        <w:spacing w:after="0" w:line="265" w:lineRule="auto"/>
        <w:rPr>
          <w:sz w:val="20"/>
          <w:szCs w:val="20"/>
          <w:color w:val="auto"/>
        </w:rPr>
      </w:pPr>
      <w:r>
        <w:rPr>
          <w:rFonts w:ascii="Times New Roman" w:cs="Times New Roman" w:eastAsia="Times New Roman" w:hAnsi="Times New Roman"/>
          <w:sz w:val="19"/>
          <w:szCs w:val="19"/>
          <w:color w:val="454546"/>
        </w:rPr>
        <w:t>Our goal is to discover, design, and develop novel cardiac-tropic AAV capsids with superior attributes in order to enable more precise targeting of heart cells and to improve the safety profile of our product candidates by reducing tropism for other organs, particularly the liver. We also believe that using capsids that more specifically target one cell type over another can also help lower cost of goods for our future product candidates by lowering doses while increasing efficacy. To achieve our goals related to capsid engineering, we have established in-house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15</w:t>
      </w:r>
    </w:p>
    <w:p>
      <w:pPr>
        <w:sectPr>
          <w:pgSz w:w="11880" w:h="15480" w:orient="portrait"/>
          <w:cols w:equalWidth="0" w:num="1">
            <w:col w:w="9340"/>
          </w:cols>
          <w:pgMar w:left="1260" w:top="1240" w:right="1280" w:bottom="0" w:gutter="0" w:footer="0" w:header="0"/>
          <w:type w:val="continuous"/>
        </w:sectPr>
      </w:pPr>
    </w:p>
    <w:bookmarkStart w:id="19" w:name="page20"/>
    <w:bookmarkEnd w:id="19"/>
    <w:p>
      <w:pPr>
        <w:ind w:right="660"/>
        <w:spacing w:after="0" w:line="277" w:lineRule="auto"/>
        <w:rPr>
          <w:sz w:val="20"/>
          <w:szCs w:val="20"/>
          <w:color w:val="auto"/>
        </w:rPr>
      </w:pPr>
      <w:r>
        <w:rPr>
          <w:rFonts w:ascii="Times New Roman" w:cs="Times New Roman" w:eastAsia="Times New Roman" w:hAnsi="Times New Roman"/>
          <w:sz w:val="20"/>
          <w:szCs w:val="20"/>
          <w:color w:val="454546"/>
        </w:rPr>
        <w:t>AAV capsid engineering capabilities and have designed and screened over one billion variants from diverse, proprietary libraries to discover, design, and develop novel capsids to support our programs.</w:t>
      </w:r>
    </w:p>
    <w:p>
      <w:pPr>
        <w:spacing w:after="0" w:line="4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Our approach includes the use of diverse screening methods across a variety of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silico</w:t>
      </w:r>
      <w:r>
        <w:rPr>
          <w:rFonts w:ascii="Times New Roman" w:cs="Times New Roman" w:eastAsia="Times New Roman" w:hAnsi="Times New Roman"/>
          <w:sz w:val="20"/>
          <w:szCs w:val="20"/>
          <w:color w:val="454546"/>
        </w:rPr>
        <w:t xml:space="preserve"> libraries to enable our ability to identify novel capsids, followed by the application of broad criteria for the selection of novel capsids, including improved tropism for the heart compared to other organs, with a particular interest in de-targeting the liver; improved transduction of specific heart cell types; lower susceptibility to neutralizing antibodies; and comparable manufacturing in both HEK293- and Sf9/rBV-based manufacturing systems. We then evaluate these novel capsids to identify ones that can outperform the relevant parental capsids, which may vary depending on the intended use.</w:t>
      </w:r>
    </w:p>
    <w:p>
      <w:pPr>
        <w:spacing w:after="0" w:line="80" w:lineRule="exact"/>
        <w:rPr>
          <w:sz w:val="20"/>
          <w:szCs w:val="20"/>
          <w:color w:val="auto"/>
        </w:rPr>
      </w:pPr>
    </w:p>
    <w:p>
      <w:pPr>
        <w:ind w:right="100" w:firstLine="489"/>
        <w:spacing w:after="0" w:line="246" w:lineRule="auto"/>
        <w:rPr>
          <w:sz w:val="20"/>
          <w:szCs w:val="20"/>
          <w:color w:val="auto"/>
        </w:rPr>
      </w:pPr>
      <w:r>
        <w:rPr>
          <w:rFonts w:ascii="Times New Roman" w:cs="Times New Roman" w:eastAsia="Times New Roman" w:hAnsi="Times New Roman"/>
          <w:sz w:val="20"/>
          <w:szCs w:val="20"/>
          <w:color w:val="454546"/>
        </w:rPr>
        <w:t>Through these efforts, we have discovered proprietary capsids with superior performance over parental variants across multiple species. These next-generation capsids have improved tropism for the heart compared to other organs and even for specific cells within the heart; improved transduction and expression within the heart cells; and lower susceptibility to neutralizing antibodies. In fact, as compared to AAV9, several novel capsids identified have equivalent transduction in the heart and lower transduction of the liver and a better ability to evade human neutralizing antibodies We have also generated additional data that demonstrate that certain of these capsids have a greater ability to improve heart function compared to AAV9 in specific disease models.</w:t>
      </w:r>
    </w:p>
    <w:p>
      <w:pPr>
        <w:spacing w:after="0" w:line="80" w:lineRule="exact"/>
        <w:rPr>
          <w:sz w:val="20"/>
          <w:szCs w:val="20"/>
          <w:color w:val="auto"/>
        </w:rPr>
      </w:pPr>
    </w:p>
    <w:p>
      <w:pPr>
        <w:ind w:right="360" w:firstLine="489"/>
        <w:spacing w:after="0" w:line="258" w:lineRule="auto"/>
        <w:rPr>
          <w:sz w:val="20"/>
          <w:szCs w:val="20"/>
          <w:color w:val="auto"/>
        </w:rPr>
      </w:pPr>
      <w:r>
        <w:rPr>
          <w:rFonts w:ascii="Times New Roman" w:cs="Times New Roman" w:eastAsia="Times New Roman" w:hAnsi="Times New Roman"/>
          <w:sz w:val="20"/>
          <w:szCs w:val="20"/>
          <w:color w:val="454546"/>
        </w:rPr>
        <w:t>Overall, these data provide important proof of concept of the potential utility of capsid engineering. We believe our capsid engineering efforts will be critical in supporting the successful clinical development of future product candidates and enabling those product candidates, if approved, to reach more patients.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Promoters and Regulatory Elements</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We have created novel promoters and regulatory elements that support our gene therapy and cellular regeneration programs by controlling the expression of genes within the cells. We use these innovations, which are essential to the success of gene therapy,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Illustrative examples of our innovations in this area include:</w:t>
      </w:r>
    </w:p>
    <w:p>
      <w:pPr>
        <w:spacing w:after="0" w:line="134" w:lineRule="exact"/>
        <w:rPr>
          <w:sz w:val="20"/>
          <w:szCs w:val="20"/>
          <w:color w:val="auto"/>
        </w:rPr>
      </w:pPr>
    </w:p>
    <w:p>
      <w:pPr>
        <w:ind w:left="980" w:right="40" w:hanging="491"/>
        <w:spacing w:after="0" w:line="24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Heart specificity: </w:t>
      </w:r>
      <w:r>
        <w:rPr>
          <w:rFonts w:ascii="Times New Roman" w:cs="Times New Roman" w:eastAsia="Times New Roman" w:hAnsi="Times New Roman"/>
          <w:sz w:val="20"/>
          <w:szCs w:val="20"/>
          <w:color w:val="454546"/>
        </w:rPr>
        <w:t>We have developed cardiac-specific promoters that enable more selective and robust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expression in the heart as compared to other organs. For example, during optimization of TN-201, we developed a cardiomyocyte-specific promoter, TNP-CM1, with improved performance attributes as compared to the standard cTnT promoter.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analyses confirmed that TNP-CM1 significantly increased expression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compared to what can be achieved with the standard cTnT promoter. In addition, in a mouse model we observed 1000-fold selectivity of expression in cardiac tissue relative to other tissues, including skeletal muscle, brain and liver.</w:t>
      </w:r>
    </w:p>
    <w:p>
      <w:pPr>
        <w:spacing w:after="0" w:line="93" w:lineRule="exact"/>
        <w:rPr>
          <w:rFonts w:ascii="Arial" w:cs="Arial" w:eastAsia="Arial" w:hAnsi="Arial"/>
          <w:sz w:val="20"/>
          <w:szCs w:val="20"/>
          <w:color w:val="454546"/>
        </w:rPr>
      </w:pPr>
    </w:p>
    <w:p>
      <w:pPr>
        <w:ind w:left="980" w:hanging="491"/>
        <w:spacing w:after="0" w:line="24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Cell specificity: </w:t>
      </w:r>
      <w:r>
        <w:rPr>
          <w:rFonts w:ascii="Times New Roman" w:cs="Times New Roman" w:eastAsia="Times New Roman" w:hAnsi="Times New Roman"/>
          <w:sz w:val="20"/>
          <w:szCs w:val="20"/>
          <w:color w:val="454546"/>
        </w:rPr>
        <w:t>We have also developed a proprietary combination of regulatory elements that enable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more optimal and selective expression in one cell type in the heart compared to others. For example, we have discovered ways to optimize the robust co-expression of two protein-coding genes and one micro-RNA gene delivered within a single AAV in cardiac fibroblasts, as well as how to use specific micro-RNA binding sites to silence the translation of those same genes in both existing cardiomyocytes as well as newly created cardiomyocytes, which may support higher efficacy and provide a safety benefit and reduce the chance for off-target effects, respectively.</w:t>
      </w:r>
    </w:p>
    <w:p>
      <w:pPr>
        <w:spacing w:after="0" w:line="93" w:lineRule="exact"/>
        <w:rPr>
          <w:rFonts w:ascii="Arial" w:cs="Arial" w:eastAsia="Arial" w:hAnsi="Arial"/>
          <w:sz w:val="20"/>
          <w:szCs w:val="20"/>
          <w:color w:val="454546"/>
        </w:rPr>
      </w:pPr>
    </w:p>
    <w:p>
      <w:pPr>
        <w:ind w:left="980" w:right="40" w:hanging="491"/>
        <w:spacing w:after="0" w:line="252"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Tunable gene expression: </w:t>
      </w:r>
      <w:r>
        <w:rPr>
          <w:rFonts w:ascii="Times New Roman" w:cs="Times New Roman" w:eastAsia="Times New Roman" w:hAnsi="Times New Roman"/>
          <w:sz w:val="20"/>
          <w:szCs w:val="20"/>
          <w:color w:val="454546"/>
        </w:rPr>
        <w:t>We have also developed a spectrum of novel promoters to titer the expression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of genes within cardiomyocytes, by combining various combinations of enhancer elements from different cardiomyocyte selective genes. These efforts have enabled us to achieve higher expression in certain disease models than what can be achieved with a standard cTnT promoter.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Drug Delivery</w:t>
      </w:r>
    </w:p>
    <w:p>
      <w:pPr>
        <w:spacing w:after="0" w:line="120" w:lineRule="exact"/>
        <w:rPr>
          <w:sz w:val="20"/>
          <w:szCs w:val="20"/>
          <w:color w:val="auto"/>
        </w:rPr>
      </w:pPr>
    </w:p>
    <w:p>
      <w:pPr>
        <w:jc w:val="both"/>
        <w:ind w:right="280" w:firstLine="490"/>
        <w:spacing w:after="0" w:line="278" w:lineRule="auto"/>
        <w:rPr>
          <w:sz w:val="20"/>
          <w:szCs w:val="20"/>
          <w:color w:val="auto"/>
        </w:rPr>
      </w:pPr>
      <w:r>
        <w:rPr>
          <w:rFonts w:ascii="Times New Roman" w:cs="Times New Roman" w:eastAsia="Times New Roman" w:hAnsi="Times New Roman"/>
          <w:sz w:val="19"/>
          <w:szCs w:val="19"/>
          <w:color w:val="454546"/>
        </w:rPr>
        <w:t>Delivery of drugs to the heart is widely considered to be an important challenge to successful translation of cardiac gene therapy and regenerative medicines into approved products. Delivery methods vary significantly in terms of degree of invasiveness, distribution of therapy around the heart, degree of therapy uptake into the heart,</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16</w:t>
      </w:r>
    </w:p>
    <w:p>
      <w:pPr>
        <w:sectPr>
          <w:pgSz w:w="11880" w:h="15480" w:orient="portrait"/>
          <w:cols w:equalWidth="0" w:num="1">
            <w:col w:w="9340"/>
          </w:cols>
          <w:pgMar w:left="1260" w:top="1240" w:right="1280" w:bottom="0" w:gutter="0" w:footer="0" w:header="0"/>
          <w:type w:val="continuous"/>
        </w:sectPr>
      </w:pPr>
    </w:p>
    <w:bookmarkStart w:id="20" w:name="page21"/>
    <w:bookmarkEnd w:id="20"/>
    <w:p>
      <w:pPr>
        <w:spacing w:after="0" w:line="249" w:lineRule="auto"/>
        <w:rPr>
          <w:sz w:val="20"/>
          <w:szCs w:val="20"/>
          <w:color w:val="auto"/>
        </w:rPr>
      </w:pPr>
      <w:r>
        <w:rPr>
          <w:rFonts w:ascii="Times New Roman" w:cs="Times New Roman" w:eastAsia="Times New Roman" w:hAnsi="Times New Roman"/>
          <w:sz w:val="20"/>
          <w:szCs w:val="20"/>
          <w:color w:val="454546"/>
        </w:rPr>
        <w:t>technical difficulty of administration, and clinical relevance and experience. The diversity of programs in our current pipeline necessitates the use of different delivery methods. Therefore, we are actively exploring different routes of administration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7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For our gene therapy product candidates, including TN-201 and TN-401, we generally need broad distribution across the heart tissue that is more suited to infusion-based approaches. By contrast, for other gene therapy programs, we need more precise delivery into the heart tissue directly around a scar area of the LV in a way that is more suited to injection-based approaches. For example, to support our early-stage program focused on cardiac regeneration, we developed a novel transendocardial injection catheter for more precise delivery of therapeutic payloads around the scar area that is formed after heart attack, but in a way that is minimally invasive and would not require heart surgery.</w:t>
      </w:r>
    </w:p>
    <w:p>
      <w:pPr>
        <w:spacing w:after="0" w:line="8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We believe our capsid engineering efforts will be critical in supporting the successful clinical development of future product candidates and enabling those product candidates, if approved, to reach more patients.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Manufacturing</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Our strategy is to have complete ownership of our process development, analytical development, manufacturing and quality control (QC). Maintaining internalized manufacturing increases our understanding of the attributes of our drug substance and drug product, enables continuous process improvement, consistency (quality and productivity) and supports manufacturing requirements for clinical development and commercialization. The resulting innovation and insights are expected to apply not only for rare populations, but also for more prevalent indications, and allows us to be a partner of choice in strategic drug development partnerships and with early-stage academic programs. Overall, the internalization of manufacturing efforts provides us with know-how that yields several advantages that allow us to be in a better position to support our future capacity expansion needs or swiftly transfer technology know-how to CDMOs to achieve sourcing for product candidates across multiple third parties for risk mitigation purposes.</w:t>
      </w:r>
    </w:p>
    <w:p>
      <w:pPr>
        <w:spacing w:after="0" w:line="96" w:lineRule="exact"/>
        <w:rPr>
          <w:sz w:val="20"/>
          <w:szCs w:val="20"/>
          <w:color w:val="auto"/>
        </w:rPr>
      </w:pPr>
    </w:p>
    <w:p>
      <w:pPr>
        <w:ind w:left="980" w:right="200" w:hanging="491"/>
        <w:spacing w:after="0" w:line="249" w:lineRule="auto"/>
        <w:tabs>
          <w:tab w:leader="none" w:pos="980"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Vector core: </w:t>
      </w:r>
      <w:r>
        <w:rPr>
          <w:rFonts w:ascii="Times New Roman" w:cs="Times New Roman" w:eastAsia="Times New Roman" w:hAnsi="Times New Roman"/>
          <w:sz w:val="20"/>
          <w:szCs w:val="20"/>
          <w:color w:val="454546"/>
        </w:rPr>
        <w:t>We have established vector production to support early research involving both parental</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and novel AAV capsids up to the 50L scale. We have also established the necessary process development expertise to support comparable product efficacy in both HEK293-based and Sf9/rBV-based manufacturing systems for both existing AAV serotypes as well as for novel capsids discovered from our capsid engineering efforts.</w:t>
      </w:r>
    </w:p>
    <w:p>
      <w:pPr>
        <w:spacing w:after="0" w:line="90" w:lineRule="exact"/>
        <w:rPr>
          <w:rFonts w:ascii="Arial" w:cs="Arial" w:eastAsia="Arial" w:hAnsi="Arial"/>
          <w:sz w:val="20"/>
          <w:szCs w:val="20"/>
          <w:color w:val="454546"/>
        </w:rPr>
      </w:pPr>
    </w:p>
    <w:p>
      <w:pPr>
        <w:ind w:left="980" w:right="100" w:hanging="491"/>
        <w:spacing w:after="0" w:line="247" w:lineRule="auto"/>
        <w:tabs>
          <w:tab w:leader="none" w:pos="980"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Manufacturing Technology Development Center (MTDC): </w:t>
      </w:r>
      <w:r>
        <w:rPr>
          <w:rFonts w:ascii="Times New Roman" w:cs="Times New Roman" w:eastAsia="Times New Roman" w:hAnsi="Times New Roman"/>
          <w:sz w:val="20"/>
          <w:szCs w:val="20"/>
          <w:color w:val="454546"/>
        </w:rPr>
        <w:t>Co-located with our research labs in the San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Francisco Bay Area, we have established in-house operations at the 200L scale to support all non-clinical studies including those involving large animal models under Good Laboratory Practice (GLP) regulations. We rely on our MTDC for assay development and technology transfer to our dedicated cGMP facility. Our production at this scale has been at yields and with full/empty capsid ratios that compare favorably to industry standards.</w:t>
      </w:r>
    </w:p>
    <w:p>
      <w:pPr>
        <w:spacing w:after="0" w:line="93" w:lineRule="exact"/>
        <w:rPr>
          <w:rFonts w:ascii="Arial" w:cs="Arial" w:eastAsia="Arial" w:hAnsi="Arial"/>
          <w:sz w:val="20"/>
          <w:szCs w:val="20"/>
          <w:color w:val="454546"/>
        </w:rPr>
      </w:pPr>
    </w:p>
    <w:p>
      <w:pPr>
        <w:ind w:left="980" w:right="40" w:hanging="491"/>
        <w:spacing w:after="0" w:line="247" w:lineRule="auto"/>
        <w:tabs>
          <w:tab w:leader="none" w:pos="980"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 xml:space="preserve">Genetic Medicines Manufacturing Center (GMMC): </w:t>
      </w:r>
      <w:r>
        <w:rPr>
          <w:rFonts w:ascii="Times New Roman" w:cs="Times New Roman" w:eastAsia="Times New Roman" w:hAnsi="Times New Roman"/>
          <w:sz w:val="20"/>
          <w:szCs w:val="20"/>
          <w:color w:val="454546"/>
        </w:rPr>
        <w:t>Our GMMC is a dedicated cGMP facility for AAV</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drug product manufacturing that is strategically located in the San Francisco Bay Area. The facility operates at the 1000L scale to support all clinical development activities from first-in-human (FIH) clinical trials through to late-stage development, as well as initial commercialization, if regulatory approval is obtained. It uses a modular design that will support scale-out and/or scale-up of manufacturing capacity in response to evolving business needs.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Competition</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The biotechnology and pharmaceutical industries are characterized by rapidly advancing technologies, intense competition and a strong emphasis on intellectual property. We believe our scientific know-how,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or that may be developed in the future.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17</w:t>
      </w:r>
    </w:p>
    <w:p>
      <w:pPr>
        <w:sectPr>
          <w:pgSz w:w="11880" w:h="15480" w:orient="portrait"/>
          <w:cols w:equalWidth="0" w:num="1">
            <w:col w:w="9360"/>
          </w:cols>
          <w:pgMar w:left="1260" w:top="1240" w:right="1260" w:bottom="0" w:gutter="0" w:footer="0" w:header="0"/>
          <w:type w:val="continuous"/>
        </w:sectPr>
      </w:pPr>
    </w:p>
    <w:bookmarkStart w:id="21" w:name="page22"/>
    <w:bookmarkEnd w:id="21"/>
    <w:p>
      <w:pPr>
        <w:ind w:right="740" w:firstLine="490"/>
        <w:spacing w:after="0" w:line="277" w:lineRule="auto"/>
        <w:rPr>
          <w:sz w:val="20"/>
          <w:szCs w:val="20"/>
          <w:color w:val="auto"/>
        </w:rPr>
      </w:pPr>
      <w:r>
        <w:rPr>
          <w:rFonts w:ascii="Times New Roman" w:cs="Times New Roman" w:eastAsia="Times New Roman" w:hAnsi="Times New Roman"/>
          <w:sz w:val="20"/>
          <w:szCs w:val="20"/>
          <w:color w:val="454546"/>
        </w:rPr>
        <w:t>Due to the depth and diversity of our pipeline, we may face competition from a variety of companies, including:</w:t>
      </w:r>
    </w:p>
    <w:p>
      <w:pPr>
        <w:spacing w:after="0" w:line="4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i w:val="1"/>
          <w:iCs w:val="1"/>
          <w:color w:val="454546"/>
        </w:rPr>
        <w:t xml:space="preserve">TN-201: </w:t>
      </w:r>
      <w:r>
        <w:rPr>
          <w:rFonts w:ascii="Times New Roman" w:cs="Times New Roman" w:eastAsia="Times New Roman" w:hAnsi="Times New Roman"/>
          <w:sz w:val="20"/>
          <w:szCs w:val="20"/>
          <w:color w:val="454546"/>
        </w:rPr>
        <w:t>We believe the principal competition for TN-201 will be programs that address the underlying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genetic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Based on publicly available data, we don’t believe any such treatments have received approval from a regulatory agency or reached clinical development. Notwithstanding, we believe BioMarin and DiNAQOR’s BMN-293 for treating the underlying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may initiate clinical development in the near term. We may also face competition from treatments for both nHCM and oHCM, including Bristol Myers Squibb’s myosin inhibitor Camzyos approved for oHCM. There are also several other programs in clinical development for HCM, including Cytokinetics’ Aficamten.</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454546"/>
        </w:rPr>
        <w:t xml:space="preserve">TN-301: </w:t>
      </w:r>
      <w:r>
        <w:rPr>
          <w:rFonts w:ascii="Times New Roman" w:cs="Times New Roman" w:eastAsia="Times New Roman" w:hAnsi="Times New Roman"/>
          <w:sz w:val="20"/>
          <w:szCs w:val="20"/>
          <w:color w:val="454546"/>
        </w:rPr>
        <w:t>We believe that the principal competition for TN-301 in HFpEF includes agents approved in the U.S.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and/or Europe for the treatment of HFpEF, including Novartis’ Entresto and Eli Lilly and Boehringer Ingleheim’s SGLT2 inhibitor, Jardiance and Astra Zeneca’s SGLT2 inhibitor, Farxiga. While there are no approved HDAC6 inhibitors for cardiovascular indications, HFpEF clinical development is an area of robust investment and multiple additional agents for the treatment of HFpEF are in clinical development.</w:t>
      </w:r>
    </w:p>
    <w:p>
      <w:pPr>
        <w:spacing w:after="0" w:line="77"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i w:val="1"/>
          <w:iCs w:val="1"/>
          <w:color w:val="454546"/>
        </w:rPr>
        <w:t xml:space="preserve">TN-401: </w:t>
      </w:r>
      <w:r>
        <w:rPr>
          <w:rFonts w:ascii="Times New Roman" w:cs="Times New Roman" w:eastAsia="Times New Roman" w:hAnsi="Times New Roman"/>
          <w:sz w:val="20"/>
          <w:szCs w:val="20"/>
          <w:color w:val="454546"/>
        </w:rPr>
        <w:t>We believe the principal competition for TN-401 will be programs that address the underlying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genetic cause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-associated ARVC. Based on publicly available data, we don’t believe any such treatments have received approval from a regulatory agency. However, there are several programs in clinical development for treating the underlying cause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including Rocket Pharmaceutical’s RP-A601, Lexeo Therapeutics’ LX2020, and BioMarin’s BMN-365. We may also face competition from therapies and medical devices directed to treat the symptoms of ARVC.</w:t>
      </w:r>
    </w:p>
    <w:p>
      <w:pPr>
        <w:spacing w:after="0" w:line="8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For information regarding the risks related to competition, see “</w:t>
      </w:r>
      <w:r>
        <w:rPr>
          <w:rFonts w:ascii="Times New Roman" w:cs="Times New Roman" w:eastAsia="Times New Roman" w:hAnsi="Times New Roman"/>
          <w:sz w:val="20"/>
          <w:szCs w:val="20"/>
          <w:i w:val="1"/>
          <w:iCs w:val="1"/>
          <w:color w:val="454546"/>
        </w:rPr>
        <w:t>Risk Factors—Risks Related to the Discovery</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Development, Manufacturing and Commercialization of Our Product Candidates.</w:t>
      </w:r>
      <w:r>
        <w:rPr>
          <w:rFonts w:ascii="Times New Roman" w:cs="Times New Roman" w:eastAsia="Times New Roman" w:hAnsi="Times New Roman"/>
          <w:sz w:val="20"/>
          <w:szCs w:val="20"/>
          <w:color w:val="454546"/>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Intellectual Property</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manufacturing processes and medical devices.</w:t>
      </w:r>
    </w:p>
    <w:p>
      <w:pPr>
        <w:spacing w:after="0" w:line="8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TN-201</w:t>
      </w:r>
      <w:r>
        <w:rPr>
          <w:rFonts w:ascii="Times New Roman" w:cs="Times New Roman" w:eastAsia="Times New Roman" w:hAnsi="Times New Roman"/>
          <w:sz w:val="20"/>
          <w:szCs w:val="20"/>
          <w:color w:val="454546"/>
        </w:rPr>
        <w:t>: With regard to TN-201, we own three issued U.S. patents covering a recombinant adeno-associated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virus (rAAV) virion whose vector genome encodes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and methods of using the same for treating cardiomyopathy, one pending non-provisional U.S. patent application, and twenty-six pending foreign patent applications. Any U.S. or foreign patents issued from the pending patent applications are expected to expire in 2041,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expression cassettes, rAAV vectors, rAAV viral genomes and methods of using such compositions for therapeutic indications.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18</w:t>
      </w:r>
    </w:p>
    <w:p>
      <w:pPr>
        <w:sectPr>
          <w:pgSz w:w="11880" w:h="15480" w:orient="portrait"/>
          <w:cols w:equalWidth="0" w:num="1">
            <w:col w:w="9340"/>
          </w:cols>
          <w:pgMar w:left="1260" w:top="1240" w:right="1280" w:bottom="0" w:gutter="0" w:footer="0" w:header="0"/>
          <w:type w:val="continuous"/>
        </w:sectPr>
      </w:pPr>
    </w:p>
    <w:bookmarkStart w:id="22" w:name="page23"/>
    <w:bookmarkEnd w:id="22"/>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454546"/>
        </w:rPr>
        <w:t xml:space="preserve">TN-301: </w:t>
      </w:r>
      <w:r>
        <w:rPr>
          <w:rFonts w:ascii="Times New Roman" w:cs="Times New Roman" w:eastAsia="Times New Roman" w:hAnsi="Times New Roman"/>
          <w:sz w:val="20"/>
          <w:szCs w:val="20"/>
          <w:color w:val="454546"/>
        </w:rPr>
        <w:t>With regard to TN-301, we own one issued U.S. patent, one allowed U.S. application, one pending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non-provisional U.S. patent application and thirty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 The pending patent applications cover TN-301 and various analogs. We also own two patent families that cover methods of treatment of various diseases and disorders with TN-301 and its analogs, with a total of three pending non-provisional U.S. patent applications and thirty-nine foreign patent applications. Any U.S. or foreign patents issued from the pending applications are expected to expire in 2042, assuming payment of all appropriate maintenance, renewal, annuity or other governmental fees, and without taking potential patent term extensions or adjustments into account. We also own one patent family that covers additional HDAC6i compounds, with one pending non-provisional U.S. patent application and three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93"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i w:val="1"/>
          <w:iCs w:val="1"/>
          <w:color w:val="454546"/>
        </w:rPr>
        <w:t xml:space="preserve">TN-401: </w:t>
      </w:r>
      <w:r>
        <w:rPr>
          <w:rFonts w:ascii="Times New Roman" w:cs="Times New Roman" w:eastAsia="Times New Roman" w:hAnsi="Times New Roman"/>
          <w:sz w:val="20"/>
          <w:szCs w:val="20"/>
          <w:color w:val="454546"/>
        </w:rPr>
        <w:t>With regard to TN-401, we own one issued U.S. patent, four pending U.S. non-provisional patent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applications, one issued foreign patent, and twenty six foreign patent applications. Any U.S. or foreign patents issued from the pending patent applications are expected to expire by 2041, assuming payment of all appropriate maintenance, renewal, annuity or other governmental fees and without taking potential patent term extensions or adjustments into account. These patent applications are related to proprietary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expression vectors and methods of use. We own one pending PCT patent application and two foreign patent applications related to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therapeutic treatment methods. Any U.S. or foreign patents issued from national stage filings of this PCT patent application or the pending foreign patent applications are expected to expire in 2043, assuming payment of all appropriate maintenance, renewal, annuity or other governmental fees, and without taking potential patent term extensions or adjustments into account. We own one pending PCT patent application and two foreign patent applications related to capsids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therapy and methods of use. Any U.S. or foreign patents issued from national stage filings of this PCT patent application or the pending foreign patent applications are expected to expire in 2043, assuming payment of all appropriate maintenance, renewal, annuity or other governmental fees, and without taking potential patent term extensions or adjustments into account. We own two pending U.S. provisional patent applications related to methods for modulating gene expression. Patents claiming priority to these U.S. provisional patent applications are expected to expire in 2044, assuming payment of all appropriate maintenance, renewal, annuity or other governmental fees, and without taking potential patent term extensions or adjustments into account. We own one pending non-provisional U.S. patent application related to methods for treating arrhythmogenic right ventricular cardiomyopathy. A U.S. patent issuing from this patent application is expected to expire in 2040, assuming payment of all appropriate maintenance, renewal, annuity or other governmental fees, and without taking potential patent term extensions or adjustments into account.</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Trade Secrets</w:t>
      </w:r>
    </w:p>
    <w:p>
      <w:pPr>
        <w:spacing w:after="0" w:line="12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19"/>
          <w:szCs w:val="19"/>
          <w:color w:val="454546"/>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w:t>
      </w:r>
    </w:p>
    <w:p>
      <w:pPr>
        <w:spacing w:after="0" w:line="68"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454546"/>
        </w:rPr>
        <w:t>For information regarding the risks related to our intellectual property, see “</w:t>
      </w:r>
      <w:r>
        <w:rPr>
          <w:rFonts w:ascii="Times New Roman" w:cs="Times New Roman" w:eastAsia="Times New Roman" w:hAnsi="Times New Roman"/>
          <w:sz w:val="20"/>
          <w:szCs w:val="20"/>
          <w:i w:val="1"/>
          <w:iCs w:val="1"/>
          <w:color w:val="454546"/>
        </w:rPr>
        <w:t>Risk Factors—Risks Related to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Our Intellectual Property.</w:t>
      </w:r>
      <w:r>
        <w:rPr>
          <w:rFonts w:ascii="Times New Roman" w:cs="Times New Roman" w:eastAsia="Times New Roman" w:hAnsi="Times New Roman"/>
          <w:sz w:val="20"/>
          <w:szCs w:val="20"/>
          <w:color w:val="454546"/>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Manufacturing</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We rely on a combination of our internal manufacturing capabilities as well as on external CDMOs for the manufacture of the drug substance and/or drug product of our portfolio programs and intend to continue to utilize this strategy as our programs progress through various stages of clinical development and eventually to commercialization, if approved.</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19</w:t>
      </w:r>
    </w:p>
    <w:p>
      <w:pPr>
        <w:sectPr>
          <w:pgSz w:w="11880" w:h="15480" w:orient="portrait"/>
          <w:cols w:equalWidth="0" w:num="1">
            <w:col w:w="9340"/>
          </w:cols>
          <w:pgMar w:left="1260" w:top="1240" w:right="1280" w:bottom="0" w:gutter="0" w:footer="0" w:header="0"/>
          <w:type w:val="continuous"/>
        </w:sectPr>
      </w:pPr>
    </w:p>
    <w:bookmarkStart w:id="23" w:name="page24"/>
    <w:bookmarkEnd w:id="23"/>
    <w:p>
      <w:pPr>
        <w:ind w:left="500"/>
        <w:spacing w:after="0"/>
        <w:rPr>
          <w:sz w:val="20"/>
          <w:szCs w:val="20"/>
          <w:color w:val="auto"/>
        </w:rPr>
      </w:pPr>
      <w:r>
        <w:rPr>
          <w:rFonts w:ascii="Times New Roman" w:cs="Times New Roman" w:eastAsia="Times New Roman" w:hAnsi="Times New Roman"/>
          <w:sz w:val="20"/>
          <w:szCs w:val="20"/>
          <w:i w:val="1"/>
          <w:iCs w:val="1"/>
          <w:color w:val="454546"/>
        </w:rPr>
        <w:t>AAV Manufacturing</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Supported by in-licensed and internally developed manufacturing technologies, we have fully integrated and internalized AAV manufacturing capabilities to support product candidates emerging from our product pipeline that utilize AAV for delivery. In addition, we have established a Quality Management System to oversee our GxP operations, including cGMP, GLP and Good Clinical Practice (GCP).</w:t>
      </w:r>
    </w:p>
    <w:p>
      <w:pPr>
        <w:spacing w:after="0" w:line="7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Our </w:t>
      </w:r>
      <w:r>
        <w:rPr>
          <w:rFonts w:ascii="Times New Roman" w:cs="Times New Roman" w:eastAsia="Times New Roman" w:hAnsi="Times New Roman"/>
          <w:sz w:val="20"/>
          <w:szCs w:val="20"/>
          <w:i w:val="1"/>
          <w:iCs w:val="1"/>
          <w:color w:val="454546"/>
        </w:rPr>
        <w:t>Manufacturing Technology Development Center,</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MTDC,</w:t>
      </w:r>
      <w:r>
        <w:rPr>
          <w:rFonts w:ascii="Times New Roman" w:cs="Times New Roman" w:eastAsia="Times New Roman" w:hAnsi="Times New Roman"/>
          <w:sz w:val="20"/>
          <w:szCs w:val="20"/>
          <w:color w:val="454546"/>
        </w:rPr>
        <w:t xml:space="preserve"> includes a Vector Core, upstream and downstream process development labs, as well as assay development and QC capabilities, and is co-located with our research labs in the San Francisco Bay Area. The MTDC does non-GMP work and operates at the shake flask, 50L, and 200L scales to support all non-clinical studies including, IND-enabling efficacy, pharmacology, toxicology, and biodistribution studies involving both small and large animal models. We also rely on the MTDC for technology transfer of our proprietary processes to our GMMC, a dedicated cGMP facility for AAV drug substance and drug product manufacturing strategically located in the San Francisco Bay Area.</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Our </w:t>
      </w:r>
      <w:r>
        <w:rPr>
          <w:rFonts w:ascii="Times New Roman" w:cs="Times New Roman" w:eastAsia="Times New Roman" w:hAnsi="Times New Roman"/>
          <w:sz w:val="20"/>
          <w:szCs w:val="20"/>
          <w:i w:val="1"/>
          <w:iCs w:val="1"/>
          <w:color w:val="454546"/>
        </w:rPr>
        <w:t>Genetic Medicines Manufacturing Center,</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GMMC</w:t>
      </w:r>
      <w:r>
        <w:rPr>
          <w:rFonts w:ascii="Times New Roman" w:cs="Times New Roman" w:eastAsia="Times New Roman" w:hAnsi="Times New Roman"/>
          <w:sz w:val="20"/>
          <w:szCs w:val="20"/>
          <w:color w:val="454546"/>
        </w:rPr>
        <w:t>, facility has the ability to operate at the 200L and 1000L scales to support clinical development activities from FIH clinical trials through to late-stage development, as well as initial commercialization, if regulatory approval is obtained. We utilized the GMMC to produce drug product for our FIH clinical trials for both TN-201 and TN-401. We customized approximately half of the 94,000 square foot GMMC facility using a modular design that could support our ability to scale-out and/or scale-up of manufacturing capacity in response to evolving needs, including future potential clinical and commercial production needs.</w:t>
      </w:r>
    </w:p>
    <w:p>
      <w:pPr>
        <w:spacing w:after="0" w:line="8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In addition to our internal cGMP manufacturing capabilities, we have also negotiated and entered into master service agreements with multiple CDMOs for additional AAV manufacturing and filling capacity and related risk mitigation. Additionally, we will rely on third parties for certain manufacturing of ancillary materials and release assays, for which we have already secured or intend to secure dual-sourced capacity.</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Small Molecule Manufacturing</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To optimize our use of resources, we work with CDMOs for our small molecule programs.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Government Regulation</w:t>
      </w:r>
    </w:p>
    <w:p>
      <w:pPr>
        <w:spacing w:after="0" w:line="124"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454546"/>
        </w:rPr>
        <w:t>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Biologic and Small Molecule Drug Product Development</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83" w:lineRule="exact"/>
        <w:rPr>
          <w:sz w:val="20"/>
          <w:szCs w:val="20"/>
          <w:color w:val="auto"/>
        </w:rPr>
      </w:pPr>
    </w:p>
    <w:p>
      <w:pPr>
        <w:ind w:left="980" w:right="80" w:hanging="491"/>
        <w:spacing w:after="0" w:line="276" w:lineRule="auto"/>
        <w:tabs>
          <w:tab w:leader="none" w:pos="980" w:val="left"/>
        </w:tabs>
        <w:numPr>
          <w:ilvl w:val="0"/>
          <w:numId w:val="11"/>
        </w:numPr>
        <w:rPr>
          <w:rFonts w:ascii="Arial" w:cs="Arial" w:eastAsia="Arial" w:hAnsi="Arial"/>
          <w:sz w:val="20"/>
          <w:szCs w:val="20"/>
          <w:color w:val="454546"/>
        </w:rPr>
      </w:pPr>
      <w:r>
        <w:rPr>
          <w:rFonts w:ascii="Times New Roman" w:cs="Times New Roman" w:eastAsia="Times New Roman" w:hAnsi="Times New Roman"/>
          <w:sz w:val="20"/>
          <w:szCs w:val="20"/>
          <w:color w:val="454546"/>
        </w:rPr>
        <w:t>Completion of extensive preclinical studies in accordance with applicable regulations, including studies conducted in accordance with GLP requirements;</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20</w:t>
      </w:r>
    </w:p>
    <w:p>
      <w:pPr>
        <w:sectPr>
          <w:pgSz w:w="11880" w:h="15480" w:orient="portrait"/>
          <w:cols w:equalWidth="0" w:num="1">
            <w:col w:w="9360"/>
          </w:cols>
          <w:pgMar w:left="1260" w:top="1242" w:right="1260" w:bottom="0" w:gutter="0" w:footer="0" w:header="0"/>
          <w:type w:val="continuous"/>
        </w:sectPr>
      </w:pPr>
    </w:p>
    <w:bookmarkStart w:id="24" w:name="page25"/>
    <w:bookmarkEnd w:id="24"/>
    <w:p>
      <w:pPr>
        <w:ind w:left="980" w:right="540" w:hanging="491"/>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to the FDA of an IND, which must become effective before human clinical trials may begin;</w:t>
      </w:r>
    </w:p>
    <w:p>
      <w:pPr>
        <w:spacing w:after="0" w:line="64"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Approval by an independent institutional review board (IRB), or ethics committee at each clinical trial site before each trial may be initiated;</w:t>
      </w:r>
    </w:p>
    <w:p>
      <w:pPr>
        <w:spacing w:after="0" w:line="64" w:lineRule="exact"/>
        <w:rPr>
          <w:rFonts w:ascii="Arial" w:cs="Arial" w:eastAsia="Arial" w:hAnsi="Arial"/>
          <w:sz w:val="20"/>
          <w:szCs w:val="20"/>
          <w:color w:val="454546"/>
        </w:rPr>
      </w:pPr>
    </w:p>
    <w:p>
      <w:pPr>
        <w:ind w:left="980" w:right="240" w:hanging="491"/>
        <w:spacing w:after="0" w:line="258"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81" w:lineRule="exact"/>
        <w:rPr>
          <w:rFonts w:ascii="Arial" w:cs="Arial" w:eastAsia="Arial" w:hAnsi="Arial"/>
          <w:sz w:val="20"/>
          <w:szCs w:val="20"/>
          <w:color w:val="454546"/>
        </w:rPr>
      </w:pPr>
    </w:p>
    <w:p>
      <w:pPr>
        <w:ind w:left="980" w:hanging="491"/>
        <w:spacing w:after="0"/>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to the FDA of a BLA or NDA;</w:t>
      </w:r>
    </w:p>
    <w:p>
      <w:pPr>
        <w:spacing w:after="0" w:line="133" w:lineRule="exact"/>
        <w:rPr>
          <w:rFonts w:ascii="Arial" w:cs="Arial" w:eastAsia="Arial" w:hAnsi="Arial"/>
          <w:sz w:val="20"/>
          <w:szCs w:val="20"/>
          <w:color w:val="454546"/>
        </w:rPr>
      </w:pPr>
    </w:p>
    <w:p>
      <w:pPr>
        <w:ind w:left="980" w:right="480" w:hanging="491"/>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A determination by the FDA within 60 days of its receipt of a BLA or NDA to accept the filing for review;</w:t>
      </w:r>
    </w:p>
    <w:p>
      <w:pPr>
        <w:spacing w:after="0" w:line="64" w:lineRule="exact"/>
        <w:rPr>
          <w:rFonts w:ascii="Arial" w:cs="Arial" w:eastAsia="Arial" w:hAnsi="Arial"/>
          <w:sz w:val="20"/>
          <w:szCs w:val="20"/>
          <w:color w:val="454546"/>
        </w:rPr>
      </w:pPr>
    </w:p>
    <w:p>
      <w:pPr>
        <w:ind w:left="980" w:right="260" w:hanging="491"/>
        <w:spacing w:after="0" w:line="249"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w:t>
      </w:r>
    </w:p>
    <w:p>
      <w:pPr>
        <w:spacing w:after="0" w:line="90" w:lineRule="exact"/>
        <w:rPr>
          <w:rFonts w:ascii="Arial" w:cs="Arial" w:eastAsia="Arial" w:hAnsi="Arial"/>
          <w:sz w:val="20"/>
          <w:szCs w:val="20"/>
          <w:color w:val="454546"/>
        </w:rPr>
      </w:pPr>
    </w:p>
    <w:p>
      <w:pPr>
        <w:ind w:left="980" w:right="200" w:hanging="491"/>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Potential FDA audit of the preclinical study and/or clinical trial sites that generated the data in support of the BLA or NDA;</w:t>
      </w:r>
    </w:p>
    <w:p>
      <w:pPr>
        <w:spacing w:after="0" w:line="64" w:lineRule="exact"/>
        <w:rPr>
          <w:rFonts w:ascii="Arial" w:cs="Arial" w:eastAsia="Arial" w:hAnsi="Arial"/>
          <w:sz w:val="20"/>
          <w:szCs w:val="20"/>
          <w:color w:val="454546"/>
        </w:rPr>
      </w:pPr>
    </w:p>
    <w:p>
      <w:pPr>
        <w:ind w:left="980" w:right="1220" w:hanging="491"/>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Satisfactory completion of other studies required by the FDA, including immunogenicity, carcinogenicity, genotoxicity, and stability studies;</w:t>
      </w:r>
    </w:p>
    <w:p>
      <w:pPr>
        <w:spacing w:after="0" w:line="64" w:lineRule="exact"/>
        <w:rPr>
          <w:rFonts w:ascii="Arial" w:cs="Arial" w:eastAsia="Arial" w:hAnsi="Arial"/>
          <w:sz w:val="20"/>
          <w:szCs w:val="20"/>
          <w:color w:val="454546"/>
        </w:rPr>
      </w:pPr>
    </w:p>
    <w:p>
      <w:pPr>
        <w:jc w:val="both"/>
        <w:ind w:left="980" w:right="620" w:hanging="491"/>
        <w:spacing w:after="0" w:line="258"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FDA review and approval of the BLA or NDA, including consideration of the views of any FDA advisory committee, prior to any commercial marketing or sale of the biologic or small molecule therapeutic in the United States; and</w:t>
      </w:r>
    </w:p>
    <w:p>
      <w:pPr>
        <w:spacing w:after="0" w:line="81" w:lineRule="exact"/>
        <w:rPr>
          <w:rFonts w:ascii="Arial" w:cs="Arial" w:eastAsia="Arial" w:hAnsi="Arial"/>
          <w:sz w:val="20"/>
          <w:szCs w:val="20"/>
          <w:color w:val="454546"/>
        </w:rPr>
      </w:pPr>
    </w:p>
    <w:p>
      <w:pPr>
        <w:ind w:left="980" w:right="40" w:hanging="491"/>
        <w:spacing w:after="0" w:line="258"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Compliance with any post-approval requirements, including the potential requirement to implement risk evaluation and mitigation strategies (REMS), and the potential requirement to conduct post-approval studies.</w:t>
      </w:r>
    </w:p>
    <w:p>
      <w:pPr>
        <w:spacing w:after="0" w:line="67" w:lineRule="exact"/>
        <w:rPr>
          <w:sz w:val="20"/>
          <w:szCs w:val="20"/>
          <w:color w:val="auto"/>
        </w:rPr>
      </w:pPr>
    </w:p>
    <w:p>
      <w:pPr>
        <w:jc w:val="both"/>
        <w:ind w:right="100" w:firstLine="490"/>
        <w:spacing w:after="0" w:line="252" w:lineRule="auto"/>
        <w:rPr>
          <w:sz w:val="20"/>
          <w:szCs w:val="20"/>
          <w:color w:val="auto"/>
        </w:rPr>
      </w:pPr>
      <w:r>
        <w:rPr>
          <w:rFonts w:ascii="Times New Roman" w:cs="Times New Roman" w:eastAsia="Times New Roman" w:hAnsi="Times New Roman"/>
          <w:sz w:val="20"/>
          <w:szCs w:val="20"/>
          <w:color w:val="454546"/>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Preclinical Studies and IND</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Preclinical studies include laboratory evaluation of product biochemistry, formulation and stability, as well as </w:t>
      </w:r>
      <w:r>
        <w:rPr>
          <w:rFonts w:ascii="Times New Roman" w:cs="Times New Roman" w:eastAsia="Times New Roman" w:hAnsi="Times New Roman"/>
          <w:sz w:val="20"/>
          <w:szCs w:val="20"/>
          <w:i w:val="1"/>
          <w:iCs w:val="1"/>
          <w:color w:val="454546"/>
        </w:rPr>
        <w:t xml:space="preserve">in vitro </w:t>
      </w:r>
      <w:r>
        <w:rPr>
          <w:rFonts w:ascii="Times New Roman" w:cs="Times New Roman" w:eastAsia="Times New Roman" w:hAnsi="Times New Roman"/>
          <w:sz w:val="20"/>
          <w:szCs w:val="20"/>
          <w:color w:val="454546"/>
        </w:rPr>
        <w:t>and animal studies to assess the potential for toxicity and to establish a rationale for therapeutic use for</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Clinical Trials</w:t>
      </w:r>
    </w:p>
    <w:p>
      <w:pPr>
        <w:spacing w:after="0" w:line="120"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454546"/>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21</w:t>
      </w:r>
    </w:p>
    <w:p>
      <w:pPr>
        <w:sectPr>
          <w:pgSz w:w="11880" w:h="15480" w:orient="portrait"/>
          <w:cols w:equalWidth="0" w:num="1">
            <w:col w:w="9360"/>
          </w:cols>
          <w:pgMar w:left="1260" w:top="1254" w:right="1260" w:bottom="0" w:gutter="0" w:footer="0" w:header="0"/>
          <w:type w:val="continuous"/>
        </w:sectPr>
      </w:pPr>
    </w:p>
    <w:bookmarkStart w:id="25" w:name="page26"/>
    <w:bookmarkEnd w:id="25"/>
    <w:p>
      <w:pPr>
        <w:ind w:right="20"/>
        <w:spacing w:after="0" w:line="244" w:lineRule="auto"/>
        <w:rPr>
          <w:sz w:val="20"/>
          <w:szCs w:val="20"/>
          <w:color w:val="auto"/>
        </w:rPr>
      </w:pPr>
      <w:r>
        <w:rPr>
          <w:rFonts w:ascii="Times New Roman" w:cs="Times New Roman" w:eastAsia="Times New Roman" w:hAnsi="Times New Roman"/>
          <w:sz w:val="20"/>
          <w:szCs w:val="20"/>
          <w:color w:val="454546"/>
        </w:rPr>
        <w:t>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8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8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Clinical trials in the United States generally are conducted in three sequential phases, known as Phase 1, Phase 2 and Phase 3, and may overlap.</w:t>
      </w:r>
    </w:p>
    <w:p>
      <w:pPr>
        <w:spacing w:after="0" w:line="63" w:lineRule="exact"/>
        <w:rPr>
          <w:sz w:val="20"/>
          <w:szCs w:val="20"/>
          <w:color w:val="auto"/>
        </w:rPr>
      </w:pPr>
    </w:p>
    <w:p>
      <w:pPr>
        <w:ind w:left="980" w:right="60" w:hanging="491"/>
        <w:spacing w:after="0" w:line="252"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7" w:lineRule="exact"/>
        <w:rPr>
          <w:rFonts w:ascii="Arial" w:cs="Arial" w:eastAsia="Arial" w:hAnsi="Arial"/>
          <w:sz w:val="20"/>
          <w:szCs w:val="20"/>
          <w:color w:val="454546"/>
        </w:rPr>
      </w:pPr>
    </w:p>
    <w:p>
      <w:pPr>
        <w:ind w:left="980" w:right="80" w:hanging="491"/>
        <w:spacing w:after="0" w:line="252"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7" w:lineRule="exact"/>
        <w:rPr>
          <w:rFonts w:ascii="Arial" w:cs="Arial" w:eastAsia="Arial" w:hAnsi="Arial"/>
          <w:sz w:val="20"/>
          <w:szCs w:val="20"/>
          <w:color w:val="454546"/>
        </w:rPr>
      </w:pPr>
    </w:p>
    <w:p>
      <w:pPr>
        <w:ind w:left="980" w:right="80" w:hanging="491"/>
        <w:spacing w:after="0" w:line="247"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7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suggesting a significant risk to humans exposed to the investigational product, findings from animal 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testing that suggest a significant risk for human subjects and any clinically important increase in the rate of a serious suspected adverse reaction over that listed in the protocol or investigator brochure.</w:t>
      </w:r>
    </w:p>
    <w:p>
      <w:pPr>
        <w:spacing w:after="0" w:line="8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22</w:t>
      </w:r>
    </w:p>
    <w:p>
      <w:pPr>
        <w:sectPr>
          <w:pgSz w:w="11880" w:h="15480" w:orient="portrait"/>
          <w:cols w:equalWidth="0" w:num="1">
            <w:col w:w="9360"/>
          </w:cols>
          <w:pgMar w:left="1260" w:top="1240" w:right="1260" w:bottom="0" w:gutter="0" w:footer="0" w:header="0"/>
          <w:type w:val="continuous"/>
        </w:sectPr>
      </w:pPr>
    </w:p>
    <w:bookmarkStart w:id="26" w:name="page27"/>
    <w:bookmarkEnd w:id="26"/>
    <w:p>
      <w:pPr>
        <w:ind w:right="40"/>
        <w:spacing w:after="0" w:line="246" w:lineRule="auto"/>
        <w:rPr>
          <w:sz w:val="20"/>
          <w:szCs w:val="20"/>
          <w:color w:val="auto"/>
        </w:rPr>
      </w:pPr>
      <w:r>
        <w:rPr>
          <w:rFonts w:ascii="Times New Roman" w:cs="Times New Roman" w:eastAsia="Times New Roman" w:hAnsi="Times New Roman"/>
          <w:sz w:val="20"/>
          <w:szCs w:val="20"/>
          <w:color w:val="454546"/>
        </w:rPr>
        <w:t>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NDA and BLA Review Process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Under the Prescription Drug User Fee Act (PDUFA), as amended, each BLA or NDA must be accompanied by a user fee. FDA adjusts the PDUFA user fees on an annual basis. According to the FDA’s FY 2024 fee schedule, effective through September 30, 2024, the user fee for an application requiring clinical data, such as a BLA or NDA, is approximately $4 million. PDUFA also imposes an annual program fee for each marketed human prescription drug product ($416,734 in 2024)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86"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23</w:t>
      </w:r>
    </w:p>
    <w:p>
      <w:pPr>
        <w:sectPr>
          <w:pgSz w:w="11880" w:h="15480" w:orient="portrait"/>
          <w:cols w:equalWidth="0" w:num="1">
            <w:col w:w="9360"/>
          </w:cols>
          <w:pgMar w:left="1260" w:top="1240" w:right="1260" w:bottom="0" w:gutter="0" w:footer="0" w:header="0"/>
          <w:type w:val="continuous"/>
        </w:sectPr>
      </w:pPr>
    </w:p>
    <w:bookmarkStart w:id="27" w:name="page28"/>
    <w:bookmarkEnd w:id="27"/>
    <w:p>
      <w:pPr>
        <w:ind w:right="20"/>
        <w:spacing w:after="0" w:line="247" w:lineRule="auto"/>
        <w:rPr>
          <w:sz w:val="20"/>
          <w:szCs w:val="20"/>
          <w:color w:val="auto"/>
        </w:rPr>
      </w:pPr>
      <w:r>
        <w:rPr>
          <w:rFonts w:ascii="Times New Roman" w:cs="Times New Roman" w:eastAsia="Times New Roman" w:hAnsi="Times New Roman"/>
          <w:sz w:val="20"/>
          <w:szCs w:val="20"/>
          <w:color w:val="454546"/>
        </w:rPr>
        <w:t>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Orphan Drugs</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7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454546"/>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74"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19"/>
          <w:szCs w:val="19"/>
          <w:color w:val="454546"/>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68"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454546"/>
        </w:rPr>
        <w:t xml:space="preserve">In </w:t>
      </w:r>
      <w:r>
        <w:rPr>
          <w:rFonts w:ascii="Times New Roman" w:cs="Times New Roman" w:eastAsia="Times New Roman" w:hAnsi="Times New Roman"/>
          <w:sz w:val="20"/>
          <w:szCs w:val="20"/>
          <w:i w:val="1"/>
          <w:iCs w:val="1"/>
          <w:color w:val="454546"/>
        </w:rPr>
        <w:t>Catalyst Pharms., Inc. v. Becerra</w:t>
      </w:r>
      <w:r>
        <w:rPr>
          <w:rFonts w:ascii="Times New Roman" w:cs="Times New Roman" w:eastAsia="Times New Roman" w:hAnsi="Times New Roman"/>
          <w:sz w:val="20"/>
          <w:szCs w:val="20"/>
          <w:color w:val="454546"/>
        </w:rPr>
        <w:t xml:space="preserve">, 14 F.4th 1299 (11th Cir. 2021), the court disagreed with the FDA’s longstanding position that the orphan drug exclusivity only applies to the approved use or indication within an eligible disease. In particular, the circuit court held that the orphan-drug exclusivity for Catalyst’s drug blocked FDA’s approval of another drug for all uses or indications within the same orphan-designated disease, or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Expedited Development and Review Programs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24</w:t>
      </w:r>
    </w:p>
    <w:p>
      <w:pPr>
        <w:sectPr>
          <w:pgSz w:w="11880" w:h="15480" w:orient="portrait"/>
          <w:cols w:equalWidth="0" w:num="1">
            <w:col w:w="9360"/>
          </w:cols>
          <w:pgMar w:left="1260" w:top="1240" w:right="1260" w:bottom="0" w:gutter="0" w:footer="0" w:header="0"/>
          <w:type w:val="continuous"/>
        </w:sectPr>
      </w:pPr>
    </w:p>
    <w:bookmarkStart w:id="28" w:name="page29"/>
    <w:bookmarkEnd w:id="28"/>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7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For accelerated approval, the FDA has the authority to specify conditions for post approval study requirements and can withdraw a product on an expedited basis for noncompliance with post-approval requirements.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454546"/>
        </w:rPr>
        <w:t>Abbreviated Licensure Pathway of Biological Products as Biosimilars or Interchangeable Biosimilars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94" w:lineRule="exact"/>
        <w:rPr>
          <w:sz w:val="20"/>
          <w:szCs w:val="20"/>
          <w:color w:val="auto"/>
        </w:rPr>
      </w:pPr>
    </w:p>
    <w:p>
      <w:pPr>
        <w:ind w:left="980" w:right="160" w:hanging="491"/>
        <w:spacing w:after="0" w:line="276"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Analytical studies demonstrating that the proposed biosimilar product is highly similar to the approved product notwithstanding minor differences in clinically inactive components;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Animal studies (including the assessment of toxicity); and</w:t>
      </w:r>
    </w:p>
    <w:p>
      <w:pPr>
        <w:spacing w:after="0" w:line="133" w:lineRule="exact"/>
        <w:rPr>
          <w:rFonts w:ascii="Arial" w:cs="Arial" w:eastAsia="Arial" w:hAnsi="Arial"/>
          <w:sz w:val="20"/>
          <w:szCs w:val="20"/>
          <w:color w:val="454546"/>
        </w:rPr>
      </w:pPr>
    </w:p>
    <w:p>
      <w:pPr>
        <w:ind w:left="980" w:right="280" w:hanging="491"/>
        <w:spacing w:after="0" w:line="258"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 addition, an application must include information demonstrating that:</w:t>
      </w:r>
    </w:p>
    <w:p>
      <w:pPr>
        <w:spacing w:after="0" w:line="134" w:lineRule="exact"/>
        <w:rPr>
          <w:sz w:val="20"/>
          <w:szCs w:val="20"/>
          <w:color w:val="auto"/>
        </w:rPr>
      </w:pPr>
    </w:p>
    <w:p>
      <w:pPr>
        <w:ind w:left="980" w:right="380" w:hanging="491"/>
        <w:spacing w:after="0" w:line="258"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81" w:lineRule="exact"/>
        <w:rPr>
          <w:rFonts w:ascii="Arial" w:cs="Arial" w:eastAsia="Arial" w:hAnsi="Arial"/>
          <w:sz w:val="20"/>
          <w:szCs w:val="20"/>
          <w:color w:val="454546"/>
        </w:rPr>
      </w:pPr>
    </w:p>
    <w:p>
      <w:pPr>
        <w:ind w:left="980" w:right="680" w:hanging="491"/>
        <w:spacing w:after="0" w:line="276"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condition or conditions of use prescribed, recommended or suggested in the labeling for the proposed biosimilar product have been previously approved for the reference product;</w:t>
      </w:r>
    </w:p>
    <w:p>
      <w:pPr>
        <w:spacing w:after="0" w:line="64" w:lineRule="exact"/>
        <w:rPr>
          <w:rFonts w:ascii="Arial" w:cs="Arial" w:eastAsia="Arial" w:hAnsi="Arial"/>
          <w:sz w:val="20"/>
          <w:szCs w:val="20"/>
          <w:color w:val="454546"/>
        </w:rPr>
      </w:pPr>
    </w:p>
    <w:p>
      <w:pPr>
        <w:ind w:left="980" w:right="60" w:hanging="491"/>
        <w:spacing w:after="0" w:line="276"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The route of administration, the dosage form and the strength of the proposed biosimilar product are the same as those for the reference product; and</w:t>
      </w:r>
    </w:p>
    <w:p>
      <w:pPr>
        <w:spacing w:after="0" w:line="64" w:lineRule="exact"/>
        <w:rPr>
          <w:rFonts w:ascii="Arial" w:cs="Arial" w:eastAsia="Arial" w:hAnsi="Arial"/>
          <w:sz w:val="20"/>
          <w:szCs w:val="20"/>
          <w:color w:val="454546"/>
        </w:rPr>
      </w:pPr>
    </w:p>
    <w:p>
      <w:pPr>
        <w:ind w:left="980" w:right="80" w:hanging="491"/>
        <w:spacing w:after="0" w:line="276"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facility in which the biological product is manufactured, processed, packed or held meets standards designed to assure that the biological product continues to be safe, pure and potent.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25</w:t>
      </w:r>
    </w:p>
    <w:p>
      <w:pPr>
        <w:sectPr>
          <w:pgSz w:w="11880" w:h="15480" w:orient="portrait"/>
          <w:cols w:equalWidth="0" w:num="1">
            <w:col w:w="9360"/>
          </w:cols>
          <w:pgMar w:left="1260" w:top="1240" w:right="1260" w:bottom="0" w:gutter="0" w:footer="0" w:header="0"/>
          <w:type w:val="continuous"/>
        </w:sectPr>
      </w:pPr>
    </w:p>
    <w:bookmarkStart w:id="29" w:name="page30"/>
    <w:bookmarkEnd w:id="29"/>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94" w:lineRule="exact"/>
        <w:rPr>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product is biosimilar to the reference product;</w:t>
      </w:r>
    </w:p>
    <w:p>
      <w:pPr>
        <w:spacing w:after="0" w:line="133" w:lineRule="exact"/>
        <w:rPr>
          <w:rFonts w:ascii="Arial" w:cs="Arial" w:eastAsia="Arial" w:hAnsi="Arial"/>
          <w:sz w:val="20"/>
          <w:szCs w:val="20"/>
          <w:color w:val="454546"/>
        </w:rPr>
      </w:pPr>
    </w:p>
    <w:p>
      <w:pPr>
        <w:ind w:left="980" w:right="360" w:hanging="491"/>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product is expected to produce the same clinical result as the reference product in any given patient; and</w:t>
      </w:r>
    </w:p>
    <w:p>
      <w:pPr>
        <w:spacing w:after="0" w:line="64" w:lineRule="exact"/>
        <w:rPr>
          <w:rFonts w:ascii="Arial" w:cs="Arial" w:eastAsia="Arial" w:hAnsi="Arial"/>
          <w:sz w:val="20"/>
          <w:szCs w:val="20"/>
          <w:color w:val="454546"/>
        </w:rPr>
      </w:pPr>
    </w:p>
    <w:p>
      <w:pPr>
        <w:ind w:left="980" w:right="380" w:hanging="491"/>
        <w:spacing w:after="0" w:line="278" w:lineRule="auto"/>
        <w:tabs>
          <w:tab w:leader="none" w:pos="980" w:val="left"/>
        </w:tabs>
        <w:numPr>
          <w:ilvl w:val="0"/>
          <w:numId w:val="16"/>
        </w:numPr>
        <w:rPr>
          <w:rFonts w:ascii="Arial" w:cs="Arial" w:eastAsia="Arial" w:hAnsi="Arial"/>
          <w:sz w:val="19"/>
          <w:szCs w:val="19"/>
          <w:color w:val="454546"/>
        </w:rPr>
      </w:pPr>
      <w:r>
        <w:rPr>
          <w:rFonts w:ascii="Times New Roman" w:cs="Times New Roman" w:eastAsia="Times New Roman" w:hAnsi="Times New Roman"/>
          <w:sz w:val="19"/>
          <w:szCs w:val="19"/>
          <w:color w:val="454546"/>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5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454546"/>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80"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454546"/>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w:t>
      </w:r>
    </w:p>
    <w:p>
      <w:pPr>
        <w:spacing w:after="0" w:line="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454546"/>
        </w:rPr>
        <w:t>The FDA cannot approve a biosimilar application for twelve years from the date of first licensure of the reference product.</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2"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The first biological product determined to be interchangeable with a branded product for any condition of use is also entitled to a period of exclusivity, during which time the FDA may not determine that another product is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26</w:t>
      </w:r>
    </w:p>
    <w:p>
      <w:pPr>
        <w:sectPr>
          <w:pgSz w:w="11880" w:h="15480" w:orient="portrait"/>
          <w:cols w:equalWidth="0" w:num="1">
            <w:col w:w="9340"/>
          </w:cols>
          <w:pgMar w:left="1260" w:top="1240" w:right="1280" w:bottom="0" w:gutter="0" w:footer="0" w:header="0"/>
          <w:type w:val="continuous"/>
        </w:sectPr>
      </w:pPr>
    </w:p>
    <w:bookmarkStart w:id="30" w:name="page31"/>
    <w:bookmarkEnd w:id="30"/>
    <w:p>
      <w:pPr>
        <w:ind w:right="40"/>
        <w:spacing w:after="0" w:line="245" w:lineRule="auto"/>
        <w:rPr>
          <w:sz w:val="20"/>
          <w:szCs w:val="20"/>
          <w:color w:val="auto"/>
        </w:rPr>
      </w:pPr>
      <w:r>
        <w:rPr>
          <w:rFonts w:ascii="Times New Roman" w:cs="Times New Roman" w:eastAsia="Times New Roman" w:hAnsi="Times New Roman"/>
          <w:sz w:val="20"/>
          <w:szCs w:val="20"/>
          <w:color w:val="454546"/>
        </w:rPr>
        <w:t>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Abbreviated NDA Pathway for Generic Drug Products</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active pharmaceutical ingredients (API),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Post-Approval Requirements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2"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454546"/>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980" w:right="20" w:hanging="491"/>
        <w:spacing w:after="0" w:line="276" w:lineRule="auto"/>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Warning letters, or holds on post-approval clinical studies;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27</w:t>
      </w:r>
    </w:p>
    <w:p>
      <w:pPr>
        <w:sectPr>
          <w:pgSz w:w="11880" w:h="15480" w:orient="portrait"/>
          <w:cols w:equalWidth="0" w:num="1">
            <w:col w:w="9360"/>
          </w:cols>
          <w:pgMar w:left="1260" w:top="1240" w:right="1260" w:bottom="0" w:gutter="0" w:footer="0" w:header="0"/>
          <w:type w:val="continuous"/>
        </w:sectPr>
      </w:pPr>
    </w:p>
    <w:bookmarkStart w:id="31" w:name="page32"/>
    <w:bookmarkEnd w:id="31"/>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Refusal of the FDA to approve pending applications or supplements to approved applications;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Applications, or suspension or revocation of product license approvals;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seizure or detention, or refusal to permit the import or export of products; or</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Injunctions or the imposition of civil or criminal penalties.</w:t>
      </w:r>
    </w:p>
    <w:p>
      <w:pPr>
        <w:spacing w:after="0" w:line="119"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 label uses, and a company that is found to have improperly promoted off-label uses may be subject to significant liability.</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FDA Regulation of Combination Biologic-Medical Device Products</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91"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454546"/>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(QSR) applicable to medical devices. Further, in February 2024, the FDA issued a final rule replacing the QSR with the Quality Management System Regulation (QMSR) which incorporates by reference the quality management system requirements of ISO 13485:2016. The FDA has stated that the standards contained in ISO 13485:216 are substantially similar to those set forth in the existing QSR. This final rule does not go into effect until February 2026.</w:t>
      </w:r>
    </w:p>
    <w:p>
      <w:pPr>
        <w:spacing w:after="0" w:line="8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510(k) clearance process</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28</w:t>
      </w:r>
    </w:p>
    <w:p>
      <w:pPr>
        <w:sectPr>
          <w:pgSz w:w="11880" w:h="15480" w:orient="portrait"/>
          <w:cols w:equalWidth="0" w:num="1">
            <w:col w:w="9360"/>
          </w:cols>
          <w:pgMar w:left="1260" w:top="1254" w:right="1260" w:bottom="0" w:gutter="0" w:footer="0" w:header="0"/>
          <w:type w:val="continuous"/>
        </w:sectPr>
      </w:pPr>
    </w:p>
    <w:bookmarkStart w:id="32" w:name="page33"/>
    <w:bookmarkEnd w:id="32"/>
    <w:p>
      <w:pPr>
        <w:ind w:right="40"/>
        <w:spacing w:after="0" w:line="265" w:lineRule="auto"/>
        <w:rPr>
          <w:sz w:val="20"/>
          <w:szCs w:val="20"/>
          <w:color w:val="auto"/>
        </w:rPr>
      </w:pPr>
      <w:r>
        <w:rPr>
          <w:rFonts w:ascii="Times New Roman" w:cs="Times New Roman" w:eastAsia="Times New Roman" w:hAnsi="Times New Roman"/>
          <w:sz w:val="19"/>
          <w:szCs w:val="19"/>
          <w:color w:val="454546"/>
        </w:rPr>
        <w:t>Application (PMA).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6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De novo classification process</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PMA approval process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QSR, or QMSR when it comes into effect, which imposes extensive testing, control, documentation, and other Quality Assurance and GMP requirements.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Other U.S. Regulatory Matters</w:t>
      </w:r>
    </w:p>
    <w:p>
      <w:pPr>
        <w:spacing w:after="0" w:line="120"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19"/>
          <w:szCs w:val="19"/>
          <w:color w:val="454546"/>
        </w:rPr>
        <w:t>Manufacturing, sales, promotion and other activities following product approval are also subject to regulation by numerous regulatory authorities in the United States in addition to the FDA, including the Centers for Medicare</w:t>
      </w:r>
    </w:p>
    <w:p>
      <w:pPr>
        <w:spacing w:after="0" w:line="242" w:lineRule="auto"/>
        <w:tabs>
          <w:tab w:leader="none" w:pos="206"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84"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19"/>
          <w:szCs w:val="19"/>
          <w:color w:val="454546"/>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29</w:t>
      </w:r>
    </w:p>
    <w:p>
      <w:pPr>
        <w:sectPr>
          <w:pgSz w:w="11880" w:h="15480" w:orient="portrait"/>
          <w:cols w:equalWidth="0" w:num="1">
            <w:col w:w="9360"/>
          </w:cols>
          <w:pgMar w:left="1260" w:top="1240" w:right="1260" w:bottom="0" w:gutter="0" w:footer="0" w:header="0"/>
          <w:type w:val="continuous"/>
        </w:sectPr>
      </w:pPr>
    </w:p>
    <w:bookmarkStart w:id="33" w:name="page34"/>
    <w:bookmarkEnd w:id="33"/>
    <w:p>
      <w:pPr>
        <w:ind w:right="20"/>
        <w:spacing w:after="0" w:line="277" w:lineRule="auto"/>
        <w:rPr>
          <w:sz w:val="20"/>
          <w:szCs w:val="20"/>
          <w:color w:val="auto"/>
        </w:rPr>
      </w:pPr>
      <w:r>
        <w:rPr>
          <w:rFonts w:ascii="Times New Roman" w:cs="Times New Roman" w:eastAsia="Times New Roman" w:hAnsi="Times New Roman"/>
          <w:sz w:val="20"/>
          <w:szCs w:val="20"/>
          <w:color w:val="454546"/>
        </w:rPr>
        <w:t>resulting from a violation of the federal Anti-Kickback Statute constitutes a false or fraudulent claim for purposes of the False Claims Act.</w:t>
      </w:r>
    </w:p>
    <w:p>
      <w:pPr>
        <w:spacing w:after="0" w:line="4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8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Times New Roman" w:cs="Times New Roman" w:eastAsia="Times New Roman" w:hAnsi="Times New Roman"/>
          <w:sz w:val="20"/>
          <w:szCs w:val="20"/>
          <w:i w:val="1"/>
          <w:iCs w:val="1"/>
          <w:color w:val="454546"/>
        </w:rPr>
        <w:t>Risk Factors— Risks Related to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Regulatory Approval and Other Legal Compliance Matters</w:t>
      </w:r>
      <w:r>
        <w:rPr>
          <w:rFonts w:ascii="Times New Roman" w:cs="Times New Roman" w:eastAsia="Times New Roman" w:hAnsi="Times New Roman"/>
          <w:sz w:val="20"/>
          <w:szCs w:val="20"/>
          <w:color w:val="454546"/>
        </w:rPr>
        <w: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Data Privacy and Security Laws</w:t>
      </w:r>
    </w:p>
    <w:p>
      <w:pPr>
        <w:spacing w:after="0" w:line="120"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454546"/>
        </w:rPr>
        <w:t>In the United States, a broad variety of laws, rules, regulations and standards relating to privacy, data protection and information security may apply to our activities, such as state data breach notification laws, state personal data privacy laws (for example, the California Consumer Privacy Act of 2018, as amended by the California Privacy Rights Act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Although there are limited exemptions for clinical trial data under the CCPA, the CCPA and other similar laws could impact our business activities, depending on their interpretation. Other states have enacted laws similar to the CCPA that are either in operation or slated to go into operation over the next three years, and other state legislatures are currently considering, and may pass, their own comprehensive data privacy and security laws, with potentially greater penalties and more rigorous compliance requirements, and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w:t>
      </w:r>
      <w:r>
        <w:rPr>
          <w:rFonts w:ascii="Times New Roman" w:cs="Times New Roman" w:eastAsia="Times New Roman" w:hAnsi="Times New Roman"/>
          <w:sz w:val="20"/>
          <w:szCs w:val="20"/>
          <w:i w:val="1"/>
          <w:iCs w:val="1"/>
          <w:color w:val="454546"/>
        </w:rPr>
        <w:t>Risk Factors— Risks Related to Regulatory Approval and Other Legal</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Compliance Matters.</w:t>
      </w:r>
      <w:r>
        <w:rPr>
          <w:rFonts w:ascii="Times New Roman" w:cs="Times New Roman" w:eastAsia="Times New Roman" w:hAnsi="Times New Roman"/>
          <w:sz w:val="20"/>
          <w:szCs w:val="20"/>
          <w:color w:val="454546"/>
        </w:rPr>
        <w:t>” We are subject to stringent laws, rules, regulations, policies, industry standards and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Patent-Term Restoration and Marketing Exclusivity</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30</w:t>
      </w:r>
    </w:p>
    <w:p>
      <w:pPr>
        <w:sectPr>
          <w:pgSz w:w="11880" w:h="15480" w:orient="portrait"/>
          <w:cols w:equalWidth="0" w:num="1">
            <w:col w:w="9340"/>
          </w:cols>
          <w:pgMar w:left="1260" w:top="1240" w:right="1280" w:bottom="0" w:gutter="0" w:footer="0" w:header="0"/>
          <w:type w:val="continuous"/>
        </w:sectPr>
      </w:pPr>
    </w:p>
    <w:bookmarkStart w:id="34" w:name="page35"/>
    <w:bookmarkEnd w:id="34"/>
    <w:p>
      <w:pPr>
        <w:ind w:right="40"/>
        <w:spacing w:after="0" w:line="244" w:lineRule="auto"/>
        <w:rPr>
          <w:sz w:val="20"/>
          <w:szCs w:val="20"/>
          <w:color w:val="auto"/>
        </w:rPr>
      </w:pPr>
      <w:r>
        <w:rPr>
          <w:rFonts w:ascii="Times New Roman" w:cs="Times New Roman" w:eastAsia="Times New Roman" w:hAnsi="Times New Roman"/>
          <w:sz w:val="20"/>
          <w:szCs w:val="20"/>
          <w:color w:val="454546"/>
        </w:rPr>
        <w:t>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8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European Union Drug Development</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Recently enacted Clinical Trials Regulation EU No 536/2014 (the Regulation), which went into application on January 31, 2022, replaces the Clinical Trials Directive No. 2001/20/EC and aims to harmonize the processes for assessment and supervision of clinical trials throughout the European Union. Under the Regulation, clinical trial sponsors can use the Clinical Trials Information System (CTIS) from January 31, 2022, but are not required to use it immediately, in line with a three-year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EC.</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31</w:t>
      </w:r>
    </w:p>
    <w:p>
      <w:pPr>
        <w:sectPr>
          <w:pgSz w:w="11880" w:h="15480" w:orient="portrait"/>
          <w:cols w:equalWidth="0" w:num="1">
            <w:col w:w="9360"/>
          </w:cols>
          <w:pgMar w:left="1260" w:top="1240" w:right="1260" w:bottom="0" w:gutter="0" w:footer="0" w:header="0"/>
          <w:type w:val="continuous"/>
        </w:sectPr>
      </w:pPr>
    </w:p>
    <w:bookmarkStart w:id="35" w:name="page36"/>
    <w:bookmarkEnd w:id="35"/>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EU Drug Review and Approval</w:t>
      </w:r>
    </w:p>
    <w:p>
      <w:pPr>
        <w:spacing w:after="0" w:line="120"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454546"/>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65" w:lineRule="exact"/>
        <w:rPr>
          <w:sz w:val="20"/>
          <w:szCs w:val="20"/>
          <w:color w:val="auto"/>
        </w:rPr>
      </w:pPr>
    </w:p>
    <w:p>
      <w:pPr>
        <w:ind w:left="980" w:right="40" w:hanging="491"/>
        <w:spacing w:after="0" w:line="244" w:lineRule="auto"/>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Community MA is issued by the EC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95" w:lineRule="exact"/>
        <w:rPr>
          <w:rFonts w:ascii="Arial" w:cs="Arial" w:eastAsia="Arial" w:hAnsi="Arial"/>
          <w:sz w:val="20"/>
          <w:szCs w:val="20"/>
          <w:color w:val="454546"/>
        </w:rPr>
      </w:pPr>
    </w:p>
    <w:p>
      <w:pPr>
        <w:ind w:left="980" w:hanging="491"/>
        <w:spacing w:after="0" w:line="242" w:lineRule="auto"/>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9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Foreign Data Privacy and Security Laws</w:t>
      </w:r>
    </w:p>
    <w:p>
      <w:pPr>
        <w:spacing w:after="0" w:line="120"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454546"/>
        </w:rPr>
        <w:t>Outside of the United States, legal requirements relating to the collection, storage, processing, and transfer of personal data continue to evolve. For example, in the EU, the General Data Protection Regulation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We are also subject to the UK GDPR, which implements the GDPR in the UK post-Brexit. Failure to comply with the GDPR or UK GDPR may result in fines up to €20,000,000 (£17.5 million in the UK) or 4% of the total worldwide annual turnover of the preceding financial year, whichever is higher, and other administrative penalties. The GDPR and UK GDPR have increased our responsibility and liability in relation to personal data that we may process, and we may be required to implement additional measures in an effort to comply with the GDPR and UK GDPR and with other laws, rules and regulations in the EEA, United Kingdom (UK) and Switzerland relating to privacy and data protection. If our efforts to comply with GDPR and UK GDPR or other applicable foreign laws, rules and regulations are not successful, or are perceived to be unsuccessful, it could adversely affect our business. For more information, see “</w:t>
      </w:r>
      <w:r>
        <w:rPr>
          <w:rFonts w:ascii="Times New Roman" w:cs="Times New Roman" w:eastAsia="Times New Roman" w:hAnsi="Times New Roman"/>
          <w:sz w:val="20"/>
          <w:szCs w:val="20"/>
          <w:i w:val="1"/>
          <w:iCs w:val="1"/>
          <w:color w:val="454546"/>
        </w:rPr>
        <w:t>Risk Factors—Risks Related to Regulatory Approval and Other Legal Compliance Matters.</w:t>
      </w:r>
      <w:r>
        <w:rPr>
          <w:rFonts w:ascii="Times New Roman" w:cs="Times New Roman" w:eastAsia="Times New Roman" w:hAnsi="Times New Roman"/>
          <w:sz w:val="20"/>
          <w:szCs w:val="20"/>
          <w:color w:val="454546"/>
        </w:rPr>
        <w:t>”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32</w:t>
      </w:r>
    </w:p>
    <w:p>
      <w:pPr>
        <w:sectPr>
          <w:pgSz w:w="11880" w:h="15480" w:orient="portrait"/>
          <w:cols w:equalWidth="0" w:num="1">
            <w:col w:w="9360"/>
          </w:cols>
          <w:pgMar w:left="1260" w:top="1240" w:right="1260" w:bottom="0" w:gutter="0" w:footer="0" w:header="0"/>
          <w:type w:val="continuous"/>
        </w:sectPr>
      </w:pPr>
    </w:p>
    <w:bookmarkStart w:id="36" w:name="page37"/>
    <w:bookmarkEnd w:id="36"/>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Coverage and Reimbursement</w:t>
      </w:r>
    </w:p>
    <w:p>
      <w:pPr>
        <w:spacing w:after="0" w:line="12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and requiring pharmaceutical manufacturers to pay rebates on Medicaid managed care utilization and enlarging the population potentially eligible for Medicaid drug benefits. Further,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w:t>
      </w:r>
    </w:p>
    <w:p>
      <w:pPr>
        <w:spacing w:after="0" w:line="93"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454546"/>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8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74"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454546"/>
        </w:rPr>
        <w:t>In August 2022, Congress passed the Inflation Reduction Act of 2022 (IRA), which includes prescription drug provisions that have significant implications for the pharmaceutical industry and Medicare beneficiaries, including</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33</w:t>
      </w:r>
    </w:p>
    <w:p>
      <w:pPr>
        <w:sectPr>
          <w:pgSz w:w="11880" w:h="15480" w:orient="portrait"/>
          <w:cols w:equalWidth="0" w:num="1">
            <w:col w:w="9320"/>
          </w:cols>
          <w:pgMar w:left="1260" w:top="1240" w:right="1300" w:bottom="0" w:gutter="0" w:footer="0" w:header="0"/>
          <w:type w:val="continuous"/>
        </w:sectPr>
      </w:pPr>
    </w:p>
    <w:bookmarkStart w:id="37" w:name="page38"/>
    <w:bookmarkEnd w:id="37"/>
    <w:p>
      <w:pPr>
        <w:spacing w:after="0" w:line="244" w:lineRule="auto"/>
        <w:rPr>
          <w:sz w:val="20"/>
          <w:szCs w:val="20"/>
          <w:color w:val="auto"/>
        </w:rPr>
      </w:pPr>
      <w:r>
        <w:rPr>
          <w:rFonts w:ascii="Times New Roman" w:cs="Times New Roman" w:eastAsia="Times New Roman" w:hAnsi="Times New Roman"/>
          <w:sz w:val="20"/>
          <w:szCs w:val="20"/>
          <w:color w:val="454546"/>
        </w:rPr>
        <w:t>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such judicial challenges, legislative, executive, and administrative actions and any future healthcare measures and agency rules implemented by the Biden administration on us and the pharmaceutical industry as a whole is unclear.</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Times New Roman" w:cs="Times New Roman" w:eastAsia="Times New Roman" w:hAnsi="Times New Roman"/>
          <w:sz w:val="20"/>
          <w:szCs w:val="20"/>
          <w:i w:val="1"/>
          <w:iCs w:val="1"/>
          <w:color w:val="454546"/>
        </w:rPr>
        <w:t>Risk Factors—Risks Related to Regulatory Approval and Other Legal Compliance Matters.</w:t>
      </w:r>
      <w:r>
        <w:rPr>
          <w:rFonts w:ascii="Times New Roman" w:cs="Times New Roman" w:eastAsia="Times New Roman" w:hAnsi="Times New Roman"/>
          <w:sz w:val="20"/>
          <w:szCs w:val="20"/>
          <w:color w:val="454546"/>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Human Capital Resources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of December 31, 2023, we had 140 full-time employees. Of the full-time employees employed as of December 31, 2023, 104 engaged in research, development and technical operations. 34 of such employees hold Ph.D. or M.D. (or foreign equivalent) degrees and 10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provide a variety of programs and services to help employees meet and balance their needs at work, at home and in life, including a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8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2023, was approximately 65% non-white and 55%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We are committed to advancing diversity and inclusion (D&amp;I) in our workforce and have a D&amp;I Committee dedicated to promoting and advancing diversity, equity, and inclusion initiatives. We acknowledge that diversity in thought, experience, background, and culture makes our science and our community stronger. Our mission is to foster and create a unique culture where belonging and empowerment are at the forefront of our community. We advocate for diverse perspectives and encourage employees to be authentic, inclusive, and respectful to each</w:t>
      </w:r>
    </w:p>
    <w:p>
      <w:pPr>
        <w:sectPr>
          <w:pgSz w:w="11880" w:h="15480" w:orient="portrait"/>
          <w:cols w:equalWidth="0" w:num="1">
            <w:col w:w="9300"/>
          </w:cols>
          <w:pgMar w:left="1260" w:top="12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34</w:t>
      </w:r>
    </w:p>
    <w:p>
      <w:pPr>
        <w:sectPr>
          <w:pgSz w:w="11880" w:h="15480" w:orient="portrait"/>
          <w:cols w:equalWidth="0" w:num="1">
            <w:col w:w="9300"/>
          </w:cols>
          <w:pgMar w:left="1260" w:top="1240" w:right="1320" w:bottom="0" w:gutter="0" w:footer="0" w:header="0"/>
          <w:type w:val="continuous"/>
        </w:sectPr>
      </w:pPr>
    </w:p>
    <w:bookmarkStart w:id="38" w:name="page39"/>
    <w:bookmarkEnd w:id="38"/>
    <w:p>
      <w:pPr>
        <w:ind w:right="500"/>
        <w:spacing w:after="0" w:line="277" w:lineRule="auto"/>
        <w:rPr>
          <w:sz w:val="20"/>
          <w:szCs w:val="20"/>
          <w:color w:val="auto"/>
        </w:rPr>
      </w:pPr>
      <w:r>
        <w:rPr>
          <w:rFonts w:ascii="Times New Roman" w:cs="Times New Roman" w:eastAsia="Times New Roman" w:hAnsi="Times New Roman"/>
          <w:sz w:val="20"/>
          <w:szCs w:val="20"/>
          <w:color w:val="454546"/>
        </w:rPr>
        <w:t>other. We discourage behaviors that do not have a positive impact on our community or support our mission to discover, develop, and deliver curative therapies that target the underlying causes of heart disease.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Corporate Information</w:t>
      </w:r>
    </w:p>
    <w:p>
      <w:pPr>
        <w:spacing w:after="0" w:line="124" w:lineRule="exact"/>
        <w:rPr>
          <w:sz w:val="20"/>
          <w:szCs w:val="20"/>
          <w:color w:val="auto"/>
        </w:rPr>
      </w:pPr>
    </w:p>
    <w:p>
      <w:pPr>
        <w:ind w:right="160" w:firstLine="490"/>
        <w:spacing w:after="0" w:line="232" w:lineRule="auto"/>
        <w:rPr>
          <w:sz w:val="20"/>
          <w:szCs w:val="20"/>
          <w:color w:val="auto"/>
        </w:rPr>
      </w:pPr>
      <w:r>
        <w:rPr>
          <w:rFonts w:ascii="Times New Roman" w:cs="Times New Roman" w:eastAsia="Times New Roman" w:hAnsi="Times New Roman"/>
          <w:sz w:val="20"/>
          <w:szCs w:val="20"/>
          <w:color w:val="454546"/>
        </w:rPr>
        <w:t>We were incorporated in Delaware in August 2016. Our principal executive offices are located at 171 Oyster Point Boulevard, 5</w:t>
      </w:r>
      <w:r>
        <w:rPr>
          <w:rFonts w:ascii="Times New Roman" w:cs="Times New Roman" w:eastAsia="Times New Roman" w:hAnsi="Times New Roman"/>
          <w:sz w:val="26"/>
          <w:szCs w:val="26"/>
          <w:color w:val="454546"/>
          <w:vertAlign w:val="superscript"/>
        </w:rPr>
        <w:t>th</w:t>
      </w:r>
      <w:r>
        <w:rPr>
          <w:rFonts w:ascii="Times New Roman" w:cs="Times New Roman" w:eastAsia="Times New Roman" w:hAnsi="Times New Roman"/>
          <w:sz w:val="20"/>
          <w:szCs w:val="20"/>
          <w:color w:val="454546"/>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spacing w:after="0" w:line="8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spacing w:after="0" w:line="8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35</w:t>
      </w:r>
    </w:p>
    <w:p>
      <w:pPr>
        <w:sectPr>
          <w:pgSz w:w="11880" w:h="15480" w:orient="portrait"/>
          <w:cols w:equalWidth="0" w:num="1">
            <w:col w:w="9360"/>
          </w:cols>
          <w:pgMar w:left="1260" w:top="1240" w:right="1260" w:bottom="0" w:gutter="0" w:footer="0" w:header="0"/>
          <w:type w:val="continuous"/>
        </w:sectPr>
      </w:pPr>
    </w:p>
    <w:bookmarkStart w:id="39" w:name="page40"/>
    <w:bookmarkEnd w:id="39"/>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1A. Risk Factors</w:t>
      </w:r>
    </w:p>
    <w:p>
      <w:pPr>
        <w:spacing w:after="0" w:line="12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Factors Summary</w:t>
      </w:r>
    </w:p>
    <w:p>
      <w:pPr>
        <w:spacing w:after="0" w:line="126" w:lineRule="exact"/>
        <w:rPr>
          <w:sz w:val="20"/>
          <w:szCs w:val="20"/>
          <w:color w:val="auto"/>
        </w:rPr>
      </w:pPr>
    </w:p>
    <w:p>
      <w:pPr>
        <w:ind w:right="400" w:firstLine="475"/>
        <w:spacing w:after="0" w:line="257" w:lineRule="auto"/>
        <w:rPr>
          <w:sz w:val="20"/>
          <w:szCs w:val="20"/>
          <w:color w:val="auto"/>
        </w:rPr>
      </w:pPr>
      <w:r>
        <w:rPr>
          <w:rFonts w:ascii="Times New Roman" w:cs="Times New Roman" w:eastAsia="Times New Roman" w:hAnsi="Times New Roman"/>
          <w:sz w:val="20"/>
          <w:szCs w:val="20"/>
          <w:i w:val="1"/>
          <w:iCs w:val="1"/>
          <w:color w:val="454546"/>
        </w:rPr>
        <w:t>Our ability to execute on our business strategy is subject to a number of risks and uncertainties, including those outside of our control, that could cause our actual results to be harmed, including risks regarding the following:</w:t>
      </w:r>
    </w:p>
    <w:p>
      <w:pPr>
        <w:spacing w:after="0" w:line="83" w:lineRule="exact"/>
        <w:rPr>
          <w:sz w:val="20"/>
          <w:szCs w:val="20"/>
          <w:color w:val="auto"/>
        </w:rPr>
      </w:pPr>
    </w:p>
    <w:p>
      <w:pPr>
        <w:ind w:left="980" w:right="120" w:hanging="491"/>
        <w:spacing w:after="0" w:line="258"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81" w:lineRule="exact"/>
        <w:rPr>
          <w:rFonts w:ascii="Arial" w:cs="Arial" w:eastAsia="Arial" w:hAnsi="Arial"/>
          <w:sz w:val="20"/>
          <w:szCs w:val="20"/>
          <w:color w:val="454546"/>
        </w:rPr>
      </w:pPr>
    </w:p>
    <w:p>
      <w:pPr>
        <w:ind w:left="980" w:right="580" w:hanging="491"/>
        <w:spacing w:after="0" w:line="276"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We have not generated any product revenue to date, have incurred significant net losses since our inception, and expect to continue to incur significant net losses for the foreseeable future.</w:t>
      </w:r>
    </w:p>
    <w:p>
      <w:pPr>
        <w:spacing w:after="0" w:line="64" w:lineRule="exact"/>
        <w:rPr>
          <w:rFonts w:ascii="Arial" w:cs="Arial" w:eastAsia="Arial" w:hAnsi="Arial"/>
          <w:sz w:val="20"/>
          <w:szCs w:val="20"/>
          <w:color w:val="454546"/>
        </w:rPr>
      </w:pPr>
    </w:p>
    <w:p>
      <w:pPr>
        <w:ind w:left="980" w:right="140" w:hanging="491"/>
        <w:spacing w:after="0" w:line="258"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generate revenue and achieve profitability depends significantly on our ability to achieve several objectives relating to the discovery, development and commercialization of our product candidates, if approved.</w:t>
      </w:r>
    </w:p>
    <w:p>
      <w:pPr>
        <w:spacing w:after="0" w:line="81" w:lineRule="exact"/>
        <w:rPr>
          <w:rFonts w:ascii="Arial" w:cs="Arial" w:eastAsia="Arial" w:hAnsi="Arial"/>
          <w:sz w:val="20"/>
          <w:szCs w:val="20"/>
          <w:color w:val="454546"/>
        </w:rPr>
      </w:pPr>
    </w:p>
    <w:p>
      <w:pPr>
        <w:ind w:left="980" w:right="120" w:hanging="491"/>
        <w:spacing w:after="0" w:line="249"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90" w:lineRule="exact"/>
        <w:rPr>
          <w:rFonts w:ascii="Arial" w:cs="Arial" w:eastAsia="Arial" w:hAnsi="Arial"/>
          <w:sz w:val="20"/>
          <w:szCs w:val="20"/>
          <w:color w:val="454546"/>
        </w:rPr>
      </w:pPr>
    </w:p>
    <w:p>
      <w:pPr>
        <w:ind w:left="980" w:right="80" w:hanging="491"/>
        <w:spacing w:after="0" w:line="252"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7" w:lineRule="exact"/>
        <w:rPr>
          <w:rFonts w:ascii="Arial" w:cs="Arial" w:eastAsia="Arial" w:hAnsi="Arial"/>
          <w:sz w:val="20"/>
          <w:szCs w:val="20"/>
          <w:color w:val="454546"/>
        </w:rPr>
      </w:pPr>
    </w:p>
    <w:p>
      <w:pPr>
        <w:ind w:left="980" w:right="240" w:hanging="491"/>
        <w:spacing w:after="0" w:line="252"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7" w:lineRule="exact"/>
        <w:rPr>
          <w:rFonts w:ascii="Arial" w:cs="Arial" w:eastAsia="Arial" w:hAnsi="Arial"/>
          <w:sz w:val="20"/>
          <w:szCs w:val="20"/>
          <w:color w:val="454546"/>
        </w:rPr>
      </w:pPr>
    </w:p>
    <w:p>
      <w:pPr>
        <w:ind w:left="980" w:right="20" w:hanging="491"/>
        <w:spacing w:after="0" w:line="276"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The mechanisms of action of our product candidates are unproven, and we do not know whether we will be able to develop any drug of commercial value.</w:t>
      </w:r>
    </w:p>
    <w:p>
      <w:pPr>
        <w:spacing w:after="0" w:line="64" w:lineRule="exact"/>
        <w:rPr>
          <w:rFonts w:ascii="Arial" w:cs="Arial" w:eastAsia="Arial" w:hAnsi="Arial"/>
          <w:sz w:val="20"/>
          <w:szCs w:val="20"/>
          <w:color w:val="454546"/>
        </w:rPr>
      </w:pPr>
    </w:p>
    <w:p>
      <w:pPr>
        <w:ind w:left="980" w:right="40" w:hanging="491"/>
        <w:spacing w:after="0" w:line="247"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rFonts w:ascii="Arial" w:cs="Arial" w:eastAsia="Arial" w:hAnsi="Arial"/>
          <w:sz w:val="20"/>
          <w:szCs w:val="20"/>
          <w:color w:val="454546"/>
        </w:rPr>
      </w:pPr>
    </w:p>
    <w:p>
      <w:pPr>
        <w:ind w:left="980" w:hanging="491"/>
        <w:spacing w:after="0" w:line="247"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36</w:t>
      </w:r>
    </w:p>
    <w:p>
      <w:pPr>
        <w:sectPr>
          <w:pgSz w:w="11880" w:h="15480" w:orient="portrait"/>
          <w:cols w:equalWidth="0" w:num="1">
            <w:col w:w="9360"/>
          </w:cols>
          <w:pgMar w:left="1260" w:top="1440" w:right="1260" w:bottom="0" w:gutter="0" w:footer="0" w:header="0"/>
          <w:type w:val="continuous"/>
        </w:sectPr>
      </w:pPr>
    </w:p>
    <w:bookmarkStart w:id="40" w:name="page41"/>
    <w:bookmarkEnd w:id="40"/>
    <w:p>
      <w:pPr>
        <w:ind w:left="980" w:hanging="491"/>
        <w:spacing w:after="0" w:line="249"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0" w:lineRule="exact"/>
        <w:rPr>
          <w:rFonts w:ascii="Arial" w:cs="Arial" w:eastAsia="Arial" w:hAnsi="Arial"/>
          <w:sz w:val="20"/>
          <w:szCs w:val="20"/>
          <w:color w:val="454546"/>
        </w:rPr>
      </w:pPr>
    </w:p>
    <w:p>
      <w:pPr>
        <w:ind w:left="980" w:right="20" w:hanging="491"/>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Due to our limited manufacturing experience there can be no assurance that we will be able to successfully manufacture product candidates to support our clinical development and commercialization plans.</w:t>
      </w:r>
    </w:p>
    <w:p>
      <w:pPr>
        <w:spacing w:after="0" w:line="81" w:lineRule="exact"/>
        <w:rPr>
          <w:rFonts w:ascii="Arial" w:cs="Arial" w:eastAsia="Arial" w:hAnsi="Arial"/>
          <w:sz w:val="20"/>
          <w:szCs w:val="20"/>
          <w:color w:val="454546"/>
        </w:rPr>
      </w:pPr>
    </w:p>
    <w:p>
      <w:pPr>
        <w:ind w:left="980" w:right="40" w:hanging="491"/>
        <w:spacing w:after="0" w:line="252"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7" w:lineRule="exact"/>
        <w:rPr>
          <w:rFonts w:ascii="Arial" w:cs="Arial" w:eastAsia="Arial" w:hAnsi="Arial"/>
          <w:sz w:val="20"/>
          <w:szCs w:val="20"/>
          <w:color w:val="454546"/>
        </w:rPr>
      </w:pPr>
    </w:p>
    <w:p>
      <w:pPr>
        <w:ind w:left="980" w:right="120" w:hanging="491"/>
        <w:spacing w:after="0" w:line="252"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7" w:lineRule="exact"/>
        <w:rPr>
          <w:rFonts w:ascii="Arial" w:cs="Arial" w:eastAsia="Arial" w:hAnsi="Arial"/>
          <w:sz w:val="20"/>
          <w:szCs w:val="20"/>
          <w:color w:val="454546"/>
        </w:rPr>
      </w:pPr>
    </w:p>
    <w:p>
      <w:pPr>
        <w:ind w:left="980" w:right="40" w:hanging="491"/>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commercial success depends significantly on our ability to operate without infringing, misappropriating or otherwise violating the patents and other intellectual property and proprietary rights of third parties.</w:t>
      </w:r>
    </w:p>
    <w:p>
      <w:pPr>
        <w:spacing w:after="0" w:line="81" w:lineRule="exact"/>
        <w:rPr>
          <w:rFonts w:ascii="Arial" w:cs="Arial" w:eastAsia="Arial" w:hAnsi="Arial"/>
          <w:sz w:val="20"/>
          <w:szCs w:val="20"/>
          <w:color w:val="454546"/>
        </w:rPr>
      </w:pPr>
    </w:p>
    <w:p>
      <w:pPr>
        <w:ind w:left="980" w:hanging="491"/>
        <w:spacing w:after="0" w:line="252"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Financial Position, Need for Additional Capital and Limited Operating History</w:t>
      </w:r>
    </w:p>
    <w:p>
      <w:pPr>
        <w:spacing w:after="0" w:line="1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8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9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have not generated any product revenue to date, have incurred significant net losses since our inception, and expect to continue to incur significant net losses for the foreseeable future.</w:t>
      </w:r>
    </w:p>
    <w:p>
      <w:pPr>
        <w:spacing w:after="0" w:line="49"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454546"/>
        </w:rPr>
        <w:t>We have incurred significant net losses since our inception, have not generated any product revenue to date and have financed our operations principally through issuances of our stock. As of December 31, 2023, we had an accumulated deficit of $403.3 million. Substantially all of our losses have resulted from expenses incurred in</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37</w:t>
      </w:r>
    </w:p>
    <w:p>
      <w:pPr>
        <w:sectPr>
          <w:pgSz w:w="11880" w:h="15480" w:orient="portrait"/>
          <w:cols w:equalWidth="0" w:num="1">
            <w:col w:w="9360"/>
          </w:cols>
          <w:pgMar w:left="1260" w:top="1254" w:right="1260" w:bottom="0" w:gutter="0" w:footer="0" w:header="0"/>
          <w:type w:val="continuous"/>
        </w:sectPr>
      </w:pPr>
    </w:p>
    <w:bookmarkStart w:id="41" w:name="page42"/>
    <w:bookmarkEnd w:id="41"/>
    <w:p>
      <w:pPr>
        <w:ind w:right="20"/>
        <w:spacing w:after="0" w:line="245" w:lineRule="auto"/>
        <w:rPr>
          <w:sz w:val="20"/>
          <w:szCs w:val="20"/>
          <w:color w:val="auto"/>
        </w:rPr>
      </w:pPr>
      <w:r>
        <w:rPr>
          <w:rFonts w:ascii="Times New Roman" w:cs="Times New Roman" w:eastAsia="Times New Roman" w:hAnsi="Times New Roman"/>
          <w:sz w:val="20"/>
          <w:szCs w:val="20"/>
          <w:color w:val="454546"/>
        </w:rPr>
        <w:t>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02"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ability to generate revenue and achieve profitability depends significantly on our ability to achieve several objectives relating to the discovery, development and commercialization of our product candidates, if approved.</w:t>
      </w:r>
    </w:p>
    <w:p>
      <w:pPr>
        <w:spacing w:after="0" w:line="4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83" w:lineRule="exact"/>
        <w:rPr>
          <w:sz w:val="20"/>
          <w:szCs w:val="20"/>
          <w:color w:val="auto"/>
        </w:rPr>
      </w:pPr>
    </w:p>
    <w:p>
      <w:pPr>
        <w:ind w:left="980" w:right="400" w:hanging="491"/>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and timely completion of preclinical and clinical development of product candidates and programs, including, but not limited to, generating sufficient data to support the initiation or continuation of clinical trials;</w:t>
      </w:r>
    </w:p>
    <w:p>
      <w:pPr>
        <w:spacing w:after="0" w:line="81" w:lineRule="exact"/>
        <w:rPr>
          <w:rFonts w:ascii="Arial" w:cs="Arial" w:eastAsia="Arial" w:hAnsi="Arial"/>
          <w:sz w:val="20"/>
          <w:szCs w:val="20"/>
          <w:color w:val="454546"/>
        </w:rPr>
      </w:pPr>
    </w:p>
    <w:p>
      <w:pPr>
        <w:ind w:left="980" w:right="100" w:hanging="491"/>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of INDs or other regulatory applications for our planned clinical trials, obtaining regulatory approval to commence clinical trials of our product candidates, and achieving favorable results from clinical trials;</w:t>
      </w:r>
    </w:p>
    <w:p>
      <w:pPr>
        <w:spacing w:after="0" w:line="81"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establishing and maintaining relationships with CROs and clinical sites for the clinical development of our product candidates;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initiation and successful patient enrollment and completion of clinical trials on a timely basis;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acceptable frequency and severity of adverse events in the clinical trials;</w:t>
      </w:r>
    </w:p>
    <w:p>
      <w:pPr>
        <w:spacing w:after="0" w:line="133" w:lineRule="exact"/>
        <w:rPr>
          <w:rFonts w:ascii="Arial" w:cs="Arial" w:eastAsia="Arial" w:hAnsi="Arial"/>
          <w:sz w:val="20"/>
          <w:szCs w:val="20"/>
          <w:color w:val="454546"/>
        </w:rPr>
      </w:pPr>
    </w:p>
    <w:p>
      <w:pPr>
        <w:ind w:left="980" w:right="280" w:hanging="491"/>
        <w:spacing w:after="0" w:line="276"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the efficacy and safety profiles that are satisfactory to the FDA or any comparable foreign regulatory authority for marketing approval;</w:t>
      </w:r>
    </w:p>
    <w:p>
      <w:pPr>
        <w:spacing w:after="0" w:line="64" w:lineRule="exact"/>
        <w:rPr>
          <w:rFonts w:ascii="Arial" w:cs="Arial" w:eastAsia="Arial" w:hAnsi="Arial"/>
          <w:sz w:val="20"/>
          <w:szCs w:val="20"/>
          <w:color w:val="454546"/>
        </w:rPr>
      </w:pPr>
    </w:p>
    <w:p>
      <w:pPr>
        <w:ind w:left="980" w:right="100" w:hanging="491"/>
        <w:spacing w:after="0" w:line="276"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timely receipt of marketing approvals from applicable regulatory authorities for any product candidates for which we successfully complete clinical development;</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3"/>
        </w:numPr>
        <w:rPr>
          <w:rFonts w:ascii="Arial" w:cs="Arial" w:eastAsia="Arial" w:hAnsi="Arial"/>
          <w:sz w:val="19"/>
          <w:szCs w:val="19"/>
          <w:color w:val="454546"/>
        </w:rPr>
      </w:pPr>
      <w:r>
        <w:rPr>
          <w:rFonts w:ascii="Times New Roman" w:cs="Times New Roman" w:eastAsia="Times New Roman" w:hAnsi="Times New Roman"/>
          <w:sz w:val="19"/>
          <w:szCs w:val="19"/>
          <w:color w:val="454546"/>
        </w:rPr>
        <w:t>complying with any required post-marketing approval commitments to applicable regulatory authorities;</w:t>
      </w:r>
    </w:p>
    <w:p>
      <w:pPr>
        <w:spacing w:after="0" w:line="145" w:lineRule="exact"/>
        <w:rPr>
          <w:rFonts w:ascii="Arial" w:cs="Arial" w:eastAsia="Arial" w:hAnsi="Arial"/>
          <w:sz w:val="19"/>
          <w:szCs w:val="19"/>
          <w:color w:val="454546"/>
        </w:rPr>
      </w:pPr>
    </w:p>
    <w:p>
      <w:pPr>
        <w:jc w:val="both"/>
        <w:ind w:left="980" w:right="220" w:hanging="491"/>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81" w:lineRule="exact"/>
        <w:rPr>
          <w:rFonts w:ascii="Arial" w:cs="Arial" w:eastAsia="Arial" w:hAnsi="Arial"/>
          <w:sz w:val="20"/>
          <w:szCs w:val="20"/>
          <w:color w:val="454546"/>
        </w:rPr>
      </w:pPr>
    </w:p>
    <w:p>
      <w:pPr>
        <w:ind w:left="980" w:right="160" w:hanging="491"/>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81" w:lineRule="exact"/>
        <w:rPr>
          <w:rFonts w:ascii="Arial" w:cs="Arial" w:eastAsia="Arial" w:hAnsi="Arial"/>
          <w:sz w:val="20"/>
          <w:szCs w:val="20"/>
          <w:color w:val="454546"/>
        </w:rPr>
      </w:pPr>
    </w:p>
    <w:p>
      <w:pPr>
        <w:ind w:left="980" w:right="600" w:hanging="491"/>
        <w:spacing w:after="0" w:line="276"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commercial launch following any marketing approval, including the development of a commercial infrastructure, whether in-house or with one or more collaborators;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outputs from our capsid engineering and promotor and regulator elements efforts;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a continued acceptable safety profile following any marketing approval of our product candidates;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38</w:t>
      </w:r>
    </w:p>
    <w:p>
      <w:pPr>
        <w:sectPr>
          <w:pgSz w:w="11880" w:h="15480" w:orient="portrait"/>
          <w:cols w:equalWidth="0" w:num="1">
            <w:col w:w="9340"/>
          </w:cols>
          <w:pgMar w:left="1260" w:top="1240" w:right="1280" w:bottom="0" w:gutter="0" w:footer="0" w:header="0"/>
          <w:type w:val="continuous"/>
        </w:sectPr>
      </w:pPr>
    </w:p>
    <w:bookmarkStart w:id="42" w:name="page43"/>
    <w:bookmarkEnd w:id="42"/>
    <w:p>
      <w:pPr>
        <w:ind w:left="980" w:right="50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actual market-size, ability to identify patients and the demographics of patients eligible for our product candidates, which may be different than expected;</w:t>
      </w:r>
    </w:p>
    <w:p>
      <w:pPr>
        <w:spacing w:after="0" w:line="64"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commercial acceptance of our product candidates by patients, the medical community and third-party payors;</w:t>
      </w:r>
    </w:p>
    <w:p>
      <w:pPr>
        <w:spacing w:after="0" w:line="64" w:lineRule="exact"/>
        <w:rPr>
          <w:rFonts w:ascii="Arial" w:cs="Arial" w:eastAsia="Arial" w:hAnsi="Arial"/>
          <w:sz w:val="20"/>
          <w:szCs w:val="20"/>
          <w:color w:val="454546"/>
        </w:rPr>
      </w:pPr>
    </w:p>
    <w:p>
      <w:pPr>
        <w:ind w:left="980" w:right="60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distribute our products to certain segments of the patient population only accessible through restricted or closed distribution channels;</w:t>
      </w:r>
    </w:p>
    <w:p>
      <w:pPr>
        <w:spacing w:after="0" w:line="64" w:lineRule="exact"/>
        <w:rPr>
          <w:rFonts w:ascii="Arial" w:cs="Arial" w:eastAsia="Arial" w:hAnsi="Arial"/>
          <w:sz w:val="20"/>
          <w:szCs w:val="20"/>
          <w:color w:val="454546"/>
        </w:rPr>
      </w:pPr>
    </w:p>
    <w:p>
      <w:pPr>
        <w:jc w:val="both"/>
        <w:ind w:left="980" w:right="80" w:hanging="491"/>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satisfying any required post-marketing approval commitments to applicable regulatory authorities, and maintaining consistent quality, purity, and potency across clinical supplies and commercial supplies for any approved products;</w:t>
      </w:r>
    </w:p>
    <w:p>
      <w:pPr>
        <w:spacing w:after="0" w:line="81"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identifying, assessing and developing new product candidates, and our ability to expand into multiple indications;</w:t>
      </w:r>
    </w:p>
    <w:p>
      <w:pPr>
        <w:spacing w:after="0" w:line="64" w:lineRule="exact"/>
        <w:rPr>
          <w:rFonts w:ascii="Arial" w:cs="Arial" w:eastAsia="Arial" w:hAnsi="Arial"/>
          <w:sz w:val="20"/>
          <w:szCs w:val="20"/>
          <w:color w:val="454546"/>
        </w:rPr>
      </w:pPr>
    </w:p>
    <w:p>
      <w:pPr>
        <w:ind w:left="980" w:right="40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maintaining, and expanding patent and other intellectual property protection, trade secret protection and regulatory exclusivity, both in the U.S. and internationally;</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protecting and enforcing our rights in our intellectual property portfolio;</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defending against third-party infringement, misappropriation, or other claims, if any;</w:t>
      </w:r>
    </w:p>
    <w:p>
      <w:pPr>
        <w:spacing w:after="0" w:line="133" w:lineRule="exact"/>
        <w:rPr>
          <w:rFonts w:ascii="Arial" w:cs="Arial" w:eastAsia="Arial" w:hAnsi="Arial"/>
          <w:sz w:val="20"/>
          <w:szCs w:val="20"/>
          <w:color w:val="454546"/>
        </w:rPr>
      </w:pPr>
    </w:p>
    <w:p>
      <w:pPr>
        <w:ind w:left="980" w:hanging="491"/>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81" w:lineRule="exact"/>
        <w:rPr>
          <w:rFonts w:ascii="Arial" w:cs="Arial" w:eastAsia="Arial" w:hAnsi="Arial"/>
          <w:sz w:val="20"/>
          <w:szCs w:val="20"/>
          <w:color w:val="454546"/>
        </w:rPr>
      </w:pPr>
    </w:p>
    <w:p>
      <w:pPr>
        <w:ind w:left="980" w:right="32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coverage and adequate reimbursement by third-party payors for our products and patients’ willingness to pay in the absence of such coverage and adequate reimbursement;</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additional funding to develop, manufacture and commercialize our product candidates;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addressing any competing therapies and technological and market developments;</w:t>
      </w:r>
    </w:p>
    <w:p>
      <w:pPr>
        <w:spacing w:after="0" w:line="133" w:lineRule="exact"/>
        <w:rPr>
          <w:rFonts w:ascii="Arial" w:cs="Arial" w:eastAsia="Arial" w:hAnsi="Arial"/>
          <w:sz w:val="20"/>
          <w:szCs w:val="20"/>
          <w:color w:val="454546"/>
        </w:rPr>
      </w:pPr>
    </w:p>
    <w:p>
      <w:pPr>
        <w:ind w:left="980" w:right="30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managing costs, including any unforeseen costs, that we may incur as a result of nonclinical study or clinical trial delays; and</w:t>
      </w:r>
    </w:p>
    <w:p>
      <w:pPr>
        <w:spacing w:after="0" w:line="64"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attracting, hiring and retaining qualified and key personnel including clinical, scientific, management and administrative personnel.</w:t>
      </w:r>
    </w:p>
    <w:p>
      <w:pPr>
        <w:spacing w:after="0" w:line="5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9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7"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w:t>
      </w:r>
    </w:p>
    <w:p>
      <w:pPr>
        <w:sectPr>
          <w:pgSz w:w="11880" w:h="15480" w:orient="portrait"/>
          <w:cols w:equalWidth="0" w:num="1">
            <w:col w:w="9340"/>
          </w:cols>
          <w:pgMar w:left="1260" w:top="1254" w:right="12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39</w:t>
      </w:r>
    </w:p>
    <w:p>
      <w:pPr>
        <w:sectPr>
          <w:pgSz w:w="11880" w:h="15480" w:orient="portrait"/>
          <w:cols w:equalWidth="0" w:num="1">
            <w:col w:w="9340"/>
          </w:cols>
          <w:pgMar w:left="1260" w:top="1254" w:right="1280" w:bottom="0" w:gutter="0" w:footer="0" w:header="0"/>
          <w:type w:val="continuous"/>
        </w:sectPr>
      </w:pPr>
    </w:p>
    <w:bookmarkStart w:id="43" w:name="page44"/>
    <w:bookmarkEnd w:id="43"/>
    <w:p>
      <w:pPr>
        <w:ind w:right="240"/>
        <w:spacing w:after="0" w:line="258" w:lineRule="auto"/>
        <w:rPr>
          <w:sz w:val="20"/>
          <w:szCs w:val="20"/>
          <w:color w:val="auto"/>
        </w:rPr>
      </w:pPr>
      <w:r>
        <w:rPr>
          <w:rFonts w:ascii="Times New Roman" w:cs="Times New Roman" w:eastAsia="Times New Roman" w:hAnsi="Times New Roman"/>
          <w:sz w:val="20"/>
          <w:szCs w:val="20"/>
          <w:color w:val="454546"/>
        </w:rPr>
        <w:t>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6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As of December 31, 2023, we had $104.6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82"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454546"/>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82"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454546"/>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ability to utilize our net operating loss carryforwards and certain other tax attributes to offset future taxable income may be limited.</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spacing w:after="0" w:line="20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20"/>
          <w:szCs w:val="20"/>
          <w:b w:val="1"/>
          <w:bCs w:val="1"/>
          <w:color w:val="454546"/>
        </w:rPr>
        <w:t>Risks Related to the Discovery, Development, Manufacturing and Commercialization of Our Product Candidates</w:t>
      </w:r>
    </w:p>
    <w:p>
      <w:pPr>
        <w:spacing w:after="0" w:line="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7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40</w:t>
      </w:r>
    </w:p>
    <w:p>
      <w:pPr>
        <w:sectPr>
          <w:pgSz w:w="11880" w:h="15480" w:orient="portrait"/>
          <w:cols w:equalWidth="0" w:num="1">
            <w:col w:w="9340"/>
          </w:cols>
          <w:pgMar w:left="1260" w:top="1240" w:right="1280" w:bottom="0" w:gutter="0" w:footer="0" w:header="0"/>
          <w:type w:val="continuous"/>
        </w:sectPr>
      </w:pPr>
    </w:p>
    <w:bookmarkStart w:id="44" w:name="page45"/>
    <w:bookmarkEnd w:id="44"/>
    <w:p>
      <w:pPr>
        <w:ind w:right="20" w:firstLine="490"/>
        <w:spacing w:after="0" w:line="259" w:lineRule="auto"/>
        <w:rPr>
          <w:sz w:val="20"/>
          <w:szCs w:val="20"/>
          <w:color w:val="auto"/>
        </w:rPr>
      </w:pPr>
      <w:r>
        <w:rPr>
          <w:rFonts w:ascii="Times New Roman" w:cs="Times New Roman" w:eastAsia="Times New Roman" w:hAnsi="Times New Roman"/>
          <w:sz w:val="19"/>
          <w:szCs w:val="19"/>
          <w:color w:val="454546"/>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6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8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20"/>
          <w:szCs w:val="20"/>
          <w:i w:val="1"/>
          <w:iCs w:val="1"/>
          <w:color w:val="454546"/>
        </w:rPr>
        <w:t>Our ability to generate revenue and</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20"/>
          <w:szCs w:val="20"/>
          <w:color w:val="454546"/>
        </w:rPr>
        <w:t>.”</w:t>
      </w:r>
    </w:p>
    <w:p>
      <w:pPr>
        <w:spacing w:after="0" w:line="77"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color w:val="454546"/>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5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8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41</w:t>
      </w:r>
    </w:p>
    <w:p>
      <w:pPr>
        <w:sectPr>
          <w:pgSz w:w="11880" w:h="15480" w:orient="portrait"/>
          <w:cols w:equalWidth="0" w:num="1">
            <w:col w:w="9360"/>
          </w:cols>
          <w:pgMar w:left="1260" w:top="1240" w:right="1260" w:bottom="0" w:gutter="0" w:footer="0" w:header="0"/>
          <w:type w:val="continuous"/>
        </w:sectPr>
      </w:pPr>
    </w:p>
    <w:bookmarkStart w:id="45" w:name="page46"/>
    <w:bookmarkEnd w:id="45"/>
    <w:p>
      <w:pPr>
        <w:ind w:right="120" w:firstLine="490"/>
        <w:spacing w:after="0" w:line="243" w:lineRule="auto"/>
        <w:rPr>
          <w:sz w:val="20"/>
          <w:szCs w:val="20"/>
          <w:color w:val="auto"/>
        </w:rPr>
      </w:pPr>
      <w:r>
        <w:rPr>
          <w:rFonts w:ascii="Times New Roman" w:cs="Times New Roman" w:eastAsia="Times New Roman" w:hAnsi="Times New Roman"/>
          <w:sz w:val="20"/>
          <w:szCs w:val="20"/>
          <w:color w:val="454546"/>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454546"/>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71"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454546"/>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19"/>
          <w:szCs w:val="19"/>
          <w:color w:val="454546"/>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42</w:t>
      </w:r>
    </w:p>
    <w:p>
      <w:pPr>
        <w:sectPr>
          <w:pgSz w:w="11880" w:h="15480" w:orient="portrait"/>
          <w:cols w:equalWidth="0" w:num="1">
            <w:col w:w="9320"/>
          </w:cols>
          <w:pgMar w:left="1260" w:top="1240" w:right="1300" w:bottom="0" w:gutter="0" w:footer="0" w:header="0"/>
          <w:type w:val="continuous"/>
        </w:sectPr>
      </w:pPr>
    </w:p>
    <w:bookmarkStart w:id="46" w:name="page47"/>
    <w:bookmarkEnd w:id="46"/>
    <w:p>
      <w:pPr>
        <w:ind w:right="20"/>
        <w:spacing w:after="0" w:line="258" w:lineRule="auto"/>
        <w:rPr>
          <w:sz w:val="20"/>
          <w:szCs w:val="20"/>
          <w:color w:val="auto"/>
        </w:rPr>
      </w:pPr>
      <w:r>
        <w:rPr>
          <w:rFonts w:ascii="Times New Roman" w:cs="Times New Roman" w:eastAsia="Times New Roman" w:hAnsi="Times New Roman"/>
          <w:sz w:val="20"/>
          <w:szCs w:val="20"/>
          <w:color w:val="454546"/>
        </w:rPr>
        <w:t>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6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20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The mechanisms of action of our product candidates are unproven, and we do not know whether we will be able to develop any drug of commercial value.</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9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0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60" w:firstLine="490"/>
        <w:spacing w:after="0" w:line="260" w:lineRule="auto"/>
        <w:rPr>
          <w:sz w:val="20"/>
          <w:szCs w:val="20"/>
          <w:color w:val="auto"/>
        </w:rPr>
      </w:pPr>
      <w:r>
        <w:rPr>
          <w:rFonts w:ascii="Times New Roman" w:cs="Times New Roman" w:eastAsia="Times New Roman" w:hAnsi="Times New Roman"/>
          <w:sz w:val="19"/>
          <w:szCs w:val="19"/>
          <w:color w:val="454546"/>
        </w:rPr>
        <w:t>Preclinical and 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Failure can occur at any stage of testing.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43</w:t>
      </w:r>
    </w:p>
    <w:p>
      <w:pPr>
        <w:sectPr>
          <w:pgSz w:w="11880" w:h="15480" w:orient="portrait"/>
          <w:cols w:equalWidth="0" w:num="1">
            <w:col w:w="9360"/>
          </w:cols>
          <w:pgMar w:left="1260" w:top="1240" w:right="1260" w:bottom="0" w:gutter="0" w:footer="0" w:header="0"/>
          <w:type w:val="continuous"/>
        </w:sectPr>
      </w:pPr>
    </w:p>
    <w:bookmarkStart w:id="47" w:name="page48"/>
    <w:bookmarkEnd w:id="47"/>
    <w:p>
      <w:pPr>
        <w:ind w:right="220"/>
        <w:spacing w:after="0" w:line="249" w:lineRule="auto"/>
        <w:rPr>
          <w:sz w:val="20"/>
          <w:szCs w:val="20"/>
          <w:color w:val="auto"/>
        </w:rPr>
      </w:pPr>
      <w:r>
        <w:rPr>
          <w:rFonts w:ascii="Times New Roman" w:cs="Times New Roman" w:eastAsia="Times New Roman" w:hAnsi="Times New Roman"/>
          <w:sz w:val="20"/>
          <w:szCs w:val="20"/>
          <w:color w:val="454546"/>
        </w:rPr>
        <w:t>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77"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Any clinical trial we initiate in the EU in the future will become subject to the provisions of the CTR. Compliance with the CTR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8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7"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454546"/>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83" w:lineRule="exact"/>
        <w:rPr>
          <w:sz w:val="20"/>
          <w:szCs w:val="20"/>
          <w:color w:val="auto"/>
        </w:rPr>
      </w:pPr>
    </w:p>
    <w:p>
      <w:pPr>
        <w:ind w:left="980" w:right="420" w:hanging="491"/>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 xml:space="preserve">inability to generate sufficient preclinical, toxicology, or other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data to support the initiation of clinical trials;</w:t>
      </w:r>
    </w:p>
    <w:p>
      <w:pPr>
        <w:spacing w:after="0" w:line="64" w:lineRule="exact"/>
        <w:rPr>
          <w:rFonts w:ascii="Arial" w:cs="Arial" w:eastAsia="Arial" w:hAnsi="Arial"/>
          <w:sz w:val="20"/>
          <w:szCs w:val="20"/>
          <w:color w:val="454546"/>
        </w:rPr>
      </w:pPr>
    </w:p>
    <w:p>
      <w:pPr>
        <w:ind w:left="980" w:right="420" w:hanging="491"/>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sufficiently developing, characterizing or controlling a manufacturing process suitable for clinical trials;</w:t>
      </w:r>
    </w:p>
    <w:p>
      <w:pPr>
        <w:spacing w:after="0" w:line="64" w:lineRule="exact"/>
        <w:rPr>
          <w:rFonts w:ascii="Arial" w:cs="Arial" w:eastAsia="Arial" w:hAnsi="Arial"/>
          <w:sz w:val="20"/>
          <w:szCs w:val="20"/>
          <w:color w:val="454546"/>
        </w:rPr>
      </w:pPr>
    </w:p>
    <w:p>
      <w:pPr>
        <w:ind w:left="980" w:right="20" w:hanging="491"/>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receipt of feedback from regulatory authorities that requires us to modify the design of our preclinical or clinical trials;</w:t>
      </w:r>
    </w:p>
    <w:p>
      <w:pPr>
        <w:spacing w:after="0" w:line="64" w:lineRule="exact"/>
        <w:rPr>
          <w:rFonts w:ascii="Arial" w:cs="Arial" w:eastAsia="Arial" w:hAnsi="Arial"/>
          <w:sz w:val="20"/>
          <w:szCs w:val="20"/>
          <w:color w:val="454546"/>
        </w:rPr>
      </w:pPr>
    </w:p>
    <w:p>
      <w:pPr>
        <w:ind w:left="980" w:right="540" w:hanging="491"/>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preclinical study or clinical trial observations or results that require us to modify the design of our clinical trials;</w:t>
      </w:r>
    </w:p>
    <w:p>
      <w:pPr>
        <w:spacing w:after="0" w:line="64" w:lineRule="exact"/>
        <w:rPr>
          <w:rFonts w:ascii="Arial" w:cs="Arial" w:eastAsia="Arial" w:hAnsi="Arial"/>
          <w:sz w:val="20"/>
          <w:szCs w:val="20"/>
          <w:color w:val="454546"/>
        </w:rPr>
      </w:pPr>
    </w:p>
    <w:p>
      <w:pPr>
        <w:ind w:left="980" w:right="460" w:hanging="491"/>
        <w:spacing w:after="0" w:line="258"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negative or inconclusive preclinical study or clinical trial results that may require us to conduct additional preclinical studies or clinical trials or abandon certain research and/or drug development programs;</w:t>
      </w:r>
    </w:p>
    <w:p>
      <w:pPr>
        <w:spacing w:after="0" w:line="81" w:lineRule="exact"/>
        <w:rPr>
          <w:rFonts w:ascii="Arial" w:cs="Arial" w:eastAsia="Arial" w:hAnsi="Arial"/>
          <w:sz w:val="20"/>
          <w:szCs w:val="20"/>
          <w:color w:val="454546"/>
        </w:rPr>
      </w:pPr>
    </w:p>
    <w:p>
      <w:pPr>
        <w:ind w:left="980" w:right="100" w:hanging="491"/>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extended IRB, IBC and/or EC review process, or inability to obtain approval from one or more of these committees;</w:t>
      </w:r>
    </w:p>
    <w:p>
      <w:pPr>
        <w:spacing w:after="0" w:line="64" w:lineRule="exact"/>
        <w:rPr>
          <w:rFonts w:ascii="Arial" w:cs="Arial" w:eastAsia="Arial" w:hAnsi="Arial"/>
          <w:sz w:val="20"/>
          <w:szCs w:val="20"/>
          <w:color w:val="454546"/>
        </w:rPr>
      </w:pPr>
    </w:p>
    <w:p>
      <w:pPr>
        <w:ind w:left="980" w:right="180" w:hanging="491"/>
        <w:spacing w:after="0" w:line="258"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44</w:t>
      </w:r>
    </w:p>
    <w:p>
      <w:pPr>
        <w:sectPr>
          <w:pgSz w:w="11880" w:h="15480" w:orient="portrait"/>
          <w:cols w:equalWidth="0" w:num="1">
            <w:col w:w="9360"/>
          </w:cols>
          <w:pgMar w:left="1260" w:top="1240" w:right="1260" w:bottom="0" w:gutter="0" w:footer="0" w:header="0"/>
          <w:type w:val="continuous"/>
        </w:sectPr>
      </w:pPr>
    </w:p>
    <w:bookmarkStart w:id="48" w:name="page49"/>
    <w:bookmarkEnd w:id="48"/>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any failure or delay in reaching an agreement with CROs and clinical trial sites;</w:t>
      </w:r>
    </w:p>
    <w:p>
      <w:pPr>
        <w:spacing w:after="0" w:line="133" w:lineRule="exact"/>
        <w:rPr>
          <w:rFonts w:ascii="Arial" w:cs="Arial" w:eastAsia="Arial" w:hAnsi="Arial"/>
          <w:sz w:val="20"/>
          <w:szCs w:val="20"/>
          <w:color w:val="454546"/>
        </w:rPr>
      </w:pPr>
    </w:p>
    <w:p>
      <w:pPr>
        <w:ind w:left="980" w:right="60" w:hanging="491"/>
        <w:spacing w:after="0" w:line="252"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suspension or termination of our clinical trials, as a result of a clinical hold by regulatory authorities or a voluntary pause, for various reasons, including a finding that our product candidates have undesirable side effects or other unfavorable or unexpected characteristics or risks or non-compliance with regulatory requirements;</w:t>
      </w:r>
    </w:p>
    <w:p>
      <w:pPr>
        <w:spacing w:after="0" w:line="87"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to clinical trial protocol;</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clinical sites deviating from trial protocol or dropping out of a trial;</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costs of preclinical studies or clinical trials being greater than anticipated;</w:t>
      </w:r>
    </w:p>
    <w:p>
      <w:pPr>
        <w:spacing w:after="0" w:line="133"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supply or quality of our product candidates or other materials necessary to conduct clinical trials of our product candidates being insufficient or inadequate or slower than anticipated;</w:t>
      </w:r>
    </w:p>
    <w:p>
      <w:pPr>
        <w:spacing w:after="0" w:line="64"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subjects experiencing serious, severe, unexpected or otherwise important drug-related or study-related adverse effects;</w:t>
      </w:r>
    </w:p>
    <w:p>
      <w:pPr>
        <w:spacing w:after="0" w:line="64"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selection of clinical end points that require prolonged periods of clinical observation or analysis of the resulting data;</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inaccurate clinical data entry or reporting by clinical sites;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variability of efficacy assessments;</w:t>
      </w:r>
    </w:p>
    <w:p>
      <w:pPr>
        <w:spacing w:after="0" w:line="133" w:lineRule="exact"/>
        <w:rPr>
          <w:rFonts w:ascii="Arial" w:cs="Arial" w:eastAsia="Arial" w:hAnsi="Arial"/>
          <w:sz w:val="20"/>
          <w:szCs w:val="20"/>
          <w:color w:val="454546"/>
        </w:rPr>
      </w:pPr>
    </w:p>
    <w:p>
      <w:pPr>
        <w:ind w:left="980" w:hanging="491"/>
        <w:spacing w:after="0" w:line="252"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87"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any changes to our manufacturing process that may be necessary or desired;</w:t>
      </w:r>
    </w:p>
    <w:p>
      <w:pPr>
        <w:spacing w:after="0" w:line="133" w:lineRule="exact"/>
        <w:rPr>
          <w:rFonts w:ascii="Arial" w:cs="Arial" w:eastAsia="Arial" w:hAnsi="Arial"/>
          <w:sz w:val="20"/>
          <w:szCs w:val="20"/>
          <w:color w:val="454546"/>
        </w:rPr>
      </w:pPr>
    </w:p>
    <w:p>
      <w:pPr>
        <w:ind w:left="980" w:right="220" w:hanging="491"/>
        <w:spacing w:after="0" w:line="258"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81"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third-party contractors not performing data collection or analysis in a timely or accurate manner;</w:t>
      </w:r>
    </w:p>
    <w:p>
      <w:pPr>
        <w:spacing w:after="0" w:line="133" w:lineRule="exact"/>
        <w:rPr>
          <w:rFonts w:ascii="Arial" w:cs="Arial" w:eastAsia="Arial" w:hAnsi="Arial"/>
          <w:sz w:val="20"/>
          <w:szCs w:val="20"/>
          <w:color w:val="454546"/>
        </w:rPr>
      </w:pPr>
    </w:p>
    <w:p>
      <w:pPr>
        <w:ind w:left="980" w:right="200" w:hanging="491"/>
        <w:spacing w:after="0" w:line="252"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7"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regulators revising the requirements for approving our product candidates;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an unsuccessful post-marketing study or failure to complete such a study;</w:t>
      </w:r>
    </w:p>
    <w:p>
      <w:pPr>
        <w:spacing w:after="0" w:line="133" w:lineRule="exact"/>
        <w:rPr>
          <w:rFonts w:ascii="Arial" w:cs="Arial" w:eastAsia="Arial" w:hAnsi="Arial"/>
          <w:sz w:val="20"/>
          <w:szCs w:val="20"/>
          <w:color w:val="454546"/>
        </w:rPr>
      </w:pPr>
    </w:p>
    <w:p>
      <w:pPr>
        <w:ind w:left="980" w:right="80" w:hanging="491"/>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absence in some countries of established groups with sufficient regulatory expertise for review of AAV gene therapy protocols; and</w:t>
      </w:r>
    </w:p>
    <w:p>
      <w:pPr>
        <w:spacing w:after="0" w:line="64" w:lineRule="exact"/>
        <w:rPr>
          <w:rFonts w:ascii="Arial" w:cs="Arial" w:eastAsia="Arial" w:hAnsi="Arial"/>
          <w:sz w:val="20"/>
          <w:szCs w:val="20"/>
          <w:color w:val="454546"/>
        </w:rPr>
      </w:pPr>
    </w:p>
    <w:p>
      <w:pPr>
        <w:ind w:left="980" w:right="360" w:hanging="491"/>
        <w:spacing w:after="0" w:line="304" w:lineRule="auto"/>
        <w:tabs>
          <w:tab w:leader="none" w:pos="980" w:val="left"/>
        </w:tabs>
        <w:numPr>
          <w:ilvl w:val="0"/>
          <w:numId w:val="26"/>
        </w:numPr>
        <w:rPr>
          <w:rFonts w:ascii="Arial" w:cs="Arial" w:eastAsia="Arial" w:hAnsi="Arial"/>
          <w:sz w:val="19"/>
          <w:szCs w:val="19"/>
          <w:color w:val="454546"/>
        </w:rPr>
      </w:pPr>
      <w:r>
        <w:rPr>
          <w:rFonts w:ascii="Times New Roman" w:cs="Times New Roman" w:eastAsia="Times New Roman" w:hAnsi="Times New Roman"/>
          <w:sz w:val="19"/>
          <w:szCs w:val="19"/>
          <w:color w:val="454546"/>
        </w:rPr>
        <w:t>the potential burden of complying with a variety of foreign laws, medical standards and regulatory requirements, including the regulation of pharmaceutical and biotechnology products and treatment.</w:t>
      </w:r>
    </w:p>
    <w:p>
      <w:pPr>
        <w:spacing w:after="0" w:line="25"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w:t>
      </w:r>
    </w:p>
    <w:p>
      <w:pPr>
        <w:sectPr>
          <w:pgSz w:w="11880" w:h="15480" w:orient="portrait"/>
          <w:cols w:equalWidth="0" w:num="1">
            <w:col w:w="9340"/>
          </w:cols>
          <w:pgMar w:left="1260" w:top="1254" w:right="12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45</w:t>
      </w:r>
    </w:p>
    <w:p>
      <w:pPr>
        <w:sectPr>
          <w:pgSz w:w="11880" w:h="15480" w:orient="portrait"/>
          <w:cols w:equalWidth="0" w:num="1">
            <w:col w:w="9340"/>
          </w:cols>
          <w:pgMar w:left="1260" w:top="1254" w:right="1280" w:bottom="0" w:gutter="0" w:footer="0" w:header="0"/>
          <w:type w:val="continuous"/>
        </w:sectPr>
      </w:pPr>
    </w:p>
    <w:bookmarkStart w:id="49" w:name="page50"/>
    <w:bookmarkEnd w:id="49"/>
    <w:p>
      <w:pPr>
        <w:ind w:right="160"/>
        <w:spacing w:after="0" w:line="249" w:lineRule="auto"/>
        <w:rPr>
          <w:sz w:val="20"/>
          <w:szCs w:val="20"/>
          <w:color w:val="auto"/>
        </w:rPr>
      </w:pPr>
      <w:r>
        <w:rPr>
          <w:rFonts w:ascii="Times New Roman" w:cs="Times New Roman" w:eastAsia="Times New Roman" w:hAnsi="Times New Roman"/>
          <w:sz w:val="20"/>
          <w:szCs w:val="20"/>
          <w:color w:val="454546"/>
        </w:rPr>
        <w:t>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7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submitting an IND, initiating clinical trials or seeking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3"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454546"/>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9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other therapies or medications that such patients may be using, the drug product formulation of our product candidates, complications arising from protocol regimens, the method of delivery of our product candidates or simply due to the gravity of such patients’ illnesses. In some cases, it may not be clear if an adverse event is due to the product candidate, another therapy, the underlying disease, or another cause, and causality may be incorrectly attributed to the product candidate.</w:t>
      </w:r>
    </w:p>
    <w:p>
      <w:pPr>
        <w:spacing w:after="0" w:line="8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46</w:t>
      </w:r>
    </w:p>
    <w:p>
      <w:pPr>
        <w:sectPr>
          <w:pgSz w:w="11880" w:h="15480" w:orient="portrait"/>
          <w:cols w:equalWidth="0" w:num="1">
            <w:col w:w="9340"/>
          </w:cols>
          <w:pgMar w:left="1260" w:top="1240" w:right="1280" w:bottom="0" w:gutter="0" w:footer="0" w:header="0"/>
          <w:type w:val="continuous"/>
        </w:sectPr>
      </w:pPr>
    </w:p>
    <w:bookmarkStart w:id="50" w:name="page51"/>
    <w:bookmarkEnd w:id="50"/>
    <w:p>
      <w:pPr>
        <w:ind w:right="80"/>
        <w:spacing w:after="0" w:line="242" w:lineRule="auto"/>
        <w:rPr>
          <w:sz w:val="20"/>
          <w:szCs w:val="20"/>
          <w:color w:val="auto"/>
        </w:rPr>
      </w:pPr>
      <w:r>
        <w:rPr>
          <w:rFonts w:ascii="Times New Roman" w:cs="Times New Roman" w:eastAsia="Times New Roman" w:hAnsi="Times New Roman"/>
          <w:sz w:val="20"/>
          <w:szCs w:val="20"/>
          <w:color w:val="454546"/>
        </w:rPr>
        <w:t>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spacing w:after="0" w:line="21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6"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454546"/>
        </w:rPr>
        <w:t>We do not know whether any clinical trials we may conduct will demonstrate consistent or adequate efficacy and safety sufficient to obtain approval to market any of our product candidates.</w:t>
      </w:r>
    </w:p>
    <w:p>
      <w:pPr>
        <w:spacing w:after="0" w:line="169"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experience delays or difficulties in the enrollment and/or maintenance of patients in clinical trials, our regulatory submissions or receipt of necessary marketing approvals could be delayed or prevented.</w:t>
      </w:r>
    </w:p>
    <w:p>
      <w:pPr>
        <w:spacing w:after="0" w:line="4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7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47</w:t>
      </w:r>
    </w:p>
    <w:p>
      <w:pPr>
        <w:sectPr>
          <w:pgSz w:w="11880" w:h="15480" w:orient="portrait"/>
          <w:cols w:equalWidth="0" w:num="1">
            <w:col w:w="9360"/>
          </w:cols>
          <w:pgMar w:left="1260" w:top="1240" w:right="1260" w:bottom="0" w:gutter="0" w:footer="0" w:header="0"/>
          <w:type w:val="continuous"/>
        </w:sectPr>
      </w:pPr>
    </w:p>
    <w:bookmarkStart w:id="51" w:name="page52"/>
    <w:bookmarkEnd w:id="51"/>
    <w:p>
      <w:pPr>
        <w:ind w:right="440"/>
        <w:spacing w:after="0" w:line="277" w:lineRule="auto"/>
        <w:rPr>
          <w:sz w:val="20"/>
          <w:szCs w:val="20"/>
          <w:color w:val="auto"/>
        </w:rPr>
      </w:pPr>
      <w:r>
        <w:rPr>
          <w:rFonts w:ascii="Times New Roman" w:cs="Times New Roman" w:eastAsia="Times New Roman" w:hAnsi="Times New Roman"/>
          <w:sz w:val="20"/>
          <w:szCs w:val="20"/>
          <w:color w:val="454546"/>
        </w:rPr>
        <w:t>comparable foreign regulatory authorities may require long-term follow-up assessments for a certain number of patients, which could delay marketing approval.</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spacing w:after="0" w:line="88" w:lineRule="exact"/>
        <w:rPr>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size and nature of the patient population;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perceived risks and benefits of novel, unproven approaches;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severity of the disease under investigation;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availability and efficacy of approved drugs for the disease under investigation;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ongoing clinical trials evaluating other product candidates in the same disease under investigation;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 eligibility criteria for the trial in question as defined in the protocol;</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perceived risks and benefits of the product candidate under study;</w:t>
      </w:r>
    </w:p>
    <w:p>
      <w:pPr>
        <w:spacing w:after="0" w:line="133" w:lineRule="exact"/>
        <w:rPr>
          <w:rFonts w:ascii="Arial" w:cs="Arial" w:eastAsia="Arial" w:hAnsi="Arial"/>
          <w:sz w:val="20"/>
          <w:szCs w:val="20"/>
          <w:color w:val="454546"/>
        </w:rPr>
      </w:pPr>
    </w:p>
    <w:p>
      <w:pPr>
        <w:ind w:left="980" w:right="420" w:hanging="491"/>
        <w:spacing w:after="0" w:line="258"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1"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 referral practices of physicians;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challenges associated with recruiting eligible patients;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ability to monitor patients adequately during and after treatment;</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activities of key opinion leaders (KOLs) and patient advocacy groups;</w:t>
      </w:r>
    </w:p>
    <w:p>
      <w:pPr>
        <w:spacing w:after="0" w:line="133" w:lineRule="exact"/>
        <w:rPr>
          <w:rFonts w:ascii="Arial" w:cs="Arial" w:eastAsia="Arial" w:hAnsi="Arial"/>
          <w:sz w:val="20"/>
          <w:szCs w:val="20"/>
          <w:color w:val="454546"/>
        </w:rPr>
      </w:pPr>
    </w:p>
    <w:p>
      <w:pPr>
        <w:ind w:left="980" w:right="460" w:hanging="491"/>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proximity and availability of clinical trial sites for prospective patients and the ability of patients to travel to these sites;</w:t>
      </w:r>
    </w:p>
    <w:p>
      <w:pPr>
        <w:spacing w:after="0" w:line="64" w:lineRule="exact"/>
        <w:rPr>
          <w:rFonts w:ascii="Arial" w:cs="Arial" w:eastAsia="Arial" w:hAnsi="Arial"/>
          <w:sz w:val="20"/>
          <w:szCs w:val="20"/>
          <w:color w:val="454546"/>
        </w:rPr>
      </w:pPr>
    </w:p>
    <w:p>
      <w:pPr>
        <w:ind w:left="980" w:right="340" w:hanging="491"/>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burden of the study protocol on patients, including conflicts with their work, family and personal activities; and</w:t>
      </w:r>
    </w:p>
    <w:p>
      <w:pPr>
        <w:spacing w:after="0" w:line="64"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risk that patients enrolled in clinical trials will drop out of the trials before completion or, because they may have an advanced disease, will not survive the full terms of the clinical trials.</w:t>
      </w:r>
    </w:p>
    <w:p>
      <w:pPr>
        <w:spacing w:after="0" w:line="5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0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Due to the significant resources required for the development of product candidates, in particular our product candidates in clinical trials, we must decide which programs, product candidates and indications to pursue and advance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48</w:t>
      </w:r>
    </w:p>
    <w:p>
      <w:pPr>
        <w:sectPr>
          <w:pgSz w:w="11880" w:h="15480" w:orient="portrait"/>
          <w:cols w:equalWidth="0" w:num="1">
            <w:col w:w="9360"/>
          </w:cols>
          <w:pgMar w:left="1260" w:top="1240" w:right="1260" w:bottom="0" w:gutter="0" w:footer="0" w:header="0"/>
          <w:type w:val="continuous"/>
        </w:sectPr>
      </w:pPr>
    </w:p>
    <w:bookmarkStart w:id="52" w:name="page53"/>
    <w:bookmarkEnd w:id="52"/>
    <w:p>
      <w:pPr>
        <w:spacing w:after="0" w:line="245" w:lineRule="auto"/>
        <w:rPr>
          <w:sz w:val="20"/>
          <w:szCs w:val="20"/>
          <w:color w:val="auto"/>
        </w:rPr>
      </w:pPr>
      <w:r>
        <w:rPr>
          <w:rFonts w:ascii="Times New Roman" w:cs="Times New Roman" w:eastAsia="Times New Roman" w:hAnsi="Times New Roman"/>
          <w:sz w:val="20"/>
          <w:szCs w:val="20"/>
          <w:color w:val="454546"/>
        </w:rPr>
        <w:t>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80" w:lineRule="exact"/>
        <w:rPr>
          <w:sz w:val="20"/>
          <w:szCs w:val="20"/>
          <w:color w:val="auto"/>
        </w:rPr>
      </w:pPr>
    </w:p>
    <w:p>
      <w:pPr>
        <w:ind w:right="300" w:firstLine="490"/>
        <w:spacing w:after="0" w:line="270" w:lineRule="auto"/>
        <w:rPr>
          <w:sz w:val="20"/>
          <w:szCs w:val="20"/>
          <w:color w:val="auto"/>
        </w:rPr>
      </w:pPr>
      <w:r>
        <w:rPr>
          <w:rFonts w:ascii="Times New Roman" w:cs="Times New Roman" w:eastAsia="Times New Roman" w:hAnsi="Times New Roman"/>
          <w:sz w:val="19"/>
          <w:szCs w:val="19"/>
          <w:color w:val="454546"/>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5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9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49</w:t>
      </w:r>
    </w:p>
    <w:p>
      <w:pPr>
        <w:sectPr>
          <w:pgSz w:w="11880" w:h="15480" w:orient="portrait"/>
          <w:cols w:equalWidth="0" w:num="1">
            <w:col w:w="9340"/>
          </w:cols>
          <w:pgMar w:left="1260" w:top="1240" w:right="1280" w:bottom="0" w:gutter="0" w:footer="0" w:header="0"/>
          <w:type w:val="continuous"/>
        </w:sectPr>
      </w:pPr>
    </w:p>
    <w:bookmarkStart w:id="53" w:name="page54"/>
    <w:bookmarkEnd w:id="53"/>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From time to time, we may publicly disclose preliminary, interim or topline data from our clinical trials. These interim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9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0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6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8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454546"/>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50</w:t>
      </w:r>
    </w:p>
    <w:p>
      <w:pPr>
        <w:sectPr>
          <w:pgSz w:w="11880" w:h="15480" w:orient="portrait"/>
          <w:cols w:equalWidth="0" w:num="1">
            <w:col w:w="9360"/>
          </w:cols>
          <w:pgMar w:left="1260" w:top="1240" w:right="1260" w:bottom="0" w:gutter="0" w:footer="0" w:header="0"/>
          <w:type w:val="continuous"/>
        </w:sectPr>
      </w:pPr>
    </w:p>
    <w:bookmarkStart w:id="54" w:name="page55"/>
    <w:bookmarkEnd w:id="54"/>
    <w:p>
      <w:pPr>
        <w:ind w:right="480"/>
        <w:spacing w:after="0" w:line="305" w:lineRule="auto"/>
        <w:rPr>
          <w:sz w:val="20"/>
          <w:szCs w:val="20"/>
          <w:color w:val="auto"/>
        </w:rPr>
      </w:pPr>
      <w:r>
        <w:rPr>
          <w:rFonts w:ascii="Times New Roman" w:cs="Times New Roman" w:eastAsia="Times New Roman" w:hAnsi="Times New Roman"/>
          <w:sz w:val="19"/>
          <w:szCs w:val="19"/>
          <w:b w:val="1"/>
          <w:bCs w:val="1"/>
          <w:i w:val="1"/>
          <w:iCs w:val="1"/>
          <w:color w:val="454546"/>
        </w:rPr>
        <w:t>Due to our limited manufacturing experience, there can be no assurance that we will be able to successfully manufacture product candidates to support our clinical development and commercialization plans.</w:t>
      </w:r>
    </w:p>
    <w:p>
      <w:pPr>
        <w:spacing w:after="0" w:line="25"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454546"/>
        </w:rPr>
        <w:t>We have fully integrated and internalized AAV manufacturing capabilities to support our gene therapy product candidates. However, to optimize our resources and to utilize extensive third-party experience in small molecule manufacturing, we intend to work with CDMOs for our small molecule programs.</w:t>
      </w:r>
    </w:p>
    <w:p>
      <w:pPr>
        <w:spacing w:after="0" w:line="6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7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82"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color w:val="454546"/>
        </w:rPr>
        <w:t>Any delays in the ongoing development of our internal manufacturing capabilities may disrupt or delay the supply of our product candidates if we have not maintained a sufficient back-up supply of such product candidates.</w:t>
      </w:r>
    </w:p>
    <w:p>
      <w:pPr>
        <w:spacing w:after="0" w:line="25"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may not be able to successfully manufacture our product candidates in sufficient quality and quantity, which would delay or prevent us from developing our product candidates and commercializing resulting approved products, if any.</w:t>
      </w:r>
    </w:p>
    <w:p>
      <w:pPr>
        <w:spacing w:after="0" w:line="68"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454546"/>
        </w:rPr>
        <w:t>To date, our product candidates have been manufactured in quantities adequate for preclinical studies and our Phase 1 clinical trials for our lead product candidates. In order to conduct clinical trials for a product candidate and for commercialization of the resulting product if that product candidate is approved for sale, we will need to</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51</w:t>
      </w:r>
    </w:p>
    <w:p>
      <w:pPr>
        <w:sectPr>
          <w:pgSz w:w="11880" w:h="15480" w:orient="portrait"/>
          <w:cols w:equalWidth="0" w:num="1">
            <w:col w:w="9340"/>
          </w:cols>
          <w:pgMar w:left="1260" w:top="1240" w:right="1280" w:bottom="0" w:gutter="0" w:footer="0" w:header="0"/>
          <w:type w:val="continuous"/>
        </w:sectPr>
      </w:pPr>
    </w:p>
    <w:bookmarkStart w:id="55" w:name="page56"/>
    <w:bookmarkEnd w:id="55"/>
    <w:p>
      <w:pPr>
        <w:ind w:right="100"/>
        <w:spacing w:after="0" w:line="249" w:lineRule="auto"/>
        <w:rPr>
          <w:sz w:val="20"/>
          <w:szCs w:val="20"/>
          <w:color w:val="auto"/>
        </w:rPr>
      </w:pPr>
      <w:r>
        <w:rPr>
          <w:rFonts w:ascii="Times New Roman" w:cs="Times New Roman" w:eastAsia="Times New Roman" w:hAnsi="Times New Roman"/>
          <w:sz w:val="20"/>
          <w:szCs w:val="20"/>
          <w:color w:val="454546"/>
        </w:rPr>
        <w:t>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6"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454546"/>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8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may not achieve adequate market acceptance among physicians, patients, healthcare payors and others in the medical community necessary for commercial success.</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91" w:lineRule="exact"/>
        <w:rPr>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efficacy and safety profile as demonstrated in clinical trials compared to alternative treatments;</w:t>
      </w:r>
    </w:p>
    <w:p>
      <w:pPr>
        <w:spacing w:after="0" w:line="133"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perceived safety and efficacy profile and ease of use for pediatric patient population if approved for a pediatric indication;</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of market introduction of the product candidate as well as competitive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clinical indications for which a product candidate is approved;</w:t>
      </w:r>
    </w:p>
    <w:p>
      <w:pPr>
        <w:spacing w:after="0" w:line="133" w:lineRule="exact"/>
        <w:rPr>
          <w:rFonts w:ascii="Arial" w:cs="Arial" w:eastAsia="Arial" w:hAnsi="Arial"/>
          <w:sz w:val="20"/>
          <w:szCs w:val="20"/>
          <w:color w:val="454546"/>
        </w:rPr>
      </w:pPr>
    </w:p>
    <w:p>
      <w:pPr>
        <w:ind w:left="980" w:right="160" w:hanging="491"/>
        <w:spacing w:after="0" w:line="258"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1"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physicians, hospitals, treatment centers and patients considering our product candidates as a safe, pure and effective treatment;</w:t>
      </w:r>
    </w:p>
    <w:p>
      <w:pPr>
        <w:spacing w:after="0" w:line="64" w:lineRule="exact"/>
        <w:rPr>
          <w:rFonts w:ascii="Arial" w:cs="Arial" w:eastAsia="Arial" w:hAnsi="Arial"/>
          <w:sz w:val="20"/>
          <w:szCs w:val="20"/>
          <w:color w:val="454546"/>
        </w:rPr>
      </w:pPr>
    </w:p>
    <w:p>
      <w:pPr>
        <w:ind w:left="980" w:right="340" w:hanging="491"/>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perceived prevalence and severity of any side effects for our product candidates compared to the prevalence and severity of any side effects for conventional products and other gene therapies;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potential and perceived advantages of our product candidates over alternative treatments;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 of treatment in relation to alternative treatments;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relative convenience and ease of administration;</w:t>
      </w:r>
    </w:p>
    <w:p>
      <w:pPr>
        <w:spacing w:after="0" w:line="133" w:lineRule="exact"/>
        <w:rPr>
          <w:rFonts w:ascii="Arial" w:cs="Arial" w:eastAsia="Arial" w:hAnsi="Arial"/>
          <w:sz w:val="20"/>
          <w:szCs w:val="20"/>
          <w:color w:val="454546"/>
        </w:rPr>
      </w:pPr>
    </w:p>
    <w:p>
      <w:pPr>
        <w:ind w:left="980" w:right="60" w:hanging="491"/>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willingness of the target patient population or their caregivers to try new therapies and of physicians to prescribe these therapies;</w:t>
      </w:r>
    </w:p>
    <w:p>
      <w:pPr>
        <w:spacing w:after="0" w:line="64" w:lineRule="exact"/>
        <w:rPr>
          <w:rFonts w:ascii="Arial" w:cs="Arial" w:eastAsia="Arial" w:hAnsi="Arial"/>
          <w:sz w:val="20"/>
          <w:szCs w:val="20"/>
          <w:color w:val="454546"/>
        </w:rPr>
      </w:pPr>
    </w:p>
    <w:p>
      <w:pPr>
        <w:ind w:left="980" w:right="360" w:hanging="491"/>
        <w:spacing w:after="0" w:line="258"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size of the relevant pediatric patient population if approved for a pediatric indication, including challenges associated with diagnosing or identifying pediatric populations with the applicable target disease or condition;</w:t>
      </w:r>
    </w:p>
    <w:p>
      <w:pPr>
        <w:spacing w:after="0" w:line="81" w:lineRule="exact"/>
        <w:rPr>
          <w:rFonts w:ascii="Arial" w:cs="Arial" w:eastAsia="Arial" w:hAnsi="Arial"/>
          <w:sz w:val="20"/>
          <w:szCs w:val="20"/>
          <w:color w:val="454546"/>
        </w:rPr>
      </w:pPr>
    </w:p>
    <w:p>
      <w:pPr>
        <w:ind w:left="980" w:right="220" w:hanging="491"/>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availability of coverage and adequate reimbursement by third-party payors, including government authorities;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52</w:t>
      </w:r>
    </w:p>
    <w:p>
      <w:pPr>
        <w:sectPr>
          <w:pgSz w:w="11880" w:h="15480" w:orient="portrait"/>
          <w:cols w:equalWidth="0" w:num="1">
            <w:col w:w="9340"/>
          </w:cols>
          <w:pgMar w:left="1260" w:top="1240" w:right="1280" w:bottom="0" w:gutter="0" w:footer="0" w:header="0"/>
          <w:type w:val="continuous"/>
        </w:sectPr>
      </w:pPr>
    </w:p>
    <w:bookmarkStart w:id="56" w:name="page57"/>
    <w:bookmarkEnd w:id="56"/>
    <w:p>
      <w:pPr>
        <w:ind w:left="980" w:right="980" w:hanging="491"/>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patients’ willingness to pay for these therapies in the absence of such coverage and adequate reimbursement;</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effectiveness of sales and marketing efforts;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support from KOLs and patient advocacy groups;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unfavorable publicity relating to our product candidates;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approval of other new therapies for the same indications; and</w:t>
      </w:r>
    </w:p>
    <w:p>
      <w:pPr>
        <w:spacing w:after="0" w:line="133" w:lineRule="exact"/>
        <w:rPr>
          <w:rFonts w:ascii="Arial" w:cs="Arial" w:eastAsia="Arial" w:hAnsi="Arial"/>
          <w:sz w:val="20"/>
          <w:szCs w:val="20"/>
          <w:color w:val="454546"/>
        </w:rPr>
      </w:pPr>
    </w:p>
    <w:p>
      <w:pPr>
        <w:ind w:left="980" w:right="440" w:hanging="491"/>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acceptance and use of genetic testing required to diagnose the disease and identify patients who qualify for treatment with our product candidates.</w:t>
      </w:r>
    </w:p>
    <w:p>
      <w:pPr>
        <w:spacing w:after="0" w:line="50"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454546"/>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Gene therapy and precision medicine remain novel technologies. The commercial success of our products, if successfully developed and approved, may be adversely affected by claims that gene therapy or precision medicine is unsafe, ineffective,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86" w:lineRule="exact"/>
        <w:rPr>
          <w:sz w:val="20"/>
          <w:szCs w:val="20"/>
          <w:color w:val="auto"/>
        </w:rPr>
      </w:pPr>
    </w:p>
    <w:p>
      <w:pPr>
        <w:ind w:right="280" w:firstLine="490"/>
        <w:spacing w:after="0" w:line="260" w:lineRule="auto"/>
        <w:rPr>
          <w:sz w:val="20"/>
          <w:szCs w:val="20"/>
          <w:color w:val="auto"/>
        </w:rPr>
      </w:pPr>
      <w:r>
        <w:rPr>
          <w:rFonts w:ascii="Times New Roman" w:cs="Times New Roman" w:eastAsia="Times New Roman" w:hAnsi="Times New Roman"/>
          <w:sz w:val="19"/>
          <w:szCs w:val="19"/>
          <w:color w:val="454546"/>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 It could also negatively impact our ability to raise capital or enter into strategic agreements for the development of our product candidates.</w:t>
      </w:r>
    </w:p>
    <w:p>
      <w:pPr>
        <w:spacing w:after="0" w:line="1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8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454546"/>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53</w:t>
      </w:r>
    </w:p>
    <w:p>
      <w:pPr>
        <w:sectPr>
          <w:pgSz w:w="11880" w:h="15480" w:orient="portrait"/>
          <w:cols w:equalWidth="0" w:num="1">
            <w:col w:w="9360"/>
          </w:cols>
          <w:pgMar w:left="1260" w:top="1254" w:right="1260" w:bottom="0" w:gutter="0" w:footer="0" w:header="0"/>
          <w:type w:val="continuous"/>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20"/>
          <w:szCs w:val="20"/>
          <w:color w:val="454546"/>
        </w:rPr>
        <w:t>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6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9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Any product candidates we develop may become subject to unfavorable third-party coverage and reimbursement practices, as well as pricing regulations.</w:t>
      </w:r>
    </w:p>
    <w:p>
      <w:pPr>
        <w:spacing w:after="0" w:line="4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There is significant uncertainty related to third-party payor coverage and reimbursement of newly approved products. In the U.S., for example, principal decisions about reimbursement for new products are typically made by the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2"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54</w:t>
      </w:r>
    </w:p>
    <w:p>
      <w:pPr>
        <w:sectPr>
          <w:pgSz w:w="11880" w:h="15480" w:orient="portrait"/>
          <w:cols w:equalWidth="0" w:num="1">
            <w:col w:w="9340"/>
          </w:cols>
          <w:pgMar w:left="1260" w:top="1240" w:right="1280" w:bottom="0" w:gutter="0" w:footer="0" w:header="0"/>
          <w:type w:val="continuous"/>
        </w:sectPr>
      </w:pPr>
    </w:p>
    <w:bookmarkStart w:id="58" w:name="page59"/>
    <w:bookmarkEnd w:id="58"/>
    <w:p>
      <w:pPr>
        <w:ind w:right="80"/>
        <w:spacing w:after="0" w:line="245" w:lineRule="auto"/>
        <w:rPr>
          <w:sz w:val="20"/>
          <w:szCs w:val="20"/>
          <w:color w:val="auto"/>
        </w:rPr>
      </w:pPr>
      <w:r>
        <w:rPr>
          <w:rFonts w:ascii="Times New Roman" w:cs="Times New Roman" w:eastAsia="Times New Roman" w:hAnsi="Times New Roman"/>
          <w:sz w:val="20"/>
          <w:szCs w:val="20"/>
          <w:color w:val="454546"/>
        </w:rPr>
        <w:t>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8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Regardless of the merits or eventual outcome, liability claims may result in:</w:t>
      </w:r>
    </w:p>
    <w:p>
      <w:pPr>
        <w:spacing w:after="0" w:line="134"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the development of our product candidates;</w:t>
      </w:r>
    </w:p>
    <w:p>
      <w:pPr>
        <w:spacing w:after="0" w:line="133"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FDA, EMA or other regulatory authority investigation of the safety and effectiveness of our products, our manufacturing processes and facilities or our marketing programs;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decreased or interrupted demand for our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injury to our reputation;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withdrawal of clinical trial participants and inability to continue clinical trials;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costs to defend the related litigation;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a diversion of management’s time and our resources;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substantial monetary awards to trial participants or patients;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recalls, withdrawals or labeling, marketing, or promotional restrictions;</w:t>
      </w:r>
    </w:p>
    <w:p>
      <w:pPr>
        <w:sectPr>
          <w:pgSz w:w="11880" w:h="15480" w:orient="portrait"/>
          <w:cols w:equalWidth="0" w:num="1">
            <w:col w:w="9300"/>
          </w:cols>
          <w:pgMar w:left="1260" w:top="124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55</w:t>
      </w:r>
    </w:p>
    <w:p>
      <w:pPr>
        <w:sectPr>
          <w:pgSz w:w="11880" w:h="15480" w:orient="portrait"/>
          <w:cols w:equalWidth="0" w:num="1">
            <w:col w:w="9300"/>
          </w:cols>
          <w:pgMar w:left="1260" w:top="1240" w:right="1320" w:bottom="0" w:gutter="0" w:footer="0" w:header="0"/>
          <w:type w:val="continuous"/>
        </w:sectPr>
      </w:pPr>
    </w:p>
    <w:bookmarkStart w:id="59" w:name="page60"/>
    <w:bookmarkEnd w:id="59"/>
    <w:p>
      <w:pPr>
        <w:ind w:left="980" w:hanging="491"/>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loss of revenue;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exhaustion of any available insurance and our capital resources;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inability to commercialize any products.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Regulatory Approval and Other Legal Compliance Matters</w:t>
      </w:r>
    </w:p>
    <w:p>
      <w:pPr>
        <w:spacing w:after="0" w:line="12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83"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83" w:lineRule="exact"/>
        <w:rPr>
          <w:sz w:val="20"/>
          <w:szCs w:val="20"/>
          <w:color w:val="auto"/>
        </w:rPr>
      </w:pPr>
    </w:p>
    <w:p>
      <w:pPr>
        <w:ind w:left="980" w:right="66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disagree with the design, implementation or results of our clinical trials;</w:t>
      </w:r>
    </w:p>
    <w:p>
      <w:pPr>
        <w:spacing w:after="0" w:line="64" w:lineRule="exact"/>
        <w:rPr>
          <w:rFonts w:ascii="Arial" w:cs="Arial" w:eastAsia="Arial" w:hAnsi="Arial"/>
          <w:sz w:val="20"/>
          <w:szCs w:val="20"/>
          <w:color w:val="454546"/>
        </w:rPr>
      </w:pPr>
    </w:p>
    <w:p>
      <w:pPr>
        <w:jc w:val="both"/>
        <w:ind w:left="980" w:right="220" w:hanging="491"/>
        <w:spacing w:after="0" w:line="304" w:lineRule="auto"/>
        <w:tabs>
          <w:tab w:leader="none" w:pos="980" w:val="left"/>
        </w:tabs>
        <w:numPr>
          <w:ilvl w:val="0"/>
          <w:numId w:val="32"/>
        </w:numPr>
        <w:rPr>
          <w:rFonts w:ascii="Arial" w:cs="Arial" w:eastAsia="Arial" w:hAnsi="Arial"/>
          <w:sz w:val="19"/>
          <w:szCs w:val="19"/>
          <w:color w:val="454546"/>
        </w:rPr>
      </w:pPr>
      <w:r>
        <w:rPr>
          <w:rFonts w:ascii="Times New Roman" w:cs="Times New Roman" w:eastAsia="Times New Roman" w:hAnsi="Times New Roman"/>
          <w:sz w:val="19"/>
          <w:szCs w:val="19"/>
          <w:color w:val="454546"/>
        </w:rPr>
        <w:t>the FDA, EMA or other comparable foreign regulatory authorities may refuse to accept an application or decide not to accept data from our clinical trials conducted in locations outside of their jurisdiction;</w:t>
      </w:r>
    </w:p>
    <w:p>
      <w:pPr>
        <w:spacing w:after="0" w:line="39" w:lineRule="exact"/>
        <w:rPr>
          <w:rFonts w:ascii="Arial" w:cs="Arial" w:eastAsia="Arial" w:hAnsi="Arial"/>
          <w:sz w:val="19"/>
          <w:szCs w:val="19"/>
          <w:color w:val="454546"/>
        </w:rPr>
      </w:pPr>
    </w:p>
    <w:p>
      <w:pPr>
        <w:ind w:left="980" w:right="80" w:hanging="491"/>
        <w:spacing w:after="0" w:line="252"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7" w:lineRule="exact"/>
        <w:rPr>
          <w:rFonts w:ascii="Arial" w:cs="Arial" w:eastAsia="Arial" w:hAnsi="Arial"/>
          <w:sz w:val="20"/>
          <w:szCs w:val="20"/>
          <w:color w:val="454546"/>
        </w:rPr>
      </w:pPr>
    </w:p>
    <w:p>
      <w:pPr>
        <w:ind w:left="980" w:right="54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454546"/>
        </w:rPr>
      </w:pPr>
    </w:p>
    <w:p>
      <w:pPr>
        <w:ind w:left="980" w:right="12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454546"/>
        </w:rPr>
      </w:pPr>
    </w:p>
    <w:p>
      <w:pPr>
        <w:ind w:left="980" w:right="76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require that we conduct additional preclinical studies or clinical trials;</w:t>
      </w:r>
    </w:p>
    <w:p>
      <w:pPr>
        <w:spacing w:after="0" w:line="64"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we may be unable to demonstrate to the FDA, EMA or other comparable foreign regulatory authorities that our product candidate’s risk-benefit ratio for its proposed indication is acceptable;</w:t>
      </w:r>
    </w:p>
    <w:p>
      <w:pPr>
        <w:spacing w:after="0" w:line="64" w:lineRule="exact"/>
        <w:rPr>
          <w:rFonts w:ascii="Arial" w:cs="Arial" w:eastAsia="Arial" w:hAnsi="Arial"/>
          <w:sz w:val="20"/>
          <w:szCs w:val="20"/>
          <w:color w:val="454546"/>
        </w:rPr>
      </w:pPr>
    </w:p>
    <w:p>
      <w:pPr>
        <w:ind w:left="980" w:right="340" w:hanging="491"/>
        <w:spacing w:after="0" w:line="258"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81" w:lineRule="exact"/>
        <w:rPr>
          <w:rFonts w:ascii="Arial" w:cs="Arial" w:eastAsia="Arial" w:hAnsi="Arial"/>
          <w:sz w:val="20"/>
          <w:szCs w:val="20"/>
          <w:color w:val="454546"/>
        </w:rPr>
      </w:pPr>
    </w:p>
    <w:p>
      <w:pPr>
        <w:ind w:left="980" w:right="540" w:hanging="491"/>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fail to approve companion diagnostic tests required for commercialization of our product candidates; and</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56</w:t>
      </w:r>
    </w:p>
    <w:p>
      <w:pPr>
        <w:sectPr>
          <w:pgSz w:w="11880" w:h="15480" w:orient="portrait"/>
          <w:cols w:equalWidth="0" w:num="1">
            <w:col w:w="9360"/>
          </w:cols>
          <w:pgMar w:left="1260" w:top="1254" w:right="1260" w:bottom="0" w:gutter="0" w:footer="0" w:header="0"/>
          <w:type w:val="continuous"/>
        </w:sectPr>
      </w:pPr>
    </w:p>
    <w:bookmarkStart w:id="60" w:name="page61"/>
    <w:bookmarkEnd w:id="60"/>
    <w:p>
      <w:pPr>
        <w:ind w:left="980" w:hanging="491"/>
        <w:spacing w:after="0" w:line="276" w:lineRule="auto"/>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the approval policies or regulations of the FDA, EMA or other comparable foreign regulatory authorities may significantly change in a manner rendering our clinical data insufficient for approval.</w:t>
      </w:r>
    </w:p>
    <w:p>
      <w:pPr>
        <w:spacing w:after="0" w:line="5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19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82"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454546"/>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Even if our product candidates receive regulatory approval, such approval may be for a narrower indication than we seek, and our product candidates will be subject to significant post-marketing regulatory requirements and oversight.</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91"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57</w:t>
      </w:r>
    </w:p>
    <w:p>
      <w:pPr>
        <w:sectPr>
          <w:pgSz w:w="11880" w:h="15480" w:orient="portrait"/>
          <w:cols w:equalWidth="0" w:num="1">
            <w:col w:w="9360"/>
          </w:cols>
          <w:pgMar w:left="1260" w:top="1254" w:right="1260" w:bottom="0" w:gutter="0" w:footer="0" w:header="0"/>
          <w:type w:val="continuous"/>
        </w:sectPr>
      </w:pPr>
    </w:p>
    <w:bookmarkStart w:id="61" w:name="page62"/>
    <w:bookmarkEnd w:id="61"/>
    <w:p>
      <w:pPr>
        <w:spacing w:after="0" w:line="252" w:lineRule="auto"/>
        <w:rPr>
          <w:sz w:val="20"/>
          <w:szCs w:val="20"/>
          <w:color w:val="auto"/>
        </w:rPr>
      </w:pPr>
      <w:r>
        <w:rPr>
          <w:rFonts w:ascii="Times New Roman" w:cs="Times New Roman" w:eastAsia="Times New Roman" w:hAnsi="Times New Roman"/>
          <w:sz w:val="20"/>
          <w:szCs w:val="20"/>
          <w:color w:val="454546"/>
        </w:rPr>
        <w:t>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8" w:lineRule="exact"/>
        <w:rPr>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or the rejection of product approvals;</w:t>
      </w:r>
    </w:p>
    <w:p>
      <w:pPr>
        <w:spacing w:after="0" w:line="133"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our ability to conduct clinical trials, including full or partial clinical holds on ongoing or planned trials;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products, manufacturers or manufacturing process;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warning or untitled letters;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civil and criminal penalties;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injunctions;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suspension or withdrawal of regulatory approvals;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seizures, detentions or import bans;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voluntary or mandatory product recalls and publicity requirements;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total or partial suspension of production;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imposition of restrictions on operations, including costly new manufacturing requirements.</w:t>
      </w:r>
    </w:p>
    <w:p>
      <w:pPr>
        <w:spacing w:after="0" w:line="119"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454546"/>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94"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However, there can be no assurances that we will be able to obtain orphan designations for our product candidates.</w:t>
      </w:r>
    </w:p>
    <w:p>
      <w:pPr>
        <w:spacing w:after="0" w:line="91"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19"/>
          <w:szCs w:val="19"/>
          <w:color w:val="454546"/>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9"/>
          <w:szCs w:val="19"/>
          <w:i w:val="1"/>
          <w:iCs w:val="1"/>
          <w:color w:val="454546"/>
        </w:rPr>
        <w:t>Catalyst Pharms., Inc. v. Becerra</w:t>
      </w:r>
      <w:r>
        <w:rPr>
          <w:rFonts w:ascii="Times New Roman" w:cs="Times New Roman" w:eastAsia="Times New Roman" w:hAnsi="Times New Roman"/>
          <w:sz w:val="19"/>
          <w:szCs w:val="19"/>
          <w:color w:val="454546"/>
        </w:rPr>
        <w:t>, 14</w:t>
      </w:r>
    </w:p>
    <w:p>
      <w:pPr>
        <w:spacing w:after="0" w:line="4"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9"/>
          <w:szCs w:val="19"/>
          <w:color w:val="454546"/>
        </w:rPr>
        <w:t>F.4</w:t>
      </w:r>
      <w:r>
        <w:rPr>
          <w:rFonts w:ascii="Times New Roman" w:cs="Times New Roman" w:eastAsia="Times New Roman" w:hAnsi="Times New Roman"/>
          <w:sz w:val="25"/>
          <w:szCs w:val="25"/>
          <w:color w:val="454546"/>
          <w:vertAlign w:val="superscript"/>
        </w:rPr>
        <w:t>th</w:t>
      </w:r>
      <w:r>
        <w:rPr>
          <w:rFonts w:ascii="Times New Roman" w:cs="Times New Roman" w:eastAsia="Times New Roman" w:hAnsi="Times New Roman"/>
          <w:sz w:val="19"/>
          <w:szCs w:val="19"/>
          <w:color w:val="454546"/>
        </w:rPr>
        <w:t xml:space="preserve"> 1299 (11</w:t>
      </w:r>
      <w:r>
        <w:rPr>
          <w:rFonts w:ascii="Times New Roman" w:cs="Times New Roman" w:eastAsia="Times New Roman" w:hAnsi="Times New Roman"/>
          <w:sz w:val="25"/>
          <w:szCs w:val="25"/>
          <w:color w:val="454546"/>
          <w:vertAlign w:val="superscript"/>
        </w:rPr>
        <w:t>th</w:t>
      </w:r>
      <w:r>
        <w:rPr>
          <w:rFonts w:ascii="Times New Roman" w:cs="Times New Roman" w:eastAsia="Times New Roman" w:hAnsi="Times New Roman"/>
          <w:sz w:val="19"/>
          <w:szCs w:val="19"/>
          <w:color w:val="454546"/>
        </w:rPr>
        <w:t xml:space="preserve"> Cir. 2021) case, in a January 2023 notice, the FDA clarified that while the agency complies with the court’s order in </w:t>
      </w:r>
      <w:r>
        <w:rPr>
          <w:rFonts w:ascii="Times New Roman" w:cs="Times New Roman" w:eastAsia="Times New Roman" w:hAnsi="Times New Roman"/>
          <w:sz w:val="19"/>
          <w:szCs w:val="19"/>
          <w:i w:val="1"/>
          <w:iCs w:val="1"/>
          <w:color w:val="454546"/>
        </w:rPr>
        <w:t>Catalyst</w:t>
      </w:r>
      <w:r>
        <w:rPr>
          <w:rFonts w:ascii="Times New Roman" w:cs="Times New Roman" w:eastAsia="Times New Roman" w:hAnsi="Times New Roman"/>
          <w:sz w:val="19"/>
          <w:szCs w:val="19"/>
          <w:color w:val="454546"/>
        </w:rPr>
        <w:t xml:space="preserve">, the FDA intends to continue to apply its longstanding interpretation of the regulations to matters outside of the scope of the </w:t>
      </w:r>
      <w:r>
        <w:rPr>
          <w:rFonts w:ascii="Times New Roman" w:cs="Times New Roman" w:eastAsia="Times New Roman" w:hAnsi="Times New Roman"/>
          <w:sz w:val="19"/>
          <w:szCs w:val="19"/>
          <w:i w:val="1"/>
          <w:iCs w:val="1"/>
          <w:color w:val="454546"/>
        </w:rPr>
        <w:t>Catalyst</w:t>
      </w:r>
      <w:r>
        <w:rPr>
          <w:rFonts w:ascii="Times New Roman" w:cs="Times New Roman" w:eastAsia="Times New Roman" w:hAnsi="Times New Roman"/>
          <w:sz w:val="19"/>
          <w:szCs w:val="19"/>
          <w:color w:val="454546"/>
        </w:rPr>
        <w:t xml:space="preserve"> order – that is, the scope of the orphan-drug exclusivity is limited to the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58</w:t>
      </w:r>
    </w:p>
    <w:p>
      <w:pPr>
        <w:sectPr>
          <w:pgSz w:w="11880" w:h="15480" w:orient="portrait"/>
          <w:cols w:equalWidth="0" w:num="1">
            <w:col w:w="9360"/>
          </w:cols>
          <w:pgMar w:left="1260" w:top="1240" w:right="1260" w:bottom="0" w:gutter="0" w:footer="0" w:header="0"/>
          <w:type w:val="continuous"/>
        </w:sectPr>
      </w:pPr>
    </w:p>
    <w:bookmarkStart w:id="62" w:name="page63"/>
    <w:bookmarkEnd w:id="62"/>
    <w:p>
      <w:pPr>
        <w:ind w:right="80"/>
        <w:spacing w:after="0" w:line="247" w:lineRule="auto"/>
        <w:rPr>
          <w:sz w:val="20"/>
          <w:szCs w:val="20"/>
          <w:color w:val="auto"/>
        </w:rPr>
      </w:pPr>
      <w:r>
        <w:rPr>
          <w:rFonts w:ascii="Times New Roman" w:cs="Times New Roman" w:eastAsia="Times New Roman" w:hAnsi="Times New Roman"/>
          <w:sz w:val="20"/>
          <w:szCs w:val="20"/>
          <w:color w:val="454546"/>
        </w:rPr>
        <w:t>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8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Our lead product candidates from our gene therapy platform, TN-201 and TN-401, have each been granted orphan drug designation by the FDA and the EC, and we may seek orphan drug designation for other product candidates in the U.S., Europe and other jurisdictions. Even if we obtain orphan drug designation for a product candidate, we may not be able to obtain or maintain orphan drug exclusivity for that product candidate and may not realize the benefits of such designation. 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face difficulties from changes to current FDA and healthcare regulations and future legislation.</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59</w:t>
      </w:r>
    </w:p>
    <w:p>
      <w:pPr>
        <w:sectPr>
          <w:pgSz w:w="11880" w:h="15480" w:orient="portrait"/>
          <w:cols w:equalWidth="0" w:num="1">
            <w:col w:w="9320"/>
          </w:cols>
          <w:pgMar w:left="1260" w:top="1240" w:right="1300" w:bottom="0" w:gutter="0" w:footer="0" w:header="0"/>
          <w:type w:val="continuous"/>
        </w:sectPr>
      </w:pPr>
    </w:p>
    <w:bookmarkStart w:id="63" w:name="page64"/>
    <w:bookmarkEnd w:id="63"/>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In addition, other legislative changes have been proposed and adopted in the U.S. since the ACA was enacted, including aggregate reductions to Medicare payments to providers, effective April 1, 2013, which, through subsequent amendments, will remain in effect through 2032 and increased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77"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454546"/>
        </w:rPr>
        <w:t>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454546"/>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1"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60</w:t>
      </w:r>
    </w:p>
    <w:p>
      <w:pPr>
        <w:sectPr>
          <w:pgSz w:w="11880" w:h="15480" w:orient="portrait"/>
          <w:cols w:equalWidth="0" w:num="1">
            <w:col w:w="9360"/>
          </w:cols>
          <w:pgMar w:left="1260" w:top="1240" w:right="1260" w:bottom="0" w:gutter="0" w:footer="0" w:header="0"/>
          <w:type w:val="continuous"/>
        </w:sectPr>
      </w:pPr>
    </w:p>
    <w:bookmarkStart w:id="64" w:name="page65"/>
    <w:bookmarkEnd w:id="64"/>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7"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454546"/>
        </w:rPr>
        <w:t>Outside of the U.S., relevant legal requirements continue to evolve. For example, the collection and use of health data and other personal data including personal data collected in clinical trials is governed in the EU by the GDPR, which imposes substantial obligations upon companies and new rights for individuals, by certain EU member state-level legislation. 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Failure to comply with the GDPR or UK GDPR may result in fines up to €20,000,000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European Economic Area (EEA), United Kingdom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p>
    <w:p>
      <w:pPr>
        <w:spacing w:after="0" w:line="9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similar to the CCPA either in operation or slated to go into operation over the next three years, and other state legislatures are considering and may adopt their own comprehensive data privacy and security laws, with potentially greater penalties and more rigorous compliance requirements.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6"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454546"/>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61</w:t>
      </w:r>
    </w:p>
    <w:p>
      <w:pPr>
        <w:sectPr>
          <w:pgSz w:w="11880" w:h="15480" w:orient="portrait"/>
          <w:cols w:equalWidth="0" w:num="1">
            <w:col w:w="9360"/>
          </w:cols>
          <w:pgMar w:left="1260" w:top="1240" w:right="1260" w:bottom="0" w:gutter="0" w:footer="0" w:header="0"/>
          <w:type w:val="continuous"/>
        </w:sectPr>
      </w:pPr>
    </w:p>
    <w:bookmarkStart w:id="65" w:name="page66"/>
    <w:bookmarkEnd w:id="65"/>
    <w:p>
      <w:pPr>
        <w:ind w:right="640"/>
        <w:spacing w:after="0" w:line="277" w:lineRule="auto"/>
        <w:rPr>
          <w:sz w:val="20"/>
          <w:szCs w:val="20"/>
          <w:color w:val="auto"/>
        </w:rPr>
      </w:pPr>
      <w:r>
        <w:rPr>
          <w:rFonts w:ascii="Times New Roman" w:cs="Times New Roman" w:eastAsia="Times New Roman" w:hAnsi="Times New Roman"/>
          <w:sz w:val="20"/>
          <w:szCs w:val="20"/>
          <w:color w:val="454546"/>
        </w:rPr>
        <w:t>requirements and making necessary changes to our policies and practices and may incur significant costs and expenses in an effort to do so.</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0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94" w:lineRule="exact"/>
        <w:rPr>
          <w:sz w:val="20"/>
          <w:szCs w:val="20"/>
          <w:color w:val="auto"/>
        </w:rPr>
      </w:pPr>
    </w:p>
    <w:p>
      <w:pPr>
        <w:ind w:left="980" w:right="100" w:hanging="491"/>
        <w:spacing w:after="0" w:line="249"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0" w:lineRule="exact"/>
        <w:rPr>
          <w:rFonts w:ascii="Arial" w:cs="Arial" w:eastAsia="Arial" w:hAnsi="Arial"/>
          <w:sz w:val="20"/>
          <w:szCs w:val="20"/>
          <w:color w:val="454546"/>
        </w:rPr>
      </w:pPr>
    </w:p>
    <w:p>
      <w:pPr>
        <w:ind w:left="980" w:right="260" w:hanging="491"/>
        <w:spacing w:after="0" w:line="249"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0" w:lineRule="exact"/>
        <w:rPr>
          <w:rFonts w:ascii="Arial" w:cs="Arial" w:eastAsia="Arial" w:hAnsi="Arial"/>
          <w:sz w:val="20"/>
          <w:szCs w:val="20"/>
          <w:color w:val="454546"/>
        </w:rPr>
      </w:pPr>
    </w:p>
    <w:p>
      <w:pPr>
        <w:jc w:val="both"/>
        <w:ind w:left="980" w:right="440" w:hanging="491"/>
        <w:spacing w:after="0" w:line="258"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81" w:lineRule="exact"/>
        <w:rPr>
          <w:rFonts w:ascii="Arial" w:cs="Arial" w:eastAsia="Arial" w:hAnsi="Arial"/>
          <w:sz w:val="20"/>
          <w:szCs w:val="20"/>
          <w:color w:val="454546"/>
        </w:rPr>
      </w:pPr>
    </w:p>
    <w:p>
      <w:pPr>
        <w:ind w:left="980" w:right="80" w:hanging="491"/>
        <w:spacing w:after="0" w:line="246"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3" w:lineRule="exact"/>
        <w:rPr>
          <w:rFonts w:ascii="Arial" w:cs="Arial" w:eastAsia="Arial" w:hAnsi="Arial"/>
          <w:sz w:val="20"/>
          <w:szCs w:val="20"/>
          <w:color w:val="454546"/>
        </w:rPr>
      </w:pPr>
    </w:p>
    <w:p>
      <w:pPr>
        <w:ind w:left="980" w:right="80" w:hanging="491"/>
        <w:spacing w:after="0" w:line="247"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62</w:t>
      </w:r>
    </w:p>
    <w:p>
      <w:pPr>
        <w:sectPr>
          <w:pgSz w:w="11880" w:h="15480" w:orient="portrait"/>
          <w:cols w:equalWidth="0" w:num="1">
            <w:col w:w="9360"/>
          </w:cols>
          <w:pgMar w:left="1260" w:top="1240" w:right="1260" w:bottom="0" w:gutter="0" w:footer="0" w:header="0"/>
          <w:type w:val="continuous"/>
        </w:sectPr>
      </w:pPr>
    </w:p>
    <w:bookmarkStart w:id="66" w:name="page67"/>
    <w:bookmarkEnd w:id="66"/>
    <w:p>
      <w:pPr>
        <w:ind w:left="980" w:right="100" w:hanging="491"/>
        <w:spacing w:after="0" w:line="276"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federal consumer protection and unfair competition laws, which broadly regulate marketplace activities and activities that potentially harm consumers;</w:t>
      </w:r>
    </w:p>
    <w:p>
      <w:pPr>
        <w:spacing w:after="0" w:line="64" w:lineRule="exact"/>
        <w:rPr>
          <w:rFonts w:ascii="Arial" w:cs="Arial" w:eastAsia="Arial" w:hAnsi="Arial"/>
          <w:sz w:val="20"/>
          <w:szCs w:val="20"/>
          <w:color w:val="454546"/>
        </w:rPr>
      </w:pPr>
    </w:p>
    <w:p>
      <w:pPr>
        <w:ind w:left="980" w:right="20" w:hanging="491"/>
        <w:spacing w:after="0" w:line="245"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95" w:lineRule="exact"/>
        <w:rPr>
          <w:rFonts w:ascii="Arial" w:cs="Arial" w:eastAsia="Arial" w:hAnsi="Arial"/>
          <w:sz w:val="20"/>
          <w:szCs w:val="20"/>
          <w:color w:val="454546"/>
        </w:rPr>
      </w:pPr>
    </w:p>
    <w:p>
      <w:pPr>
        <w:ind w:left="980" w:right="60" w:hanging="491"/>
        <w:spacing w:after="0" w:line="244"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63</w:t>
      </w:r>
    </w:p>
    <w:p>
      <w:pPr>
        <w:sectPr>
          <w:pgSz w:w="11880" w:h="15480" w:orient="portrait"/>
          <w:cols w:equalWidth="0" w:num="1">
            <w:col w:w="9360"/>
          </w:cols>
          <w:pgMar w:left="1260" w:top="1254" w:right="1260" w:bottom="0" w:gutter="0" w:footer="0" w:header="0"/>
          <w:type w:val="continuous"/>
        </w:sectPr>
      </w:pPr>
    </w:p>
    <w:bookmarkStart w:id="67" w:name="page68"/>
    <w:bookmarkEnd w:id="67"/>
    <w:p>
      <w:pPr>
        <w:ind w:right="100"/>
        <w:spacing w:after="0" w:line="246" w:lineRule="auto"/>
        <w:rPr>
          <w:sz w:val="20"/>
          <w:szCs w:val="20"/>
          <w:color w:val="auto"/>
        </w:rPr>
      </w:pPr>
      <w:r>
        <w:rPr>
          <w:rFonts w:ascii="Times New Roman" w:cs="Times New Roman" w:eastAsia="Times New Roman" w:hAnsi="Times New Roman"/>
          <w:sz w:val="20"/>
          <w:szCs w:val="20"/>
          <w:color w:val="454546"/>
        </w:rPr>
        <w:t>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fail to comply with environmental, health and safety laws and regulations, we could become subject to fines or penalties or incur costs that could have a material adverse effect on our business.</w:t>
      </w:r>
    </w:p>
    <w:p>
      <w:pPr>
        <w:spacing w:after="0" w:line="4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454546"/>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spacing w:after="0" w:line="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7"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454546"/>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64</w:t>
      </w:r>
    </w:p>
    <w:p>
      <w:pPr>
        <w:sectPr>
          <w:pgSz w:w="11880" w:h="15480" w:orient="portrait"/>
          <w:cols w:equalWidth="0" w:num="1">
            <w:col w:w="9340"/>
          </w:cols>
          <w:pgMar w:left="1260" w:top="1240" w:right="1280" w:bottom="0" w:gutter="0" w:footer="0" w:header="0"/>
          <w:type w:val="continuous"/>
        </w:sectPr>
      </w:pPr>
    </w:p>
    <w:bookmarkStart w:id="68" w:name="page69"/>
    <w:bookmarkEnd w:id="68"/>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03"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tax law could increase the tax burden on our orphan drug programs and adversely affect our business and financial condition.</w:t>
      </w:r>
    </w:p>
    <w:p>
      <w:pPr>
        <w:spacing w:after="0" w:line="49"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454546"/>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Employee Matters, Managing Our Growth and Other Risks Related to Our Business</w:t>
      </w:r>
    </w:p>
    <w:p>
      <w:pPr>
        <w:spacing w:after="0" w:line="124"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success is highly dependent on our ability to attract and retain highly skilled executive officers and employees.</w:t>
      </w:r>
    </w:p>
    <w:p>
      <w:pPr>
        <w:spacing w:after="0" w:line="4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65</w:t>
      </w:r>
    </w:p>
    <w:p>
      <w:pPr>
        <w:sectPr>
          <w:pgSz w:w="11880" w:h="15480" w:orient="portrait"/>
          <w:cols w:equalWidth="0" w:num="1">
            <w:col w:w="9320"/>
          </w:cols>
          <w:pgMar w:left="1260" w:top="1240" w:right="1300" w:bottom="0" w:gutter="0" w:footer="0" w:header="0"/>
          <w:type w:val="continuous"/>
        </w:sectPr>
      </w:pPr>
    </w:p>
    <w:bookmarkStart w:id="69" w:name="page70"/>
    <w:bookmarkEnd w:id="69"/>
    <w:p>
      <w:pPr>
        <w:ind w:right="680"/>
        <w:spacing w:after="0" w:line="277" w:lineRule="auto"/>
        <w:rPr>
          <w:sz w:val="20"/>
          <w:szCs w:val="20"/>
          <w:color w:val="auto"/>
        </w:rPr>
      </w:pPr>
      <w:r>
        <w:rPr>
          <w:rFonts w:ascii="Times New Roman" w:cs="Times New Roman" w:eastAsia="Times New Roman" w:hAnsi="Times New Roman"/>
          <w:sz w:val="20"/>
          <w:szCs w:val="20"/>
          <w:color w:val="454546"/>
        </w:rPr>
        <w:t>difficulty attracting and retaining experienced personnel and may be required to expend significant financial resources in our employee recruitment and retention efforts.</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8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06"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In order to successfully implement our long-term plans and strategies, we will need to grow the size of our organization, and we may experience difficulties in managing this growth.</w:t>
      </w:r>
    </w:p>
    <w:p>
      <w:pPr>
        <w:spacing w:after="0" w:line="4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In order to successfully implement our development and commercialization plans and strategies, we expect to need additional managerial, operational, sales, marketing, financial and other personnel in the future.</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9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454546"/>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business information (such as research data and personal information). Despite the implementation of security measures in an effort to protect systems that store our</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66</w:t>
      </w:r>
    </w:p>
    <w:p>
      <w:pPr>
        <w:sectPr>
          <w:pgSz w:w="11880" w:h="15480" w:orient="portrait"/>
          <w:cols w:equalWidth="0" w:num="1">
            <w:col w:w="9340"/>
          </w:cols>
          <w:pgMar w:left="1260" w:top="1240" w:right="1280" w:bottom="0" w:gutter="0" w:footer="0" w:header="0"/>
          <w:type w:val="continuous"/>
        </w:sectPr>
      </w:pPr>
    </w:p>
    <w:bookmarkStart w:id="70" w:name="page71"/>
    <w:bookmarkEnd w:id="70"/>
    <w:p>
      <w:pPr>
        <w:ind w:right="20"/>
        <w:spacing w:after="0" w:line="243" w:lineRule="auto"/>
        <w:rPr>
          <w:sz w:val="20"/>
          <w:szCs w:val="20"/>
          <w:color w:val="auto"/>
        </w:rPr>
      </w:pPr>
      <w:r>
        <w:rPr>
          <w:rFonts w:ascii="Times New Roman" w:cs="Times New Roman" w:eastAsia="Times New Roman" w:hAnsi="Times New Roman"/>
          <w:sz w:val="20"/>
          <w:szCs w:val="20"/>
          <w:color w:val="454546"/>
        </w:rPr>
        <w:t>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to date, we and our third-party service providers have frequently been the target of threats of this nature and we expect these threats and attacks to continue.</w:t>
      </w:r>
    </w:p>
    <w:p>
      <w:pPr>
        <w:spacing w:after="0" w:line="88"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454546"/>
        </w:rPr>
        <w:t>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w:t>
      </w:r>
    </w:p>
    <w:p>
      <w:pPr>
        <w:spacing w:after="0" w:line="9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13"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operations are vulnerable to interruption by fire, earthquakes, power loss, telecommunications failure, terrorist activity, pandemics and other events beyond our control, which could harm our business.</w:t>
      </w:r>
    </w:p>
    <w:p>
      <w:pPr>
        <w:spacing w:after="0" w:line="4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67</w:t>
      </w:r>
    </w:p>
    <w:p>
      <w:pPr>
        <w:sectPr>
          <w:pgSz w:w="11880" w:h="15480" w:orient="portrait"/>
          <w:cols w:equalWidth="0" w:num="1">
            <w:col w:w="9360"/>
          </w:cols>
          <w:pgMar w:left="1260" w:top="1240" w:right="1260" w:bottom="0" w:gutter="0" w:footer="0" w:header="0"/>
          <w:type w:val="continuous"/>
        </w:sectPr>
      </w:pPr>
    </w:p>
    <w:bookmarkStart w:id="71" w:name="page72"/>
    <w:bookmarkEnd w:id="71"/>
    <w:p>
      <w:pPr>
        <w:spacing w:after="0" w:line="247" w:lineRule="auto"/>
        <w:rPr>
          <w:sz w:val="20"/>
          <w:szCs w:val="20"/>
          <w:color w:val="auto"/>
        </w:rPr>
      </w:pPr>
      <w:r>
        <w:rPr>
          <w:rFonts w:ascii="Times New Roman" w:cs="Times New Roman" w:eastAsia="Times New Roman" w:hAnsi="Times New Roman"/>
          <w:sz w:val="20"/>
          <w:szCs w:val="20"/>
          <w:color w:val="454546"/>
        </w:rPr>
        <w:t>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 variety of risks associated with development and marketing our product candidates internationally, subject to regulatory approval in applicable jurisdictions, could materially adversely affect our business.</w:t>
      </w:r>
    </w:p>
    <w:p>
      <w:pPr>
        <w:spacing w:after="0" w:line="4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83" w:lineRule="exact"/>
        <w:rPr>
          <w:sz w:val="20"/>
          <w:szCs w:val="20"/>
          <w:color w:val="auto"/>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differing regulatory requirements and reimbursement regimes;</w:t>
      </w:r>
    </w:p>
    <w:p>
      <w:pPr>
        <w:spacing w:after="0" w:line="133" w:lineRule="exact"/>
        <w:rPr>
          <w:rFonts w:ascii="Arial" w:cs="Arial" w:eastAsia="Arial" w:hAnsi="Arial"/>
          <w:sz w:val="20"/>
          <w:szCs w:val="20"/>
          <w:color w:val="454546"/>
        </w:rPr>
      </w:pPr>
    </w:p>
    <w:p>
      <w:pPr>
        <w:ind w:left="980" w:right="880" w:hanging="491"/>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unexpected changes in tariffs, trade barriers, price and exchange controls and other regulatory requirements;</w:t>
      </w:r>
    </w:p>
    <w:p>
      <w:pPr>
        <w:spacing w:after="0" w:line="64" w:lineRule="exact"/>
        <w:rPr>
          <w:rFonts w:ascii="Arial" w:cs="Arial" w:eastAsia="Arial" w:hAnsi="Arial"/>
          <w:sz w:val="20"/>
          <w:szCs w:val="20"/>
          <w:color w:val="454546"/>
        </w:rPr>
      </w:pPr>
    </w:p>
    <w:p>
      <w:pPr>
        <w:ind w:left="980" w:right="480" w:hanging="491"/>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economic weakness, including inflation, or political instability in particular foreign economies and markets;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compliance with tax, employment, immigration and labor laws for employees living or traveling abroad;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foreign taxes, including withholding of payroll taxes;</w:t>
      </w:r>
    </w:p>
    <w:p>
      <w:pPr>
        <w:spacing w:after="0" w:line="133"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difficulties staffing and managing foreign operations;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workforce uncertainty in countries where labor unrest is more common than in the U.S.;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potential liability under the FCPA or comparable foreign regulations;</w:t>
      </w:r>
    </w:p>
    <w:p>
      <w:pPr>
        <w:spacing w:after="0" w:line="133" w:lineRule="exact"/>
        <w:rPr>
          <w:rFonts w:ascii="Arial" w:cs="Arial" w:eastAsia="Arial" w:hAnsi="Arial"/>
          <w:sz w:val="20"/>
          <w:szCs w:val="20"/>
          <w:color w:val="454546"/>
        </w:rPr>
      </w:pPr>
    </w:p>
    <w:p>
      <w:pPr>
        <w:ind w:left="980" w:right="80" w:hanging="491"/>
        <w:spacing w:after="0" w:line="258"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81" w:lineRule="exact"/>
        <w:rPr>
          <w:rFonts w:ascii="Arial" w:cs="Arial" w:eastAsia="Arial" w:hAnsi="Arial"/>
          <w:sz w:val="20"/>
          <w:szCs w:val="20"/>
          <w:color w:val="454546"/>
        </w:rPr>
      </w:pPr>
    </w:p>
    <w:p>
      <w:pPr>
        <w:ind w:left="980" w:right="780" w:hanging="491"/>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production shortages resulting from any events affecting raw material supply or manufacturing capabilities abroad; and</w:t>
      </w:r>
    </w:p>
    <w:p>
      <w:pPr>
        <w:spacing w:after="0" w:line="64" w:lineRule="exact"/>
        <w:rPr>
          <w:rFonts w:ascii="Arial" w:cs="Arial" w:eastAsia="Arial" w:hAnsi="Arial"/>
          <w:sz w:val="20"/>
          <w:szCs w:val="20"/>
          <w:color w:val="454546"/>
        </w:rPr>
      </w:pPr>
    </w:p>
    <w:p>
      <w:pPr>
        <w:ind w:left="980" w:right="580" w:hanging="491"/>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business interruptions resulting from geo-political actions, including war and terrorism, including effects of the Russia-Ukraine and Middle East conflicts.</w:t>
      </w:r>
    </w:p>
    <w:p>
      <w:pPr>
        <w:spacing w:after="0" w:line="5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These and other risks associated with our international operations may materially adversely affect our ability to attain or maintain profitable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Intellectual Property</w:t>
      </w:r>
    </w:p>
    <w:p>
      <w:pPr>
        <w:spacing w:after="0" w:line="12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7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68</w:t>
      </w:r>
    </w:p>
    <w:p>
      <w:pPr>
        <w:sectPr>
          <w:pgSz w:w="11880" w:h="15480" w:orient="portrait"/>
          <w:cols w:equalWidth="0" w:num="1">
            <w:col w:w="9360"/>
          </w:cols>
          <w:pgMar w:left="1260" w:top="1240" w:right="1260" w:bottom="0" w:gutter="0" w:footer="0" w:header="0"/>
          <w:type w:val="continuous"/>
        </w:sectPr>
      </w:pPr>
    </w:p>
    <w:bookmarkStart w:id="72" w:name="page73"/>
    <w:bookmarkEnd w:id="72"/>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7" w:lineRule="exact"/>
        <w:rPr>
          <w:sz w:val="20"/>
          <w:szCs w:val="20"/>
          <w:color w:val="auto"/>
        </w:rPr>
      </w:pPr>
    </w:p>
    <w:p>
      <w:pPr>
        <w:jc w:val="both"/>
        <w:ind w:right="20" w:firstLine="490"/>
        <w:spacing w:after="0" w:line="262" w:lineRule="auto"/>
        <w:rPr>
          <w:sz w:val="20"/>
          <w:szCs w:val="20"/>
          <w:color w:val="auto"/>
        </w:rPr>
      </w:pPr>
      <w:r>
        <w:rPr>
          <w:rFonts w:ascii="Times New Roman" w:cs="Times New Roman" w:eastAsia="Times New Roman" w:hAnsi="Times New Roman"/>
          <w:sz w:val="19"/>
          <w:szCs w:val="19"/>
          <w:color w:val="454546"/>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w:t>
      </w:r>
    </w:p>
    <w:p>
      <w:pPr>
        <w:spacing w:after="0" w:line="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454546"/>
        </w:rPr>
        <w:t>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6"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88" w:lineRule="exact"/>
        <w:rPr>
          <w:sz w:val="20"/>
          <w:szCs w:val="20"/>
          <w:color w:val="auto"/>
        </w:rPr>
      </w:pPr>
    </w:p>
    <w:p>
      <w:pPr>
        <w:ind w:left="980" w:right="120" w:hanging="491"/>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20"/>
          <w:szCs w:val="20"/>
          <w:color w:val="454546"/>
        </w:rPr>
      </w:pPr>
    </w:p>
    <w:p>
      <w:pPr>
        <w:ind w:left="980" w:hanging="491"/>
        <w:spacing w:after="0"/>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patent applications may not result in any patents being issued;</w:t>
      </w:r>
    </w:p>
    <w:p>
      <w:pPr>
        <w:spacing w:after="0" w:line="133"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patents may be challenged, invalidated, modified, revoked, circumvented, found to be unenforceable, narrowed in scope or otherwise may not provide any competitive advantage;</w:t>
      </w:r>
    </w:p>
    <w:p>
      <w:pPr>
        <w:spacing w:after="0" w:line="64" w:lineRule="exact"/>
        <w:rPr>
          <w:rFonts w:ascii="Arial" w:cs="Arial" w:eastAsia="Arial" w:hAnsi="Arial"/>
          <w:sz w:val="20"/>
          <w:szCs w:val="20"/>
          <w:color w:val="454546"/>
        </w:rPr>
      </w:pPr>
    </w:p>
    <w:p>
      <w:pPr>
        <w:ind w:left="980" w:right="140" w:hanging="491"/>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7" w:lineRule="exact"/>
        <w:rPr>
          <w:rFonts w:ascii="Arial" w:cs="Arial" w:eastAsia="Arial" w:hAnsi="Arial"/>
          <w:sz w:val="20"/>
          <w:szCs w:val="20"/>
          <w:color w:val="454546"/>
        </w:rPr>
      </w:pPr>
    </w:p>
    <w:p>
      <w:pPr>
        <w:jc w:val="both"/>
        <w:ind w:left="980" w:hanging="491"/>
        <w:spacing w:after="0" w:line="258"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Arial" w:cs="Arial" w:eastAsia="Arial" w:hAnsi="Arial"/>
          <w:sz w:val="20"/>
          <w:szCs w:val="20"/>
          <w:color w:val="454546"/>
        </w:rPr>
      </w:pPr>
    </w:p>
    <w:p>
      <w:pPr>
        <w:ind w:left="980" w:right="160" w:hanging="491"/>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73"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454546"/>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69</w:t>
      </w:r>
    </w:p>
    <w:p>
      <w:pPr>
        <w:sectPr>
          <w:pgSz w:w="11880" w:h="15480" w:orient="portrait"/>
          <w:cols w:equalWidth="0" w:num="1">
            <w:col w:w="9340"/>
          </w:cols>
          <w:pgMar w:left="1260" w:top="1240" w:right="1280" w:bottom="0" w:gutter="0" w:footer="0" w:header="0"/>
          <w:type w:val="continuous"/>
        </w:sectPr>
      </w:pPr>
    </w:p>
    <w:bookmarkStart w:id="73" w:name="page74"/>
    <w:bookmarkEnd w:id="73"/>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6"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454546"/>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21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commercial success depends significantly on our ability to operate without infringing, misappropriating or otherwise violating the patents and other intellectual property and proprietary rights of third parties.</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70</w:t>
      </w:r>
    </w:p>
    <w:p>
      <w:pPr>
        <w:sectPr>
          <w:pgSz w:w="11880" w:h="15480" w:orient="portrait"/>
          <w:cols w:equalWidth="0" w:num="1">
            <w:col w:w="9340"/>
          </w:cols>
          <w:pgMar w:left="1260" w:top="1240" w:right="1280" w:bottom="0" w:gutter="0" w:footer="0" w:header="0"/>
          <w:type w:val="continuous"/>
        </w:sectPr>
      </w:pPr>
    </w:p>
    <w:bookmarkStart w:id="74" w:name="page75"/>
    <w:bookmarkEnd w:id="74"/>
    <w:p>
      <w:pPr>
        <w:ind w:right="20"/>
        <w:spacing w:after="0" w:line="258" w:lineRule="auto"/>
        <w:rPr>
          <w:sz w:val="20"/>
          <w:szCs w:val="20"/>
          <w:color w:val="auto"/>
        </w:rPr>
      </w:pPr>
      <w:r>
        <w:rPr>
          <w:rFonts w:ascii="Times New Roman" w:cs="Times New Roman" w:eastAsia="Times New Roman" w:hAnsi="Times New Roman"/>
          <w:sz w:val="20"/>
          <w:szCs w:val="20"/>
          <w:color w:val="454546"/>
        </w:rPr>
        <w:t>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3"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454546"/>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6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454546"/>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spacing w:after="0" w:line="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71</w:t>
      </w:r>
    </w:p>
    <w:p>
      <w:pPr>
        <w:sectPr>
          <w:pgSz w:w="11880" w:h="15480" w:orient="portrait"/>
          <w:cols w:equalWidth="0" w:num="1">
            <w:col w:w="9360"/>
          </w:cols>
          <w:pgMar w:left="1260" w:top="1240" w:right="1260" w:bottom="0" w:gutter="0" w:footer="0" w:header="0"/>
          <w:type w:val="continuous"/>
        </w:sectPr>
      </w:pPr>
    </w:p>
    <w:bookmarkStart w:id="75" w:name="page76"/>
    <w:bookmarkEnd w:id="75"/>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8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6" w:lineRule="exact"/>
        <w:rPr>
          <w:sz w:val="20"/>
          <w:szCs w:val="20"/>
          <w:color w:val="auto"/>
        </w:rPr>
      </w:pPr>
    </w:p>
    <w:p>
      <w:pPr>
        <w:jc w:val="both"/>
        <w:ind w:right="80" w:firstLine="490"/>
        <w:spacing w:after="0" w:line="247" w:lineRule="auto"/>
        <w:rPr>
          <w:sz w:val="20"/>
          <w:szCs w:val="20"/>
          <w:color w:val="auto"/>
        </w:rPr>
      </w:pPr>
      <w:r>
        <w:rPr>
          <w:rFonts w:ascii="Times New Roman" w:cs="Times New Roman" w:eastAsia="Times New Roman" w:hAnsi="Times New Roman"/>
          <w:sz w:val="20"/>
          <w:szCs w:val="20"/>
          <w:color w:val="454546"/>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not be successful in obtaining or maintaining necessary rights to our product candidates through acquisitions and in-licenses.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72</w:t>
      </w:r>
    </w:p>
    <w:p>
      <w:pPr>
        <w:sectPr>
          <w:pgSz w:w="11880" w:h="15480" w:orient="portrait"/>
          <w:cols w:equalWidth="0" w:num="1">
            <w:col w:w="9340"/>
          </w:cols>
          <w:pgMar w:left="1260" w:top="1240" w:right="1280" w:bottom="0" w:gutter="0" w:footer="0" w:header="0"/>
          <w:type w:val="continuous"/>
        </w:sectPr>
      </w:pPr>
    </w:p>
    <w:bookmarkStart w:id="76" w:name="page77"/>
    <w:bookmarkEnd w:id="76"/>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U.S. patent law, or laws in other countries, could diminish the value of patents in general, thereby impairing our ability to protect our product candidates.</w:t>
      </w:r>
    </w:p>
    <w:p>
      <w:pPr>
        <w:spacing w:after="0" w:line="4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w:t>
      </w:r>
    </w:p>
    <w:p>
      <w:pPr>
        <w:spacing w:after="0" w:line="7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spacing w:after="0" w:line="20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be subject to claims challenging the inventorship or ownership of our owned patent applications or in-licensed patent rights and other intellectual property.</w:t>
      </w:r>
    </w:p>
    <w:p>
      <w:pPr>
        <w:spacing w:after="0" w:line="49" w:lineRule="exact"/>
        <w:rPr>
          <w:sz w:val="20"/>
          <w:szCs w:val="20"/>
          <w:color w:val="auto"/>
        </w:rPr>
      </w:pPr>
    </w:p>
    <w:p>
      <w:pPr>
        <w:ind w:right="140" w:firstLine="490"/>
        <w:spacing w:after="0" w:line="242" w:lineRule="auto"/>
        <w:rPr>
          <w:sz w:val="20"/>
          <w:szCs w:val="20"/>
          <w:color w:val="auto"/>
        </w:rPr>
      </w:pPr>
      <w:r>
        <w:rPr>
          <w:rFonts w:ascii="Times New Roman" w:cs="Times New Roman" w:eastAsia="Times New Roman" w:hAnsi="Times New Roman"/>
          <w:sz w:val="20"/>
          <w:szCs w:val="20"/>
          <w:color w:val="454546"/>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20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Patent terms may be inadequate to protect our competitive position on our product candidates for an adequate amount of time.</w:t>
      </w:r>
    </w:p>
    <w:p>
      <w:pPr>
        <w:spacing w:after="0" w:line="49" w:lineRule="exact"/>
        <w:rPr>
          <w:sz w:val="20"/>
          <w:szCs w:val="20"/>
          <w:color w:val="auto"/>
        </w:rPr>
      </w:pPr>
    </w:p>
    <w:p>
      <w:pPr>
        <w:jc w:val="both"/>
        <w:ind w:right="140" w:firstLine="490"/>
        <w:spacing w:after="0" w:line="270" w:lineRule="auto"/>
        <w:rPr>
          <w:sz w:val="20"/>
          <w:szCs w:val="20"/>
          <w:color w:val="auto"/>
        </w:rPr>
      </w:pPr>
      <w:r>
        <w:rPr>
          <w:rFonts w:ascii="Times New Roman" w:cs="Times New Roman" w:eastAsia="Times New Roman" w:hAnsi="Times New Roman"/>
          <w:sz w:val="19"/>
          <w:szCs w:val="19"/>
          <w:color w:val="454546"/>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73</w:t>
      </w:r>
    </w:p>
    <w:p>
      <w:pPr>
        <w:sectPr>
          <w:pgSz w:w="11880" w:h="15480" w:orient="portrait"/>
          <w:cols w:equalWidth="0" w:num="1">
            <w:col w:w="9360"/>
          </w:cols>
          <w:pgMar w:left="1260" w:top="1240" w:right="1260" w:bottom="0" w:gutter="0" w:footer="0" w:header="0"/>
          <w:type w:val="continuous"/>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20"/>
          <w:szCs w:val="20"/>
          <w:color w:val="454546"/>
        </w:rPr>
        <w:t>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If we do not obtain patent term extension for our product candidates, our business may be materially harmed.</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7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not be able to protect our intellectual property rights throughout the world.</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8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74</w:t>
      </w:r>
    </w:p>
    <w:p>
      <w:pPr>
        <w:sectPr>
          <w:pgSz w:w="11880" w:h="15480" w:orient="portrait"/>
          <w:cols w:equalWidth="0" w:num="1">
            <w:col w:w="9360"/>
          </w:cols>
          <w:pgMar w:left="1260" w:top="1240" w:right="1260" w:bottom="0" w:gutter="0" w:footer="0" w:header="0"/>
          <w:type w:val="continuous"/>
        </w:sectPr>
      </w:pPr>
    </w:p>
    <w:bookmarkStart w:id="78" w:name="page79"/>
    <w:bookmarkEnd w:id="78"/>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06"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20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protect the confidentiality of our trade secrets, our business and competitive position would be harmed.</w:t>
      </w:r>
    </w:p>
    <w:p>
      <w:pPr>
        <w:spacing w:after="0" w:line="4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454546"/>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75</w:t>
      </w:r>
    </w:p>
    <w:p>
      <w:pPr>
        <w:sectPr>
          <w:pgSz w:w="11880" w:h="15480" w:orient="portrait"/>
          <w:cols w:equalWidth="0" w:num="1">
            <w:col w:w="9360"/>
          </w:cols>
          <w:pgMar w:left="1260" w:top="1240" w:right="1260" w:bottom="0" w:gutter="0" w:footer="0" w:header="0"/>
          <w:type w:val="continuous"/>
        </w:sectPr>
      </w:pPr>
    </w:p>
    <w:bookmarkStart w:id="79" w:name="page80"/>
    <w:bookmarkEnd w:id="79"/>
    <w:p>
      <w:pPr>
        <w:ind w:right="60"/>
        <w:spacing w:after="0" w:line="243" w:lineRule="auto"/>
        <w:rPr>
          <w:sz w:val="20"/>
          <w:szCs w:val="20"/>
          <w:color w:val="auto"/>
        </w:rPr>
      </w:pPr>
      <w:r>
        <w:rPr>
          <w:rFonts w:ascii="Times New Roman" w:cs="Times New Roman" w:eastAsia="Times New Roman" w:hAnsi="Times New Roman"/>
          <w:sz w:val="20"/>
          <w:szCs w:val="20"/>
          <w:color w:val="454546"/>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20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be subject to claims that we or our employees, consultants, advisors or contractors have wrongfully used or disclosed alleged confidential information or trade secrets.</w:t>
      </w:r>
    </w:p>
    <w:p>
      <w:pPr>
        <w:spacing w:after="0" w:line="4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7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76</w:t>
      </w:r>
    </w:p>
    <w:p>
      <w:pPr>
        <w:sectPr>
          <w:pgSz w:w="11880" w:h="15480" w:orient="portrait"/>
          <w:cols w:equalWidth="0" w:num="1">
            <w:col w:w="9360"/>
          </w:cols>
          <w:pgMar w:left="1260" w:top="1240" w:right="1260" w:bottom="0" w:gutter="0" w:footer="0" w:header="0"/>
          <w:type w:val="continuous"/>
        </w:sectPr>
      </w:pPr>
    </w:p>
    <w:bookmarkStart w:id="80" w:name="page81"/>
    <w:bookmarkEnd w:id="80"/>
    <w:p>
      <w:pPr>
        <w:ind w:firstLine="490"/>
        <w:spacing w:after="0" w:line="245" w:lineRule="auto"/>
        <w:rPr>
          <w:sz w:val="20"/>
          <w:szCs w:val="20"/>
          <w:color w:val="auto"/>
        </w:rPr>
      </w:pPr>
      <w:r>
        <w:rPr>
          <w:rFonts w:ascii="Times New Roman" w:cs="Times New Roman" w:eastAsia="Times New Roman" w:hAnsi="Times New Roman"/>
          <w:sz w:val="20"/>
          <w:szCs w:val="20"/>
          <w:color w:val="454546"/>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8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For example, the intellectual property we license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77</w:t>
      </w:r>
    </w:p>
    <w:p>
      <w:pPr>
        <w:sectPr>
          <w:pgSz w:w="11880" w:h="15480" w:orient="portrait"/>
          <w:cols w:equalWidth="0" w:num="1">
            <w:col w:w="9360"/>
          </w:cols>
          <w:pgMar w:left="1260" w:top="1240" w:right="1260" w:bottom="0" w:gutter="0" w:footer="0" w:header="0"/>
          <w:type w:val="continuous"/>
        </w:sectPr>
      </w:pPr>
    </w:p>
    <w:bookmarkStart w:id="81" w:name="page82"/>
    <w:bookmarkEnd w:id="81"/>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19"/>
          <w:szCs w:val="19"/>
          <w:color w:val="454546"/>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Dependence on Third Parties</w:t>
      </w:r>
    </w:p>
    <w:p>
      <w:pPr>
        <w:spacing w:after="0" w:line="12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74"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19"/>
          <w:szCs w:val="19"/>
          <w:color w:val="454546"/>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78</w:t>
      </w:r>
    </w:p>
    <w:p>
      <w:pPr>
        <w:sectPr>
          <w:pgSz w:w="11880" w:h="15480" w:orient="portrait"/>
          <w:cols w:equalWidth="0" w:num="1">
            <w:col w:w="9360"/>
          </w:cols>
          <w:pgMar w:left="1260" w:top="1240" w:right="1260" w:bottom="0" w:gutter="0" w:footer="0" w:header="0"/>
          <w:type w:val="continuous"/>
        </w:sectPr>
      </w:pPr>
    </w:p>
    <w:bookmarkStart w:id="82" w:name="page83"/>
    <w:bookmarkEnd w:id="82"/>
    <w:p>
      <w:pPr>
        <w:ind w:right="300"/>
        <w:spacing w:after="0" w:line="277" w:lineRule="auto"/>
        <w:rPr>
          <w:sz w:val="20"/>
          <w:szCs w:val="20"/>
          <w:color w:val="auto"/>
        </w:rPr>
      </w:pPr>
      <w:r>
        <w:rPr>
          <w:rFonts w:ascii="Times New Roman" w:cs="Times New Roman" w:eastAsia="Times New Roman" w:hAnsi="Times New Roman"/>
          <w:sz w:val="20"/>
          <w:szCs w:val="20"/>
          <w:color w:val="454546"/>
        </w:rPr>
        <w:t>development activities, increase costs, and materially impact our ability to meet our desired clinical development timelines.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93"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454546"/>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spacing w:after="0" w:line="6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82"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We may be unable to maintain or establish required agreements with third-party manufacturers on acceptable terms. Even if we are able to do so, reliance on third-party manufacturers entails additional risks, including:</w:t>
      </w:r>
    </w:p>
    <w:p>
      <w:pPr>
        <w:spacing w:after="0" w:line="63" w:lineRule="exact"/>
        <w:rPr>
          <w:sz w:val="20"/>
          <w:szCs w:val="20"/>
          <w:color w:val="auto"/>
        </w:rPr>
      </w:pPr>
    </w:p>
    <w:p>
      <w:pPr>
        <w:ind w:left="980" w:right="220" w:hanging="491"/>
        <w:spacing w:after="0" w:line="252"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7" w:lineRule="exact"/>
        <w:rPr>
          <w:rFonts w:ascii="Arial" w:cs="Arial" w:eastAsia="Arial" w:hAnsi="Arial"/>
          <w:sz w:val="20"/>
          <w:szCs w:val="20"/>
          <w:color w:val="454546"/>
        </w:rPr>
      </w:pPr>
    </w:p>
    <w:p>
      <w:pPr>
        <w:ind w:left="980" w:right="280" w:hanging="491"/>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termination or nonrenewal of arrangements or agreements by our third-party contractors at a time that is costly or inconvenient for us;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breach by the third-party contractors of our agreements with them;</w:t>
      </w:r>
    </w:p>
    <w:p>
      <w:pPr>
        <w:spacing w:after="0" w:line="133" w:lineRule="exact"/>
        <w:rPr>
          <w:rFonts w:ascii="Arial" w:cs="Arial" w:eastAsia="Arial" w:hAnsi="Arial"/>
          <w:sz w:val="20"/>
          <w:szCs w:val="20"/>
          <w:color w:val="454546"/>
        </w:rPr>
      </w:pPr>
    </w:p>
    <w:p>
      <w:pPr>
        <w:ind w:left="980" w:right="1000" w:hanging="491"/>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failure of third-party contractors to manufacture our product candidates according to our specifications or comply with applicable regulatory requirements, including cGMP;</w:t>
      </w:r>
    </w:p>
    <w:p>
      <w:pPr>
        <w:spacing w:after="0" w:line="64" w:lineRule="exact"/>
        <w:rPr>
          <w:rFonts w:ascii="Arial" w:cs="Arial" w:eastAsia="Arial" w:hAnsi="Arial"/>
          <w:sz w:val="20"/>
          <w:szCs w:val="20"/>
          <w:color w:val="454546"/>
        </w:rPr>
      </w:pPr>
    </w:p>
    <w:p>
      <w:pPr>
        <w:ind w:left="980" w:right="220" w:hanging="491"/>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mislabeling of clinical supplies, potentially resulting in the wrong dose amounts being supplied or active drug or placebo not being properly identified;</w:t>
      </w:r>
    </w:p>
    <w:p>
      <w:pPr>
        <w:spacing w:after="0" w:line="64" w:lineRule="exact"/>
        <w:rPr>
          <w:rFonts w:ascii="Arial" w:cs="Arial" w:eastAsia="Arial" w:hAnsi="Arial"/>
          <w:sz w:val="20"/>
          <w:szCs w:val="20"/>
          <w:color w:val="454546"/>
        </w:rPr>
      </w:pPr>
    </w:p>
    <w:p>
      <w:pPr>
        <w:ind w:left="980" w:right="100" w:hanging="491"/>
        <w:spacing w:after="0" w:line="258"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clinical supplies not being delivered to clinical sites on time, leading to clinical trial interruptions, or of drug supplies not being distributed to commercial vendors in a timely manner, resulting in lost sales; and</w:t>
      </w:r>
    </w:p>
    <w:p>
      <w:pPr>
        <w:spacing w:after="0" w:line="81" w:lineRule="exact"/>
        <w:rPr>
          <w:rFonts w:ascii="Arial" w:cs="Arial" w:eastAsia="Arial" w:hAnsi="Arial"/>
          <w:sz w:val="20"/>
          <w:szCs w:val="20"/>
          <w:color w:val="454546"/>
        </w:rPr>
      </w:pPr>
    </w:p>
    <w:p>
      <w:pPr>
        <w:ind w:left="980" w:right="780" w:hanging="491"/>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infringement, misappropriation or other violation of our intellectual property or proprietary information.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79</w:t>
      </w:r>
    </w:p>
    <w:p>
      <w:pPr>
        <w:sectPr>
          <w:pgSz w:w="11880" w:h="15480" w:orient="portrait"/>
          <w:cols w:equalWidth="0" w:num="1">
            <w:col w:w="9340"/>
          </w:cols>
          <w:pgMar w:left="1260" w:top="1240" w:right="1280" w:bottom="0" w:gutter="0" w:footer="0" w:header="0"/>
          <w:type w:val="continuous"/>
        </w:sectPr>
      </w:pPr>
    </w:p>
    <w:bookmarkStart w:id="83" w:name="page84"/>
    <w:bookmarkEnd w:id="83"/>
    <w:p>
      <w:pPr>
        <w:ind w:firstLine="490"/>
        <w:spacing w:after="0" w:line="245" w:lineRule="auto"/>
        <w:rPr>
          <w:sz w:val="20"/>
          <w:szCs w:val="20"/>
          <w:color w:val="auto"/>
        </w:rPr>
      </w:pPr>
      <w:r>
        <w:rPr>
          <w:rFonts w:ascii="Times New Roman" w:cs="Times New Roman" w:eastAsia="Times New Roman" w:hAnsi="Times New Roman"/>
          <w:sz w:val="20"/>
          <w:szCs w:val="20"/>
          <w:color w:val="454546"/>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8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6"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Our dependence upon others for the manufacture of our product candidates may adversely affect our future profit margins and our ability to commercialize any product candidates that receive marketing approval on a timely and competitive basis.</w:t>
      </w:r>
    </w:p>
    <w:p>
      <w:pPr>
        <w:spacing w:after="0" w:line="18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jc w:val="both"/>
        <w:ind w:right="700" w:firstLine="490"/>
        <w:spacing w:after="0" w:line="258" w:lineRule="auto"/>
        <w:rPr>
          <w:sz w:val="20"/>
          <w:szCs w:val="20"/>
          <w:color w:val="auto"/>
        </w:rPr>
      </w:pPr>
      <w:r>
        <w:rPr>
          <w:rFonts w:ascii="Times New Roman" w:cs="Times New Roman" w:eastAsia="Times New Roman" w:hAnsi="Times New Roman"/>
          <w:sz w:val="20"/>
          <w:szCs w:val="20"/>
          <w:color w:val="454546"/>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83" w:lineRule="exact"/>
        <w:rPr>
          <w:sz w:val="20"/>
          <w:szCs w:val="20"/>
          <w:color w:val="auto"/>
        </w:rPr>
      </w:pPr>
    </w:p>
    <w:p>
      <w:pPr>
        <w:ind w:left="980" w:hanging="491"/>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increased operating expenses and cash requirements;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assumption of additional indebtedness or contingent liabilities;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issuance of our equity securities;</w:t>
      </w:r>
    </w:p>
    <w:p>
      <w:pPr>
        <w:spacing w:after="0" w:line="133" w:lineRule="exact"/>
        <w:rPr>
          <w:rFonts w:ascii="Arial" w:cs="Arial" w:eastAsia="Arial" w:hAnsi="Arial"/>
          <w:sz w:val="20"/>
          <w:szCs w:val="20"/>
          <w:color w:val="454546"/>
        </w:rPr>
      </w:pPr>
    </w:p>
    <w:p>
      <w:pPr>
        <w:ind w:left="980" w:right="680" w:hanging="491"/>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assimilation of operations, intellectual property and products of an acquired company, including difficulties associated with integrating new personnel;</w:t>
      </w:r>
    </w:p>
    <w:p>
      <w:pPr>
        <w:spacing w:after="0" w:line="64" w:lineRule="exact"/>
        <w:rPr>
          <w:rFonts w:ascii="Arial" w:cs="Arial" w:eastAsia="Arial" w:hAnsi="Arial"/>
          <w:sz w:val="20"/>
          <w:szCs w:val="20"/>
          <w:color w:val="454546"/>
        </w:rPr>
      </w:pPr>
    </w:p>
    <w:p>
      <w:pPr>
        <w:ind w:left="980" w:right="40" w:hanging="491"/>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diversion of our management’s attention from our existing programs and initiatives in pursuing such a strategic partnership or acquisition;</w:t>
      </w:r>
    </w:p>
    <w:p>
      <w:pPr>
        <w:spacing w:after="0" w:line="64"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unauthorized use or disclosure of our confidential information accessed in connection with partnership activities;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loss of key personnel and uncertainties in our ability to maintain key business relationships;</w:t>
      </w:r>
    </w:p>
    <w:p>
      <w:pPr>
        <w:spacing w:after="0" w:line="133"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risks and uncertainties associated with the other party to such a transaction, including the prospects of that party and their existing products or product candidates and marketing approvals;</w:t>
      </w:r>
    </w:p>
    <w:p>
      <w:pPr>
        <w:spacing w:after="0" w:line="64" w:lineRule="exact"/>
        <w:rPr>
          <w:rFonts w:ascii="Arial" w:cs="Arial" w:eastAsia="Arial" w:hAnsi="Arial"/>
          <w:sz w:val="20"/>
          <w:szCs w:val="20"/>
          <w:color w:val="454546"/>
        </w:rPr>
      </w:pPr>
    </w:p>
    <w:p>
      <w:pPr>
        <w:ind w:left="980" w:right="280" w:hanging="491"/>
        <w:spacing w:after="0" w:line="258"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inability to generate revenue from acquired technology and/or products sufficient to meet our objectives in undertaking the acquisition or even to offset the associated acquisition and maintenance costs; and</w:t>
      </w:r>
    </w:p>
    <w:p>
      <w:pPr>
        <w:spacing w:after="0" w:line="81" w:lineRule="exact"/>
        <w:rPr>
          <w:rFonts w:ascii="Arial" w:cs="Arial" w:eastAsia="Arial" w:hAnsi="Arial"/>
          <w:sz w:val="20"/>
          <w:szCs w:val="20"/>
          <w:color w:val="454546"/>
        </w:rPr>
      </w:pPr>
    </w:p>
    <w:p>
      <w:pPr>
        <w:ind w:left="980" w:right="160" w:hanging="491"/>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inability to realize anticipated efficiencies and strategic benefits from such acquisitions or strategic partnerships.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80</w:t>
      </w:r>
    </w:p>
    <w:p>
      <w:pPr>
        <w:sectPr>
          <w:pgSz w:w="11880" w:h="15480" w:orient="portrait"/>
          <w:cols w:equalWidth="0" w:num="1">
            <w:col w:w="9360"/>
          </w:cols>
          <w:pgMar w:left="1260" w:top="1240" w:right="1260" w:bottom="0" w:gutter="0" w:footer="0" w:header="0"/>
          <w:type w:val="continuous"/>
        </w:sectPr>
      </w:pPr>
    </w:p>
    <w:bookmarkStart w:id="84" w:name="page85"/>
    <w:bookmarkEnd w:id="84"/>
    <w:p>
      <w:pPr>
        <w:ind w:right="80" w:firstLine="490"/>
        <w:spacing w:after="0" w:line="258" w:lineRule="auto"/>
        <w:rPr>
          <w:sz w:val="20"/>
          <w:szCs w:val="20"/>
          <w:color w:val="auto"/>
        </w:rPr>
      </w:pPr>
      <w:r>
        <w:rPr>
          <w:rFonts w:ascii="Times New Roman" w:cs="Times New Roman" w:eastAsia="Times New Roman" w:hAnsi="Times New Roman"/>
          <w:sz w:val="20"/>
          <w:szCs w:val="20"/>
          <w:color w:val="454546"/>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88" w:lineRule="exact"/>
        <w:rPr>
          <w:sz w:val="20"/>
          <w:szCs w:val="20"/>
          <w:color w:val="auto"/>
        </w:rPr>
      </w:pPr>
    </w:p>
    <w:p>
      <w:pPr>
        <w:jc w:val="both"/>
        <w:ind w:right="60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454546"/>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91" w:lineRule="exact"/>
        <w:rPr>
          <w:sz w:val="20"/>
          <w:szCs w:val="20"/>
          <w:color w:val="auto"/>
        </w:rPr>
      </w:pPr>
    </w:p>
    <w:p>
      <w:pPr>
        <w:jc w:val="both"/>
        <w:ind w:left="980" w:hanging="491"/>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81" w:lineRule="exact"/>
        <w:rPr>
          <w:rFonts w:ascii="Arial" w:cs="Arial" w:eastAsia="Arial" w:hAnsi="Arial"/>
          <w:sz w:val="20"/>
          <w:szCs w:val="20"/>
          <w:color w:val="454546"/>
        </w:rPr>
      </w:pPr>
    </w:p>
    <w:p>
      <w:pPr>
        <w:ind w:left="980" w:right="100" w:hanging="491"/>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relationship may require us to incur non-recurring and other charges, increase our near- and long-term expenditures, issue securities that dilute our existing stockholders, or disrupt our management and business;</w:t>
      </w:r>
    </w:p>
    <w:p>
      <w:pPr>
        <w:spacing w:after="0" w:line="81" w:lineRule="exact"/>
        <w:rPr>
          <w:rFonts w:ascii="Arial" w:cs="Arial" w:eastAsia="Arial" w:hAnsi="Arial"/>
          <w:sz w:val="20"/>
          <w:szCs w:val="20"/>
          <w:color w:val="454546"/>
        </w:rPr>
      </w:pPr>
    </w:p>
    <w:p>
      <w:pPr>
        <w:ind w:left="980" w:right="80" w:hanging="491"/>
        <w:spacing w:after="0" w:line="249"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0" w:lineRule="exact"/>
        <w:rPr>
          <w:rFonts w:ascii="Arial" w:cs="Arial" w:eastAsia="Arial" w:hAnsi="Arial"/>
          <w:sz w:val="20"/>
          <w:szCs w:val="20"/>
          <w:color w:val="454546"/>
        </w:rPr>
      </w:pPr>
    </w:p>
    <w:p>
      <w:pPr>
        <w:ind w:left="980" w:right="280" w:hanging="491"/>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454546"/>
        </w:rPr>
      </w:pPr>
    </w:p>
    <w:p>
      <w:pPr>
        <w:ind w:left="980" w:right="60" w:hanging="491"/>
        <w:spacing w:after="0" w:line="252"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7" w:lineRule="exact"/>
        <w:rPr>
          <w:rFonts w:ascii="Arial" w:cs="Arial" w:eastAsia="Arial" w:hAnsi="Arial"/>
          <w:sz w:val="20"/>
          <w:szCs w:val="20"/>
          <w:color w:val="454546"/>
        </w:rPr>
      </w:pPr>
    </w:p>
    <w:p>
      <w:pPr>
        <w:ind w:left="980" w:right="340" w:hanging="491"/>
        <w:spacing w:after="0" w:line="276"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a collaborator with marketing and distribution rights to multiple products may not commit sufficient resources to the marketing and distribution of our product relative to other products;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we may grant exclusive rights to our collaborators that would prevent us from collaborating with others;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81</w:t>
      </w:r>
    </w:p>
    <w:p>
      <w:pPr>
        <w:sectPr>
          <w:pgSz w:w="11880" w:h="15480" w:orient="portrait"/>
          <w:cols w:equalWidth="0" w:num="1">
            <w:col w:w="9340"/>
          </w:cols>
          <w:pgMar w:left="1260" w:top="1240" w:right="1280" w:bottom="0" w:gutter="0" w:footer="0" w:header="0"/>
          <w:type w:val="continuous"/>
        </w:sectPr>
      </w:pPr>
    </w:p>
    <w:bookmarkStart w:id="85" w:name="page86"/>
    <w:bookmarkEnd w:id="85"/>
    <w:p>
      <w:pPr>
        <w:ind w:left="980" w:right="80" w:hanging="491"/>
        <w:spacing w:after="0" w:line="249"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0" w:lineRule="exact"/>
        <w:rPr>
          <w:rFonts w:ascii="Arial" w:cs="Arial" w:eastAsia="Arial" w:hAnsi="Arial"/>
          <w:sz w:val="20"/>
          <w:szCs w:val="20"/>
          <w:color w:val="454546"/>
        </w:rPr>
      </w:pPr>
    </w:p>
    <w:p>
      <w:pPr>
        <w:ind w:left="980" w:right="160" w:hanging="491"/>
        <w:spacing w:after="0" w:line="258"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0"/>
          <w:szCs w:val="20"/>
          <w:color w:val="454546"/>
        </w:rPr>
      </w:pPr>
    </w:p>
    <w:p>
      <w:pPr>
        <w:ind w:left="980" w:hanging="491"/>
        <w:spacing w:after="0" w:line="276"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collaborations may be terminated and, if terminated, may result in a need for additional capital to pursue further development or commercialization of the applicable product candidates;</w:t>
      </w:r>
    </w:p>
    <w:p>
      <w:pPr>
        <w:spacing w:after="0" w:line="64"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collaboration agreements may not lead to development or commercialization of product candidates in the most efficient manner or at all;</w:t>
      </w:r>
    </w:p>
    <w:p>
      <w:pPr>
        <w:spacing w:after="0" w:line="64" w:lineRule="exact"/>
        <w:rPr>
          <w:rFonts w:ascii="Arial" w:cs="Arial" w:eastAsia="Arial" w:hAnsi="Arial"/>
          <w:sz w:val="20"/>
          <w:szCs w:val="20"/>
          <w:color w:val="454546"/>
        </w:rPr>
      </w:pPr>
    </w:p>
    <w:p>
      <w:pPr>
        <w:ind w:left="980" w:right="20" w:hanging="491"/>
        <w:spacing w:after="0" w:line="252"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7" w:lineRule="exact"/>
        <w:rPr>
          <w:rFonts w:ascii="Arial" w:cs="Arial" w:eastAsia="Arial" w:hAnsi="Arial"/>
          <w:sz w:val="20"/>
          <w:szCs w:val="20"/>
          <w:color w:val="454546"/>
        </w:rPr>
      </w:pPr>
    </w:p>
    <w:p>
      <w:pPr>
        <w:ind w:left="980" w:right="520" w:hanging="491"/>
        <w:spacing w:after="0" w:line="258"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1" w:lineRule="exact"/>
        <w:rPr>
          <w:rFonts w:ascii="Arial" w:cs="Arial" w:eastAsia="Arial" w:hAnsi="Arial"/>
          <w:sz w:val="20"/>
          <w:szCs w:val="20"/>
          <w:color w:val="454546"/>
        </w:rPr>
      </w:pPr>
    </w:p>
    <w:p>
      <w:pPr>
        <w:ind w:left="980" w:right="620" w:hanging="491"/>
        <w:spacing w:after="0" w:line="276"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a collaborator’s sales and marketing activities or other operations may not be in compliance with applicable laws resulting in civil or criminal proceedings.</w:t>
      </w:r>
    </w:p>
    <w:p>
      <w:pPr>
        <w:spacing w:after="0" w:line="5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0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68"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7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ectPr>
          <w:pgSz w:w="11880" w:h="15480" w:orient="portrait"/>
          <w:cols w:equalWidth="0" w:num="1">
            <w:col w:w="9340"/>
          </w:cols>
          <w:pgMar w:left="1260" w:top="125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82</w:t>
      </w:r>
    </w:p>
    <w:p>
      <w:pPr>
        <w:sectPr>
          <w:pgSz w:w="11880" w:h="15480" w:orient="portrait"/>
          <w:cols w:equalWidth="0" w:num="1">
            <w:col w:w="9340"/>
          </w:cols>
          <w:pgMar w:left="1260" w:top="1254" w:right="1280" w:bottom="0" w:gutter="0" w:footer="0" w:header="0"/>
          <w:type w:val="continuous"/>
        </w:sectPr>
      </w:pPr>
    </w:p>
    <w:bookmarkStart w:id="86" w:name="page87"/>
    <w:bookmarkEnd w:id="86"/>
    <w:p>
      <w:pPr>
        <w:ind w:right="2580"/>
        <w:spacing w:after="0" w:line="386" w:lineRule="auto"/>
        <w:rPr>
          <w:sz w:val="20"/>
          <w:szCs w:val="20"/>
          <w:color w:val="auto"/>
        </w:rPr>
      </w:pPr>
      <w:r>
        <w:rPr>
          <w:rFonts w:ascii="Times New Roman" w:cs="Times New Roman" w:eastAsia="Times New Roman" w:hAnsi="Times New Roman"/>
          <w:sz w:val="19"/>
          <w:szCs w:val="19"/>
          <w:b w:val="1"/>
          <w:bCs w:val="1"/>
          <w:color w:val="454546"/>
        </w:rPr>
        <w:t xml:space="preserve">Risks Related to the Securities Market and Ownership of Our Common Stock </w:t>
      </w:r>
      <w:r>
        <w:rPr>
          <w:rFonts w:ascii="Times New Roman" w:cs="Times New Roman" w:eastAsia="Times New Roman" w:hAnsi="Times New Roman"/>
          <w:sz w:val="19"/>
          <w:szCs w:val="19"/>
          <w:b w:val="1"/>
          <w:bCs w:val="1"/>
          <w:i w:val="1"/>
          <w:iCs w:val="1"/>
          <w:color w:val="454546"/>
        </w:rPr>
        <w:t>The price of our stock is volatile, and you could lose all or part of your investment.</w:t>
      </w:r>
    </w:p>
    <w:p>
      <w:pPr>
        <w:spacing w:after="0" w:line="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94" w:lineRule="exact"/>
        <w:rPr>
          <w:sz w:val="20"/>
          <w:szCs w:val="20"/>
          <w:color w:val="auto"/>
        </w:rPr>
      </w:pPr>
    </w:p>
    <w:p>
      <w:pPr>
        <w:ind w:left="980" w:right="46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of achievement of our research, clinical, regulatory and other milestones for our product candidates;</w:t>
      </w:r>
    </w:p>
    <w:p>
      <w:pPr>
        <w:spacing w:after="0" w:line="64"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results of preclinical studies and clinical trials of our product candidates, those conducted by third parties or those of our competitors;</w:t>
      </w:r>
    </w:p>
    <w:p>
      <w:pPr>
        <w:spacing w:after="0" w:line="64" w:lineRule="exact"/>
        <w:rPr>
          <w:rFonts w:ascii="Arial" w:cs="Arial" w:eastAsia="Arial" w:hAnsi="Arial"/>
          <w:sz w:val="20"/>
          <w:szCs w:val="20"/>
          <w:color w:val="454546"/>
        </w:rPr>
      </w:pPr>
    </w:p>
    <w:p>
      <w:pPr>
        <w:ind w:left="980" w:right="74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success of competitive products or announcements by potential competitors of their product development efforts;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regulatory actions with respect to our product candidates or those of our competitors;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actual or anticipated changes in our growth rate relative to our competitors;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regulatory or legal developments in the U.S. and other countries;</w:t>
      </w:r>
    </w:p>
    <w:p>
      <w:pPr>
        <w:spacing w:after="0" w:line="133" w:lineRule="exact"/>
        <w:rPr>
          <w:rFonts w:ascii="Arial" w:cs="Arial" w:eastAsia="Arial" w:hAnsi="Arial"/>
          <w:sz w:val="20"/>
          <w:szCs w:val="20"/>
          <w:color w:val="454546"/>
        </w:rPr>
      </w:pPr>
    </w:p>
    <w:p>
      <w:pPr>
        <w:ind w:left="980" w:right="34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litigation, including developments or disputes concerning patent applications, issued patents or other intellectual property or proprietary rights;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recruitment or departure of key personnel;</w:t>
      </w:r>
    </w:p>
    <w:p>
      <w:pPr>
        <w:spacing w:after="0" w:line="133" w:lineRule="exact"/>
        <w:rPr>
          <w:rFonts w:ascii="Arial" w:cs="Arial" w:eastAsia="Arial" w:hAnsi="Arial"/>
          <w:sz w:val="20"/>
          <w:szCs w:val="20"/>
          <w:color w:val="454546"/>
        </w:rPr>
      </w:pPr>
    </w:p>
    <w:p>
      <w:pPr>
        <w:ind w:left="980" w:right="58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announcements by us or our competitors of significant acquisitions, strategic collaborations, joint ventures, collaborations or capital commitments;</w:t>
      </w:r>
    </w:p>
    <w:p>
      <w:pPr>
        <w:spacing w:after="0" w:line="64" w:lineRule="exact"/>
        <w:rPr>
          <w:rFonts w:ascii="Arial" w:cs="Arial" w:eastAsia="Arial" w:hAnsi="Arial"/>
          <w:sz w:val="20"/>
          <w:szCs w:val="20"/>
          <w:color w:val="454546"/>
        </w:rPr>
      </w:pPr>
    </w:p>
    <w:p>
      <w:pPr>
        <w:ind w:left="980" w:right="420" w:hanging="491"/>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actual or anticipated changes in estimates as to financial results, development timelines or coverage and/or recommendations by securities analysts;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the valuation of companies perceived by investors to be comparable to us;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market conditions in the pharmaceutical and biotechnology sector;</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the structure of healthcare payment systems;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share price and volume fluctuations attributable to inconsistent trading volume levels of our shares;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announcement or expectation of additional financing efforts;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sales of our common stock by us, our insiders or our other stockholders;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expiration of market stand-off or lock-up agreements;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any natural disasters or public health emergencies, such as the COVID-19 pandemic;</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interest rates and inflation rates;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general economic, political, industry and market conditions.</w:t>
      </w:r>
    </w:p>
    <w:p>
      <w:pPr>
        <w:spacing w:after="0" w:line="110" w:lineRule="exact"/>
        <w:rPr>
          <w:sz w:val="20"/>
          <w:szCs w:val="20"/>
          <w:color w:val="auto"/>
        </w:rPr>
      </w:pPr>
    </w:p>
    <w:p>
      <w:pPr>
        <w:ind w:right="280" w:firstLine="490"/>
        <w:spacing w:after="0" w:line="292" w:lineRule="auto"/>
        <w:rPr>
          <w:sz w:val="20"/>
          <w:szCs w:val="20"/>
          <w:color w:val="auto"/>
        </w:rPr>
      </w:pPr>
      <w:r>
        <w:rPr>
          <w:rFonts w:ascii="Times New Roman" w:cs="Times New Roman" w:eastAsia="Times New Roman" w:hAnsi="Times New Roman"/>
          <w:sz w:val="19"/>
          <w:szCs w:val="19"/>
          <w:color w:val="454546"/>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20"/>
          <w:szCs w:val="20"/>
          <w:b w:val="1"/>
          <w:bCs w:val="1"/>
          <w:i w:val="1"/>
          <w:iCs w:val="1"/>
          <w:color w:val="454546"/>
        </w:rPr>
        <w:t>Our operating results may fluctuate significantly, which makes our future operating results difficult to predict and could cause our operating results to fall below expectations or our guidance.</w:t>
      </w:r>
    </w:p>
    <w:p>
      <w:pPr>
        <w:spacing w:after="0" w:line="58" w:lineRule="exact"/>
        <w:rPr>
          <w:sz w:val="20"/>
          <w:szCs w:val="20"/>
          <w:color w:val="auto"/>
        </w:rPr>
      </w:pPr>
    </w:p>
    <w:p>
      <w:pPr>
        <w:ind w:right="300" w:firstLine="490"/>
        <w:spacing w:after="0" w:line="305" w:lineRule="auto"/>
        <w:rPr>
          <w:sz w:val="20"/>
          <w:szCs w:val="20"/>
          <w:color w:val="auto"/>
        </w:rPr>
      </w:pPr>
      <w:r>
        <w:rPr>
          <w:rFonts w:ascii="Times New Roman" w:cs="Times New Roman" w:eastAsia="Times New Roman" w:hAnsi="Times New Roman"/>
          <w:sz w:val="19"/>
          <w:szCs w:val="19"/>
          <w:color w:val="454546"/>
        </w:rPr>
        <w:t>Our quarterly and annual operating results may fluctuate significantly in the future due to a variety of other factors, many of which are outside of our control and may be difficult to predict. The cumulative effect of these</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83</w:t>
      </w:r>
    </w:p>
    <w:p>
      <w:pPr>
        <w:sectPr>
          <w:pgSz w:w="11880" w:h="15480" w:orient="portrait"/>
          <w:cols w:equalWidth="0" w:num="1">
            <w:col w:w="9360"/>
          </w:cols>
          <w:pgMar w:left="1260" w:top="1236" w:right="1260" w:bottom="0" w:gutter="0" w:footer="0" w:header="0"/>
          <w:type w:val="continuous"/>
        </w:sectPr>
      </w:pPr>
    </w:p>
    <w:bookmarkStart w:id="87" w:name="page88"/>
    <w:bookmarkEnd w:id="87"/>
    <w:p>
      <w:pPr>
        <w:ind w:right="80"/>
        <w:spacing w:after="0" w:line="246" w:lineRule="auto"/>
        <w:rPr>
          <w:sz w:val="20"/>
          <w:szCs w:val="20"/>
          <w:color w:val="auto"/>
        </w:rPr>
      </w:pPr>
      <w:r>
        <w:rPr>
          <w:rFonts w:ascii="Times New Roman" w:cs="Times New Roman" w:eastAsia="Times New Roman" w:hAnsi="Times New Roman"/>
          <w:sz w:val="20"/>
          <w:szCs w:val="20"/>
          <w:color w:val="454546"/>
        </w:rPr>
        <w:t>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20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As of December 31, 2023, our executive officers, directors, holders of 5% or more of our capital stock and their respective affiliates beneficially owned approximately 57%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20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Sales of a substantial number of shares of our common stock in the public market could cause our stock price to fall.</w:t>
      </w:r>
    </w:p>
    <w:p>
      <w:pPr>
        <w:spacing w:after="0" w:line="4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December 31, 2023, we have sold 25,965,483 shares of our common stock and pre-funded warrants to purchase 6,236,693 shares of our common stock pursuant to the Shelf Registration.</w:t>
      </w:r>
    </w:p>
    <w:p>
      <w:pPr>
        <w:spacing w:after="0" w:line="7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Moreover, certain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20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80" w:lineRule="exact"/>
        <w:rPr>
          <w:sz w:val="20"/>
          <w:szCs w:val="20"/>
          <w:color w:val="auto"/>
        </w:rPr>
      </w:pPr>
    </w:p>
    <w:p>
      <w:pPr>
        <w:ind w:right="80" w:firstLine="490"/>
        <w:spacing w:after="0" w:line="260" w:lineRule="auto"/>
        <w:rPr>
          <w:sz w:val="20"/>
          <w:szCs w:val="20"/>
          <w:color w:val="auto"/>
        </w:rPr>
      </w:pPr>
      <w:r>
        <w:rPr>
          <w:rFonts w:ascii="Times New Roman" w:cs="Times New Roman" w:eastAsia="Times New Roman" w:hAnsi="Times New Roman"/>
          <w:sz w:val="19"/>
          <w:szCs w:val="19"/>
          <w:color w:val="454546"/>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84</w:t>
      </w:r>
    </w:p>
    <w:p>
      <w:pPr>
        <w:sectPr>
          <w:pgSz w:w="11880" w:h="15480" w:orient="portrait"/>
          <w:cols w:equalWidth="0" w:num="1">
            <w:col w:w="9360"/>
          </w:cols>
          <w:pgMar w:left="1260" w:top="1240" w:right="1260" w:bottom="0" w:gutter="0" w:footer="0" w:header="0"/>
          <w:type w:val="continuous"/>
        </w:sectPr>
      </w:pPr>
    </w:p>
    <w:bookmarkStart w:id="88" w:name="page89"/>
    <w:bookmarkEnd w:id="88"/>
    <w:p>
      <w:pPr>
        <w:ind w:right="80"/>
        <w:spacing w:after="0" w:line="258" w:lineRule="auto"/>
        <w:rPr>
          <w:sz w:val="20"/>
          <w:szCs w:val="20"/>
          <w:color w:val="auto"/>
        </w:rPr>
      </w:pPr>
      <w:r>
        <w:rPr>
          <w:rFonts w:ascii="Times New Roman" w:cs="Times New Roman" w:eastAsia="Times New Roman" w:hAnsi="Times New Roman"/>
          <w:sz w:val="20"/>
          <w:szCs w:val="20"/>
          <w:color w:val="454546"/>
        </w:rPr>
        <w:t>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6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7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454546"/>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be subject to securities litigation, which is expensive and could divert management attention.</w:t>
      </w:r>
    </w:p>
    <w:p>
      <w:pPr>
        <w:spacing w:after="0" w:line="120" w:lineRule="exact"/>
        <w:rPr>
          <w:sz w:val="20"/>
          <w:szCs w:val="20"/>
          <w:color w:val="auto"/>
        </w:rPr>
      </w:pPr>
    </w:p>
    <w:p>
      <w:pPr>
        <w:ind w:right="340" w:firstLine="490"/>
        <w:spacing w:after="0" w:line="247" w:lineRule="auto"/>
        <w:rPr>
          <w:sz w:val="20"/>
          <w:szCs w:val="20"/>
          <w:color w:val="auto"/>
        </w:rPr>
      </w:pPr>
      <w:r>
        <w:rPr>
          <w:rFonts w:ascii="Times New Roman" w:cs="Times New Roman" w:eastAsia="Times New Roman" w:hAnsi="Times New Roman"/>
          <w:sz w:val="20"/>
          <w:szCs w:val="20"/>
          <w:color w:val="454546"/>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Provisions in our certificate of incorporation and bylaws and Delaware law might discourage, delay or prevent a change in control of our company or changes in our management and, therefore, depress the market price of our common stock.</w:t>
      </w:r>
    </w:p>
    <w:p>
      <w:pPr>
        <w:spacing w:after="0" w:line="6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94" w:lineRule="exact"/>
        <w:rPr>
          <w:sz w:val="20"/>
          <w:szCs w:val="20"/>
          <w:color w:val="auto"/>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a classified board of directors so that not all members of our board are elected at one time;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permit only the board of directors to establish the number of directors and fill vacancies on the board;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provide that directors may only be removed “for cause”;</w:t>
      </w:r>
    </w:p>
    <w:p>
      <w:pPr>
        <w:spacing w:after="0" w:line="133" w:lineRule="exact"/>
        <w:rPr>
          <w:rFonts w:ascii="Arial" w:cs="Arial" w:eastAsia="Arial" w:hAnsi="Arial"/>
          <w:sz w:val="20"/>
          <w:szCs w:val="20"/>
          <w:color w:val="454546"/>
        </w:rPr>
      </w:pPr>
    </w:p>
    <w:p>
      <w:pPr>
        <w:ind w:left="980" w:right="720" w:hanging="491"/>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authorize the issuance of “blank check” preferred stock that our board could use to implement a stockholder rights plan (also known as a poison pill);</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eliminate the ability of our stockholders to call special meetings of stockholders;</w:t>
      </w:r>
    </w:p>
    <w:p>
      <w:pPr>
        <w:spacing w:after="0" w:line="133" w:lineRule="exact"/>
        <w:rPr>
          <w:rFonts w:ascii="Arial" w:cs="Arial" w:eastAsia="Arial" w:hAnsi="Arial"/>
          <w:sz w:val="20"/>
          <w:szCs w:val="20"/>
          <w:color w:val="454546"/>
        </w:rPr>
      </w:pPr>
    </w:p>
    <w:p>
      <w:pPr>
        <w:ind w:left="980" w:right="300" w:hanging="491"/>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prohibit stockholder action by written consent, which requires all stockholder actions to be taken at a meeting of our stockholders;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prohibit cumulative voting;</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authorize our board of directors to amend the bylaws;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85</w:t>
      </w:r>
    </w:p>
    <w:p>
      <w:pPr>
        <w:sectPr>
          <w:pgSz w:w="11880" w:h="15480" w:orient="portrait"/>
          <w:cols w:equalWidth="0" w:num="1">
            <w:col w:w="9360"/>
          </w:cols>
          <w:pgMar w:left="1260" w:top="1240" w:right="1260" w:bottom="0" w:gutter="0" w:footer="0" w:header="0"/>
          <w:type w:val="continuous"/>
        </w:sectPr>
      </w:pPr>
    </w:p>
    <w:bookmarkStart w:id="89" w:name="page90"/>
    <w:bookmarkEnd w:id="89"/>
    <w:p>
      <w:pPr>
        <w:ind w:left="980" w:right="40" w:hanging="491"/>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advance notice requirements for nominations for election to our board or for proposing matters that can be acted upon by stockholders at annual stockholder meetings; and</w:t>
      </w:r>
    </w:p>
    <w:p>
      <w:pPr>
        <w:spacing w:after="0" w:line="64" w:lineRule="exact"/>
        <w:rPr>
          <w:rFonts w:ascii="Arial" w:cs="Arial" w:eastAsia="Arial" w:hAnsi="Arial"/>
          <w:sz w:val="20"/>
          <w:szCs w:val="20"/>
          <w:color w:val="454546"/>
        </w:rPr>
      </w:pPr>
    </w:p>
    <w:p>
      <w:pPr>
        <w:ind w:left="980" w:right="200" w:hanging="491"/>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require a super-majority vote of stockholders to amend or repeal specified provisions of our certificate of incorporation and bylaws.</w:t>
      </w:r>
    </w:p>
    <w:p>
      <w:pPr>
        <w:spacing w:after="0" w:line="50"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454546"/>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64"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19"/>
          <w:szCs w:val="19"/>
          <w:color w:val="454546"/>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980" w:hanging="491"/>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derivative action or proceeding brought on our behalf;</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of breach of fiduciary duty;</w:t>
      </w:r>
    </w:p>
    <w:p>
      <w:pPr>
        <w:spacing w:after="0" w:line="133"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against us arising under the DGCL, our certificate of incorporation or our bylaws; and</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against us that is governed by the internal-affairs doctrine.</w:t>
      </w:r>
    </w:p>
    <w:p>
      <w:pPr>
        <w:spacing w:after="0" w:line="119"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This provision would not apply to suits brought to enforce a duty or liability created by the Exchange Act or any other claim for which the U.S. federal courts have exclusive jurisdiction.</w:t>
      </w:r>
    </w:p>
    <w:p>
      <w:pPr>
        <w:spacing w:after="0" w:line="4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Our bylaws further provide that the federal district courts of the United States of America will be the exclusive forum for resolving any complaint asserting a cause of action arising under the Securities Act.</w:t>
      </w:r>
    </w:p>
    <w:p>
      <w:pPr>
        <w:spacing w:after="0" w:line="4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86</w:t>
      </w:r>
    </w:p>
    <w:p>
      <w:pPr>
        <w:sectPr>
          <w:pgSz w:w="11880" w:h="15480" w:orient="portrait"/>
          <w:cols w:equalWidth="0" w:num="1">
            <w:col w:w="9360"/>
          </w:cols>
          <w:pgMar w:left="1260" w:top="1254" w:right="1260" w:bottom="0" w:gutter="0" w:footer="0" w:header="0"/>
          <w:type w:val="continuous"/>
        </w:sectPr>
      </w:pPr>
    </w:p>
    <w:bookmarkStart w:id="90" w:name="page91"/>
    <w:bookmarkEnd w:id="90"/>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Management and Strategy</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We have established policies and processes for assessing, identifying, and managing material risk from cybersecurity threats, and have integrated these processes into our overall risk management systems and processes. In collaboration with our external vendors specializing in cybersecurity management, we routinely assess material risks from cybersecurity threats, including any potential unauthorized access to our information systems that could result in adverse effects on the confidentiality, integrity, or availability of our information systems or any information residing therein.</w:t>
      </w:r>
    </w:p>
    <w:p>
      <w:pPr>
        <w:spacing w:after="0" w:line="8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We conduct periodic risk assessments to identify cybersecurity threats, as well as assessments of planned material changes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7"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Following these risk assessments, we re-design, implement, and maintain reasonable safeguards to minimize identified risks; reasonably address any identified gaps in existing safeguards; and regularly monitor the effectiveness of our safeguards. In consideration of the size and complexity of our business, we devote appropriate internal and external resources to manage material risks from cybersecurity threats. We also designate senior-level personnel, including our Vice President, Information Technology who reports to our Chief Financial and Business Officer, to manage the risk assessment and mitigation process and to closely coordinate with our General Counsel on applicable regulatory obligations.</w:t>
      </w:r>
    </w:p>
    <w:p>
      <w:pPr>
        <w:spacing w:after="0" w:line="80" w:lineRule="exact"/>
        <w:rPr>
          <w:sz w:val="20"/>
          <w:szCs w:val="20"/>
          <w:color w:val="auto"/>
        </w:rPr>
      </w:pPr>
    </w:p>
    <w:p>
      <w:pPr>
        <w:jc w:val="both"/>
        <w:ind w:right="240" w:firstLine="490"/>
        <w:spacing w:after="0" w:line="278" w:lineRule="auto"/>
        <w:rPr>
          <w:sz w:val="20"/>
          <w:szCs w:val="20"/>
          <w:color w:val="auto"/>
        </w:rPr>
      </w:pPr>
      <w:r>
        <w:rPr>
          <w:rFonts w:ascii="Times New Roman" w:cs="Times New Roman" w:eastAsia="Times New Roman" w:hAnsi="Times New Roman"/>
          <w:sz w:val="19"/>
          <w:szCs w:val="19"/>
          <w:color w:val="454546"/>
        </w:rPr>
        <w:t>As part of our overall risk management system, we monitor and test our safeguards and train our employees on these safeguards. Personnel at all levels and departments are made aware of our cybersecurity policies through required policy review and trainings at the time of hire and periodically during their employment with us.</w:t>
      </w:r>
    </w:p>
    <w:p>
      <w:pPr>
        <w:spacing w:after="0" w:line="5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We engage consultants, auditors, or other third parties in connection with our risk assessment processes. These professionals assist us in the design and implementation of our cybersecurity policies and procedures, as well as to monitor and test our safeguards. In addition, in order to mitigate cybersecurity risks associated with our use of third-party service providers, we require certain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w:t>
      </w:r>
      <w:r>
        <w:rPr>
          <w:rFonts w:ascii="Times New Roman" w:cs="Times New Roman" w:eastAsia="Times New Roman" w:hAnsi="Times New Roman"/>
          <w:sz w:val="20"/>
          <w:szCs w:val="20"/>
          <w:i w:val="1"/>
          <w:iCs w:val="1"/>
          <w:color w:val="454546"/>
        </w:rPr>
        <w:t>Our computer systems, or those of any of our</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20"/>
          <w:szCs w:val="20"/>
          <w:color w:val="454546"/>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Governance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One of the key functions of our board of directors (our “Board”) is informed oversight of our risk management process, including risks from cybersecurity threats. Our Board is responsible for monitoring and assessing strategic risk exposure, and our executive officers are responsible for the day-to-day management of the material risks we</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87</w:t>
      </w:r>
    </w:p>
    <w:p>
      <w:pPr>
        <w:sectPr>
          <w:pgSz w:w="11880" w:h="15480" w:orient="portrait"/>
          <w:cols w:equalWidth="0" w:num="1">
            <w:col w:w="9360"/>
          </w:cols>
          <w:pgMar w:left="1260" w:top="1440" w:right="1260" w:bottom="0" w:gutter="0" w:footer="0" w:header="0"/>
          <w:type w:val="continuous"/>
        </w:sectPr>
      </w:pPr>
    </w:p>
    <w:bookmarkStart w:id="91" w:name="page92"/>
    <w:bookmarkEnd w:id="91"/>
    <w:p>
      <w:pPr>
        <w:ind w:right="460"/>
        <w:spacing w:after="0" w:line="277" w:lineRule="auto"/>
        <w:rPr>
          <w:sz w:val="20"/>
          <w:szCs w:val="20"/>
          <w:color w:val="auto"/>
        </w:rPr>
      </w:pPr>
      <w:r>
        <w:rPr>
          <w:rFonts w:ascii="Times New Roman" w:cs="Times New Roman" w:eastAsia="Times New Roman" w:hAnsi="Times New Roman"/>
          <w:sz w:val="20"/>
          <w:szCs w:val="20"/>
          <w:color w:val="454546"/>
        </w:rPr>
        <w:t>face. Our Board administers its cybersecurity risk oversight function directly as a whole, as well as through the Audit Committee.</w:t>
      </w:r>
    </w:p>
    <w:p>
      <w:pPr>
        <w:spacing w:after="0" w:line="49"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454546"/>
        </w:rPr>
        <w:t>Our Vice President, Information Technology, along with the members of our Incident Response Team, which includes our Chief Financial and Business Officer and our General Counsel, are primarily responsible to assess and manage our material risks from cybersecurity threats. Our Incident Response Team is supported by an experienced managed service provider and an incident response provider with extensive global cybersecurity expertise, who both monitor, assess and report threats to us. Additionally, our Vice President, Information Technology has over twenty years of experience operating in the information technology, security and cybersecurity space. In particular, he has experience with cybersecurity assessment and prevention, incident responses, breach notifications and remediation.</w:t>
      </w:r>
    </w:p>
    <w:p>
      <w:pPr>
        <w:spacing w:after="0" w:line="6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Vice President, Information Technology oversees our cybersecurity policies and processes, including those described in “Risk Management and Strategy” above and, along with and informed by the Information Technology organization and our Incident Response Team, monitors the prevention, detection, mitigation, and remediation of cybersecurity incidents. Depending on the severity of the security incident, the Incident Response Team will report the security incident to our Audit Committee, including the financial impact of the security incident and any regulatory violations. As our Information Technology organization monitors the security and effectiveness of our policies and procedures, they also work to keep the Vice President, Information Technology and other members of leadership informed of critical incidents, process updates, or other material details, in accordance with our internal reporting structure.</w:t>
      </w:r>
    </w:p>
    <w:p>
      <w:pPr>
        <w:spacing w:after="0" w:line="86"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Our Vice President, Information Technology provides an annual briefing to the Audit Committee regarding our company’s cybersecurity risks and activities, including the status of cybersecurity system development, company-wide cybersecurity training programs, material changes to the cybersecurity system, policies or practices, any recent cybersecurity incidents and related responses, cybersecurity systems testing and engagement of third-party service providers in support of our cybersecurity system. Special meetings may also be called with the Audit Committee to brief the members on any material cybersecurity incidents and related responses thereto. Subsequent to such briefings, our Audit Committee will provide an update to the Board on such reports. In addition, the Board will receive periodic updates in meeting materials or directly from our Chief Financial and Business Officer on cybersecurity risks and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2. Properties.</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Our corporate headquarters are in South San Francisco, where we lease a facility containing approximately 32,370 square feet of office and laboratory space located at 171 Oyster Point Blvd., Suite 500, South San Francisco, CA 94080. The lease expires on May 31, 2025, unless earlier terminated in accordance with the lease, and we may renew the lease term for two additional five-year periods. In addition, we currently sublease approximately 13,000 square feet of additional office and laboratory space located at 131 Oyster Point Blvd, South San Francisco, CA 94080 through November 30, 2024.</w:t>
      </w:r>
    </w:p>
    <w:p>
      <w:pPr>
        <w:spacing w:after="0" w:line="8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454546"/>
        </w:rPr>
        <w:t>We also have a leased space at a facility in Union City containing manufacturing and office space located at 33498 Central Avenue, Union City, CA 94587. The lease expires in July 2031, unless earlier terminated in accordance with the lease. We may renew the lease term for one additional five-year period.</w:t>
      </w:r>
    </w:p>
    <w:p>
      <w:pPr>
        <w:spacing w:after="0" w:line="68"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454546"/>
        </w:rPr>
        <w:t>We believe that these existing facilities are adequate for our current needs and that suitable additional or alternative space will be available in the future on commercially reasonable terms, if required.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3. Legal Proceedings.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88</w:t>
      </w:r>
    </w:p>
    <w:p>
      <w:pPr>
        <w:sectPr>
          <w:pgSz w:w="11880" w:h="15480" w:orient="portrait"/>
          <w:cols w:equalWidth="0" w:num="1">
            <w:col w:w="9340"/>
          </w:cols>
          <w:pgMar w:left="1260" w:top="1240" w:right="1280" w:bottom="0" w:gutter="0" w:footer="0" w:header="0"/>
          <w:type w:val="continuous"/>
        </w:sectPr>
      </w:pPr>
    </w:p>
    <w:bookmarkStart w:id="92" w:name="page93"/>
    <w:bookmarkEnd w:id="92"/>
    <w:p>
      <w:pPr>
        <w:ind w:left="4560"/>
        <w:spacing w:after="0"/>
        <w:rPr>
          <w:sz w:val="20"/>
          <w:szCs w:val="20"/>
          <w:color w:val="auto"/>
        </w:rPr>
      </w:pPr>
      <w:r>
        <w:rPr>
          <w:rFonts w:ascii="Times New Roman" w:cs="Times New Roman" w:eastAsia="Times New Roman" w:hAnsi="Times New Roman"/>
          <w:sz w:val="20"/>
          <w:szCs w:val="20"/>
          <w:b w:val="1"/>
          <w:bCs w:val="1"/>
          <w:color w:val="454546"/>
        </w:rPr>
        <w:t>PART II</w:t>
      </w:r>
    </w:p>
    <w:p>
      <w:pPr>
        <w:spacing w:after="0" w:line="36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454546"/>
        </w:rPr>
        <w:t>Item 5. Market for Registrant’s Common Equity, Related Stockholder Matters and Issuer Purchases of Equity Securities.</w:t>
      </w:r>
    </w:p>
    <w:p>
      <w:pPr>
        <w:spacing w:after="0" w:line="36"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color w:val="454546"/>
        </w:rPr>
        <w:t>Our common stock is traded on the Nasdaq Global Select Market under the symbol “TNYA”. Public trading of our common stock began on July 30, 2021. Prior to that, there was no public market for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Holders of Common Stock</w:t>
      </w:r>
    </w:p>
    <w:p>
      <w:pPr>
        <w:spacing w:after="0" w:line="12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As of March 1, 2024, there were 45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Dividend Policy</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We have never declared or paid any cash dividends on our common stock and do not anticipate paying cash dividends in the foreseeable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Sales of Unregistered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Securities Authorized for Issuance under Equity Compensation Plans</w:t>
      </w:r>
    </w:p>
    <w:p>
      <w:pPr>
        <w:spacing w:after="0" w:line="12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Information about our equity compensation plans is incorporated herein by reference to Part III, Item 12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Use of Proceeds from Public Offering of Common Stock</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Issuer Purchases of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6. Reserved</w:t>
      </w:r>
    </w:p>
    <w:p>
      <w:pPr>
        <w:sectPr>
          <w:pgSz w:w="11880" w:h="15480" w:orient="portrait"/>
          <w:cols w:equalWidth="0" w:num="1">
            <w:col w:w="9300"/>
          </w:cols>
          <w:pgMar w:left="1260" w:top="1236"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89</w:t>
      </w:r>
    </w:p>
    <w:p>
      <w:pPr>
        <w:sectPr>
          <w:pgSz w:w="11880" w:h="15480" w:orient="portrait"/>
          <w:cols w:equalWidth="0" w:num="1">
            <w:col w:w="9300"/>
          </w:cols>
          <w:pgMar w:left="1260" w:top="1236" w:right="132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454546"/>
        </w:rPr>
        <w:t>Item 7. Management’s Discussion and Analysis of Financial Condition and Results of Operations.</w:t>
      </w:r>
    </w:p>
    <w:p>
      <w:pPr>
        <w:spacing w:after="0" w:line="12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2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We are advancing a deep and diverse pipeline of disease-modifying therapies that includes both gene therapies and small molecules discovered internally and developed using our extensive core capabilities to target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77"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Our lead investigational product candidates are TN-201, a gene therapy for MYBPC3-associated HCM, TN-401, a gene therapy for PKP2-associated ARVC and TN-301, a small molecule for HFpEF.</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TN-201 is our potential first-in-class and best-in-class gene therapy for adults and children with HCM due to MYBPC3 gene mutations. These mutations result in a deficiency of myosin binding protein, which in turn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utilizes a recombinant AAV9 capsid to deliver a working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to specific cells of the heart in order to produce cardiac myosin binding protein and thereby slow or even reverse the course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following a single infusion. In October 2023, we began dosing patients in the MyPeak-1 Phase 1b multi-center, open-label clinical trial, designed to assess the safety, tolerability and efficacy of a one-time intravenous infusion of TN-201. Initial data from the trial is anticipated in the second half of 2024.</w:t>
      </w:r>
    </w:p>
    <w:p>
      <w:pPr>
        <w:spacing w:after="0" w:line="82"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454546"/>
        </w:rPr>
        <w:t>To support our development efforts for TN-201 we have initiated two noninterventioal studies: a study evaluating seroprevalence to AAV9 antibodies among adults with MYBPC3-associated HCM, and MyClimb, a prospective and retrospective global natural history study focused on pediatric patients with MYBPC3 mutation-associated cardiomyopathy. The objective of the natural history study is to characterize the outcomes, burden of illness, risk factors, quality of life, and biomarkers associated with disease progression in pediatric patients with cardiomyopathy due to MYBPC3 gene mutations, as well as treatments and procedures. MyClimb complements existing disease registries focused primarily on adult patient HCM populations and may support and expedite the development of TN-201 in the pediatric patient population. TN-201 has received orphan drug designation from the FDA and orphan medicinal product designation from the EC, as well as Fast Track Designation from the FDA.</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TN-401 is our potential first-in-class and best-in-class AAV9-based gene therapy for the treatment of ARVC due to disease-causing variants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ARVC, also known as arrhythmogenic cardiomyopathy, or ACM, is a chronic, progressive disease characterized by potentially dangerous and frequent ventricular arrhythmias. The disease is associated with significant impairment to patients’ overall quality of life, as well as an elevated risk of sudden cardiac death.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are the most common genetic cause of ARVC and result in insufficient expression of a protein needed for proper functioning of the desmosomal complex that maintains physical connections and electrical signaling between heart muscle cells.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In October 2023, the FDA provided clearance of our IND application to initiate clinical testing of TN-401. We plan to initiate patient dosing in RIDGE-1, our Phase 1b multi-center, open-label clinical trial, designed to assess the safety, tolerability and efficacy of a one-time intravenous infusion of TN-401, in the second half of 2024. In support of our development efforts for TN-401, we have initiated a global noninterventional study to collect treatment history and seroprevalence to AAV9 antibodies data among ARVC patients who carry pathogenic or likely</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90</w:t>
      </w:r>
    </w:p>
    <w:p>
      <w:pPr>
        <w:sectPr>
          <w:pgSz w:w="11880" w:h="15480" w:orient="portrait"/>
          <w:cols w:equalWidth="0" w:num="1">
            <w:col w:w="9360"/>
          </w:cols>
          <w:pgMar w:left="1260" w:top="1236" w:right="1260" w:bottom="0" w:gutter="0" w:footer="0" w:header="0"/>
          <w:type w:val="continuous"/>
        </w:sectPr>
      </w:pPr>
    </w:p>
    <w:bookmarkStart w:id="94" w:name="page95"/>
    <w:bookmarkEnd w:id="94"/>
    <w:p>
      <w:pPr>
        <w:spacing w:after="0" w:line="277" w:lineRule="auto"/>
        <w:rPr>
          <w:sz w:val="20"/>
          <w:szCs w:val="20"/>
          <w:color w:val="auto"/>
        </w:rPr>
      </w:pPr>
      <w:r>
        <w:rPr>
          <w:rFonts w:ascii="Times New Roman" w:cs="Times New Roman" w:eastAsia="Times New Roman" w:hAnsi="Times New Roman"/>
          <w:sz w:val="20"/>
          <w:szCs w:val="20"/>
          <w:color w:val="454546"/>
        </w:rPr>
        <w:t>pathogenic PKP2 gene mutations.TN-401 has received orphan drug designation from the FDA and orphan medicinal product designation from the EC, as well as Fast Track Designation from the FDA.</w:t>
      </w:r>
    </w:p>
    <w:p>
      <w:pPr>
        <w:spacing w:after="0" w:line="49"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TN-301 is our small molecule inhibitor of HDAC6, initially being developed for the potential treatment of HFpEF. HFpEF is characterized by a stiffening of the heart muscle resulting in an inability for the left ventricle to relax and pump blood effectively with each contraction. There are several cellular processes thought to underlie the pathophysiology of HFpEF, including increases in fibrosis and inflammation and defects in metabolism. Although HFpEF accounts for approximately half of all heart failures, there are few proven treatment options.</w:t>
      </w:r>
    </w:p>
    <w:p>
      <w:pPr>
        <w:spacing w:after="0" w:line="7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454546"/>
        </w:rPr>
        <w:t>In October 2023, we shared positive data from our Phase 1 clinical trial of TN-301 in healthy participants at the 2023 HFSA Annual Scientific Meeting. The Phase 1 trial enrolled participants in two stages. In Stage 1, participants received single ascending doses and in Stage 2, participants received multiple ascending doses. TN-</w:t>
      </w:r>
    </w:p>
    <w:p>
      <w:pPr>
        <w:spacing w:after="0" w:line="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9"/>
          <w:szCs w:val="19"/>
          <w:color w:val="454546"/>
        </w:rPr>
        <w:t>301 was generally well tolerated across the broad range of doses studied. Pharmacokinetic results showed overall dose proportionality in both stages of the clinical trial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observed with less selective HDAC6 inhibitors or pan-HDAC inhibition. In preclinical studies, selective HDAC6 inhibition has been shown to have comparable efficacy to empagliflozin, a SGLT2 inhibitor which is approved for the treatment of HFpEF. More recently, using a validated mouse model of disease, we demonstrated that HDAC6 inhibition co-administered with an SGLT2 inhibitor demonstrated additive benefit, improving several measures of heart function. Taken together, these data support continued development of TN-</w:t>
      </w:r>
    </w:p>
    <w:p>
      <w:pPr>
        <w:spacing w:after="0" w:line="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454546"/>
        </w:rPr>
        <w:t>301 as a potential treatment for patients with HFpEF. We believe late-stage clinical development of TN-301 is best suited for development by or with a well-resourced partner</w:t>
      </w:r>
      <w:r>
        <w:rPr>
          <w:rFonts w:ascii="Times New Roman" w:cs="Times New Roman" w:eastAsia="Times New Roman" w:hAnsi="Times New Roman"/>
          <w:sz w:val="20"/>
          <w:szCs w:val="20"/>
          <w:color w:val="515153"/>
        </w:rPr>
        <w:t>.</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w:t>
      </w:r>
    </w:p>
    <w:p>
      <w:pPr>
        <w:spacing w:after="0" w:line="6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distinct suite of integrated capabilities support our efforts to discover and develop disease-modifying treatments focused on heart disease.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 We have also internalized and integrated both cGMP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 We seek to build on existing proprietary capabilities with the aim of increasing the safety and efficacy of genetic medicines, accelerating early-stage discovery and preclinical optimization and reducing the overall cost of goods by increasing manufacturing productivity.</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91</w:t>
      </w:r>
    </w:p>
    <w:p>
      <w:pPr>
        <w:sectPr>
          <w:pgSz w:w="11880" w:h="15480" w:orient="portrait"/>
          <w:cols w:equalWidth="0" w:num="1">
            <w:col w:w="9340"/>
          </w:cols>
          <w:pgMar w:left="1260" w:top="1240" w:right="12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454546"/>
        </w:rPr>
        <w:t>Results of Operations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Comparison of the Years Ended December 31, 2023 and 2022</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our results of operations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454546"/>
                <w:w w:val="99"/>
              </w:rPr>
              <w:t>Year Ended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454546"/>
              </w:rPr>
              <w:t>$</w:t>
            </w:r>
          </w:p>
        </w:tc>
        <w:tc>
          <w:tcPr>
            <w:tcW w:w="2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t>
            </w:r>
          </w:p>
        </w:tc>
        <w:tc>
          <w:tcPr>
            <w:tcW w:w="0" w:type="dxa"/>
            <w:vAlign w:val="bottom"/>
          </w:tcPr>
          <w:p>
            <w:pPr>
              <w:spacing w:after="0"/>
              <w:rPr>
                <w:sz w:val="1"/>
                <w:szCs w:val="1"/>
                <w:color w:val="auto"/>
              </w:rPr>
            </w:pPr>
          </w:p>
        </w:tc>
      </w:tr>
      <w:tr>
        <w:trPr>
          <w:trHeight w:val="227"/>
        </w:trPr>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6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454546"/>
              </w:rPr>
              <w:t>(in thousands, except percentages)</w:t>
            </w:r>
          </w:p>
        </w:tc>
        <w:tc>
          <w:tcPr>
            <w:tcW w:w="240" w:type="dxa"/>
            <w:vAlign w:val="bottom"/>
            <w:tcBorders>
              <w:top w:val="single" w:sz="8" w:color="454546"/>
            </w:tcBorders>
          </w:tcPr>
          <w:p>
            <w:pPr>
              <w:spacing w:after="0"/>
              <w:rPr>
                <w:sz w:val="17"/>
                <w:szCs w:val="17"/>
                <w:color w:val="auto"/>
              </w:rPr>
            </w:pPr>
          </w:p>
        </w:tc>
        <w:tc>
          <w:tcPr>
            <w:tcW w:w="900" w:type="dxa"/>
            <w:vAlign w:val="bottom"/>
            <w:tcBorders>
              <w:top w:val="single" w:sz="8" w:color="454546"/>
            </w:tcBorders>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140" w:type="dxa"/>
            <w:vAlign w:val="bottom"/>
            <w:tcBorders>
              <w:top w:val="single" w:sz="8" w:color="454546"/>
            </w:tcBorders>
          </w:tcPr>
          <w:p>
            <w:pPr>
              <w:spacing w:after="0"/>
              <w:rPr>
                <w:sz w:val="17"/>
                <w:szCs w:val="17"/>
                <w:color w:val="auto"/>
              </w:rPr>
            </w:pPr>
          </w:p>
        </w:tc>
        <w:tc>
          <w:tcPr>
            <w:tcW w:w="80" w:type="dxa"/>
            <w:vAlign w:val="bottom"/>
            <w:tcBorders>
              <w:top w:val="single" w:sz="8" w:color="454546"/>
            </w:tcBorders>
          </w:tcPr>
          <w:p>
            <w:pPr>
              <w:spacing w:after="0"/>
              <w:rPr>
                <w:sz w:val="17"/>
                <w:szCs w:val="17"/>
                <w:color w:val="auto"/>
              </w:rPr>
            </w:pPr>
          </w:p>
        </w:tc>
        <w:tc>
          <w:tcPr>
            <w:tcW w:w="380" w:type="dxa"/>
            <w:vAlign w:val="bottom"/>
            <w:tcBorders>
              <w:top w:val="single" w:sz="8" w:color="454546"/>
            </w:tcBorders>
          </w:tcPr>
          <w:p>
            <w:pPr>
              <w:spacing w:after="0"/>
              <w:rPr>
                <w:sz w:val="17"/>
                <w:szCs w:val="17"/>
                <w:color w:val="auto"/>
              </w:rPr>
            </w:pPr>
          </w:p>
        </w:tc>
        <w:tc>
          <w:tcPr>
            <w:tcW w:w="760" w:type="dxa"/>
            <w:vAlign w:val="bottom"/>
            <w:tcBorders>
              <w:top w:val="single" w:sz="8" w:color="454546"/>
            </w:tcBorders>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454546"/>
                <w:w w:val="99"/>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100"/>
              <w:spacing w:after="0" w:line="197" w:lineRule="exact"/>
              <w:rPr>
                <w:sz w:val="20"/>
                <w:szCs w:val="20"/>
                <w:color w:val="auto"/>
              </w:rPr>
            </w:pPr>
            <w:r>
              <w:rPr>
                <w:rFonts w:ascii="Times New Roman" w:cs="Times New Roman" w:eastAsia="Times New Roman" w:hAnsi="Times New Roman"/>
                <w:sz w:val="18"/>
                <w:szCs w:val="18"/>
                <w:b w:val="1"/>
                <w:bCs w:val="1"/>
                <w:color w:val="454546"/>
              </w:rPr>
              <w:t>Change</w:t>
            </w:r>
          </w:p>
        </w:tc>
        <w:tc>
          <w:tcPr>
            <w:tcW w:w="12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454546"/>
                <w:w w:val="98"/>
              </w:rPr>
              <w:t>Change</w:t>
            </w:r>
          </w:p>
        </w:tc>
        <w:tc>
          <w:tcPr>
            <w:tcW w:w="0" w:type="dxa"/>
            <w:vAlign w:val="bottom"/>
          </w:tcPr>
          <w:p>
            <w:pPr>
              <w:spacing w:after="0"/>
              <w:rPr>
                <w:sz w:val="1"/>
                <w:szCs w:val="1"/>
                <w:color w:val="auto"/>
              </w:rPr>
            </w:pPr>
          </w:p>
        </w:tc>
      </w:tr>
      <w:tr>
        <w:trPr>
          <w:trHeight w:val="197"/>
        </w:trPr>
        <w:tc>
          <w:tcPr>
            <w:tcW w:w="406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Operating expenses:</w:t>
            </w:r>
          </w:p>
        </w:tc>
        <w:tc>
          <w:tcPr>
            <w:tcW w:w="240" w:type="dxa"/>
            <w:vAlign w:val="bottom"/>
            <w:tcBorders>
              <w:top w:val="single" w:sz="8" w:color="454546"/>
            </w:tcBorders>
            <w:shd w:val="clear" w:color="auto" w:fill="E5E6E7"/>
          </w:tcPr>
          <w:p>
            <w:pPr>
              <w:spacing w:after="0"/>
              <w:rPr>
                <w:sz w:val="17"/>
                <w:szCs w:val="17"/>
                <w:color w:val="auto"/>
              </w:rPr>
            </w:pPr>
          </w:p>
        </w:tc>
        <w:tc>
          <w:tcPr>
            <w:tcW w:w="900" w:type="dxa"/>
            <w:vAlign w:val="bottom"/>
            <w:tcBorders>
              <w:top w:val="single" w:sz="8" w:color="454546"/>
            </w:tcBorders>
            <w:shd w:val="clear" w:color="auto" w:fill="E5E6E7"/>
          </w:tcPr>
          <w:p>
            <w:pPr>
              <w:spacing w:after="0"/>
              <w:rPr>
                <w:sz w:val="17"/>
                <w:szCs w:val="17"/>
                <w:color w:val="auto"/>
              </w:rPr>
            </w:pPr>
          </w:p>
        </w:tc>
        <w:tc>
          <w:tcPr>
            <w:tcW w:w="140" w:type="dxa"/>
            <w:vAlign w:val="bottom"/>
            <w:tcBorders>
              <w:top w:val="single" w:sz="8" w:color="E5E6E7"/>
            </w:tcBorders>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c>
          <w:tcPr>
            <w:tcW w:w="380" w:type="dxa"/>
            <w:vAlign w:val="bottom"/>
            <w:tcBorders>
              <w:top w:val="single" w:sz="8" w:color="454546"/>
            </w:tcBorders>
            <w:shd w:val="clear" w:color="auto" w:fill="E5E6E7"/>
          </w:tcPr>
          <w:p>
            <w:pPr>
              <w:spacing w:after="0"/>
              <w:rPr>
                <w:sz w:val="17"/>
                <w:szCs w:val="17"/>
                <w:color w:val="auto"/>
              </w:rPr>
            </w:pPr>
          </w:p>
        </w:tc>
        <w:tc>
          <w:tcPr>
            <w:tcW w:w="760" w:type="dxa"/>
            <w:vAlign w:val="bottom"/>
            <w:tcBorders>
              <w:top w:val="single" w:sz="8" w:color="454546"/>
            </w:tcBorders>
            <w:shd w:val="clear" w:color="auto" w:fill="E5E6E7"/>
          </w:tcPr>
          <w:p>
            <w:pPr>
              <w:spacing w:after="0"/>
              <w:rPr>
                <w:sz w:val="17"/>
                <w:szCs w:val="17"/>
                <w:color w:val="auto"/>
              </w:rPr>
            </w:pPr>
          </w:p>
        </w:tc>
        <w:tc>
          <w:tcPr>
            <w:tcW w:w="140" w:type="dxa"/>
            <w:vAlign w:val="bottom"/>
            <w:tcBorders>
              <w:top w:val="single" w:sz="8" w:color="E5E6E7"/>
            </w:tcBorders>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c>
          <w:tcPr>
            <w:tcW w:w="180" w:type="dxa"/>
            <w:vAlign w:val="bottom"/>
            <w:tcBorders>
              <w:top w:val="single" w:sz="8" w:color="454546"/>
            </w:tcBorders>
            <w:shd w:val="clear" w:color="auto" w:fill="E5E6E7"/>
          </w:tcPr>
          <w:p>
            <w:pPr>
              <w:spacing w:after="0"/>
              <w:rPr>
                <w:sz w:val="17"/>
                <w:szCs w:val="17"/>
                <w:color w:val="auto"/>
              </w:rPr>
            </w:pPr>
          </w:p>
        </w:tc>
        <w:tc>
          <w:tcPr>
            <w:tcW w:w="960" w:type="dxa"/>
            <w:vAlign w:val="bottom"/>
            <w:tcBorders>
              <w:top w:val="single" w:sz="8" w:color="454546"/>
            </w:tcBorders>
            <w:shd w:val="clear" w:color="auto" w:fill="E5E6E7"/>
          </w:tcPr>
          <w:p>
            <w:pPr>
              <w:spacing w:after="0"/>
              <w:rPr>
                <w:sz w:val="17"/>
                <w:szCs w:val="17"/>
                <w:color w:val="auto"/>
              </w:rPr>
            </w:pPr>
          </w:p>
        </w:tc>
        <w:tc>
          <w:tcPr>
            <w:tcW w:w="220" w:type="dxa"/>
            <w:vAlign w:val="bottom"/>
            <w:tcBorders>
              <w:top w:val="single" w:sz="8" w:color="E5E6E7"/>
            </w:tcBorders>
            <w:shd w:val="clear" w:color="auto" w:fill="E5E6E7"/>
          </w:tcPr>
          <w:p>
            <w:pPr>
              <w:spacing w:after="0"/>
              <w:rPr>
                <w:sz w:val="17"/>
                <w:szCs w:val="17"/>
                <w:color w:val="auto"/>
              </w:rPr>
            </w:pPr>
          </w:p>
        </w:tc>
        <w:tc>
          <w:tcPr>
            <w:tcW w:w="1220" w:type="dxa"/>
            <w:vAlign w:val="bottom"/>
            <w:tcBorders>
              <w:top w:val="single" w:sz="8" w:color="454546"/>
            </w:tcBorders>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454546"/>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454546"/>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98,038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454546"/>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94,537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454546"/>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3,501</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4%</w:t>
            </w:r>
          </w:p>
        </w:tc>
        <w:tc>
          <w:tcPr>
            <w:tcW w:w="0" w:type="dxa"/>
            <w:vAlign w:val="bottom"/>
          </w:tcPr>
          <w:p>
            <w:pPr>
              <w:spacing w:after="0"/>
              <w:rPr>
                <w:sz w:val="1"/>
                <w:szCs w:val="1"/>
                <w:color w:val="auto"/>
              </w:rPr>
            </w:pPr>
          </w:p>
        </w:tc>
      </w:tr>
      <w:tr>
        <w:trPr>
          <w:trHeight w:val="207"/>
        </w:trPr>
        <w:tc>
          <w:tcPr>
            <w:tcW w:w="40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General and administrative</w:t>
            </w:r>
          </w:p>
        </w:tc>
        <w:tc>
          <w:tcPr>
            <w:tcW w:w="240" w:type="dxa"/>
            <w:vAlign w:val="bottom"/>
            <w:tcBorders>
              <w:bottom w:val="single" w:sz="8" w:color="454546"/>
            </w:tcBorders>
            <w:shd w:val="clear" w:color="auto" w:fill="E5E6E7"/>
          </w:tcPr>
          <w:p>
            <w:pPr>
              <w:spacing w:after="0"/>
              <w:rPr>
                <w:sz w:val="17"/>
                <w:szCs w:val="17"/>
                <w:color w:val="auto"/>
              </w:rPr>
            </w:pPr>
          </w:p>
        </w:tc>
        <w:tc>
          <w:tcPr>
            <w:tcW w:w="9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33,155</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tcBorders>
              <w:bottom w:val="single" w:sz="8" w:color="454546"/>
            </w:tcBorders>
            <w:shd w:val="clear" w:color="auto" w:fill="E5E6E7"/>
          </w:tcPr>
          <w:p>
            <w:pPr>
              <w:spacing w:after="0"/>
              <w:rPr>
                <w:sz w:val="17"/>
                <w:szCs w:val="17"/>
                <w:color w:val="auto"/>
              </w:rPr>
            </w:pP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31,084</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80" w:type="dxa"/>
            <w:vAlign w:val="bottom"/>
            <w:tcBorders>
              <w:bottom w:val="single" w:sz="8" w:color="454546"/>
            </w:tcBorders>
            <w:shd w:val="clear" w:color="auto" w:fill="E5E6E7"/>
          </w:tcPr>
          <w:p>
            <w:pPr>
              <w:spacing w:after="0"/>
              <w:rPr>
                <w:sz w:val="17"/>
                <w:szCs w:val="17"/>
                <w:color w:val="auto"/>
              </w:rPr>
            </w:pPr>
          </w:p>
        </w:tc>
        <w:tc>
          <w:tcPr>
            <w:tcW w:w="9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2,071</w:t>
            </w:r>
          </w:p>
        </w:tc>
        <w:tc>
          <w:tcPr>
            <w:tcW w:w="220" w:type="dxa"/>
            <w:vAlign w:val="bottom"/>
            <w:shd w:val="clear" w:color="auto" w:fill="E5E6E7"/>
          </w:tcPr>
          <w:p>
            <w:pPr>
              <w:spacing w:after="0"/>
              <w:rPr>
                <w:sz w:val="17"/>
                <w:szCs w:val="17"/>
                <w:color w:val="auto"/>
              </w:rPr>
            </w:pPr>
          </w:p>
        </w:tc>
        <w:tc>
          <w:tcPr>
            <w:tcW w:w="1220" w:type="dxa"/>
            <w:vAlign w:val="bottom"/>
            <w:tcBorders>
              <w:bottom w:val="single" w:sz="8" w:color="454546"/>
            </w:tcBorders>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w w:val="99"/>
              </w:rPr>
              <w:t>7%</w:t>
            </w:r>
          </w:p>
        </w:tc>
        <w:tc>
          <w:tcPr>
            <w:tcW w:w="0" w:type="dxa"/>
            <w:vAlign w:val="bottom"/>
          </w:tcPr>
          <w:p>
            <w:pPr>
              <w:spacing w:after="0"/>
              <w:rPr>
                <w:sz w:val="1"/>
                <w:szCs w:val="1"/>
                <w:color w:val="auto"/>
              </w:rPr>
            </w:pPr>
          </w:p>
        </w:tc>
      </w:tr>
      <w:tr>
        <w:trPr>
          <w:trHeight w:val="197"/>
        </w:trPr>
        <w:tc>
          <w:tcPr>
            <w:tcW w:w="4060" w:type="dxa"/>
            <w:vAlign w:val="bottom"/>
            <w:tcBorders>
              <w:bottom w:val="single" w:sz="8" w:color="E5E6E7"/>
            </w:tcBorders>
          </w:tcPr>
          <w:p>
            <w:pPr>
              <w:ind w:left="200"/>
              <w:spacing w:after="0" w:line="197" w:lineRule="exact"/>
              <w:rPr>
                <w:sz w:val="20"/>
                <w:szCs w:val="20"/>
                <w:color w:val="auto"/>
              </w:rPr>
            </w:pPr>
            <w:r>
              <w:rPr>
                <w:rFonts w:ascii="Times New Roman" w:cs="Times New Roman" w:eastAsia="Times New Roman" w:hAnsi="Times New Roman"/>
                <w:sz w:val="18"/>
                <w:szCs w:val="18"/>
                <w:color w:val="454546"/>
              </w:rPr>
              <w:t>Total operating expenses</w:t>
            </w:r>
          </w:p>
        </w:tc>
        <w:tc>
          <w:tcPr>
            <w:tcW w:w="24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131,193</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125,621</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96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5,572</w:t>
            </w:r>
          </w:p>
        </w:tc>
        <w:tc>
          <w:tcPr>
            <w:tcW w:w="220" w:type="dxa"/>
            <w:vAlign w:val="bottom"/>
            <w:tcBorders>
              <w:bottom w:val="single" w:sz="8" w:color="E5E6E7"/>
            </w:tcBorders>
          </w:tcPr>
          <w:p>
            <w:pPr>
              <w:spacing w:after="0"/>
              <w:rPr>
                <w:sz w:val="17"/>
                <w:szCs w:val="17"/>
                <w:color w:val="auto"/>
              </w:rPr>
            </w:pPr>
          </w:p>
        </w:tc>
        <w:tc>
          <w:tcPr>
            <w:tcW w:w="1220" w:type="dxa"/>
            <w:vAlign w:val="bottom"/>
            <w:tcBorders>
              <w:bottom w:val="single" w:sz="8" w:color="454546"/>
            </w:tcBorders>
          </w:tcPr>
          <w:p>
            <w:pPr>
              <w:jc w:val="center"/>
              <w:spacing w:after="0" w:line="197" w:lineRule="exact"/>
              <w:rPr>
                <w:sz w:val="20"/>
                <w:szCs w:val="20"/>
                <w:color w:val="auto"/>
              </w:rPr>
            </w:pPr>
            <w:r>
              <w:rPr>
                <w:rFonts w:ascii="Times New Roman" w:cs="Times New Roman" w:eastAsia="Times New Roman" w:hAnsi="Times New Roman"/>
                <w:sz w:val="18"/>
                <w:szCs w:val="18"/>
                <w:color w:val="454546"/>
                <w:w w:val="99"/>
              </w:rPr>
              <w:t>4%</w:t>
            </w:r>
          </w:p>
        </w:tc>
        <w:tc>
          <w:tcPr>
            <w:tcW w:w="0" w:type="dxa"/>
            <w:vAlign w:val="bottom"/>
          </w:tcPr>
          <w:p>
            <w:pPr>
              <w:spacing w:after="0"/>
              <w:rPr>
                <w:sz w:val="1"/>
                <w:szCs w:val="1"/>
                <w:color w:val="auto"/>
              </w:rPr>
            </w:pPr>
          </w:p>
        </w:tc>
      </w:tr>
      <w:tr>
        <w:trPr>
          <w:trHeight w:val="197"/>
        </w:trPr>
        <w:tc>
          <w:tcPr>
            <w:tcW w:w="4060" w:type="dxa"/>
            <w:vAlign w:val="bottom"/>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Loss from operations</w:t>
            </w:r>
          </w:p>
        </w:tc>
        <w:tc>
          <w:tcPr>
            <w:tcW w:w="240" w:type="dxa"/>
            <w:vAlign w:val="bottom"/>
            <w:shd w:val="clear" w:color="auto" w:fill="E5E6E7"/>
          </w:tcPr>
          <w:p>
            <w:pPr>
              <w:spacing w:after="0"/>
              <w:rPr>
                <w:sz w:val="17"/>
                <w:szCs w:val="17"/>
                <w:color w:val="auto"/>
              </w:rPr>
            </w:pPr>
          </w:p>
        </w:tc>
        <w:tc>
          <w:tcPr>
            <w:tcW w:w="900" w:type="dxa"/>
            <w:vAlign w:val="bottom"/>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(131,193)</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760" w:type="dxa"/>
            <w:vAlign w:val="bottom"/>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(125,621)</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(5,572)</w:t>
            </w:r>
          </w:p>
        </w:tc>
        <w:tc>
          <w:tcPr>
            <w:tcW w:w="220" w:type="dxa"/>
            <w:vAlign w:val="bottom"/>
            <w:shd w:val="clear" w:color="auto" w:fill="E5E6E7"/>
          </w:tcPr>
          <w:p>
            <w:pPr>
              <w:spacing w:after="0"/>
              <w:rPr>
                <w:sz w:val="17"/>
                <w:szCs w:val="17"/>
                <w:color w:val="auto"/>
              </w:rPr>
            </w:pPr>
          </w:p>
        </w:tc>
        <w:tc>
          <w:tcPr>
            <w:tcW w:w="1220" w:type="dxa"/>
            <w:vAlign w:val="bottom"/>
            <w:shd w:val="clear" w:color="auto" w:fill="E5E6E7"/>
          </w:tcPr>
          <w:p>
            <w:pPr>
              <w:jc w:val="center"/>
              <w:spacing w:after="0" w:line="197" w:lineRule="exact"/>
              <w:rPr>
                <w:sz w:val="20"/>
                <w:szCs w:val="20"/>
                <w:color w:val="auto"/>
              </w:rPr>
            </w:pPr>
            <w:r>
              <w:rPr>
                <w:rFonts w:ascii="Times New Roman" w:cs="Times New Roman" w:eastAsia="Times New Roman" w:hAnsi="Times New Roman"/>
                <w:sz w:val="18"/>
                <w:szCs w:val="18"/>
                <w:color w:val="454546"/>
                <w:w w:val="99"/>
              </w:rPr>
              <w:t>4%</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454546"/>
              </w:rPr>
              <w:t>Other income, net: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Interest income</w:t>
            </w:r>
          </w:p>
        </w:tc>
        <w:tc>
          <w:tcPr>
            <w:tcW w:w="240" w:type="dxa"/>
            <w:vAlign w:val="bottom"/>
            <w:shd w:val="clear" w:color="auto" w:fill="E5E6E7"/>
          </w:tcPr>
          <w:p>
            <w:pPr>
              <w:spacing w:after="0"/>
              <w:rPr>
                <w:sz w:val="17"/>
                <w:szCs w:val="17"/>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7,056</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1,954</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80" w:type="dxa"/>
            <w:vAlign w:val="bottom"/>
            <w:shd w:val="clear" w:color="auto" w:fill="E5E6E7"/>
          </w:tcPr>
          <w:p>
            <w:pPr>
              <w:spacing w:after="0"/>
              <w:rPr>
                <w:sz w:val="17"/>
                <w:szCs w:val="17"/>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5,102</w:t>
            </w:r>
          </w:p>
        </w:tc>
        <w:tc>
          <w:tcPr>
            <w:tcW w:w="220" w:type="dxa"/>
            <w:vAlign w:val="bottom"/>
            <w:shd w:val="clear" w:color="auto" w:fill="E5E6E7"/>
          </w:tcPr>
          <w:p>
            <w:pPr>
              <w:spacing w:after="0"/>
              <w:rPr>
                <w:sz w:val="17"/>
                <w:szCs w:val="17"/>
                <w:color w:val="auto"/>
              </w:rPr>
            </w:pP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w w:val="99"/>
              </w:rPr>
              <w:t>261%</w:t>
            </w:r>
          </w:p>
        </w:tc>
        <w:tc>
          <w:tcPr>
            <w:tcW w:w="0" w:type="dxa"/>
            <w:vAlign w:val="bottom"/>
          </w:tcPr>
          <w:p>
            <w:pPr>
              <w:spacing w:after="0"/>
              <w:rPr>
                <w:sz w:val="1"/>
                <w:szCs w:val="1"/>
                <w:color w:val="auto"/>
              </w:rPr>
            </w:pPr>
          </w:p>
        </w:tc>
      </w:tr>
      <w:tr>
        <w:trPr>
          <w:trHeight w:val="207"/>
        </w:trPr>
        <w:tc>
          <w:tcPr>
            <w:tcW w:w="406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18"/>
                <w:szCs w:val="18"/>
                <w:color w:val="454546"/>
              </w:rPr>
              <w:t>Other income, net</w:t>
            </w:r>
          </w:p>
        </w:tc>
        <w:tc>
          <w:tcPr>
            <w:tcW w:w="24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53</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51</w:t>
            </w:r>
          </w:p>
        </w:tc>
        <w:tc>
          <w:tcPr>
            <w:tcW w:w="220" w:type="dxa"/>
            <w:vAlign w:val="bottom"/>
            <w:tcBorders>
              <w:bottom w:val="single" w:sz="8" w:color="E5E6E7"/>
            </w:tcBorders>
          </w:tcPr>
          <w:p>
            <w:pPr>
              <w:spacing w:after="0"/>
              <w:rPr>
                <w:sz w:val="17"/>
                <w:szCs w:val="17"/>
                <w:color w:val="auto"/>
              </w:rPr>
            </w:pPr>
          </w:p>
        </w:tc>
        <w:tc>
          <w:tcPr>
            <w:tcW w:w="12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rPr>
              <w:t>NM</w:t>
            </w:r>
          </w:p>
        </w:tc>
        <w:tc>
          <w:tcPr>
            <w:tcW w:w="0" w:type="dxa"/>
            <w:vAlign w:val="bottom"/>
          </w:tcPr>
          <w:p>
            <w:pPr>
              <w:spacing w:after="0"/>
              <w:rPr>
                <w:sz w:val="1"/>
                <w:szCs w:val="1"/>
                <w:color w:val="auto"/>
              </w:rPr>
            </w:pPr>
          </w:p>
        </w:tc>
      </w:tr>
      <w:tr>
        <w:trPr>
          <w:trHeight w:val="197"/>
        </w:trPr>
        <w:tc>
          <w:tcPr>
            <w:tcW w:w="4060" w:type="dxa"/>
            <w:vAlign w:val="bottom"/>
            <w:shd w:val="clear" w:color="auto" w:fill="E5E6E7"/>
          </w:tcPr>
          <w:p>
            <w:pPr>
              <w:ind w:left="200"/>
              <w:spacing w:after="0" w:line="197" w:lineRule="exact"/>
              <w:rPr>
                <w:sz w:val="20"/>
                <w:szCs w:val="20"/>
                <w:color w:val="auto"/>
              </w:rPr>
            </w:pPr>
            <w:r>
              <w:rPr>
                <w:rFonts w:ascii="Times New Roman" w:cs="Times New Roman" w:eastAsia="Times New Roman" w:hAnsi="Times New Roman"/>
                <w:sz w:val="18"/>
                <w:szCs w:val="18"/>
                <w:color w:val="454546"/>
              </w:rPr>
              <w:t>Total other income, net</w:t>
            </w:r>
          </w:p>
        </w:tc>
        <w:tc>
          <w:tcPr>
            <w:tcW w:w="240" w:type="dxa"/>
            <w:vAlign w:val="bottom"/>
            <w:tcBorders>
              <w:bottom w:val="single" w:sz="8" w:color="454546"/>
            </w:tcBorders>
            <w:shd w:val="clear" w:color="auto" w:fill="E5E6E7"/>
          </w:tcPr>
          <w:p>
            <w:pPr>
              <w:spacing w:after="0"/>
              <w:rPr>
                <w:sz w:val="17"/>
                <w:szCs w:val="17"/>
                <w:color w:val="auto"/>
              </w:rPr>
            </w:pPr>
          </w:p>
        </w:tc>
        <w:tc>
          <w:tcPr>
            <w:tcW w:w="90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7,109</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tcBorders>
              <w:bottom w:val="single" w:sz="8" w:color="454546"/>
            </w:tcBorders>
            <w:shd w:val="clear" w:color="auto" w:fill="E5E6E7"/>
          </w:tcPr>
          <w:p>
            <w:pPr>
              <w:spacing w:after="0"/>
              <w:rPr>
                <w:sz w:val="17"/>
                <w:szCs w:val="17"/>
                <w:color w:val="auto"/>
              </w:rPr>
            </w:pPr>
          </w:p>
        </w:tc>
        <w:tc>
          <w:tcPr>
            <w:tcW w:w="76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1,956</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180" w:type="dxa"/>
            <w:vAlign w:val="bottom"/>
            <w:tcBorders>
              <w:bottom w:val="single" w:sz="8" w:color="454546"/>
            </w:tcBorders>
            <w:shd w:val="clear" w:color="auto" w:fill="E5E6E7"/>
          </w:tcPr>
          <w:p>
            <w:pPr>
              <w:spacing w:after="0"/>
              <w:rPr>
                <w:sz w:val="17"/>
                <w:szCs w:val="17"/>
                <w:color w:val="auto"/>
              </w:rPr>
            </w:pPr>
          </w:p>
        </w:tc>
        <w:tc>
          <w:tcPr>
            <w:tcW w:w="96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5,153</w:t>
            </w:r>
          </w:p>
        </w:tc>
        <w:tc>
          <w:tcPr>
            <w:tcW w:w="220" w:type="dxa"/>
            <w:vAlign w:val="bottom"/>
            <w:shd w:val="clear" w:color="auto" w:fill="E5E6E7"/>
          </w:tcPr>
          <w:p>
            <w:pPr>
              <w:spacing w:after="0"/>
              <w:rPr>
                <w:sz w:val="17"/>
                <w:szCs w:val="17"/>
                <w:color w:val="auto"/>
              </w:rPr>
            </w:pPr>
          </w:p>
        </w:tc>
        <w:tc>
          <w:tcPr>
            <w:tcW w:w="1220" w:type="dxa"/>
            <w:vAlign w:val="bottom"/>
            <w:tcBorders>
              <w:bottom w:val="single" w:sz="8" w:color="454546"/>
            </w:tcBorders>
            <w:shd w:val="clear" w:color="auto" w:fill="E5E6E7"/>
          </w:tcPr>
          <w:p>
            <w:pPr>
              <w:jc w:val="center"/>
              <w:spacing w:after="0" w:line="197" w:lineRule="exact"/>
              <w:rPr>
                <w:sz w:val="20"/>
                <w:szCs w:val="20"/>
                <w:color w:val="auto"/>
              </w:rPr>
            </w:pPr>
            <w:r>
              <w:rPr>
                <w:rFonts w:ascii="Times New Roman" w:cs="Times New Roman" w:eastAsia="Times New Roman" w:hAnsi="Times New Roman"/>
                <w:sz w:val="18"/>
                <w:szCs w:val="18"/>
                <w:color w:val="454546"/>
                <w:w w:val="99"/>
              </w:rPr>
              <w:t>263%</w:t>
            </w:r>
          </w:p>
        </w:tc>
        <w:tc>
          <w:tcPr>
            <w:tcW w:w="0" w:type="dxa"/>
            <w:vAlign w:val="bottom"/>
          </w:tcPr>
          <w:p>
            <w:pPr>
              <w:spacing w:after="0"/>
              <w:rPr>
                <w:sz w:val="1"/>
                <w:szCs w:val="1"/>
                <w:color w:val="auto"/>
              </w:rPr>
            </w:pPr>
          </w:p>
        </w:tc>
      </w:tr>
      <w:tr>
        <w:trPr>
          <w:trHeight w:val="197"/>
        </w:trPr>
        <w:tc>
          <w:tcPr>
            <w:tcW w:w="40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454546"/>
              </w:rPr>
              <w:t>Net loss</w:t>
            </w:r>
          </w:p>
        </w:tc>
        <w:tc>
          <w:tcPr>
            <w:tcW w:w="240" w:type="dxa"/>
            <w:vAlign w:val="bottom"/>
            <w:tcBorders>
              <w:bottom w:val="single" w:sz="8" w:color="454546"/>
            </w:tcBorders>
          </w:tcPr>
          <w:p>
            <w:pPr>
              <w:jc w:val="right"/>
              <w:ind w:right="5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0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(124,084)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454546"/>
            </w:tcBorders>
          </w:tcPr>
          <w:p>
            <w:pPr>
              <w:jc w:val="right"/>
              <w:ind w:right="19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76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(123,665)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6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(419)</w:t>
            </w:r>
          </w:p>
        </w:tc>
        <w:tc>
          <w:tcPr>
            <w:tcW w:w="220" w:type="dxa"/>
            <w:vAlign w:val="bottom"/>
          </w:tcPr>
          <w:p>
            <w:pPr>
              <w:spacing w:after="0"/>
              <w:rPr>
                <w:sz w:val="17"/>
                <w:szCs w:val="17"/>
                <w:color w:val="auto"/>
              </w:rPr>
            </w:pPr>
          </w:p>
        </w:tc>
        <w:tc>
          <w:tcPr>
            <w:tcW w:w="1220" w:type="dxa"/>
            <w:vAlign w:val="bottom"/>
            <w:tcBorders>
              <w:bottom w:val="single" w:sz="8" w:color="454546"/>
            </w:tcBorders>
          </w:tcPr>
          <w:p>
            <w:pPr>
              <w:jc w:val="center"/>
              <w:spacing w:after="0" w:line="197" w:lineRule="exact"/>
              <w:rPr>
                <w:sz w:val="20"/>
                <w:szCs w:val="20"/>
                <w:color w:val="auto"/>
              </w:rPr>
            </w:pPr>
            <w:r>
              <w:rPr>
                <w:rFonts w:ascii="Times New Roman" w:cs="Times New Roman" w:eastAsia="Times New Roman" w:hAnsi="Times New Roman"/>
                <w:sz w:val="18"/>
                <w:szCs w:val="18"/>
                <w:color w:val="454546"/>
                <w:w w:val="99"/>
              </w:rPr>
              <w:t>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90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7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454546"/>
        </w:rPr>
        <w:t>NM - Not Meaningful</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8"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454546"/>
        </w:rPr>
        <w:t>We expense all research and development costs in the periods in which they are incurred. We enter into various agreements with CROs. Costs of certain research and development activities are recognized based on estimates from a number of factors, including an evaluation of the progress of the activities, as well as input from external service providers.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our research and development expenses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454546"/>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454546"/>
              </w:rPr>
              <w:t>$</w:t>
            </w:r>
          </w:p>
        </w:tc>
        <w:tc>
          <w:tcPr>
            <w:tcW w:w="2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2260" w:type="dxa"/>
            <w:vAlign w:val="bottom"/>
            <w:tcBorders>
              <w:bottom w:val="single" w:sz="8" w:color="454546"/>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454546"/>
              </w:rPr>
              <w:t>(in thousands, except percentages)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454546"/>
                <w:w w:val="99"/>
              </w:rPr>
              <w:t>2022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00"/>
              <w:spacing w:after="0" w:line="197" w:lineRule="exact"/>
              <w:rPr>
                <w:sz w:val="20"/>
                <w:szCs w:val="20"/>
                <w:color w:val="auto"/>
              </w:rPr>
            </w:pPr>
            <w:r>
              <w:rPr>
                <w:rFonts w:ascii="Times New Roman" w:cs="Times New Roman" w:eastAsia="Times New Roman" w:hAnsi="Times New Roman"/>
                <w:sz w:val="18"/>
                <w:szCs w:val="18"/>
                <w:b w:val="1"/>
                <w:bCs w:val="1"/>
                <w:color w:val="454546"/>
              </w:rPr>
              <w:t>Change</w:t>
            </w:r>
          </w:p>
        </w:tc>
        <w:tc>
          <w:tcPr>
            <w:tcW w:w="122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454546"/>
              </w:rPr>
              <w:t>Change</w:t>
            </w:r>
          </w:p>
        </w:tc>
        <w:tc>
          <w:tcPr>
            <w:tcW w:w="0" w:type="dxa"/>
            <w:vAlign w:val="bottom"/>
          </w:tcPr>
          <w:p>
            <w:pPr>
              <w:spacing w:after="0"/>
              <w:rPr>
                <w:sz w:val="1"/>
                <w:szCs w:val="1"/>
                <w:color w:val="auto"/>
              </w:rPr>
            </w:pPr>
          </w:p>
        </w:tc>
      </w:tr>
      <w:tr>
        <w:trPr>
          <w:trHeight w:val="197"/>
        </w:trPr>
        <w:tc>
          <w:tcPr>
            <w:tcW w:w="364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Personnel-related costs</w:t>
            </w:r>
          </w:p>
        </w:tc>
        <w:tc>
          <w:tcPr>
            <w:tcW w:w="420" w:type="dxa"/>
            <w:vAlign w:val="bottom"/>
            <w:tcBorders>
              <w:top w:val="single" w:sz="8" w:color="E5E6E7"/>
            </w:tcBorders>
            <w:shd w:val="clear" w:color="auto" w:fill="E5E6E7"/>
          </w:tcPr>
          <w:p>
            <w:pPr>
              <w:spacing w:after="0"/>
              <w:rPr>
                <w:sz w:val="17"/>
                <w:szCs w:val="17"/>
                <w:color w:val="auto"/>
              </w:rPr>
            </w:pPr>
          </w:p>
        </w:tc>
        <w:tc>
          <w:tcPr>
            <w:tcW w:w="240" w:type="dxa"/>
            <w:vAlign w:val="bottom"/>
            <w:tcBorders>
              <w:top w:val="single" w:sz="8" w:color="454546"/>
            </w:tcBorders>
            <w:shd w:val="clear" w:color="auto" w:fill="E5E6E7"/>
          </w:tcPr>
          <w:p>
            <w:pPr>
              <w:jc w:val="right"/>
              <w:ind w:right="5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0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38,250</w:t>
            </w:r>
          </w:p>
        </w:tc>
        <w:tc>
          <w:tcPr>
            <w:tcW w:w="220" w:type="dxa"/>
            <w:vAlign w:val="bottom"/>
            <w:tcBorders>
              <w:top w:val="single" w:sz="8" w:color="E5E6E7"/>
            </w:tcBorders>
            <w:shd w:val="clear" w:color="auto" w:fill="E5E6E7"/>
          </w:tcPr>
          <w:p>
            <w:pPr>
              <w:spacing w:after="0"/>
              <w:rPr>
                <w:sz w:val="17"/>
                <w:szCs w:val="17"/>
                <w:color w:val="auto"/>
              </w:rPr>
            </w:pPr>
          </w:p>
        </w:tc>
        <w:tc>
          <w:tcPr>
            <w:tcW w:w="380" w:type="dxa"/>
            <w:vAlign w:val="bottom"/>
            <w:tcBorders>
              <w:top w:val="single" w:sz="8" w:color="454546"/>
            </w:tcBorders>
            <w:shd w:val="clear" w:color="auto" w:fill="E5E6E7"/>
          </w:tcPr>
          <w:p>
            <w:pPr>
              <w:jc w:val="right"/>
              <w:ind w:right="19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76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29,369</w:t>
            </w:r>
          </w:p>
        </w:tc>
        <w:tc>
          <w:tcPr>
            <w:tcW w:w="220" w:type="dxa"/>
            <w:vAlign w:val="bottom"/>
            <w:tcBorders>
              <w:top w:val="single" w:sz="8" w:color="E5E6E7"/>
            </w:tcBorders>
            <w:shd w:val="clear" w:color="auto" w:fill="E5E6E7"/>
          </w:tcPr>
          <w:p>
            <w:pPr>
              <w:spacing w:after="0"/>
              <w:rPr>
                <w:sz w:val="17"/>
                <w:szCs w:val="17"/>
                <w:color w:val="auto"/>
              </w:rPr>
            </w:pPr>
          </w:p>
        </w:tc>
        <w:tc>
          <w:tcPr>
            <w:tcW w:w="18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6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8,881</w:t>
            </w:r>
          </w:p>
        </w:tc>
        <w:tc>
          <w:tcPr>
            <w:tcW w:w="220" w:type="dxa"/>
            <w:vAlign w:val="bottom"/>
            <w:tcBorders>
              <w:top w:val="single" w:sz="8" w:color="E5E6E7"/>
            </w:tcBorders>
            <w:shd w:val="clear" w:color="auto" w:fill="E5E6E7"/>
          </w:tcPr>
          <w:p>
            <w:pPr>
              <w:spacing w:after="0"/>
              <w:rPr>
                <w:sz w:val="17"/>
                <w:szCs w:val="17"/>
                <w:color w:val="auto"/>
              </w:rPr>
            </w:pPr>
          </w:p>
        </w:tc>
        <w:tc>
          <w:tcPr>
            <w:tcW w:w="1220" w:type="dxa"/>
            <w:vAlign w:val="bottom"/>
            <w:tcBorders>
              <w:top w:val="single" w:sz="8" w:color="454546"/>
            </w:tcBorders>
            <w:shd w:val="clear" w:color="auto" w:fill="E5E6E7"/>
          </w:tcPr>
          <w:p>
            <w:pPr>
              <w:jc w:val="center"/>
              <w:spacing w:after="0" w:line="197" w:lineRule="exact"/>
              <w:rPr>
                <w:sz w:val="20"/>
                <w:szCs w:val="20"/>
                <w:color w:val="auto"/>
              </w:rPr>
            </w:pPr>
            <w:r>
              <w:rPr>
                <w:rFonts w:ascii="Times New Roman" w:cs="Times New Roman" w:eastAsia="Times New Roman" w:hAnsi="Times New Roman"/>
                <w:sz w:val="18"/>
                <w:szCs w:val="18"/>
                <w:color w:val="454546"/>
              </w:rPr>
              <w:t>30%</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454546"/>
              </w:rPr>
              <w:t>Facility and laboratory costs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30,348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33,095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(2,747)</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(8%)</w:t>
            </w:r>
          </w:p>
        </w:tc>
        <w:tc>
          <w:tcPr>
            <w:tcW w:w="0" w:type="dxa"/>
            <w:vAlign w:val="bottom"/>
          </w:tcPr>
          <w:p>
            <w:pPr>
              <w:spacing w:after="0"/>
              <w:rPr>
                <w:sz w:val="1"/>
                <w:szCs w:val="1"/>
                <w:color w:val="auto"/>
              </w:rPr>
            </w:pPr>
          </w:p>
        </w:tc>
      </w:tr>
      <w:tr>
        <w:trPr>
          <w:trHeight w:val="207"/>
        </w:trPr>
        <w:tc>
          <w:tcPr>
            <w:tcW w:w="36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Outside services</w:t>
            </w:r>
          </w:p>
        </w:tc>
        <w:tc>
          <w:tcPr>
            <w:tcW w:w="420" w:type="dxa"/>
            <w:vAlign w:val="bottom"/>
            <w:shd w:val="clear" w:color="auto" w:fill="E5E6E7"/>
          </w:tcPr>
          <w:p>
            <w:pPr>
              <w:spacing w:after="0"/>
              <w:rPr>
                <w:sz w:val="17"/>
                <w:szCs w:val="17"/>
                <w:color w:val="auto"/>
              </w:rPr>
            </w:pPr>
          </w:p>
        </w:tc>
        <w:tc>
          <w:tcPr>
            <w:tcW w:w="240" w:type="dxa"/>
            <w:vAlign w:val="bottom"/>
            <w:shd w:val="clear" w:color="auto" w:fill="E5E6E7"/>
          </w:tcPr>
          <w:p>
            <w:pPr>
              <w:spacing w:after="0"/>
              <w:rPr>
                <w:sz w:val="17"/>
                <w:szCs w:val="17"/>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27,102</w:t>
            </w:r>
          </w:p>
        </w:tc>
        <w:tc>
          <w:tcPr>
            <w:tcW w:w="22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30,930</w:t>
            </w:r>
          </w:p>
        </w:tc>
        <w:tc>
          <w:tcPr>
            <w:tcW w:w="220" w:type="dxa"/>
            <w:vAlign w:val="bottom"/>
            <w:shd w:val="clear" w:color="auto" w:fill="E5E6E7"/>
          </w:tcPr>
          <w:p>
            <w:pPr>
              <w:spacing w:after="0"/>
              <w:rPr>
                <w:sz w:val="17"/>
                <w:szCs w:val="17"/>
                <w:color w:val="auto"/>
              </w:rPr>
            </w:pPr>
          </w:p>
        </w:tc>
        <w:tc>
          <w:tcPr>
            <w:tcW w:w="180" w:type="dxa"/>
            <w:vAlign w:val="bottom"/>
            <w:shd w:val="clear" w:color="auto" w:fill="E5E6E7"/>
          </w:tcPr>
          <w:p>
            <w:pPr>
              <w:spacing w:after="0"/>
              <w:rPr>
                <w:sz w:val="17"/>
                <w:szCs w:val="17"/>
                <w:color w:val="auto"/>
              </w:rPr>
            </w:pPr>
          </w:p>
        </w:tc>
        <w:tc>
          <w:tcPr>
            <w:tcW w:w="118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18"/>
                <w:szCs w:val="18"/>
                <w:color w:val="454546"/>
              </w:rPr>
              <w:t>(3,828)</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rPr>
              <w:t>(12%)</w:t>
            </w:r>
          </w:p>
        </w:tc>
        <w:tc>
          <w:tcPr>
            <w:tcW w:w="0" w:type="dxa"/>
            <w:vAlign w:val="bottom"/>
          </w:tcPr>
          <w:p>
            <w:pPr>
              <w:spacing w:after="0"/>
              <w:rPr>
                <w:sz w:val="1"/>
                <w:szCs w:val="1"/>
                <w:color w:val="auto"/>
              </w:rPr>
            </w:pPr>
          </w:p>
        </w:tc>
      </w:tr>
      <w:tr>
        <w:trPr>
          <w:trHeight w:val="207"/>
        </w:trPr>
        <w:tc>
          <w:tcPr>
            <w:tcW w:w="36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Other research and development expenses</w:t>
            </w:r>
          </w:p>
        </w:tc>
        <w:tc>
          <w:tcPr>
            <w:tcW w:w="420" w:type="dxa"/>
            <w:vAlign w:val="bottom"/>
            <w:tcBorders>
              <w:bottom w:val="single" w:sz="8" w:color="E5E6E7"/>
            </w:tcBorders>
          </w:tcPr>
          <w:p>
            <w:pPr>
              <w:spacing w:after="0"/>
              <w:rPr>
                <w:sz w:val="17"/>
                <w:szCs w:val="17"/>
                <w:color w:val="auto"/>
              </w:rPr>
            </w:pPr>
          </w:p>
        </w:tc>
        <w:tc>
          <w:tcPr>
            <w:tcW w:w="24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2,338</w:t>
            </w:r>
          </w:p>
        </w:tc>
        <w:tc>
          <w:tcPr>
            <w:tcW w:w="220" w:type="dxa"/>
            <w:vAlign w:val="bottom"/>
            <w:tcBorders>
              <w:bottom w:val="single" w:sz="8" w:color="E5E6E7"/>
            </w:tcBorders>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1,143</w:t>
            </w:r>
          </w:p>
        </w:tc>
        <w:tc>
          <w:tcPr>
            <w:tcW w:w="220" w:type="dxa"/>
            <w:vAlign w:val="bottom"/>
            <w:tcBorders>
              <w:bottom w:val="single" w:sz="8" w:color="E5E6E7"/>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1,195</w:t>
            </w:r>
          </w:p>
        </w:tc>
        <w:tc>
          <w:tcPr>
            <w:tcW w:w="220" w:type="dxa"/>
            <w:vAlign w:val="bottom"/>
            <w:tcBorders>
              <w:bottom w:val="single" w:sz="8" w:color="E5E6E7"/>
            </w:tcBorders>
          </w:tcPr>
          <w:p>
            <w:pPr>
              <w:spacing w:after="0"/>
              <w:rPr>
                <w:sz w:val="17"/>
                <w:szCs w:val="17"/>
                <w:color w:val="auto"/>
              </w:rPr>
            </w:pPr>
          </w:p>
        </w:tc>
        <w:tc>
          <w:tcPr>
            <w:tcW w:w="12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105%</w:t>
            </w:r>
          </w:p>
        </w:tc>
        <w:tc>
          <w:tcPr>
            <w:tcW w:w="0" w:type="dxa"/>
            <w:vAlign w:val="bottom"/>
          </w:tcPr>
          <w:p>
            <w:pPr>
              <w:spacing w:after="0"/>
              <w:rPr>
                <w:sz w:val="1"/>
                <w:szCs w:val="1"/>
                <w:color w:val="auto"/>
              </w:rPr>
            </w:pPr>
          </w:p>
        </w:tc>
      </w:tr>
      <w:tr>
        <w:trPr>
          <w:trHeight w:val="197"/>
        </w:trPr>
        <w:tc>
          <w:tcPr>
            <w:tcW w:w="3640" w:type="dxa"/>
            <w:vAlign w:val="bottom"/>
            <w:shd w:val="clear" w:color="auto" w:fill="E5E6E7"/>
          </w:tcPr>
          <w:p>
            <w:pPr>
              <w:ind w:left="200"/>
              <w:spacing w:after="0" w:line="197" w:lineRule="exact"/>
              <w:rPr>
                <w:sz w:val="20"/>
                <w:szCs w:val="20"/>
                <w:color w:val="auto"/>
              </w:rPr>
            </w:pPr>
            <w:r>
              <w:rPr>
                <w:rFonts w:ascii="Times New Roman" w:cs="Times New Roman" w:eastAsia="Times New Roman" w:hAnsi="Times New Roman"/>
                <w:sz w:val="18"/>
                <w:szCs w:val="18"/>
                <w:color w:val="454546"/>
              </w:rPr>
              <w:t>Total research and development expenses</w:t>
            </w:r>
          </w:p>
        </w:tc>
        <w:tc>
          <w:tcPr>
            <w:tcW w:w="420" w:type="dxa"/>
            <w:vAlign w:val="bottom"/>
            <w:shd w:val="clear" w:color="auto" w:fill="E5E6E7"/>
          </w:tcPr>
          <w:p>
            <w:pPr>
              <w:spacing w:after="0"/>
              <w:rPr>
                <w:sz w:val="17"/>
                <w:szCs w:val="17"/>
                <w:color w:val="auto"/>
              </w:rPr>
            </w:pPr>
          </w:p>
        </w:tc>
        <w:tc>
          <w:tcPr>
            <w:tcW w:w="240" w:type="dxa"/>
            <w:vAlign w:val="bottom"/>
            <w:tcBorders>
              <w:bottom w:val="single" w:sz="8" w:color="454546"/>
            </w:tcBorders>
            <w:shd w:val="clear" w:color="auto" w:fill="E5E6E7"/>
          </w:tcPr>
          <w:p>
            <w:pPr>
              <w:jc w:val="right"/>
              <w:ind w:right="5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0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98,038</w:t>
            </w:r>
          </w:p>
        </w:tc>
        <w:tc>
          <w:tcPr>
            <w:tcW w:w="220" w:type="dxa"/>
            <w:vAlign w:val="bottom"/>
            <w:shd w:val="clear" w:color="auto" w:fill="E5E6E7"/>
          </w:tcPr>
          <w:p>
            <w:pPr>
              <w:spacing w:after="0"/>
              <w:rPr>
                <w:sz w:val="17"/>
                <w:szCs w:val="17"/>
                <w:color w:val="auto"/>
              </w:rPr>
            </w:pPr>
          </w:p>
        </w:tc>
        <w:tc>
          <w:tcPr>
            <w:tcW w:w="380" w:type="dxa"/>
            <w:vAlign w:val="bottom"/>
            <w:tcBorders>
              <w:bottom w:val="single" w:sz="8" w:color="454546"/>
            </w:tcBorders>
            <w:shd w:val="clear" w:color="auto" w:fill="E5E6E7"/>
          </w:tcPr>
          <w:p>
            <w:pPr>
              <w:jc w:val="right"/>
              <w:ind w:right="19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76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94,537</w:t>
            </w:r>
          </w:p>
        </w:tc>
        <w:tc>
          <w:tcPr>
            <w:tcW w:w="220" w:type="dxa"/>
            <w:vAlign w:val="bottom"/>
            <w:shd w:val="clear" w:color="auto" w:fill="E5E6E7"/>
          </w:tcPr>
          <w:p>
            <w:pPr>
              <w:spacing w:after="0"/>
              <w:rPr>
                <w:sz w:val="17"/>
                <w:szCs w:val="17"/>
                <w:color w:val="auto"/>
              </w:rPr>
            </w:pPr>
          </w:p>
        </w:tc>
        <w:tc>
          <w:tcPr>
            <w:tcW w:w="18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6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3,501</w:t>
            </w:r>
          </w:p>
        </w:tc>
        <w:tc>
          <w:tcPr>
            <w:tcW w:w="220" w:type="dxa"/>
            <w:vAlign w:val="bottom"/>
            <w:shd w:val="clear" w:color="auto" w:fill="E5E6E7"/>
          </w:tcPr>
          <w:p>
            <w:pPr>
              <w:spacing w:after="0"/>
              <w:rPr>
                <w:sz w:val="17"/>
                <w:szCs w:val="17"/>
                <w:color w:val="auto"/>
              </w:rPr>
            </w:pPr>
          </w:p>
        </w:tc>
        <w:tc>
          <w:tcPr>
            <w:tcW w:w="1220" w:type="dxa"/>
            <w:vAlign w:val="bottom"/>
            <w:tcBorders>
              <w:bottom w:val="single" w:sz="8" w:color="454546"/>
            </w:tcBorders>
            <w:shd w:val="clear" w:color="auto" w:fill="E5E6E7"/>
          </w:tcPr>
          <w:p>
            <w:pPr>
              <w:jc w:val="center"/>
              <w:spacing w:after="0" w:line="197" w:lineRule="exact"/>
              <w:rPr>
                <w:sz w:val="20"/>
                <w:szCs w:val="20"/>
                <w:color w:val="auto"/>
              </w:rPr>
            </w:pPr>
            <w:r>
              <w:rPr>
                <w:rFonts w:ascii="Times New Roman" w:cs="Times New Roman" w:eastAsia="Times New Roman" w:hAnsi="Times New Roman"/>
                <w:sz w:val="18"/>
                <w:szCs w:val="18"/>
                <w:color w:val="454546"/>
                <w:w w:val="99"/>
              </w:rPr>
              <w:t>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90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76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Research and development expenses were $98.0 million and $94.5 million for the years ended December 31, 2023 and 2022, respectively. The increase of $3.5 million, or 4%, was primarily due to:</w:t>
      </w:r>
    </w:p>
    <w:p>
      <w:pPr>
        <w:spacing w:after="0" w:line="63" w:lineRule="exact"/>
        <w:rPr>
          <w:sz w:val="20"/>
          <w:szCs w:val="20"/>
          <w:color w:val="auto"/>
        </w:rPr>
      </w:pPr>
    </w:p>
    <w:p>
      <w:pPr>
        <w:ind w:left="980" w:right="640" w:hanging="491"/>
        <w:spacing w:after="0" w:line="258" w:lineRule="auto"/>
        <w:tabs>
          <w:tab w:leader="none" w:pos="980" w:val="left"/>
        </w:tabs>
        <w:numPr>
          <w:ilvl w:val="0"/>
          <w:numId w:val="47"/>
        </w:numPr>
        <w:rPr>
          <w:rFonts w:ascii="Arial" w:cs="Arial" w:eastAsia="Arial" w:hAnsi="Arial"/>
          <w:sz w:val="20"/>
          <w:szCs w:val="20"/>
          <w:color w:val="454546"/>
        </w:rPr>
      </w:pPr>
      <w:r>
        <w:rPr>
          <w:rFonts w:ascii="Times New Roman" w:cs="Times New Roman" w:eastAsia="Times New Roman" w:hAnsi="Times New Roman"/>
          <w:sz w:val="20"/>
          <w:szCs w:val="20"/>
          <w:color w:val="454546"/>
        </w:rPr>
        <w:t>an increase of $8.9 million in personnel-related costs primarily driven by higher stock-based compensation and higher payroll tax expense. In 2022, we recorded employee tax credits of $2.2 million. These increases were partially offset by</w:t>
      </w:r>
    </w:p>
    <w:p>
      <w:pPr>
        <w:spacing w:after="0" w:line="81" w:lineRule="exact"/>
        <w:rPr>
          <w:rFonts w:ascii="Arial" w:cs="Arial" w:eastAsia="Arial" w:hAnsi="Arial"/>
          <w:sz w:val="20"/>
          <w:szCs w:val="20"/>
          <w:color w:val="454546"/>
        </w:rPr>
      </w:pPr>
    </w:p>
    <w:p>
      <w:pPr>
        <w:ind w:left="980" w:right="420" w:hanging="491"/>
        <w:spacing w:after="0" w:line="276" w:lineRule="auto"/>
        <w:tabs>
          <w:tab w:leader="none" w:pos="980" w:val="left"/>
        </w:tabs>
        <w:numPr>
          <w:ilvl w:val="0"/>
          <w:numId w:val="47"/>
        </w:numPr>
        <w:rPr>
          <w:rFonts w:ascii="Arial" w:cs="Arial" w:eastAsia="Arial" w:hAnsi="Arial"/>
          <w:sz w:val="20"/>
          <w:szCs w:val="20"/>
          <w:color w:val="454546"/>
        </w:rPr>
      </w:pPr>
      <w:r>
        <w:rPr>
          <w:rFonts w:ascii="Times New Roman" w:cs="Times New Roman" w:eastAsia="Times New Roman" w:hAnsi="Times New Roman"/>
          <w:sz w:val="20"/>
          <w:szCs w:val="20"/>
          <w:color w:val="454546"/>
        </w:rPr>
        <w:t>a decrease of $3.8 million in outside services costs primarily driven by a reduction in IND-enabling activities.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process of conducting the necessary research to advance through the clinical stages and ultimately obtain</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92</w:t>
      </w:r>
    </w:p>
    <w:p>
      <w:pPr>
        <w:sectPr>
          <w:pgSz w:w="11880" w:h="15480" w:orient="portrait"/>
          <w:cols w:equalWidth="0" w:num="1">
            <w:col w:w="9360"/>
          </w:cols>
          <w:pgMar w:left="1260" w:top="1236" w:right="1260" w:bottom="0" w:gutter="0" w:footer="0" w:header="0"/>
          <w:type w:val="continuous"/>
        </w:sectPr>
      </w:pPr>
    </w:p>
    <w:bookmarkStart w:id="96" w:name="page97"/>
    <w:bookmarkEnd w:id="96"/>
    <w:p>
      <w:pPr>
        <w:ind w:right="300"/>
        <w:spacing w:after="0" w:line="265" w:lineRule="auto"/>
        <w:rPr>
          <w:sz w:val="20"/>
          <w:szCs w:val="20"/>
          <w:color w:val="auto"/>
        </w:rPr>
      </w:pPr>
      <w:r>
        <w:rPr>
          <w:rFonts w:ascii="Times New Roman" w:cs="Times New Roman" w:eastAsia="Times New Roman" w:hAnsi="Times New Roman"/>
          <w:sz w:val="19"/>
          <w:szCs w:val="19"/>
          <w:color w:val="454546"/>
        </w:rPr>
        <w:t>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remain relatively flat for the next twelve months.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General and Administrative</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We will continue to incur legal, accounting, insurance and other expenses in operating our business as a public company, including costs associated with regulatory and compliance activities. However, we expect that our general and administrative expenses will remain relatively flat for the next twelve months.</w:t>
      </w:r>
    </w:p>
    <w:p>
      <w:pPr>
        <w:spacing w:after="0" w:line="6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General and administrative expenses were $33.2 million and $31.1 million for the years ended December 31, 2023 and 2022, respectively. The increase of $2.1 million, or 7%, was primarily due to an increase in stock-based compensation driven by annual refresh awards that were granted during the first quarter of 2023.</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Interest Income</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Interest income primarily consists of interest earned on our cash, cash equivalents and investment balances. The year-over-year increase of $5.1 million was primarily due to higher interest rates on investments during the year ended December 31, 2023.</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Net Loss</w:t>
      </w:r>
    </w:p>
    <w:p>
      <w:pPr>
        <w:spacing w:after="0" w:line="12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Net loss for the year ended December 31, 2023, was $124.1 million, compared to a net loss of $123.7 million for the year ended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Liquidity and Capital Resources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Sources of Liquidity</w:t>
      </w:r>
    </w:p>
    <w:p>
      <w:pPr>
        <w:spacing w:after="0" w:line="120"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454546"/>
        </w:rPr>
        <w:t>Since our inception, we have not generated any revenue and we have incurred significant net losses and negative cash flows from operations. From our inception through December 31, 2023, we have funded our operations primarily from the sale and issuance of our equity securities. As of December 31, 2023, we had cash, cash equivalents and investments in marketable securities of $104.6 million and an accumulated deficit of $403.3 million.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Follow-on Offerings</w:t>
      </w:r>
    </w:p>
    <w:p>
      <w:pPr>
        <w:spacing w:after="0" w:line="12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pre-funded warrants can be exercised at any time after issuance for an exercise price of $0.001 per share, subject to certain ownership limitations. The Company received net proceeds of approximately $46.5 million, after deducting underwriting discounts and commissions of approximately $3.0 million and other offering expenses of approximately $0.5 million.</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93</w:t>
      </w:r>
    </w:p>
    <w:p>
      <w:pPr>
        <w:sectPr>
          <w:pgSz w:w="11880" w:h="15480" w:orient="portrait"/>
          <w:cols w:equalWidth="0" w:num="1">
            <w:col w:w="9340"/>
          </w:cols>
          <w:pgMar w:left="1260" w:top="1240" w:right="1280" w:bottom="0" w:gutter="0" w:footer="0" w:header="0"/>
          <w:type w:val="continuous"/>
        </w:sectPr>
      </w:pPr>
    </w:p>
    <w:bookmarkStart w:id="97" w:name="page98"/>
    <w:bookmarkEnd w:id="97"/>
    <w:p>
      <w:pPr>
        <w:ind w:right="100"/>
        <w:spacing w:after="0" w:line="252" w:lineRule="auto"/>
        <w:rPr>
          <w:sz w:val="20"/>
          <w:szCs w:val="20"/>
          <w:color w:val="auto"/>
        </w:rPr>
      </w:pPr>
      <w:r>
        <w:rPr>
          <w:rFonts w:ascii="Times New Roman" w:cs="Times New Roman" w:eastAsia="Times New Roman" w:hAnsi="Times New Roman"/>
          <w:sz w:val="20"/>
          <w:szCs w:val="20"/>
          <w:color w:val="454546"/>
        </w:rPr>
        <w:t>exercised the option and purchased an additional 2,816,409 shares of our common stock. We received total net proceeds of approximately $76.9 million after deducting underwriting discounts and commissions of approximately $4.9 million and offering expenses of approximately $0.5 million. As of December 31, 2023, pre-funded warrants for 5,934,176 shares of common stock remained outstanding.</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“At-the-Market” Equity Offering</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As of December 31, 2023, we may issue and sell up to approximately $71.0 million in additional shares of our common stock under the ATM.</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Funding Requirements</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We expect that we continue to incur operating losses over the foreseeable future. Our operating expenses are expected to remain relatively flat for the next twelve months but may increase in the future, if and as we:</w:t>
      </w:r>
    </w:p>
    <w:p>
      <w:pPr>
        <w:spacing w:after="0" w:line="63" w:lineRule="exact"/>
        <w:rPr>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continue to advance our lead gene therapy product candidates, TN-201 and TN-401;</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expand the scope of our existing clinical trials and transition into late-stage clinical development;</w:t>
      </w:r>
    </w:p>
    <w:p>
      <w:pPr>
        <w:spacing w:after="0" w:line="133" w:lineRule="exact"/>
        <w:rPr>
          <w:rFonts w:ascii="Arial" w:cs="Arial" w:eastAsia="Arial" w:hAnsi="Arial"/>
          <w:sz w:val="20"/>
          <w:szCs w:val="20"/>
          <w:color w:val="454546"/>
        </w:rPr>
      </w:pPr>
    </w:p>
    <w:p>
      <w:pPr>
        <w:ind w:left="980" w:right="320" w:hanging="491"/>
        <w:spacing w:after="0" w:line="276" w:lineRule="auto"/>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seek regulatory and marketing approvals of any of our product candidates that successfully complete clinical trials;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commercial-scale manufacturing capabilities;</w:t>
      </w:r>
    </w:p>
    <w:p>
      <w:pPr>
        <w:spacing w:after="0" w:line="133"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expand our operational, financial, and information systems and personnel to support our future product development and commercialization efforts;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seek to identify additional research programs and additional product candidates;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initiate preclinical studies and clinical trials for any additional product candidates we identify;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advance our future product candidates into clinical development;</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maintain, develop, expand, enforce, defend and protect our intellectual property portfolio;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continue to operate as a public company.</w:t>
      </w:r>
    </w:p>
    <w:p>
      <w:pPr>
        <w:spacing w:after="0" w:line="11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spacing w:after="0" w:line="68"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454546"/>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94</w:t>
      </w:r>
    </w:p>
    <w:p>
      <w:pPr>
        <w:sectPr>
          <w:pgSz w:w="11880" w:h="15480" w:orient="portrait"/>
          <w:cols w:equalWidth="0" w:num="1">
            <w:col w:w="9360"/>
          </w:cols>
          <w:pgMar w:left="1260" w:top="1240" w:right="1260" w:bottom="0" w:gutter="0" w:footer="0" w:header="0"/>
          <w:type w:val="continuous"/>
        </w:sectPr>
      </w:pPr>
    </w:p>
    <w:bookmarkStart w:id="98" w:name="page99"/>
    <w:bookmarkEnd w:id="98"/>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Cash Flows</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our cash flows for each of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4"/>
          </w:tcPr>
          <w:p>
            <w:pPr>
              <w:jc w:val="center"/>
              <w:ind w:left="650"/>
              <w:spacing w:after="0"/>
              <w:rPr>
                <w:sz w:val="20"/>
                <w:szCs w:val="20"/>
                <w:color w:val="auto"/>
              </w:rPr>
            </w:pPr>
            <w:r>
              <w:rPr>
                <w:rFonts w:ascii="Times New Roman" w:cs="Times New Roman" w:eastAsia="Times New Roman" w:hAnsi="Times New Roman"/>
                <w:sz w:val="16"/>
                <w:szCs w:val="16"/>
                <w:b w:val="1"/>
                <w:bCs w:val="1"/>
                <w:color w:val="454546"/>
              </w:rPr>
              <w:t>Year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2020" w:type="dxa"/>
            <w:vAlign w:val="bottom"/>
            <w:tcBorders>
              <w:bottom w:val="single" w:sz="8" w:color="454546"/>
            </w:tcBorders>
            <w:gridSpan w:val="4"/>
          </w:tcPr>
          <w:p>
            <w:pPr>
              <w:jc w:val="center"/>
              <w:ind w:left="650"/>
              <w:spacing w:after="0"/>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112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Borders>
              <w:bottom w:val="single" w:sz="8" w:color="454546"/>
            </w:tcBorders>
          </w:tcPr>
          <w:p>
            <w:pPr>
              <w:spacing w:after="0"/>
              <w:rPr>
                <w:sz w:val="15"/>
                <w:szCs w:val="15"/>
                <w:color w:val="auto"/>
              </w:rPr>
            </w:pPr>
          </w:p>
        </w:tc>
        <w:tc>
          <w:tcPr>
            <w:tcW w:w="1240" w:type="dxa"/>
            <w:vAlign w:val="bottom"/>
            <w:tcBorders>
              <w:bottom w:val="single" w:sz="8" w:color="454546"/>
            </w:tcBorders>
          </w:tcPr>
          <w:p>
            <w:pPr>
              <w:jc w:val="right"/>
              <w:ind w:right="57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454546"/>
            </w:tcBorders>
          </w:tcPr>
          <w:p>
            <w:pPr>
              <w:spacing w:after="0"/>
              <w:rPr>
                <w:sz w:val="15"/>
                <w:szCs w:val="15"/>
                <w:color w:val="auto"/>
              </w:rPr>
            </w:pPr>
          </w:p>
        </w:tc>
        <w:tc>
          <w:tcPr>
            <w:tcW w:w="1120" w:type="dxa"/>
            <w:vAlign w:val="bottom"/>
            <w:tcBorders>
              <w:bottom w:val="single" w:sz="8" w:color="454546"/>
            </w:tcBorders>
          </w:tcPr>
          <w:p>
            <w:pPr>
              <w:jc w:val="right"/>
              <w:ind w:right="544"/>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Pr>
          <w:p>
            <w:pPr>
              <w:spacing w:after="0"/>
              <w:rPr>
                <w:sz w:val="15"/>
                <w:szCs w:val="15"/>
                <w:color w:val="auto"/>
              </w:rPr>
            </w:pPr>
          </w:p>
        </w:tc>
      </w:tr>
      <w:tr>
        <w:trPr>
          <w:trHeight w:val="174"/>
        </w:trPr>
        <w:tc>
          <w:tcPr>
            <w:tcW w:w="5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70"/>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780" w:type="dxa"/>
            <w:vAlign w:val="bottom"/>
            <w:gridSpan w:val="3"/>
          </w:tcPr>
          <w:p>
            <w:pPr>
              <w:jc w:val="center"/>
              <w:ind w:right="40"/>
              <w:spacing w:after="0" w:line="174" w:lineRule="exact"/>
              <w:rPr>
                <w:sz w:val="20"/>
                <w:szCs w:val="20"/>
                <w:color w:val="auto"/>
              </w:rPr>
            </w:pPr>
            <w:r>
              <w:rPr>
                <w:rFonts w:ascii="Times New Roman" w:cs="Times New Roman" w:eastAsia="Times New Roman" w:hAnsi="Times New Roman"/>
                <w:sz w:val="16"/>
                <w:szCs w:val="16"/>
                <w:b w:val="1"/>
                <w:bCs w:val="1"/>
                <w:color w:val="454546"/>
                <w:w w:val="85"/>
              </w:rPr>
              <w:t>thousands)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2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Net cash provided by (used in):</w:t>
            </w:r>
          </w:p>
        </w:tc>
        <w:tc>
          <w:tcPr>
            <w:tcW w:w="540" w:type="dxa"/>
            <w:vAlign w:val="bottom"/>
            <w:shd w:val="clear" w:color="auto" w:fill="E5E6E7"/>
          </w:tcPr>
          <w:p>
            <w:pPr>
              <w:spacing w:after="0"/>
              <w:rPr>
                <w:sz w:val="19"/>
                <w:szCs w:val="19"/>
                <w:color w:val="auto"/>
              </w:rPr>
            </w:pPr>
          </w:p>
        </w:tc>
        <w:tc>
          <w:tcPr>
            <w:tcW w:w="380" w:type="dxa"/>
            <w:vAlign w:val="bottom"/>
            <w:shd w:val="clear" w:color="auto" w:fill="E5E6E7"/>
          </w:tcPr>
          <w:p>
            <w:pPr>
              <w:spacing w:after="0"/>
              <w:rPr>
                <w:sz w:val="19"/>
                <w:szCs w:val="19"/>
                <w:color w:val="auto"/>
              </w:rPr>
            </w:pPr>
          </w:p>
        </w:tc>
        <w:tc>
          <w:tcPr>
            <w:tcW w:w="1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500" w:type="dxa"/>
            <w:vAlign w:val="bottom"/>
            <w:shd w:val="clear" w:color="auto" w:fill="E5E6E7"/>
          </w:tcPr>
          <w:p>
            <w:pPr>
              <w:spacing w:after="0"/>
              <w:rPr>
                <w:sz w:val="19"/>
                <w:szCs w:val="19"/>
                <w:color w:val="auto"/>
              </w:rPr>
            </w:pPr>
          </w:p>
        </w:tc>
        <w:tc>
          <w:tcPr>
            <w:tcW w:w="11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Operating activities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(102,072)</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454546"/>
                <w:w w:val="9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(104,424)</w:t>
            </w:r>
          </w:p>
        </w:tc>
      </w:tr>
      <w:tr>
        <w:trPr>
          <w:trHeight w:val="230"/>
        </w:trPr>
        <w:tc>
          <w:tcPr>
            <w:tcW w:w="52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Investing activities</w:t>
            </w:r>
          </w:p>
        </w:tc>
        <w:tc>
          <w:tcPr>
            <w:tcW w:w="540" w:type="dxa"/>
            <w:vAlign w:val="bottom"/>
            <w:shd w:val="clear" w:color="auto" w:fill="E5E6E7"/>
          </w:tcPr>
          <w:p>
            <w:pPr>
              <w:spacing w:after="0"/>
              <w:rPr>
                <w:sz w:val="19"/>
                <w:szCs w:val="19"/>
                <w:color w:val="auto"/>
              </w:rPr>
            </w:pPr>
          </w:p>
        </w:tc>
        <w:tc>
          <w:tcPr>
            <w:tcW w:w="380" w:type="dxa"/>
            <w:vAlign w:val="bottom"/>
            <w:shd w:val="clear" w:color="auto" w:fill="E5E6E7"/>
          </w:tcPr>
          <w:p>
            <w:pPr>
              <w:spacing w:after="0"/>
              <w:rPr>
                <w:sz w:val="19"/>
                <w:szCs w:val="19"/>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48,715</w:t>
            </w:r>
          </w:p>
        </w:tc>
        <w:tc>
          <w:tcPr>
            <w:tcW w:w="1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500" w:type="dxa"/>
            <w:vAlign w:val="bottom"/>
            <w:shd w:val="clear" w:color="auto" w:fill="E5E6E7"/>
          </w:tcPr>
          <w:p>
            <w:pPr>
              <w:spacing w:after="0"/>
              <w:rPr>
                <w:sz w:val="19"/>
                <w:szCs w:val="19"/>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83,652</w:t>
            </w:r>
          </w:p>
        </w:tc>
        <w:tc>
          <w:tcPr>
            <w:tcW w:w="100" w:type="dxa"/>
            <w:vAlign w:val="bottom"/>
            <w:shd w:val="clear" w:color="auto" w:fill="E5E6E7"/>
          </w:tcPr>
          <w:p>
            <w:pPr>
              <w:spacing w:after="0"/>
              <w:rPr>
                <w:sz w:val="19"/>
                <w:szCs w:val="19"/>
                <w:color w:val="auto"/>
              </w:rPr>
            </w:pPr>
          </w:p>
        </w:tc>
      </w:tr>
      <w:tr>
        <w:trPr>
          <w:trHeight w:val="230"/>
        </w:trPr>
        <w:tc>
          <w:tcPr>
            <w:tcW w:w="520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Financing activities</w:t>
            </w:r>
          </w:p>
        </w:tc>
        <w:tc>
          <w:tcPr>
            <w:tcW w:w="540" w:type="dxa"/>
            <w:vAlign w:val="bottom"/>
            <w:tcBorders>
              <w:bottom w:val="single" w:sz="8" w:color="E5E6E7"/>
            </w:tcBorders>
          </w:tcPr>
          <w:p>
            <w:pPr>
              <w:spacing w:after="0"/>
              <w:rPr>
                <w:sz w:val="19"/>
                <w:szCs w:val="19"/>
                <w:color w:val="auto"/>
              </w:rPr>
            </w:pPr>
          </w:p>
        </w:tc>
        <w:tc>
          <w:tcPr>
            <w:tcW w:w="38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4,049</w:t>
            </w:r>
          </w:p>
        </w:tc>
        <w:tc>
          <w:tcPr>
            <w:tcW w:w="18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500" w:type="dxa"/>
            <w:vAlign w:val="bottom"/>
            <w:tcBorders>
              <w:bottom w:val="single" w:sz="8" w:color="454546"/>
            </w:tcBorders>
          </w:tcPr>
          <w:p>
            <w:pPr>
              <w:spacing w:after="0"/>
              <w:rPr>
                <w:sz w:val="19"/>
                <w:szCs w:val="19"/>
                <w:color w:val="auto"/>
              </w:rPr>
            </w:pPr>
          </w:p>
        </w:tc>
        <w:tc>
          <w:tcPr>
            <w:tcW w:w="11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77,767</w:t>
            </w:r>
          </w:p>
        </w:tc>
        <w:tc>
          <w:tcPr>
            <w:tcW w:w="100" w:type="dxa"/>
            <w:vAlign w:val="bottom"/>
            <w:tcBorders>
              <w:bottom w:val="single" w:sz="8" w:color="E5E6E7"/>
            </w:tcBorders>
          </w:tcPr>
          <w:p>
            <w:pPr>
              <w:spacing w:after="0"/>
              <w:rPr>
                <w:sz w:val="19"/>
                <w:szCs w:val="19"/>
                <w:color w:val="auto"/>
              </w:rPr>
            </w:pPr>
          </w:p>
        </w:tc>
      </w:tr>
      <w:tr>
        <w:trPr>
          <w:trHeight w:val="220"/>
        </w:trPr>
        <w:tc>
          <w:tcPr>
            <w:tcW w:w="520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Net change in cash, cash equivalents and restricted cash</w:t>
            </w:r>
          </w:p>
        </w:tc>
        <w:tc>
          <w:tcPr>
            <w:tcW w:w="540" w:type="dxa"/>
            <w:vAlign w:val="bottom"/>
            <w:shd w:val="clear" w:color="auto" w:fill="E5E6E7"/>
          </w:tcPr>
          <w:p>
            <w:pPr>
              <w:spacing w:after="0"/>
              <w:rPr>
                <w:sz w:val="19"/>
                <w:szCs w:val="19"/>
                <w:color w:val="auto"/>
              </w:rPr>
            </w:pPr>
          </w:p>
        </w:tc>
        <w:tc>
          <w:tcPr>
            <w:tcW w:w="380" w:type="dxa"/>
            <w:vAlign w:val="bottom"/>
            <w:tcBorders>
              <w:bottom w:val="single" w:sz="8" w:color="454546"/>
            </w:tcBorders>
            <w:shd w:val="clear" w:color="auto" w:fill="E5E6E7"/>
          </w:tcPr>
          <w:p>
            <w:pPr>
              <w:jc w:val="right"/>
              <w:ind w:right="18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2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(49,308)</w:t>
            </w:r>
          </w:p>
        </w:tc>
        <w:tc>
          <w:tcPr>
            <w:tcW w:w="1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500" w:type="dxa"/>
            <w:vAlign w:val="bottom"/>
            <w:tcBorders>
              <w:bottom w:val="single" w:sz="8" w:color="454546"/>
            </w:tcBorders>
            <w:shd w:val="clear" w:color="auto" w:fill="E5E6E7"/>
          </w:tcPr>
          <w:p>
            <w:pPr>
              <w:jc w:val="center"/>
              <w:ind w:right="300"/>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11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56,995</w:t>
            </w:r>
          </w:p>
        </w:tc>
        <w:tc>
          <w:tcPr>
            <w:tcW w:w="100" w:type="dxa"/>
            <w:vAlign w:val="bottom"/>
            <w:shd w:val="clear" w:color="auto" w:fill="E5E6E7"/>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454546"/>
            </w:tcBorders>
          </w:tcPr>
          <w:p>
            <w:pPr>
              <w:spacing w:after="0" w:line="20" w:lineRule="exact"/>
              <w:rPr>
                <w:sz w:val="1"/>
                <w:szCs w:val="1"/>
                <w:color w:val="auto"/>
              </w:rPr>
            </w:pPr>
          </w:p>
        </w:tc>
        <w:tc>
          <w:tcPr>
            <w:tcW w:w="11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Operating Activities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Net cash used in operating activities for the year ended December 31, 2023 was $102.1 million, which consisted primarily of a net loss of $124.1 million and a net change in operating assets and liabilities of $5.6 million, partially offset by $25.8 million in non-cash charges. The change in net operating assets and liabilities was primarily due to a decrease in operating lease liabilities of $4.1 million and a decrease in accounts payable and accrued expenses and other current liabilities of $1.0 million. Cash flows from operations are generally impacted by the timing of payments to vendors and vendor payment terms. The non-cash charges primarily consisted of stock-based compensation of $15.3 million and depreciation and amortization of $8.7 million.</w:t>
      </w:r>
    </w:p>
    <w:p>
      <w:pPr>
        <w:spacing w:after="0" w:line="8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Net cash used in operating activities for the year ended December 31, 2022 was $104.4 million, which consisted of a net loss of $123.7 million and a net change in operating assets and liabilities of $0.8 million, partially offset by $20.0 million in non-cash charges. The change in net operating assets and liabilities was due to a decrease in operating lease liabilities of $3.1 million, a decrease in prepaid expenses and other current assets of $2.9 million and an increase in other noncurrent assets of $0.8 million, partially offset by an increase in accounts payable and accrued expenses and other current liabilities of $6.0 million. Cash flows from operations are generally impacted by the timing of payments to vendors and vendor payment terms. The non-cash charges primarily consisted of stock-based compensation of $11.5 million and depreciation and amortization of $6.5 million.</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Investing Activities</w:t>
      </w:r>
    </w:p>
    <w:p>
      <w:pPr>
        <w:spacing w:after="0" w:line="12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454546"/>
        </w:rPr>
        <w:t>Net cash provided by investing activities for the year ended December 31, 2023 was $48.7 million, which consisted primarily of proceeds from maturities of marketable securities of $106.6 million, partially offset by purchases of marketable securities of $56.6 million.</w:t>
      </w:r>
    </w:p>
    <w:p>
      <w:pPr>
        <w:spacing w:after="0" w:line="68"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454546"/>
        </w:rPr>
        <w:t>Net cash provided by investing activities for the year ended December 31, 2022 was $83.7 million, which consisted primarily of proceeds from maturities of marketable securities of $244.8 million, partially offset by purchases of marketable securities of $140.5 million and purchases of property and equipment of $20.6 million primarily related to our manufacturing and office space in Union City, California.</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Financing Activities</w:t>
      </w:r>
    </w:p>
    <w:p>
      <w:pPr>
        <w:spacing w:after="0" w:line="120"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454546"/>
        </w:rPr>
        <w:t>Net cash provided by financing activities for the year ended December 31, 2023, was $4.0 million, which primarily consisted of net proceeds from at-the-market sales of $3.9 million.</w:t>
      </w:r>
    </w:p>
    <w:p>
      <w:pPr>
        <w:spacing w:after="0" w:line="49" w:lineRule="exact"/>
        <w:rPr>
          <w:sz w:val="20"/>
          <w:szCs w:val="20"/>
          <w:color w:val="auto"/>
        </w:rPr>
      </w:pPr>
    </w:p>
    <w:p>
      <w:pPr>
        <w:ind w:right="340" w:firstLine="490"/>
        <w:spacing w:after="0" w:line="305" w:lineRule="auto"/>
        <w:rPr>
          <w:sz w:val="20"/>
          <w:szCs w:val="20"/>
          <w:color w:val="auto"/>
        </w:rPr>
      </w:pPr>
      <w:r>
        <w:rPr>
          <w:rFonts w:ascii="Times New Roman" w:cs="Times New Roman" w:eastAsia="Times New Roman" w:hAnsi="Times New Roman"/>
          <w:sz w:val="19"/>
          <w:szCs w:val="19"/>
          <w:color w:val="454546"/>
        </w:rPr>
        <w:t>Net cash provided by financing activities for the year ended December 31, 2022, was $77.8 million, which primarily consisted of proceeds from our follow-on public offering, net of issuance costs, of $77.4 million.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95</w:t>
      </w:r>
    </w:p>
    <w:p>
      <w:pPr>
        <w:sectPr>
          <w:pgSz w:w="11880" w:h="15480" w:orient="portrait"/>
          <w:cols w:equalWidth="0" w:num="1">
            <w:col w:w="9360"/>
          </w:cols>
          <w:pgMar w:left="1260" w:top="1240" w:right="1260" w:bottom="0" w:gutter="0" w:footer="0" w:header="0"/>
          <w:type w:val="continuous"/>
        </w:sectPr>
      </w:pPr>
    </w:p>
    <w:bookmarkStart w:id="99" w:name="page100"/>
    <w:bookmarkEnd w:id="99"/>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Contractual and Other Obligations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We lease office space for our corporate headquarters in South San Francisco under a lease that expires in May 2025. We expect to pay rent of approximately $2.6 million during 2024 for this lease. We also lease the Union City Facility under a lease that expires in July 2031. We expect to pay rent of approximately $1.3 million in 2024 for this lease. In addition, we sublease additional office and laboratory space in South San Francisco through November 30, 2024 and expect to pay rent of approximately $1.4 million in 2024 for this sublease. As of December 31, 2023, undiscounted future minimum lease payments of $5.1 million and $10.9 million remain on the South San Francisco and Union City leases, respectively.</w:t>
      </w:r>
    </w:p>
    <w:p>
      <w:pPr>
        <w:spacing w:after="0" w:line="8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7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Off-Balance Sheet Arrangements</w:t>
      </w:r>
    </w:p>
    <w:p>
      <w:pPr>
        <w:spacing w:after="0" w:line="124"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454546"/>
        </w:rPr>
        <w:t>Since inception, we have not engaged in any off-balance sheet arrangements as defined in the rules and regulations of the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Accounting Policies and Estimates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454546"/>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8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96</w:t>
      </w:r>
    </w:p>
    <w:p>
      <w:pPr>
        <w:sectPr>
          <w:pgSz w:w="11880" w:h="15480" w:orient="portrait"/>
          <w:cols w:equalWidth="0" w:num="1">
            <w:col w:w="9360"/>
          </w:cols>
          <w:pgMar w:left="1260" w:top="1240" w:right="1260" w:bottom="0" w:gutter="0" w:footer="0" w:header="0"/>
          <w:type w:val="continuous"/>
        </w:sectPr>
      </w:pPr>
    </w:p>
    <w:bookmarkStart w:id="100" w:name="page101"/>
    <w:bookmarkEnd w:id="100"/>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77"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For purposes of determining the estimated fair value of options granted to employees and non-employees, we use the Black-Scholes option pricing model, which requires the use of highly subjective assumptions. These assumptions include:</w:t>
      </w:r>
    </w:p>
    <w:p>
      <w:pPr>
        <w:spacing w:after="0" w:line="83" w:lineRule="exact"/>
        <w:rPr>
          <w:sz w:val="20"/>
          <w:szCs w:val="20"/>
          <w:color w:val="auto"/>
        </w:rPr>
      </w:pPr>
    </w:p>
    <w:p>
      <w:pPr>
        <w:ind w:left="860" w:right="240" w:hanging="500"/>
        <w:spacing w:after="0" w:line="276" w:lineRule="auto"/>
        <w:tabs>
          <w:tab w:leader="none" w:pos="86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Fair Value of Common Stock</w:t>
      </w:r>
      <w:r>
        <w:rPr>
          <w:rFonts w:ascii="Times New Roman" w:cs="Times New Roman" w:eastAsia="Times New Roman" w:hAnsi="Times New Roman"/>
          <w:sz w:val="20"/>
          <w:szCs w:val="20"/>
          <w:color w:val="454546"/>
        </w:rPr>
        <w:t>—The grant date fair value of common stock was determined by using the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closing price per share of common stock as reported on the Nasdaq Global Select Market.</w:t>
      </w:r>
    </w:p>
    <w:p>
      <w:pPr>
        <w:spacing w:after="0" w:line="64" w:lineRule="exact"/>
        <w:rPr>
          <w:rFonts w:ascii="Arial" w:cs="Arial" w:eastAsia="Arial" w:hAnsi="Arial"/>
          <w:sz w:val="20"/>
          <w:szCs w:val="20"/>
          <w:color w:val="454546"/>
        </w:rPr>
      </w:pPr>
    </w:p>
    <w:p>
      <w:pPr>
        <w:ind w:left="860" w:right="240" w:hanging="500"/>
        <w:spacing w:after="0" w:line="258" w:lineRule="auto"/>
        <w:tabs>
          <w:tab w:leader="none" w:pos="86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Term</w:t>
      </w:r>
      <w:r>
        <w:rPr>
          <w:rFonts w:ascii="Times New Roman" w:cs="Times New Roman" w:eastAsia="Times New Roman" w:hAnsi="Times New Roman"/>
          <w:sz w:val="20"/>
          <w:szCs w:val="20"/>
          <w:color w:val="454546"/>
        </w:rPr>
        <w:t>—We determine the expected term, which represents the period that stock-based awards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are expected to be outstanding, in accordance with the simplified method, which is presumed to be the mid-point between the contractual term and the vesting term.</w:t>
      </w:r>
    </w:p>
    <w:p>
      <w:pPr>
        <w:spacing w:after="0" w:line="81" w:lineRule="exact"/>
        <w:rPr>
          <w:rFonts w:ascii="Arial" w:cs="Arial" w:eastAsia="Arial" w:hAnsi="Arial"/>
          <w:sz w:val="20"/>
          <w:szCs w:val="20"/>
          <w:color w:val="454546"/>
        </w:rPr>
      </w:pPr>
    </w:p>
    <w:p>
      <w:pPr>
        <w:ind w:left="860" w:right="180" w:hanging="500"/>
        <w:spacing w:after="0" w:line="247" w:lineRule="auto"/>
        <w:tabs>
          <w:tab w:leader="none" w:pos="86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Volatility</w:t>
      </w:r>
      <w:r>
        <w:rPr>
          <w:rFonts w:ascii="Times New Roman" w:cs="Times New Roman" w:eastAsia="Times New Roman" w:hAnsi="Times New Roman"/>
          <w:sz w:val="20"/>
          <w:szCs w:val="20"/>
          <w:color w:val="454546"/>
        </w:rPr>
        <w:t>— As we have limited trading history of our common stock, we have determined our</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computation of expected volatility on 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93" w:lineRule="exact"/>
        <w:rPr>
          <w:rFonts w:ascii="Arial" w:cs="Arial" w:eastAsia="Arial" w:hAnsi="Arial"/>
          <w:sz w:val="20"/>
          <w:szCs w:val="20"/>
          <w:color w:val="454546"/>
        </w:rPr>
      </w:pPr>
    </w:p>
    <w:p>
      <w:pPr>
        <w:ind w:left="860" w:right="60" w:hanging="500"/>
        <w:spacing w:after="0" w:line="276" w:lineRule="auto"/>
        <w:tabs>
          <w:tab w:leader="none" w:pos="86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Risk-Free Interest Rate</w:t>
      </w:r>
      <w:r>
        <w:rPr>
          <w:rFonts w:ascii="Times New Roman" w:cs="Times New Roman" w:eastAsia="Times New Roman" w:hAnsi="Times New Roman"/>
          <w:sz w:val="20"/>
          <w:szCs w:val="20"/>
          <w:color w:val="454546"/>
        </w:rPr>
        <w:t>—We base the risk-free interest rate on U.S. Treasury zero coupon issues in effect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at the time of grant for periods corresponding with the expected term assumption.</w:t>
      </w:r>
    </w:p>
    <w:p>
      <w:pPr>
        <w:spacing w:after="0" w:line="64" w:lineRule="exact"/>
        <w:rPr>
          <w:rFonts w:ascii="Arial" w:cs="Arial" w:eastAsia="Arial" w:hAnsi="Arial"/>
          <w:sz w:val="20"/>
          <w:szCs w:val="20"/>
          <w:color w:val="454546"/>
        </w:rPr>
      </w:pPr>
    </w:p>
    <w:p>
      <w:pPr>
        <w:ind w:left="860" w:right="180" w:hanging="500"/>
        <w:spacing w:after="0" w:line="276" w:lineRule="auto"/>
        <w:tabs>
          <w:tab w:leader="none" w:pos="86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Dividend</w:t>
      </w:r>
      <w:r>
        <w:rPr>
          <w:rFonts w:ascii="Times New Roman" w:cs="Times New Roman" w:eastAsia="Times New Roman" w:hAnsi="Times New Roman"/>
          <w:sz w:val="20"/>
          <w:szCs w:val="20"/>
          <w:color w:val="454546"/>
        </w:rPr>
        <w:t>—The expected dividend yield is assumed to be zero as we have never paid and have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no plans to pay dividends on our common stock.</w:t>
      </w:r>
    </w:p>
    <w:p>
      <w:pPr>
        <w:spacing w:after="0" w:line="5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 xml:space="preserve">See </w:t>
      </w:r>
      <w:r>
        <w:rPr>
          <w:rFonts w:ascii="Times New Roman" w:cs="Times New Roman" w:eastAsia="Times New Roman" w:hAnsi="Times New Roman"/>
          <w:sz w:val="20"/>
          <w:szCs w:val="20"/>
          <w:i w:val="1"/>
          <w:iCs w:val="1"/>
          <w:color w:val="454546"/>
        </w:rPr>
        <w:t>Note 7</w:t>
      </w:r>
      <w:r>
        <w:rPr>
          <w:rFonts w:ascii="Times New Roman" w:cs="Times New Roman" w:eastAsia="Times New Roman" w:hAnsi="Times New Roman"/>
          <w:sz w:val="20"/>
          <w:szCs w:val="20"/>
          <w:color w:val="454546"/>
        </w:rPr>
        <w:t xml:space="preserve"> to our financial statements for more information concerning certain of the specific assumptions we used in applying the Black-Scholes valuation model to determine the estimated fair value of our stock options.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Accounting Pronouncements</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See </w:t>
      </w:r>
      <w:r>
        <w:rPr>
          <w:rFonts w:ascii="Times New Roman" w:cs="Times New Roman" w:eastAsia="Times New Roman" w:hAnsi="Times New Roman"/>
          <w:sz w:val="20"/>
          <w:szCs w:val="20"/>
          <w:i w:val="1"/>
          <w:iCs w:val="1"/>
          <w:color w:val="454546"/>
        </w:rPr>
        <w:t>Note 2</w:t>
      </w:r>
      <w:r>
        <w:rPr>
          <w:rFonts w:ascii="Times New Roman" w:cs="Times New Roman" w:eastAsia="Times New Roman" w:hAnsi="Times New Roman"/>
          <w:sz w:val="20"/>
          <w:szCs w:val="20"/>
          <w:color w:val="454546"/>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Emerging Growth Company and Smaller Reporting Company Status</w:t>
      </w:r>
    </w:p>
    <w:p>
      <w:pPr>
        <w:spacing w:after="0" w:line="12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82" w:lineRule="exact"/>
        <w:rPr>
          <w:sz w:val="20"/>
          <w:szCs w:val="20"/>
          <w:color w:val="auto"/>
        </w:rPr>
      </w:pPr>
    </w:p>
    <w:p>
      <w:pPr>
        <w:jc w:val="both"/>
        <w:ind w:right="120" w:firstLine="490"/>
        <w:spacing w:after="0" w:line="278" w:lineRule="auto"/>
        <w:rPr>
          <w:sz w:val="20"/>
          <w:szCs w:val="20"/>
          <w:color w:val="auto"/>
        </w:rPr>
      </w:pPr>
      <w:r>
        <w:rPr>
          <w:rFonts w:ascii="Times New Roman" w:cs="Times New Roman" w:eastAsia="Times New Roman" w:hAnsi="Times New Roman"/>
          <w:sz w:val="19"/>
          <w:szCs w:val="19"/>
          <w:color w:val="454546"/>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97</w:t>
      </w:r>
    </w:p>
    <w:p>
      <w:pPr>
        <w:sectPr>
          <w:pgSz w:w="11880" w:h="15480" w:orient="portrait"/>
          <w:cols w:equalWidth="0" w:num="1">
            <w:col w:w="9360"/>
          </w:cols>
          <w:pgMar w:left="1260" w:top="1240" w:right="1260" w:bottom="0" w:gutter="0" w:footer="0" w:header="0"/>
          <w:type w:val="continuous"/>
        </w:sectPr>
      </w:pPr>
    </w:p>
    <w:bookmarkStart w:id="101" w:name="page102"/>
    <w:bookmarkEnd w:id="101"/>
    <w:p>
      <w:pPr>
        <w:ind w:right="560"/>
        <w:spacing w:after="0" w:line="305" w:lineRule="auto"/>
        <w:rPr>
          <w:sz w:val="20"/>
          <w:szCs w:val="20"/>
          <w:color w:val="auto"/>
        </w:rPr>
      </w:pPr>
      <w:r>
        <w:rPr>
          <w:rFonts w:ascii="Times New Roman" w:cs="Times New Roman" w:eastAsia="Times New Roman" w:hAnsi="Times New Roman"/>
          <w:sz w:val="19"/>
          <w:szCs w:val="19"/>
          <w:color w:val="454546"/>
        </w:rPr>
        <w:t>affiliates is less than $250 million or (ii) our annual revenue is less than $100 million during the most recently completed fiscal year and the market value of our stock held by non-affiliates is less than $700 million.</w:t>
      </w:r>
    </w:p>
    <w:p>
      <w:pPr>
        <w:spacing w:after="0" w:line="25"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454546"/>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7A. Quantitative and Qualitative Disclosures About Market Risk.</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We are a smaller reporting company, as defined by Rule 12b-2 under the Exchange Act and in Item 10(f)(1) of Regulation S-K, and are not required to provide the information under this item.</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98</w:t>
      </w:r>
    </w:p>
    <w:p>
      <w:pPr>
        <w:sectPr>
          <w:pgSz w:w="11880" w:h="15480" w:orient="portrait"/>
          <w:cols w:equalWidth="0" w:num="1">
            <w:col w:w="9360"/>
          </w:cols>
          <w:pgMar w:left="1260" w:top="1240" w:right="126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74"/>
        </w:trPr>
        <w:tc>
          <w:tcPr>
            <w:tcW w:w="856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Item 8. Financial Statements and Supplementary Data.</w:t>
            </w:r>
          </w:p>
        </w:tc>
        <w:tc>
          <w:tcPr>
            <w:tcW w:w="780" w:type="dxa"/>
            <w:vAlign w:val="bottom"/>
          </w:tcPr>
          <w:p>
            <w:pPr>
              <w:spacing w:after="0"/>
              <w:rPr>
                <w:sz w:val="23"/>
                <w:szCs w:val="23"/>
                <w:color w:val="auto"/>
              </w:rPr>
            </w:pPr>
          </w:p>
        </w:tc>
      </w:tr>
      <w:tr>
        <w:trPr>
          <w:trHeight w:val="470"/>
        </w:trPr>
        <w:tc>
          <w:tcPr>
            <w:tcW w:w="856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454546"/>
              </w:rPr>
              <w:t>INDEX TO FINANCIAL STATEMENTS</w:t>
            </w:r>
          </w:p>
        </w:tc>
        <w:tc>
          <w:tcPr>
            <w:tcW w:w="780" w:type="dxa"/>
            <w:vAlign w:val="bottom"/>
          </w:tcPr>
          <w:p>
            <w:pPr>
              <w:spacing w:after="0"/>
              <w:rPr>
                <w:sz w:val="24"/>
                <w:szCs w:val="24"/>
                <w:color w:val="auto"/>
              </w:rPr>
            </w:pPr>
          </w:p>
        </w:tc>
      </w:tr>
      <w:tr>
        <w:trPr>
          <w:trHeight w:val="601"/>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Report of Independent Registered Public Accounting Firm (PCAOB ID No. 34)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100</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Balance Sheets as of December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Operations and Comprehensive Loss for the years ended December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Stockholders’ Equity for the years ended December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103</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Cash Flows for the years ended December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104</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105</w:t>
            </w:r>
          </w:p>
        </w:tc>
      </w:tr>
    </w:tbl>
    <w:p>
      <w:pPr>
        <w:spacing w:after="0" w:line="200" w:lineRule="exact"/>
        <w:rPr>
          <w:sz w:val="20"/>
          <w:szCs w:val="20"/>
          <w:color w:val="auto"/>
        </w:rPr>
      </w:pP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99</w:t>
      </w:r>
    </w:p>
    <w:p>
      <w:pPr>
        <w:sectPr>
          <w:pgSz w:w="11880" w:h="15480" w:orient="portrait"/>
          <w:cols w:equalWidth="0" w:num="1">
            <w:col w:w="9340"/>
          </w:cols>
          <w:pgMar w:left="1260" w:top="1236" w:right="1280" w:bottom="0" w:gutter="0" w:footer="0" w:header="0"/>
          <w:type w:val="continuous"/>
        </w:sectPr>
      </w:pPr>
    </w:p>
    <w:bookmarkStart w:id="103" w:name="page104"/>
    <w:bookmarkEnd w:id="103"/>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b w:val="1"/>
          <w:bCs w:val="1"/>
          <w:color w:val="454546"/>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54546"/>
        </w:rPr>
        <w:t>To the stockholders and the Board of Directors of Tenaya Therapeutics,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454546"/>
        </w:rPr>
        <w:t>Opinion on the Financial Statements</w:t>
      </w:r>
    </w:p>
    <w:p>
      <w:pPr>
        <w:spacing w:after="0" w:line="2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454546"/>
        </w:rPr>
        <w:t>We have audited the accompanying balance sheets of Tenaya Therapeutics,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454546"/>
        </w:rPr>
        <w:t>Basis for Opinion</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454546"/>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1"/>
          <w:szCs w:val="21"/>
          <w:color w:val="454546"/>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454546"/>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54546"/>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54546"/>
        </w:rPr>
        <w:t>San Francisco,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54546"/>
        </w:rPr>
        <w:t>March 18,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54546"/>
        </w:rPr>
        <w:t>We have served as the Company's auditor since 2019.</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100</w:t>
      </w:r>
    </w:p>
    <w:p>
      <w:pPr>
        <w:sectPr>
          <w:pgSz w:w="11880" w:h="15480" w:orient="portrait"/>
          <w:cols w:equalWidth="0" w:num="1">
            <w:col w:w="9360"/>
          </w:cols>
          <w:pgMar w:left="1260" w:top="1440" w:right="126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660" w:type="dxa"/>
            <w:vAlign w:val="bottom"/>
            <w:tcBorders>
              <w:bottom w:val="single" w:sz="8" w:color="45454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8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00" w:type="dxa"/>
            <w:vAlign w:val="bottom"/>
            <w:tcBorders>
              <w:bottom w:val="single" w:sz="8" w:color="E5E6E7"/>
            </w:tcBorders>
          </w:tcPr>
          <w:p>
            <w:pPr>
              <w:spacing w:after="0"/>
              <w:rPr>
                <w:sz w:val="15"/>
                <w:szCs w:val="15"/>
                <w:color w:val="auto"/>
              </w:rPr>
            </w:pPr>
          </w:p>
        </w:tc>
        <w:tc>
          <w:tcPr>
            <w:tcW w:w="320" w:type="dxa"/>
            <w:vAlign w:val="bottom"/>
            <w:tcBorders>
              <w:bottom w:val="single" w:sz="8" w:color="E5E6E7"/>
            </w:tcBorders>
          </w:tcPr>
          <w:p>
            <w:pPr>
              <w:spacing w:after="0"/>
              <w:rPr>
                <w:sz w:val="15"/>
                <w:szCs w:val="15"/>
                <w:color w:val="auto"/>
              </w:rPr>
            </w:pPr>
          </w:p>
        </w:tc>
        <w:tc>
          <w:tcPr>
            <w:tcW w:w="300" w:type="dxa"/>
            <w:vAlign w:val="bottom"/>
            <w:tcBorders>
              <w:bottom w:val="single" w:sz="8" w:color="454546"/>
            </w:tcBorders>
          </w:tcPr>
          <w:p>
            <w:pPr>
              <w:spacing w:after="0"/>
              <w:rPr>
                <w:sz w:val="15"/>
                <w:szCs w:val="15"/>
                <w:color w:val="auto"/>
              </w:rPr>
            </w:pPr>
          </w:p>
        </w:tc>
        <w:tc>
          <w:tcPr>
            <w:tcW w:w="1000" w:type="dxa"/>
            <w:vAlign w:val="bottom"/>
            <w:tcBorders>
              <w:bottom w:val="single" w:sz="8" w:color="454546"/>
            </w:tcBorders>
          </w:tcPr>
          <w:p>
            <w:pPr>
              <w:jc w:val="right"/>
              <w:ind w:right="382"/>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60" w:type="dxa"/>
            <w:vAlign w:val="bottom"/>
            <w:tcBorders>
              <w:bottom w:val="single" w:sz="8" w:color="E5E6E7"/>
            </w:tcBorders>
          </w:tcPr>
          <w:p>
            <w:pPr>
              <w:spacing w:after="0"/>
              <w:rPr>
                <w:sz w:val="15"/>
                <w:szCs w:val="15"/>
                <w:color w:val="auto"/>
              </w:rPr>
            </w:pPr>
          </w:p>
        </w:tc>
        <w:tc>
          <w:tcPr>
            <w:tcW w:w="80" w:type="dxa"/>
            <w:vAlign w:val="bottom"/>
            <w:tcBorders>
              <w:bottom w:val="single" w:sz="8" w:color="E5E6E7"/>
            </w:tcBorders>
          </w:tcPr>
          <w:p>
            <w:pPr>
              <w:spacing w:after="0"/>
              <w:rPr>
                <w:sz w:val="15"/>
                <w:szCs w:val="15"/>
                <w:color w:val="auto"/>
              </w:rPr>
            </w:pPr>
          </w:p>
        </w:tc>
        <w:tc>
          <w:tcPr>
            <w:tcW w:w="420" w:type="dxa"/>
            <w:vAlign w:val="bottom"/>
            <w:tcBorders>
              <w:bottom w:val="single" w:sz="8" w:color="454546"/>
            </w:tcBorders>
          </w:tcPr>
          <w:p>
            <w:pPr>
              <w:spacing w:after="0"/>
              <w:rPr>
                <w:sz w:val="15"/>
                <w:szCs w:val="15"/>
                <w:color w:val="auto"/>
              </w:rPr>
            </w:pPr>
          </w:p>
        </w:tc>
        <w:tc>
          <w:tcPr>
            <w:tcW w:w="880" w:type="dxa"/>
            <w:vAlign w:val="bottom"/>
            <w:tcBorders>
              <w:bottom w:val="single" w:sz="8" w:color="454546"/>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ASSETS</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454546"/>
              </w:rPr>
              <w:t>Current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6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45,681</w:t>
            </w:r>
          </w:p>
        </w:tc>
        <w:tc>
          <w:tcPr>
            <w:tcW w:w="160" w:type="dxa"/>
            <w:vAlign w:val="bottom"/>
            <w:shd w:val="clear" w:color="auto" w:fill="E5E6E7"/>
          </w:tcPr>
          <w:p>
            <w:pPr>
              <w:spacing w:after="0"/>
              <w:rPr>
                <w:sz w:val="19"/>
                <w:szCs w:val="19"/>
                <w:color w:val="auto"/>
              </w:rPr>
            </w:pPr>
          </w:p>
        </w:tc>
        <w:tc>
          <w:tcPr>
            <w:tcW w:w="50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95,272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Short-term investments in marketable securities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58,961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91,255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Prepaid expenses and other current assets</w:t>
            </w:r>
          </w:p>
        </w:tc>
        <w:tc>
          <w:tcPr>
            <w:tcW w:w="320" w:type="dxa"/>
            <w:vAlign w:val="bottom"/>
            <w:shd w:val="clear" w:color="auto" w:fill="E5E6E7"/>
          </w:tcPr>
          <w:p>
            <w:pPr>
              <w:spacing w:after="0"/>
              <w:rPr>
                <w:sz w:val="19"/>
                <w:szCs w:val="19"/>
                <w:color w:val="auto"/>
              </w:rPr>
            </w:pPr>
          </w:p>
        </w:tc>
        <w:tc>
          <w:tcPr>
            <w:tcW w:w="300" w:type="dxa"/>
            <w:vAlign w:val="bottom"/>
            <w:tcBorders>
              <w:bottom w:val="single" w:sz="8" w:color="454546"/>
            </w:tcBorders>
            <w:shd w:val="clear" w:color="auto" w:fill="E5E6E7"/>
          </w:tcPr>
          <w:p>
            <w:pPr>
              <w:spacing w:after="0"/>
              <w:rPr>
                <w:sz w:val="19"/>
                <w:szCs w:val="19"/>
                <w:color w:val="auto"/>
              </w:rPr>
            </w:pPr>
          </w:p>
        </w:tc>
        <w:tc>
          <w:tcPr>
            <w:tcW w:w="10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6,940</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tcBorders>
              <w:bottom w:val="single" w:sz="8" w:color="454546"/>
            </w:tcBorders>
            <w:shd w:val="clear" w:color="auto" w:fill="E5E6E7"/>
          </w:tcPr>
          <w:p>
            <w:pPr>
              <w:spacing w:after="0"/>
              <w:rPr>
                <w:sz w:val="19"/>
                <w:szCs w:val="19"/>
                <w:color w:val="auto"/>
              </w:rPr>
            </w:pPr>
          </w:p>
        </w:tc>
        <w:tc>
          <w:tcPr>
            <w:tcW w:w="8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7,227</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current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111,582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193,754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Property and equipment, net</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43,277</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51,032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454546"/>
              </w:rPr>
              <w:t>Operating lease right-of-use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Long-term investments in marketable securities</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16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17,703</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Other noncurrent assets</w:t>
            </w:r>
          </w:p>
        </w:tc>
        <w:tc>
          <w:tcPr>
            <w:tcW w:w="320" w:type="dxa"/>
            <w:vAlign w:val="bottom"/>
            <w:tcBorders>
              <w:bottom w:val="single" w:sz="8" w:color="E5E6E7"/>
            </w:tcBorders>
          </w:tcPr>
          <w:p>
            <w:pPr>
              <w:spacing w:after="0"/>
              <w:rPr>
                <w:sz w:val="19"/>
                <w:szCs w:val="19"/>
                <w:color w:val="auto"/>
              </w:rPr>
            </w:pPr>
          </w:p>
        </w:tc>
        <w:tc>
          <w:tcPr>
            <w:tcW w:w="30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5,677</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420" w:type="dxa"/>
            <w:vAlign w:val="bottom"/>
            <w:tcBorders>
              <w:bottom w:val="single" w:sz="8" w:color="454546"/>
            </w:tcBorders>
          </w:tcPr>
          <w:p>
            <w:pPr>
              <w:spacing w:after="0"/>
              <w:rPr>
                <w:sz w:val="19"/>
                <w:szCs w:val="19"/>
                <w:color w:val="auto"/>
              </w:rPr>
            </w:pPr>
          </w:p>
        </w:tc>
        <w:tc>
          <w:tcPr>
            <w:tcW w:w="8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4,793</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assets</w:t>
            </w:r>
          </w:p>
        </w:tc>
        <w:tc>
          <w:tcPr>
            <w:tcW w:w="320" w:type="dxa"/>
            <w:vAlign w:val="bottom"/>
            <w:shd w:val="clear" w:color="auto" w:fill="E5E6E7"/>
          </w:tcPr>
          <w:p>
            <w:pPr>
              <w:spacing w:after="0"/>
              <w:rPr>
                <w:sz w:val="19"/>
                <w:szCs w:val="19"/>
                <w:color w:val="auto"/>
              </w:rPr>
            </w:pPr>
          </w:p>
        </w:tc>
        <w:tc>
          <w:tcPr>
            <w:tcW w:w="300" w:type="dxa"/>
            <w:vAlign w:val="bottom"/>
            <w:tcBorders>
              <w:bottom w:val="single" w:sz="8" w:color="454546"/>
            </w:tcBorders>
            <w:shd w:val="clear" w:color="auto" w:fill="E5E6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170,515</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tcBorders>
              <w:bottom w:val="single" w:sz="8" w:color="454546"/>
            </w:tcBorders>
            <w:shd w:val="clear" w:color="auto" w:fill="E5E6E7"/>
          </w:tcPr>
          <w:p>
            <w:pPr>
              <w:jc w:val="right"/>
              <w:ind w:right="2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278,945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LIABILITIES AND STOCKHOLDERS’ EQUITY</w:t>
            </w:r>
          </w:p>
        </w:tc>
        <w:tc>
          <w:tcPr>
            <w:tcW w:w="32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454546"/>
            </w:tcBorders>
          </w:tcPr>
          <w:p>
            <w:pPr>
              <w:spacing w:after="0" w:line="20" w:lineRule="exact"/>
              <w:rPr>
                <w:sz w:val="1"/>
                <w:szCs w:val="1"/>
                <w:color w:val="auto"/>
              </w:rPr>
            </w:pPr>
          </w:p>
        </w:tc>
        <w:tc>
          <w:tcPr>
            <w:tcW w:w="8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Current liabilities:</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Accounts payable</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5,630</w:t>
            </w:r>
          </w:p>
        </w:tc>
        <w:tc>
          <w:tcPr>
            <w:tcW w:w="1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Accrued and other current liabilities</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12,784</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10,664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Operating lease liabilities, current</w:t>
            </w:r>
          </w:p>
        </w:tc>
        <w:tc>
          <w:tcPr>
            <w:tcW w:w="320" w:type="dxa"/>
            <w:vAlign w:val="bottom"/>
            <w:tcBorders>
              <w:bottom w:val="single" w:sz="8" w:color="E5E6E7"/>
            </w:tcBorders>
          </w:tcPr>
          <w:p>
            <w:pPr>
              <w:spacing w:after="0"/>
              <w:rPr>
                <w:sz w:val="19"/>
                <w:szCs w:val="19"/>
                <w:color w:val="auto"/>
              </w:rPr>
            </w:pPr>
          </w:p>
        </w:tc>
        <w:tc>
          <w:tcPr>
            <w:tcW w:w="30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4,319</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420" w:type="dxa"/>
            <w:vAlign w:val="bottom"/>
            <w:tcBorders>
              <w:bottom w:val="single" w:sz="8" w:color="454546"/>
            </w:tcBorders>
          </w:tcPr>
          <w:p>
            <w:pPr>
              <w:spacing w:after="0"/>
              <w:rPr>
                <w:sz w:val="19"/>
                <w:szCs w:val="19"/>
                <w:color w:val="auto"/>
              </w:rPr>
            </w:pPr>
          </w:p>
        </w:tc>
        <w:tc>
          <w:tcPr>
            <w:tcW w:w="8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4,006</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current liabilities</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22,733</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24,248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454546"/>
              </w:rPr>
              <w:t>Operating lease liabilities, noncurrent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noncurrent liabilities</w:t>
            </w:r>
          </w:p>
        </w:tc>
        <w:tc>
          <w:tcPr>
            <w:tcW w:w="320" w:type="dxa"/>
            <w:vAlign w:val="bottom"/>
            <w:shd w:val="clear" w:color="auto" w:fill="E5E6E7"/>
          </w:tcPr>
          <w:p>
            <w:pPr>
              <w:spacing w:after="0"/>
              <w:rPr>
                <w:sz w:val="19"/>
                <w:szCs w:val="19"/>
                <w:color w:val="auto"/>
              </w:rPr>
            </w:pPr>
          </w:p>
        </w:tc>
        <w:tc>
          <w:tcPr>
            <w:tcW w:w="300" w:type="dxa"/>
            <w:vAlign w:val="bottom"/>
            <w:tcBorders>
              <w:bottom w:val="single" w:sz="8" w:color="454546"/>
            </w:tcBorders>
            <w:shd w:val="clear" w:color="auto" w:fill="E5E6E7"/>
          </w:tcPr>
          <w:p>
            <w:pPr>
              <w:spacing w:after="0"/>
              <w:rPr>
                <w:sz w:val="19"/>
                <w:szCs w:val="19"/>
                <w:color w:val="auto"/>
              </w:rPr>
            </w:pPr>
          </w:p>
        </w:tc>
        <w:tc>
          <w:tcPr>
            <w:tcW w:w="10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253</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tcBorders>
              <w:bottom w:val="single" w:sz="8" w:color="454546"/>
            </w:tcBorders>
            <w:shd w:val="clear" w:color="auto" w:fill="E5E6E7"/>
          </w:tcPr>
          <w:p>
            <w:pPr>
              <w:spacing w:after="0"/>
              <w:rPr>
                <w:sz w:val="19"/>
                <w:szCs w:val="19"/>
                <w:color w:val="auto"/>
              </w:rPr>
            </w:pPr>
          </w:p>
        </w:tc>
        <w:tc>
          <w:tcPr>
            <w:tcW w:w="8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liabilities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31,091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35,569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Commitments and contingencies (Note 5)</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454546"/>
              </w:rPr>
              <w:t>Stockholders’ equity:</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E5E6E7"/>
          </w:tcPr>
          <w:p>
            <w:pPr>
              <w:ind w:left="100"/>
              <w:spacing w:after="0" w:line="210" w:lineRule="exact"/>
              <w:rPr>
                <w:sz w:val="20"/>
                <w:szCs w:val="20"/>
                <w:color w:val="auto"/>
              </w:rPr>
            </w:pPr>
            <w:r>
              <w:rPr>
                <w:rFonts w:ascii="Times New Roman" w:cs="Times New Roman" w:eastAsia="Times New Roman" w:hAnsi="Times New Roman"/>
                <w:sz w:val="20"/>
                <w:szCs w:val="20"/>
                <w:color w:val="454546"/>
              </w:rPr>
              <w:t>Preferred stock, $0.0001 par value; 200,000,000 shares authorized</w:t>
            </w:r>
          </w:p>
        </w:tc>
        <w:tc>
          <w:tcPr>
            <w:tcW w:w="32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420" w:type="dxa"/>
            <w:vAlign w:val="bottom"/>
            <w:shd w:val="clear" w:color="auto" w:fill="E5E6E7"/>
          </w:tcPr>
          <w:p>
            <w:pPr>
              <w:spacing w:after="0"/>
              <w:rPr>
                <w:sz w:val="18"/>
                <w:szCs w:val="18"/>
                <w:color w:val="auto"/>
              </w:rPr>
            </w:pPr>
          </w:p>
        </w:tc>
        <w:tc>
          <w:tcPr>
            <w:tcW w:w="88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454546"/>
              </w:rPr>
              <w:t>as of December 31, 2023 and 2022; no shares issued and outstanding</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E5E6E7"/>
          </w:tcPr>
          <w:p>
            <w:pPr>
              <w:ind w:left="260"/>
              <w:spacing w:after="0"/>
              <w:rPr>
                <w:sz w:val="20"/>
                <w:szCs w:val="20"/>
                <w:color w:val="auto"/>
              </w:rPr>
            </w:pPr>
            <w:r>
              <w:rPr>
                <w:rFonts w:ascii="Times New Roman" w:cs="Times New Roman" w:eastAsia="Times New Roman" w:hAnsi="Times New Roman"/>
                <w:sz w:val="20"/>
                <w:szCs w:val="20"/>
                <w:color w:val="454546"/>
              </w:rPr>
              <w:t>as of December 31, 2023 and 2022</w:t>
            </w:r>
          </w:p>
        </w:tc>
        <w:tc>
          <w:tcPr>
            <w:tcW w:w="3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6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21"/>
                <w:szCs w:val="21"/>
                <w:color w:val="auto"/>
              </w:rPr>
            </w:pPr>
          </w:p>
        </w:tc>
        <w:tc>
          <w:tcPr>
            <w:tcW w:w="420" w:type="dxa"/>
            <w:vAlign w:val="bottom"/>
            <w:shd w:val="clear" w:color="auto" w:fill="E5E6E7"/>
          </w:tcPr>
          <w:p>
            <w:pPr>
              <w:spacing w:after="0"/>
              <w:rPr>
                <w:sz w:val="21"/>
                <w:szCs w:val="21"/>
                <w:color w:val="auto"/>
              </w:rPr>
            </w:pPr>
          </w:p>
        </w:tc>
        <w:tc>
          <w:tcPr>
            <w:tcW w:w="9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10"/>
        </w:trPr>
        <w:tc>
          <w:tcPr>
            <w:tcW w:w="6100" w:type="dxa"/>
            <w:vAlign w:val="bottom"/>
          </w:tcPr>
          <w:p>
            <w:pPr>
              <w:ind w:left="100"/>
              <w:spacing w:after="0" w:line="210" w:lineRule="exact"/>
              <w:rPr>
                <w:sz w:val="20"/>
                <w:szCs w:val="20"/>
                <w:color w:val="auto"/>
              </w:rPr>
            </w:pPr>
            <w:r>
              <w:rPr>
                <w:rFonts w:ascii="Times New Roman" w:cs="Times New Roman" w:eastAsia="Times New Roman" w:hAnsi="Times New Roman"/>
                <w:sz w:val="20"/>
                <w:szCs w:val="20"/>
                <w:color w:val="454546"/>
              </w:rPr>
              <w:t>Common stock, $0.0001 par value; 1,000,000,000 shares authorized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20"/>
                <w:szCs w:val="20"/>
                <w:color w:val="454546"/>
              </w:rPr>
              <w:t>as of December 31, 2023 and 2022; 68,330,342 and 66,857,113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00" w:type="dxa"/>
            <w:vAlign w:val="bottom"/>
          </w:tcPr>
          <w:p>
            <w:pPr>
              <w:ind w:left="260"/>
              <w:spacing w:after="0"/>
              <w:rPr>
                <w:sz w:val="20"/>
                <w:szCs w:val="20"/>
                <w:color w:val="auto"/>
              </w:rPr>
            </w:pPr>
            <w:r>
              <w:rPr>
                <w:rFonts w:ascii="Times New Roman" w:cs="Times New Roman" w:eastAsia="Times New Roman" w:hAnsi="Times New Roman"/>
                <w:sz w:val="20"/>
                <w:szCs w:val="20"/>
                <w:color w:val="454546"/>
              </w:rPr>
              <w:t>shares issued and outstanding as of December 31, 2023 and 2022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Additional paid-in capital</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542,805</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522,945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Accumulated other comprehensive loss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(106)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(378)</w:t>
            </w:r>
          </w:p>
        </w:tc>
        <w:tc>
          <w:tcPr>
            <w:tcW w:w="0" w:type="dxa"/>
            <w:vAlign w:val="bottom"/>
          </w:tcPr>
          <w:p>
            <w:pPr>
              <w:spacing w:after="0"/>
              <w:rPr>
                <w:sz w:val="1"/>
                <w:szCs w:val="1"/>
                <w:color w:val="auto"/>
              </w:rPr>
            </w:pPr>
          </w:p>
        </w:tc>
      </w:tr>
      <w:tr>
        <w:trPr>
          <w:trHeight w:val="230"/>
        </w:trPr>
        <w:tc>
          <w:tcPr>
            <w:tcW w:w="61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Accumulated deficit</w:t>
            </w:r>
          </w:p>
        </w:tc>
        <w:tc>
          <w:tcPr>
            <w:tcW w:w="3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1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(403,282)</w:t>
            </w:r>
          </w:p>
        </w:tc>
        <w:tc>
          <w:tcPr>
            <w:tcW w:w="80" w:type="dxa"/>
            <w:vAlign w:val="bottom"/>
            <w:shd w:val="clear" w:color="auto" w:fill="E5E6E7"/>
          </w:tcPr>
          <w:p>
            <w:pPr>
              <w:spacing w:after="0"/>
              <w:rPr>
                <w:sz w:val="19"/>
                <w:szCs w:val="19"/>
                <w:color w:val="auto"/>
              </w:rPr>
            </w:pPr>
          </w:p>
        </w:tc>
        <w:tc>
          <w:tcPr>
            <w:tcW w:w="42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(279,198)</w:t>
            </w:r>
          </w:p>
        </w:tc>
        <w:tc>
          <w:tcPr>
            <w:tcW w:w="0" w:type="dxa"/>
            <w:vAlign w:val="bottom"/>
          </w:tcPr>
          <w:p>
            <w:pPr>
              <w:spacing w:after="0"/>
              <w:rPr>
                <w:sz w:val="1"/>
                <w:szCs w:val="1"/>
                <w:color w:val="auto"/>
              </w:rPr>
            </w:pPr>
          </w:p>
        </w:tc>
      </w:tr>
      <w:tr>
        <w:trPr>
          <w:trHeight w:val="220"/>
        </w:trPr>
        <w:tc>
          <w:tcPr>
            <w:tcW w:w="6100" w:type="dxa"/>
            <w:vAlign w:val="bottom"/>
            <w:tcBorders>
              <w:bottom w:val="single" w:sz="8" w:color="E5E6E7"/>
            </w:tcBorders>
          </w:tcPr>
          <w:p>
            <w:pPr>
              <w:spacing w:after="0" w:line="220" w:lineRule="exact"/>
              <w:rPr>
                <w:sz w:val="20"/>
                <w:szCs w:val="20"/>
                <w:color w:val="auto"/>
              </w:rPr>
            </w:pPr>
            <w:r>
              <w:rPr>
                <w:rFonts w:ascii="Times New Roman" w:cs="Times New Roman" w:eastAsia="Times New Roman" w:hAnsi="Times New Roman"/>
                <w:sz w:val="20"/>
                <w:szCs w:val="20"/>
                <w:color w:val="454546"/>
              </w:rPr>
              <w:t>Total stockholders’ equity</w:t>
            </w:r>
          </w:p>
        </w:tc>
        <w:tc>
          <w:tcPr>
            <w:tcW w:w="320" w:type="dxa"/>
            <w:vAlign w:val="bottom"/>
            <w:tcBorders>
              <w:bottom w:val="single" w:sz="8" w:color="E5E6E7"/>
            </w:tcBorders>
          </w:tcPr>
          <w:p>
            <w:pPr>
              <w:spacing w:after="0"/>
              <w:rPr>
                <w:sz w:val="19"/>
                <w:szCs w:val="19"/>
                <w:color w:val="auto"/>
              </w:rPr>
            </w:pPr>
          </w:p>
        </w:tc>
        <w:tc>
          <w:tcPr>
            <w:tcW w:w="300" w:type="dxa"/>
            <w:vAlign w:val="bottom"/>
            <w:tcBorders>
              <w:top w:val="single" w:sz="8" w:color="454546"/>
              <w:bottom w:val="single" w:sz="8" w:color="454546"/>
            </w:tcBorders>
          </w:tcPr>
          <w:p>
            <w:pPr>
              <w:spacing w:after="0"/>
              <w:rPr>
                <w:sz w:val="19"/>
                <w:szCs w:val="19"/>
                <w:color w:val="auto"/>
              </w:rPr>
            </w:pPr>
          </w:p>
        </w:tc>
        <w:tc>
          <w:tcPr>
            <w:tcW w:w="10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139,424</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420" w:type="dxa"/>
            <w:vAlign w:val="bottom"/>
            <w:tcBorders>
              <w:top w:val="single" w:sz="8" w:color="454546"/>
              <w:bottom w:val="single" w:sz="8" w:color="454546"/>
            </w:tcBorders>
          </w:tcPr>
          <w:p>
            <w:pPr>
              <w:spacing w:after="0"/>
              <w:rPr>
                <w:sz w:val="19"/>
                <w:szCs w:val="19"/>
                <w:color w:val="auto"/>
              </w:rPr>
            </w:pPr>
          </w:p>
        </w:tc>
        <w:tc>
          <w:tcPr>
            <w:tcW w:w="8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243,376</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liabilities and stockholders’ equity</w:t>
            </w:r>
          </w:p>
        </w:tc>
        <w:tc>
          <w:tcPr>
            <w:tcW w:w="320" w:type="dxa"/>
            <w:vAlign w:val="bottom"/>
            <w:shd w:val="clear" w:color="auto" w:fill="E5E6E7"/>
          </w:tcPr>
          <w:p>
            <w:pPr>
              <w:spacing w:after="0"/>
              <w:rPr>
                <w:sz w:val="19"/>
                <w:szCs w:val="19"/>
                <w:color w:val="auto"/>
              </w:rPr>
            </w:pPr>
          </w:p>
        </w:tc>
        <w:tc>
          <w:tcPr>
            <w:tcW w:w="300" w:type="dxa"/>
            <w:vAlign w:val="bottom"/>
            <w:tcBorders>
              <w:bottom w:val="single" w:sz="8" w:color="454546"/>
            </w:tcBorders>
            <w:shd w:val="clear" w:color="auto" w:fill="E5E6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170,515</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420" w:type="dxa"/>
            <w:vAlign w:val="bottom"/>
            <w:tcBorders>
              <w:bottom w:val="single" w:sz="8" w:color="454546"/>
            </w:tcBorders>
            <w:shd w:val="clear" w:color="auto" w:fill="E5E6E7"/>
          </w:tcPr>
          <w:p>
            <w:pPr>
              <w:jc w:val="right"/>
              <w:ind w:right="2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278,945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454546"/>
            </w:tcBorders>
          </w:tcPr>
          <w:p>
            <w:pPr>
              <w:spacing w:after="0" w:line="20" w:lineRule="exact"/>
              <w:rPr>
                <w:sz w:val="1"/>
                <w:szCs w:val="1"/>
                <w:color w:val="auto"/>
              </w:rPr>
            </w:pPr>
          </w:p>
        </w:tc>
        <w:tc>
          <w:tcPr>
            <w:tcW w:w="8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101</w:t>
      </w:r>
    </w:p>
    <w:p>
      <w:pPr>
        <w:sectPr>
          <w:pgSz w:w="11880" w:h="15480" w:orient="portrait"/>
          <w:cols w:equalWidth="0" w:num="1">
            <w:col w:w="9360"/>
          </w:cols>
          <w:pgMar w:left="1260" w:top="1236" w:right="126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 except share and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174"/>
        </w:trPr>
        <w:tc>
          <w:tcPr>
            <w:tcW w:w="6120" w:type="dxa"/>
            <w:vAlign w:val="bottom"/>
            <w:tcBorders>
              <w:bottom w:val="single" w:sz="8" w:color="E5E6E7"/>
            </w:tcBorders>
          </w:tcPr>
          <w:p>
            <w:pPr>
              <w:spacing w:after="0"/>
              <w:rPr>
                <w:sz w:val="15"/>
                <w:szCs w:val="15"/>
                <w:color w:val="auto"/>
              </w:rPr>
            </w:pPr>
          </w:p>
        </w:tc>
        <w:tc>
          <w:tcPr>
            <w:tcW w:w="300" w:type="dxa"/>
            <w:vAlign w:val="bottom"/>
            <w:tcBorders>
              <w:bottom w:val="single" w:sz="8" w:color="E5E6E7"/>
            </w:tcBorders>
          </w:tcPr>
          <w:p>
            <w:pPr>
              <w:spacing w:after="0"/>
              <w:rPr>
                <w:sz w:val="15"/>
                <w:szCs w:val="15"/>
                <w:color w:val="auto"/>
              </w:rPr>
            </w:pPr>
          </w:p>
        </w:tc>
        <w:tc>
          <w:tcPr>
            <w:tcW w:w="260" w:type="dxa"/>
            <w:vAlign w:val="bottom"/>
            <w:tcBorders>
              <w:top w:val="single" w:sz="8" w:color="454546"/>
              <w:bottom w:val="single" w:sz="8" w:color="454546"/>
            </w:tcBorders>
          </w:tcPr>
          <w:p>
            <w:pPr>
              <w:spacing w:after="0"/>
              <w:rPr>
                <w:sz w:val="15"/>
                <w:szCs w:val="15"/>
                <w:color w:val="auto"/>
              </w:rPr>
            </w:pPr>
          </w:p>
        </w:tc>
        <w:tc>
          <w:tcPr>
            <w:tcW w:w="1040" w:type="dxa"/>
            <w:vAlign w:val="bottom"/>
            <w:tcBorders>
              <w:top w:val="single" w:sz="8" w:color="454546"/>
              <w:bottom w:val="single" w:sz="8" w:color="454546"/>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60" w:type="dxa"/>
            <w:vAlign w:val="bottom"/>
            <w:tcBorders>
              <w:top w:val="single" w:sz="8" w:color="454546"/>
              <w:bottom w:val="single" w:sz="8" w:color="E5E6E7"/>
            </w:tcBorders>
          </w:tcPr>
          <w:p>
            <w:pPr>
              <w:spacing w:after="0"/>
              <w:rPr>
                <w:sz w:val="15"/>
                <w:szCs w:val="15"/>
                <w:color w:val="auto"/>
              </w:rPr>
            </w:pPr>
          </w:p>
        </w:tc>
        <w:tc>
          <w:tcPr>
            <w:tcW w:w="80" w:type="dxa"/>
            <w:vAlign w:val="bottom"/>
            <w:tcBorders>
              <w:top w:val="single" w:sz="8" w:color="454546"/>
              <w:bottom w:val="single" w:sz="8" w:color="E5E6E7"/>
            </w:tcBorders>
          </w:tcPr>
          <w:p>
            <w:pPr>
              <w:spacing w:after="0"/>
              <w:rPr>
                <w:sz w:val="15"/>
                <w:szCs w:val="15"/>
                <w:color w:val="auto"/>
              </w:rPr>
            </w:pPr>
          </w:p>
        </w:tc>
        <w:tc>
          <w:tcPr>
            <w:tcW w:w="260" w:type="dxa"/>
            <w:vAlign w:val="bottom"/>
            <w:tcBorders>
              <w:top w:val="single" w:sz="8" w:color="454546"/>
              <w:bottom w:val="single" w:sz="8" w:color="454546"/>
            </w:tcBorders>
          </w:tcPr>
          <w:p>
            <w:pPr>
              <w:spacing w:after="0"/>
              <w:rPr>
                <w:sz w:val="15"/>
                <w:szCs w:val="15"/>
                <w:color w:val="auto"/>
              </w:rPr>
            </w:pPr>
          </w:p>
        </w:tc>
        <w:tc>
          <w:tcPr>
            <w:tcW w:w="1040" w:type="dxa"/>
            <w:vAlign w:val="bottom"/>
            <w:tcBorders>
              <w:top w:val="single" w:sz="8" w:color="454546"/>
              <w:bottom w:val="single" w:sz="8" w:color="454546"/>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Operating expenses:</w:t>
            </w:r>
          </w:p>
        </w:tc>
        <w:tc>
          <w:tcPr>
            <w:tcW w:w="3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30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98,038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94,537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General and administrative</w:t>
            </w:r>
          </w:p>
        </w:tc>
        <w:tc>
          <w:tcPr>
            <w:tcW w:w="30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33,155</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31,084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20" w:type="dxa"/>
            <w:vAlign w:val="bottom"/>
            <w:tcBorders>
              <w:bottom w:val="single" w:sz="8" w:color="E5E6E7"/>
            </w:tcBorders>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operating expenses</w:t>
            </w:r>
          </w:p>
        </w:tc>
        <w:tc>
          <w:tcPr>
            <w:tcW w:w="30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131,193</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125,621</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Loss from operations</w:t>
            </w:r>
          </w:p>
        </w:tc>
        <w:tc>
          <w:tcPr>
            <w:tcW w:w="3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(131,193)</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(125,621)</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Interest income</w:t>
            </w:r>
          </w:p>
        </w:tc>
        <w:tc>
          <w:tcPr>
            <w:tcW w:w="3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7,056</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1,954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Other income, net</w:t>
            </w:r>
          </w:p>
        </w:tc>
        <w:tc>
          <w:tcPr>
            <w:tcW w:w="30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53</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other income, net</w:t>
            </w:r>
          </w:p>
        </w:tc>
        <w:tc>
          <w:tcPr>
            <w:tcW w:w="30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7,109</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1,956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454546"/>
              </w:rPr>
              <w:t>Net loss before income tax expense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(124,084)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(123,665)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Income tax expense</w:t>
            </w:r>
          </w:p>
        </w:tc>
        <w:tc>
          <w:tcPr>
            <w:tcW w:w="3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20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00"/>
        </w:trPr>
        <w:tc>
          <w:tcPr>
            <w:tcW w:w="6120" w:type="dxa"/>
            <w:vAlign w:val="bottom"/>
            <w:tcBorders>
              <w:top w:val="single" w:sz="8" w:color="E5E6E7"/>
              <w:bottom w:val="single" w:sz="8" w:color="E5E6E7"/>
            </w:tcBorders>
          </w:tcPr>
          <w:p>
            <w:pPr>
              <w:spacing w:after="0" w:line="200" w:lineRule="exact"/>
              <w:rPr>
                <w:sz w:val="20"/>
                <w:szCs w:val="20"/>
                <w:color w:val="auto"/>
              </w:rPr>
            </w:pPr>
            <w:r>
              <w:rPr>
                <w:rFonts w:ascii="Times New Roman" w:cs="Times New Roman" w:eastAsia="Times New Roman" w:hAnsi="Times New Roman"/>
                <w:sz w:val="20"/>
                <w:szCs w:val="20"/>
                <w:color w:val="454546"/>
              </w:rPr>
              <w:t>Net loss</w:t>
            </w:r>
          </w:p>
        </w:tc>
        <w:tc>
          <w:tcPr>
            <w:tcW w:w="300" w:type="dxa"/>
            <w:vAlign w:val="bottom"/>
            <w:tcBorders>
              <w:top w:val="single" w:sz="8" w:color="E5E6E7"/>
              <w:bottom w:val="single" w:sz="8" w:color="E5E6E7"/>
            </w:tcBorders>
          </w:tcPr>
          <w:p>
            <w:pPr>
              <w:spacing w:after="0"/>
              <w:rPr>
                <w:sz w:val="17"/>
                <w:szCs w:val="17"/>
                <w:color w:val="auto"/>
              </w:rPr>
            </w:pPr>
          </w:p>
        </w:tc>
        <w:tc>
          <w:tcPr>
            <w:tcW w:w="260" w:type="dxa"/>
            <w:vAlign w:val="bottom"/>
            <w:tcBorders>
              <w:top w:val="single" w:sz="8" w:color="454546"/>
              <w:bottom w:val="single" w:sz="8" w:color="454546"/>
            </w:tcBorders>
          </w:tcPr>
          <w:p>
            <w:pPr>
              <w:spacing w:after="0"/>
              <w:rPr>
                <w:sz w:val="17"/>
                <w:szCs w:val="17"/>
                <w:color w:val="auto"/>
              </w:rPr>
            </w:pPr>
          </w:p>
        </w:tc>
        <w:tc>
          <w:tcPr>
            <w:tcW w:w="104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(124,084)</w:t>
            </w:r>
          </w:p>
        </w:tc>
        <w:tc>
          <w:tcPr>
            <w:tcW w:w="160" w:type="dxa"/>
            <w:vAlign w:val="bottom"/>
            <w:tcBorders>
              <w:top w:val="single" w:sz="8" w:color="E5E6E7"/>
              <w:bottom w:val="single" w:sz="8" w:color="E5E6E7"/>
            </w:tcBorders>
          </w:tcPr>
          <w:p>
            <w:pPr>
              <w:spacing w:after="0"/>
              <w:rPr>
                <w:sz w:val="17"/>
                <w:szCs w:val="17"/>
                <w:color w:val="auto"/>
              </w:rPr>
            </w:pPr>
          </w:p>
        </w:tc>
        <w:tc>
          <w:tcPr>
            <w:tcW w:w="80" w:type="dxa"/>
            <w:vAlign w:val="bottom"/>
            <w:tcBorders>
              <w:top w:val="single" w:sz="8" w:color="E5E6E7"/>
              <w:bottom w:val="single" w:sz="8" w:color="E5E6E7"/>
            </w:tcBorders>
          </w:tcPr>
          <w:p>
            <w:pPr>
              <w:spacing w:after="0"/>
              <w:rPr>
                <w:sz w:val="17"/>
                <w:szCs w:val="17"/>
                <w:color w:val="auto"/>
              </w:rPr>
            </w:pPr>
          </w:p>
        </w:tc>
        <w:tc>
          <w:tcPr>
            <w:tcW w:w="260" w:type="dxa"/>
            <w:vAlign w:val="bottom"/>
            <w:tcBorders>
              <w:top w:val="single" w:sz="8" w:color="454546"/>
              <w:bottom w:val="single" w:sz="8" w:color="454546"/>
            </w:tcBorders>
          </w:tcPr>
          <w:p>
            <w:pPr>
              <w:spacing w:after="0"/>
              <w:rPr>
                <w:sz w:val="17"/>
                <w:szCs w:val="17"/>
                <w:color w:val="auto"/>
              </w:rPr>
            </w:pPr>
          </w:p>
        </w:tc>
        <w:tc>
          <w:tcPr>
            <w:tcW w:w="104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(123,665)</w:t>
            </w:r>
          </w:p>
        </w:tc>
        <w:tc>
          <w:tcPr>
            <w:tcW w:w="100" w:type="dxa"/>
            <w:vAlign w:val="bottom"/>
            <w:tcBorders>
              <w:top w:val="single" w:sz="8" w:color="E5E6E7"/>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Other comprehensive income (loss):</w:t>
            </w:r>
          </w:p>
        </w:tc>
        <w:tc>
          <w:tcPr>
            <w:tcW w:w="3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Net unrealized gain (loss) on marketable securities</w:t>
            </w:r>
          </w:p>
        </w:tc>
        <w:tc>
          <w:tcPr>
            <w:tcW w:w="30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272</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(237)</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Comprehensive loss</w:t>
            </w:r>
          </w:p>
        </w:tc>
        <w:tc>
          <w:tcPr>
            <w:tcW w:w="30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jc w:val="right"/>
              <w:ind w:right="6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(123,812)</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jc w:val="right"/>
              <w:ind w:right="6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(123,902)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Net loss per share, basic and diluted</w:t>
            </w: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120" w:type="dxa"/>
            <w:vAlign w:val="bottom"/>
            <w:tcBorders>
              <w:bottom w:val="single" w:sz="8" w:color="E5E6E7"/>
            </w:tcBorders>
            <w:vMerge w:val="continue"/>
          </w:tcPr>
          <w:p>
            <w:pPr>
              <w:spacing w:after="0"/>
              <w:rPr>
                <w:sz w:val="22"/>
                <w:szCs w:val="22"/>
                <w:color w:val="auto"/>
              </w:rPr>
            </w:pPr>
          </w:p>
        </w:tc>
        <w:tc>
          <w:tcPr>
            <w:tcW w:w="300" w:type="dxa"/>
            <w:vAlign w:val="bottom"/>
            <w:tcBorders>
              <w:bottom w:val="single" w:sz="8" w:color="E5E6E7"/>
            </w:tcBorders>
            <w:vMerge w:val="continue"/>
          </w:tcPr>
          <w:p>
            <w:pPr>
              <w:spacing w:after="0"/>
              <w:rPr>
                <w:sz w:val="22"/>
                <w:szCs w:val="22"/>
                <w:color w:val="auto"/>
              </w:rPr>
            </w:pPr>
          </w:p>
        </w:tc>
        <w:tc>
          <w:tcPr>
            <w:tcW w:w="260" w:type="dxa"/>
            <w:vAlign w:val="bottom"/>
            <w:tcBorders>
              <w:bottom w:val="single" w:sz="8" w:color="454546"/>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(1.68)</w:t>
            </w:r>
          </w:p>
        </w:tc>
        <w:tc>
          <w:tcPr>
            <w:tcW w:w="160" w:type="dxa"/>
            <w:vAlign w:val="bottom"/>
            <w:tcBorders>
              <w:bottom w:val="single" w:sz="8" w:color="E5E6E7"/>
            </w:tcBorders>
            <w:vMerge w:val="continue"/>
          </w:tcPr>
          <w:p>
            <w:pPr>
              <w:spacing w:after="0"/>
              <w:rPr>
                <w:sz w:val="22"/>
                <w:szCs w:val="22"/>
                <w:color w:val="auto"/>
              </w:rPr>
            </w:pPr>
          </w:p>
        </w:tc>
        <w:tc>
          <w:tcPr>
            <w:tcW w:w="80" w:type="dxa"/>
            <w:vAlign w:val="bottom"/>
            <w:tcBorders>
              <w:bottom w:val="single" w:sz="8" w:color="E5E6E7"/>
            </w:tcBorders>
            <w:vMerge w:val="continue"/>
          </w:tcPr>
          <w:p>
            <w:pPr>
              <w:spacing w:after="0"/>
              <w:rPr>
                <w:sz w:val="22"/>
                <w:szCs w:val="22"/>
                <w:color w:val="auto"/>
              </w:rPr>
            </w:pPr>
          </w:p>
        </w:tc>
        <w:tc>
          <w:tcPr>
            <w:tcW w:w="260" w:type="dxa"/>
            <w:vAlign w:val="bottom"/>
            <w:tcBorders>
              <w:bottom w:val="single" w:sz="8" w:color="454546"/>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(2.76)</w:t>
            </w:r>
          </w:p>
        </w:tc>
        <w:tc>
          <w:tcPr>
            <w:tcW w:w="100" w:type="dxa"/>
            <w:vAlign w:val="bottom"/>
            <w:tcBorders>
              <w:bottom w:val="single" w:sz="8" w:color="E5E6E7"/>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E5E6E7"/>
          </w:tcPr>
          <w:p>
            <w:pPr>
              <w:spacing w:after="0" w:line="196" w:lineRule="exact"/>
              <w:rPr>
                <w:sz w:val="20"/>
                <w:szCs w:val="20"/>
                <w:color w:val="auto"/>
              </w:rPr>
            </w:pPr>
            <w:r>
              <w:rPr>
                <w:rFonts w:ascii="Times New Roman" w:cs="Times New Roman" w:eastAsia="Times New Roman" w:hAnsi="Times New Roman"/>
                <w:sz w:val="20"/>
                <w:szCs w:val="20"/>
                <w:color w:val="454546"/>
              </w:rPr>
              <w:t>Weighted-average shares used in computing net loss per share, basic and</w:t>
            </w:r>
          </w:p>
        </w:tc>
        <w:tc>
          <w:tcPr>
            <w:tcW w:w="30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104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104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1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diluted</w:t>
            </w:r>
          </w:p>
        </w:tc>
        <w:tc>
          <w:tcPr>
            <w:tcW w:w="300" w:type="dxa"/>
            <w:vAlign w:val="bottom"/>
            <w:shd w:val="clear" w:color="auto" w:fill="E5E6E7"/>
          </w:tcPr>
          <w:p>
            <w:pPr>
              <w:spacing w:after="0"/>
              <w:rPr>
                <w:sz w:val="21"/>
                <w:szCs w:val="21"/>
                <w:color w:val="auto"/>
              </w:rPr>
            </w:pPr>
          </w:p>
        </w:tc>
        <w:tc>
          <w:tcPr>
            <w:tcW w:w="26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73,786,126</w:t>
            </w:r>
          </w:p>
        </w:tc>
        <w:tc>
          <w:tcPr>
            <w:tcW w:w="1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26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44,823,597</w:t>
            </w:r>
          </w:p>
        </w:tc>
        <w:tc>
          <w:tcPr>
            <w:tcW w:w="10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102</w:t>
      </w:r>
    </w:p>
    <w:p>
      <w:pPr>
        <w:sectPr>
          <w:pgSz w:w="11880" w:h="15480" w:orient="portrait"/>
          <w:cols w:equalWidth="0" w:num="1">
            <w:col w:w="9360"/>
          </w:cols>
          <w:pgMar w:left="1260" w:top="1236" w:right="126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Stockholders’ Equity</w:t>
      </w:r>
    </w:p>
    <w:p>
      <w:pPr>
        <w:jc w:val="center"/>
        <w:spacing w:after="0" w:line="235" w:lineRule="auto"/>
        <w:rPr>
          <w:sz w:val="20"/>
          <w:szCs w:val="20"/>
          <w:color w:val="auto"/>
        </w:rPr>
      </w:pPr>
      <w:r>
        <w:rPr>
          <w:rFonts w:ascii="Times New Roman" w:cs="Times New Roman" w:eastAsia="Times New Roman" w:hAnsi="Times New Roman"/>
          <w:sz w:val="20"/>
          <w:szCs w:val="20"/>
          <w:b w:val="1"/>
          <w:bCs w:val="1"/>
          <w:i w:val="1"/>
          <w:iCs w:val="1"/>
          <w:color w:val="454546"/>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454546"/>
                <w:w w:val="98"/>
              </w:rPr>
              <w:t>Additional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6"/>
            <w:vMerge w:val="restart"/>
          </w:tcPr>
          <w:p>
            <w:pPr>
              <w:jc w:val="right"/>
              <w:ind w:right="661"/>
              <w:spacing w:after="0"/>
              <w:rPr>
                <w:sz w:val="20"/>
                <w:szCs w:val="20"/>
                <w:color w:val="auto"/>
              </w:rPr>
            </w:pPr>
            <w:r>
              <w:rPr>
                <w:rFonts w:ascii="Times New Roman" w:cs="Times New Roman" w:eastAsia="Times New Roman" w:hAnsi="Times New Roman"/>
                <w:sz w:val="16"/>
                <w:szCs w:val="16"/>
                <w:b w:val="1"/>
                <w:bCs w:val="1"/>
                <w:color w:val="454546"/>
              </w:rPr>
              <w:t>Common Stock</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454546"/>
                <w:w w:val="97"/>
              </w:rPr>
              <w:t>Other</w:t>
            </w:r>
          </w:p>
        </w:tc>
        <w:tc>
          <w:tcPr>
            <w:tcW w:w="140" w:type="dxa"/>
            <w:vAlign w:val="bottom"/>
          </w:tcPr>
          <w:p>
            <w:pPr>
              <w:spacing w:after="0"/>
              <w:rPr>
                <w:sz w:val="15"/>
                <w:szCs w:val="15"/>
                <w:color w:val="auto"/>
              </w:rPr>
            </w:pPr>
          </w:p>
        </w:tc>
        <w:tc>
          <w:tcPr>
            <w:tcW w:w="1500" w:type="dxa"/>
            <w:vAlign w:val="bottom"/>
            <w:gridSpan w:val="5"/>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100" w:type="dxa"/>
            <w:vAlign w:val="bottom"/>
          </w:tcPr>
          <w:p>
            <w:pPr>
              <w:spacing w:after="0"/>
              <w:rPr>
                <w:sz w:val="15"/>
                <w:szCs w:val="15"/>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bottom w:val="single" w:sz="8" w:color="454546"/>
            </w:tcBorders>
            <w:gridSpan w:val="6"/>
            <w:vMerge w:val="continue"/>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20" w:type="dxa"/>
            <w:vAlign w:val="bottom"/>
            <w:tcBorders>
              <w:bottom w:val="single" w:sz="8" w:color="454546"/>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454546"/>
              </w:rPr>
              <w:t>Paid-In</w:t>
            </w:r>
          </w:p>
        </w:tc>
        <w:tc>
          <w:tcPr>
            <w:tcW w:w="60" w:type="dxa"/>
            <w:vAlign w:val="bottom"/>
          </w:tcPr>
          <w:p>
            <w:pPr>
              <w:spacing w:after="0"/>
              <w:rPr>
                <w:sz w:val="19"/>
                <w:szCs w:val="19"/>
                <w:color w:val="auto"/>
              </w:rPr>
            </w:pPr>
          </w:p>
        </w:tc>
        <w:tc>
          <w:tcPr>
            <w:tcW w:w="152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b w:val="1"/>
                <w:bCs w:val="1"/>
                <w:color w:val="454546"/>
                <w:w w:val="99"/>
              </w:rPr>
              <w:t>Comprehensive</w:t>
            </w:r>
          </w:p>
        </w:tc>
        <w:tc>
          <w:tcPr>
            <w:tcW w:w="140" w:type="dxa"/>
            <w:vAlign w:val="bottom"/>
          </w:tcPr>
          <w:p>
            <w:pPr>
              <w:spacing w:after="0"/>
              <w:rPr>
                <w:sz w:val="19"/>
                <w:szCs w:val="19"/>
                <w:color w:val="auto"/>
              </w:rPr>
            </w:pPr>
          </w:p>
        </w:tc>
        <w:tc>
          <w:tcPr>
            <w:tcW w:w="15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454546"/>
              </w:rPr>
              <w:t>Amount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454546"/>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454546"/>
              </w:rPr>
              <w:t>Loss</w:t>
            </w:r>
          </w:p>
        </w:tc>
        <w:tc>
          <w:tcPr>
            <w:tcW w:w="140" w:type="dxa"/>
            <w:vAlign w:val="bottom"/>
          </w:tcPr>
          <w:p>
            <w:pPr>
              <w:spacing w:after="0"/>
              <w:rPr>
                <w:sz w:val="12"/>
                <w:szCs w:val="12"/>
                <w:color w:val="auto"/>
              </w:rPr>
            </w:pPr>
          </w:p>
        </w:tc>
        <w:tc>
          <w:tcPr>
            <w:tcW w:w="1500" w:type="dxa"/>
            <w:vAlign w:val="bottom"/>
            <w:gridSpan w:val="5"/>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rPr>
              <w:t>Deficit</w:t>
            </w:r>
          </w:p>
        </w:tc>
        <w:tc>
          <w:tcPr>
            <w:tcW w:w="100" w:type="dxa"/>
            <w:vAlign w:val="bottom"/>
          </w:tcPr>
          <w:p>
            <w:pPr>
              <w:spacing w:after="0"/>
              <w:rPr>
                <w:sz w:val="12"/>
                <w:szCs w:val="12"/>
                <w:color w:val="auto"/>
              </w:rPr>
            </w:pPr>
          </w:p>
        </w:tc>
        <w:tc>
          <w:tcPr>
            <w:tcW w:w="1340" w:type="dxa"/>
            <w:vAlign w:val="bottom"/>
            <w:gridSpan w:val="3"/>
          </w:tcPr>
          <w:p>
            <w:pPr>
              <w:jc w:val="center"/>
              <w:ind w:right="280"/>
              <w:spacing w:after="0" w:line="139" w:lineRule="exact"/>
              <w:rPr>
                <w:sz w:val="20"/>
                <w:szCs w:val="20"/>
                <w:color w:val="auto"/>
              </w:rPr>
            </w:pPr>
            <w:r>
              <w:rPr>
                <w:rFonts w:ascii="Times New Roman" w:cs="Times New Roman" w:eastAsia="Times New Roman" w:hAnsi="Times New Roman"/>
                <w:sz w:val="16"/>
                <w:szCs w:val="16"/>
                <w:b w:val="1"/>
                <w:bCs w:val="1"/>
                <w:color w:val="454546"/>
                <w:w w:val="99"/>
              </w:rPr>
              <w:t>Stockholders’</w:t>
            </w: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5"/>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454546"/>
                <w:w w:val="99"/>
              </w:rPr>
              <w:t>Equity</w:t>
            </w:r>
          </w:p>
        </w:tc>
        <w:tc>
          <w:tcPr>
            <w:tcW w:w="0" w:type="dxa"/>
            <w:vAlign w:val="bottom"/>
          </w:tcPr>
          <w:p>
            <w:pPr>
              <w:spacing w:after="0"/>
              <w:rPr>
                <w:sz w:val="1"/>
                <w:szCs w:val="1"/>
                <w:color w:val="auto"/>
              </w:rPr>
            </w:pPr>
          </w:p>
        </w:tc>
      </w:tr>
      <w:tr>
        <w:trPr>
          <w:trHeight w:val="174"/>
        </w:trPr>
        <w:tc>
          <w:tcPr>
            <w:tcW w:w="4820" w:type="dxa"/>
            <w:vAlign w:val="bottom"/>
            <w:tcBorders>
              <w:top w:val="single" w:sz="8" w:color="E5E6E7"/>
            </w:tcBorders>
            <w:gridSpan w:val="3"/>
            <w:shd w:val="clear" w:color="auto" w:fill="E5E6E7"/>
          </w:tcPr>
          <w:p>
            <w:pPr>
              <w:spacing w:after="0" w:line="174" w:lineRule="exact"/>
              <w:rPr>
                <w:sz w:val="20"/>
                <w:szCs w:val="20"/>
                <w:color w:val="auto"/>
              </w:rPr>
            </w:pPr>
            <w:r>
              <w:rPr>
                <w:rFonts w:ascii="Times New Roman" w:cs="Times New Roman" w:eastAsia="Times New Roman" w:hAnsi="Times New Roman"/>
                <w:sz w:val="16"/>
                <w:szCs w:val="16"/>
                <w:color w:val="454546"/>
              </w:rPr>
              <w:t>Balance as of January 1, 2022</w:t>
            </w:r>
          </w:p>
        </w:tc>
        <w:tc>
          <w:tcPr>
            <w:tcW w:w="1380" w:type="dxa"/>
            <w:vAlign w:val="bottom"/>
            <w:tcBorders>
              <w:top w:val="single" w:sz="8" w:color="454546"/>
            </w:tcBorders>
            <w:gridSpan w:val="2"/>
            <w:shd w:val="clear" w:color="auto" w:fill="E5E6E7"/>
          </w:tcPr>
          <w:p>
            <w:pPr>
              <w:jc w:val="right"/>
              <w:ind w:right="20"/>
              <w:spacing w:after="0" w:line="174" w:lineRule="exact"/>
              <w:rPr>
                <w:sz w:val="20"/>
                <w:szCs w:val="20"/>
                <w:color w:val="auto"/>
              </w:rPr>
            </w:pPr>
            <w:r>
              <w:rPr>
                <w:rFonts w:ascii="Times New Roman" w:cs="Times New Roman" w:eastAsia="Times New Roman" w:hAnsi="Times New Roman"/>
                <w:sz w:val="16"/>
                <w:szCs w:val="16"/>
                <w:color w:val="454546"/>
              </w:rPr>
              <w:t>41,291,374</w:t>
            </w:r>
          </w:p>
        </w:tc>
        <w:tc>
          <w:tcPr>
            <w:tcW w:w="26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1020" w:type="dxa"/>
            <w:vAlign w:val="bottom"/>
            <w:tcBorders>
              <w:top w:val="single" w:sz="8" w:color="454546"/>
            </w:tcBorders>
            <w:shd w:val="clear" w:color="auto" w:fill="E5E6E7"/>
          </w:tcPr>
          <w:p>
            <w:pPr>
              <w:jc w:val="right"/>
              <w:ind w:right="941"/>
              <w:spacing w:after="0"/>
              <w:rPr>
                <w:sz w:val="20"/>
                <w:szCs w:val="20"/>
                <w:color w:val="auto"/>
              </w:rPr>
            </w:pPr>
            <w:r>
              <w:rPr>
                <w:rFonts w:ascii="Times New Roman" w:cs="Times New Roman" w:eastAsia="Times New Roman" w:hAnsi="Times New Roman"/>
                <w:sz w:val="5"/>
                <w:szCs w:val="5"/>
                <w:color w:val="454546"/>
                <w:w w:val="78"/>
              </w:rPr>
              <w:t>$</w:t>
            </w:r>
          </w:p>
        </w:tc>
        <w:tc>
          <w:tcPr>
            <w:tcW w:w="280" w:type="dxa"/>
            <w:vAlign w:val="bottom"/>
            <w:tcBorders>
              <w:top w:val="single" w:sz="8" w:color="454546"/>
            </w:tcBorders>
            <w:gridSpan w:val="2"/>
            <w:shd w:val="clear" w:color="auto" w:fill="E5E6E7"/>
          </w:tcPr>
          <w:p>
            <w:pPr>
              <w:jc w:val="right"/>
              <w:ind w:right="20"/>
              <w:spacing w:after="0" w:line="174" w:lineRule="exact"/>
              <w:rPr>
                <w:sz w:val="20"/>
                <w:szCs w:val="20"/>
                <w:color w:val="auto"/>
              </w:rPr>
            </w:pPr>
            <w:r>
              <w:rPr>
                <w:rFonts w:ascii="Times New Roman" w:cs="Times New Roman" w:eastAsia="Times New Roman" w:hAnsi="Times New Roman"/>
                <w:sz w:val="16"/>
                <w:szCs w:val="16"/>
                <w:color w:val="454546"/>
              </w:rPr>
              <w:t>4</w:t>
            </w: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140" w:type="dxa"/>
            <w:vAlign w:val="bottom"/>
            <w:tcBorders>
              <w:top w:val="single" w:sz="8" w:color="454546"/>
            </w:tcBorders>
            <w:shd w:val="clear" w:color="auto" w:fill="E5E6E7"/>
          </w:tcPr>
          <w:p>
            <w:pPr>
              <w:jc w:val="right"/>
              <w:ind w:right="75"/>
              <w:spacing w:after="0"/>
              <w:rPr>
                <w:sz w:val="20"/>
                <w:szCs w:val="20"/>
                <w:color w:val="auto"/>
              </w:rPr>
            </w:pPr>
            <w:r>
              <w:rPr>
                <w:rFonts w:ascii="Times New Roman" w:cs="Times New Roman" w:eastAsia="Times New Roman" w:hAnsi="Times New Roman"/>
                <w:sz w:val="5"/>
                <w:szCs w:val="5"/>
                <w:color w:val="454546"/>
                <w:w w:val="78"/>
              </w:rPr>
              <w:t>$</w:t>
            </w:r>
          </w:p>
        </w:tc>
        <w:tc>
          <w:tcPr>
            <w:tcW w:w="1160" w:type="dxa"/>
            <w:vAlign w:val="bottom"/>
            <w:tcBorders>
              <w:top w:val="single" w:sz="8" w:color="454546"/>
            </w:tcBorders>
            <w:gridSpan w:val="2"/>
            <w:shd w:val="clear" w:color="auto" w:fill="E5E6E7"/>
          </w:tcPr>
          <w:p>
            <w:pPr>
              <w:jc w:val="right"/>
              <w:ind w:right="20"/>
              <w:spacing w:after="0" w:line="174" w:lineRule="exact"/>
              <w:rPr>
                <w:sz w:val="20"/>
                <w:szCs w:val="20"/>
                <w:color w:val="auto"/>
              </w:rPr>
            </w:pPr>
            <w:r>
              <w:rPr>
                <w:rFonts w:ascii="Times New Roman" w:cs="Times New Roman" w:eastAsia="Times New Roman" w:hAnsi="Times New Roman"/>
                <w:sz w:val="16"/>
                <w:szCs w:val="16"/>
                <w:color w:val="454546"/>
              </w:rPr>
              <w:t>434,196</w:t>
            </w: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6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454546"/>
                <w:w w:val="78"/>
              </w:rPr>
              <w:t>$</w:t>
            </w:r>
          </w:p>
        </w:tc>
        <w:tc>
          <w:tcPr>
            <w:tcW w:w="40" w:type="dxa"/>
            <w:vAlign w:val="bottom"/>
            <w:tcBorders>
              <w:top w:val="single" w:sz="8" w:color="454546"/>
            </w:tcBorders>
            <w:shd w:val="clear" w:color="auto" w:fill="E5E6E7"/>
          </w:tcPr>
          <w:p>
            <w:pPr>
              <w:spacing w:after="0"/>
              <w:rPr>
                <w:sz w:val="15"/>
                <w:szCs w:val="15"/>
                <w:color w:val="auto"/>
              </w:rPr>
            </w:pPr>
          </w:p>
        </w:tc>
        <w:tc>
          <w:tcPr>
            <w:tcW w:w="1180" w:type="dxa"/>
            <w:vAlign w:val="bottom"/>
            <w:tcBorders>
              <w:top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(141)</w:t>
            </w: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140" w:type="dxa"/>
            <w:vAlign w:val="bottom"/>
            <w:tcBorders>
              <w:top w:val="single" w:sz="8" w:color="454546"/>
            </w:tcBorders>
            <w:shd w:val="clear" w:color="auto" w:fill="E5E6E7"/>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200" w:type="dxa"/>
            <w:vAlign w:val="bottom"/>
            <w:tcBorders>
              <w:top w:val="single" w:sz="8" w:color="454546"/>
            </w:tcBorders>
            <w:gridSpan w:val="2"/>
            <w:shd w:val="clear" w:color="auto" w:fill="E5E6E7"/>
          </w:tcPr>
          <w:p>
            <w:pPr>
              <w:jc w:val="right"/>
              <w:ind w:right="20"/>
              <w:spacing w:after="0" w:line="174" w:lineRule="exact"/>
              <w:rPr>
                <w:sz w:val="20"/>
                <w:szCs w:val="20"/>
                <w:color w:val="auto"/>
              </w:rPr>
            </w:pPr>
            <w:r>
              <w:rPr>
                <w:rFonts w:ascii="Times New Roman" w:cs="Times New Roman" w:eastAsia="Times New Roman" w:hAnsi="Times New Roman"/>
                <w:sz w:val="16"/>
                <w:szCs w:val="16"/>
                <w:color w:val="454546"/>
              </w:rPr>
              <w:t>(155,533)</w:t>
            </w:r>
          </w:p>
        </w:tc>
        <w:tc>
          <w:tcPr>
            <w:tcW w:w="26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E5E6E7"/>
            </w:tcBorders>
            <w:shd w:val="clear" w:color="auto" w:fill="E5E6E7"/>
          </w:tcPr>
          <w:p>
            <w:pPr>
              <w:spacing w:after="0"/>
              <w:rPr>
                <w:sz w:val="15"/>
                <w:szCs w:val="15"/>
                <w:color w:val="auto"/>
              </w:rPr>
            </w:pPr>
          </w:p>
        </w:tc>
        <w:tc>
          <w:tcPr>
            <w:tcW w:w="100" w:type="dxa"/>
            <w:vAlign w:val="bottom"/>
            <w:tcBorders>
              <w:top w:val="single" w:sz="8" w:color="454546"/>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20" w:type="dxa"/>
            <w:vAlign w:val="bottom"/>
            <w:tcBorders>
              <w:top w:val="single" w:sz="8" w:color="454546"/>
            </w:tcBorders>
            <w:gridSpan w:val="2"/>
            <w:shd w:val="clear" w:color="auto" w:fill="E5E6E7"/>
          </w:tcPr>
          <w:p>
            <w:pPr>
              <w:jc w:val="right"/>
              <w:ind w:right="20"/>
              <w:spacing w:after="0" w:line="174" w:lineRule="exact"/>
              <w:rPr>
                <w:sz w:val="20"/>
                <w:szCs w:val="20"/>
                <w:color w:val="auto"/>
              </w:rPr>
            </w:pPr>
            <w:r>
              <w:rPr>
                <w:rFonts w:ascii="Times New Roman" w:cs="Times New Roman" w:eastAsia="Times New Roman" w:hAnsi="Times New Roman"/>
                <w:sz w:val="16"/>
                <w:szCs w:val="16"/>
                <w:color w:val="454546"/>
              </w:rPr>
              <w:t>278,526</w:t>
            </w:r>
          </w:p>
        </w:tc>
        <w:tc>
          <w:tcPr>
            <w:tcW w:w="120" w:type="dxa"/>
            <w:vAlign w:val="bottom"/>
            <w:tcBorders>
              <w:top w:val="single" w:sz="8" w:color="E5E6E7"/>
            </w:tcBorders>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6"/>
                <w:szCs w:val="16"/>
                <w:color w:val="454546"/>
              </w:rPr>
              <w:t>Issuance of common stock and pre-funded</w:t>
            </w:r>
          </w:p>
        </w:tc>
        <w:tc>
          <w:tcPr>
            <w:tcW w:w="16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454546"/>
              </w:rPr>
              <w:t>25,429,716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76,883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5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454546"/>
              </w:rPr>
              <w:t>76,886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454546"/>
              </w:rPr>
              <w:t>warrants, net of issuance costs of $5,441</w:t>
            </w: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820" w:type="dxa"/>
            <w:vAlign w:val="bottom"/>
            <w:gridSpan w:val="3"/>
            <w:shd w:val="clear" w:color="auto" w:fill="E5E6E7"/>
          </w:tcPr>
          <w:p>
            <w:pPr>
              <w:ind w:left="200"/>
              <w:spacing w:after="0" w:line="152" w:lineRule="exact"/>
              <w:rPr>
                <w:sz w:val="20"/>
                <w:szCs w:val="20"/>
                <w:color w:val="auto"/>
              </w:rPr>
            </w:pPr>
            <w:r>
              <w:rPr>
                <w:rFonts w:ascii="Times New Roman" w:cs="Times New Roman" w:eastAsia="Times New Roman" w:hAnsi="Times New Roman"/>
                <w:sz w:val="16"/>
                <w:szCs w:val="16"/>
                <w:color w:val="454546"/>
              </w:rPr>
              <w:t>Issuance of common stock upon exercise</w:t>
            </w:r>
          </w:p>
        </w:tc>
        <w:tc>
          <w:tcPr>
            <w:tcW w:w="13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1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118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11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1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of stock options and vesting of restricted</w:t>
            </w:r>
          </w:p>
        </w:tc>
        <w:tc>
          <w:tcPr>
            <w:tcW w:w="1640" w:type="dxa"/>
            <w:vAlign w:val="bottom"/>
            <w:gridSpan w:val="3"/>
            <w:vMerge w:val="restart"/>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32,609</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600" w:type="dxa"/>
            <w:vAlign w:val="bottom"/>
            <w:gridSpan w:val="5"/>
            <w:vMerge w:val="restart"/>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5"/>
                <w:szCs w:val="15"/>
                <w:color w:val="auto"/>
              </w:rPr>
            </w:pPr>
          </w:p>
        </w:tc>
        <w:tc>
          <w:tcPr>
            <w:tcW w:w="1440" w:type="dxa"/>
            <w:vAlign w:val="bottom"/>
            <w:gridSpan w:val="3"/>
            <w:vMerge w:val="restart"/>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51</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40" w:type="dxa"/>
            <w:vAlign w:val="bottom"/>
            <w:shd w:val="clear" w:color="auto" w:fill="E5E6E7"/>
          </w:tcPr>
          <w:p>
            <w:pPr>
              <w:spacing w:after="0"/>
              <w:rPr>
                <w:sz w:val="15"/>
                <w:szCs w:val="15"/>
                <w:color w:val="auto"/>
              </w:rPr>
            </w:pPr>
          </w:p>
        </w:tc>
        <w:tc>
          <w:tcPr>
            <w:tcW w:w="118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500" w:type="dxa"/>
            <w:vAlign w:val="bottom"/>
            <w:gridSpan w:val="5"/>
            <w:vMerge w:val="restart"/>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5"/>
                <w:szCs w:val="15"/>
                <w:color w:val="auto"/>
              </w:rPr>
            </w:pPr>
          </w:p>
        </w:tc>
        <w:tc>
          <w:tcPr>
            <w:tcW w:w="1220" w:type="dxa"/>
            <w:vAlign w:val="bottom"/>
            <w:gridSpan w:val="2"/>
            <w:vMerge w:val="restart"/>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51</w:t>
            </w:r>
          </w:p>
        </w:tc>
        <w:tc>
          <w:tcPr>
            <w:tcW w:w="12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stock units</w:t>
            </w:r>
          </w:p>
        </w:tc>
        <w:tc>
          <w:tcPr>
            <w:tcW w:w="16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20" w:type="dxa"/>
            <w:vAlign w:val="bottom"/>
            <w:shd w:val="clear" w:color="auto" w:fill="E5E6E7"/>
          </w:tcPr>
          <w:p>
            <w:pPr>
              <w:spacing w:after="0"/>
              <w:rPr>
                <w:sz w:val="19"/>
                <w:szCs w:val="19"/>
                <w:color w:val="auto"/>
              </w:rPr>
            </w:pPr>
          </w:p>
        </w:tc>
        <w:tc>
          <w:tcPr>
            <w:tcW w:w="600" w:type="dxa"/>
            <w:vAlign w:val="bottom"/>
            <w:gridSpan w:val="5"/>
            <w:vMerge w:val="continue"/>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1180" w:type="dxa"/>
            <w:vAlign w:val="bottom"/>
            <w:vMerge w:val="continue"/>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00" w:type="dxa"/>
            <w:vAlign w:val="bottom"/>
            <w:gridSpan w:val="5"/>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20" w:type="dxa"/>
            <w:vAlign w:val="bottom"/>
            <w:gridSpan w:val="2"/>
            <w:vMerge w:val="continue"/>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6"/>
                <w:szCs w:val="16"/>
                <w:color w:val="454546"/>
              </w:rPr>
              <w:t>Issuance of common stock pursuant to</w:t>
            </w:r>
          </w:p>
        </w:tc>
        <w:tc>
          <w:tcPr>
            <w:tcW w:w="16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454546"/>
              </w:rPr>
              <w:t>106,192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4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329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5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454546"/>
              </w:rPr>
              <w:t>329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454546"/>
              </w:rPr>
              <w:t>employee stock purchase plan</w:t>
            </w: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820" w:type="dxa"/>
            <w:vAlign w:val="bottom"/>
            <w:gridSpan w:val="3"/>
            <w:shd w:val="clear" w:color="auto" w:fill="E5E6E7"/>
          </w:tcPr>
          <w:p>
            <w:pPr>
              <w:ind w:left="200"/>
              <w:spacing w:after="0" w:line="152" w:lineRule="exact"/>
              <w:rPr>
                <w:sz w:val="20"/>
                <w:szCs w:val="20"/>
                <w:color w:val="auto"/>
              </w:rPr>
            </w:pPr>
            <w:r>
              <w:rPr>
                <w:rFonts w:ascii="Times New Roman" w:cs="Times New Roman" w:eastAsia="Times New Roman" w:hAnsi="Times New Roman"/>
                <w:sz w:val="16"/>
                <w:szCs w:val="16"/>
                <w:color w:val="454546"/>
              </w:rPr>
              <w:t>Repurchase of common stock related to</w:t>
            </w:r>
          </w:p>
        </w:tc>
        <w:tc>
          <w:tcPr>
            <w:tcW w:w="1640" w:type="dxa"/>
            <w:vAlign w:val="bottom"/>
            <w:gridSpan w:val="3"/>
            <w:vMerge w:val="restart"/>
            <w:shd w:val="clear" w:color="auto" w:fill="E5E6E7"/>
          </w:tcPr>
          <w:p>
            <w:pPr>
              <w:jc w:val="right"/>
              <w:ind w:right="240"/>
              <w:spacing w:after="0"/>
              <w:rPr>
                <w:sz w:val="20"/>
                <w:szCs w:val="20"/>
                <w:color w:val="auto"/>
              </w:rPr>
            </w:pPr>
            <w:r>
              <w:rPr>
                <w:rFonts w:ascii="Times New Roman" w:cs="Times New Roman" w:eastAsia="Times New Roman" w:hAnsi="Times New Roman"/>
                <w:sz w:val="16"/>
                <w:szCs w:val="16"/>
                <w:color w:val="454546"/>
              </w:rPr>
              <w:t>(2,778)</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20" w:type="dxa"/>
            <w:vAlign w:val="bottom"/>
            <w:shd w:val="clear" w:color="auto" w:fill="E5E6E7"/>
          </w:tcPr>
          <w:p>
            <w:pPr>
              <w:spacing w:after="0"/>
              <w:rPr>
                <w:sz w:val="13"/>
                <w:szCs w:val="13"/>
                <w:color w:val="auto"/>
              </w:rPr>
            </w:pPr>
          </w:p>
        </w:tc>
        <w:tc>
          <w:tcPr>
            <w:tcW w:w="600" w:type="dxa"/>
            <w:vAlign w:val="bottom"/>
            <w:gridSpan w:val="5"/>
            <w:vMerge w:val="restart"/>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3"/>
                <w:szCs w:val="13"/>
                <w:color w:val="auto"/>
              </w:rPr>
            </w:pPr>
          </w:p>
        </w:tc>
        <w:tc>
          <w:tcPr>
            <w:tcW w:w="1480" w:type="dxa"/>
            <w:vAlign w:val="bottom"/>
            <w:gridSpan w:val="5"/>
            <w:vMerge w:val="restart"/>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118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1500" w:type="dxa"/>
            <w:vAlign w:val="bottom"/>
            <w:gridSpan w:val="5"/>
            <w:vMerge w:val="restart"/>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3"/>
                <w:szCs w:val="13"/>
                <w:color w:val="auto"/>
              </w:rPr>
            </w:pPr>
          </w:p>
        </w:tc>
        <w:tc>
          <w:tcPr>
            <w:tcW w:w="1340" w:type="dxa"/>
            <w:vAlign w:val="bottom"/>
            <w:gridSpan w:val="3"/>
            <w:vMerge w:val="restart"/>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19"/>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early exercise of options</w:t>
            </w:r>
          </w:p>
        </w:tc>
        <w:tc>
          <w:tcPr>
            <w:tcW w:w="16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20" w:type="dxa"/>
            <w:vAlign w:val="bottom"/>
            <w:shd w:val="clear" w:color="auto" w:fill="E5E6E7"/>
          </w:tcPr>
          <w:p>
            <w:pPr>
              <w:spacing w:after="0"/>
              <w:rPr>
                <w:sz w:val="19"/>
                <w:szCs w:val="19"/>
                <w:color w:val="auto"/>
              </w:rPr>
            </w:pPr>
          </w:p>
        </w:tc>
        <w:tc>
          <w:tcPr>
            <w:tcW w:w="600" w:type="dxa"/>
            <w:vAlign w:val="bottom"/>
            <w:gridSpan w:val="5"/>
            <w:vMerge w:val="continue"/>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80" w:type="dxa"/>
            <w:vAlign w:val="bottom"/>
            <w:gridSpan w:val="5"/>
            <w:vMerge w:val="continue"/>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1180" w:type="dxa"/>
            <w:vAlign w:val="bottom"/>
            <w:vMerge w:val="continue"/>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00" w:type="dxa"/>
            <w:vAlign w:val="bottom"/>
            <w:gridSpan w:val="5"/>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340" w:type="dxa"/>
            <w:vAlign w:val="bottom"/>
            <w:gridSpan w:val="3"/>
            <w:vMerge w:val="continue"/>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8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454546"/>
              </w:rPr>
              <w:t>Vesting of early exercised stock options</w:t>
            </w:r>
          </w:p>
        </w:tc>
        <w:tc>
          <w:tcPr>
            <w:tcW w:w="168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tcPr>
          <w:p>
            <w:pPr>
              <w:spacing w:after="0"/>
              <w:rPr>
                <w:sz w:val="15"/>
                <w:szCs w:val="15"/>
                <w:color w:val="auto"/>
              </w:rPr>
            </w:pPr>
          </w:p>
        </w:tc>
        <w:tc>
          <w:tcPr>
            <w:tcW w:w="6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5"/>
                <w:szCs w:val="15"/>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454546"/>
              </w:rPr>
              <w:t>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gridSpan w:val="3"/>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68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spacing w:after="0"/>
              <w:rPr>
                <w:sz w:val="15"/>
                <w:szCs w:val="15"/>
                <w:color w:val="auto"/>
              </w:rPr>
            </w:pPr>
          </w:p>
        </w:tc>
        <w:tc>
          <w:tcPr>
            <w:tcW w:w="60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5"/>
                <w:szCs w:val="15"/>
                <w:color w:val="auto"/>
              </w:rPr>
            </w:pPr>
          </w:p>
        </w:tc>
        <w:tc>
          <w:tcPr>
            <w:tcW w:w="1440" w:type="dxa"/>
            <w:vAlign w:val="bottom"/>
            <w:gridSpan w:val="3"/>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11,467</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40" w:type="dxa"/>
            <w:vAlign w:val="bottom"/>
            <w:shd w:val="clear" w:color="auto" w:fill="E5E6E7"/>
          </w:tcPr>
          <w:p>
            <w:pPr>
              <w:spacing w:after="0"/>
              <w:rPr>
                <w:sz w:val="15"/>
                <w:szCs w:val="15"/>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50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5"/>
                <w:szCs w:val="15"/>
                <w:color w:val="auto"/>
              </w:rPr>
            </w:pPr>
          </w:p>
        </w:tc>
        <w:tc>
          <w:tcPr>
            <w:tcW w:w="12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11,467</w:t>
            </w:r>
          </w:p>
        </w:tc>
        <w:tc>
          <w:tcPr>
            <w:tcW w:w="12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454546"/>
              </w:rPr>
              <w:t>Other comprehensive loss</w:t>
            </w:r>
          </w:p>
        </w:tc>
        <w:tc>
          <w:tcPr>
            <w:tcW w:w="168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tcPr>
          <w:p>
            <w:pPr>
              <w:spacing w:after="0"/>
              <w:rPr>
                <w:sz w:val="16"/>
                <w:szCs w:val="16"/>
                <w:color w:val="auto"/>
              </w:rPr>
            </w:pPr>
          </w:p>
        </w:tc>
        <w:tc>
          <w:tcPr>
            <w:tcW w:w="6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6"/>
                <w:szCs w:val="16"/>
                <w:color w:val="auto"/>
              </w:rPr>
            </w:pPr>
          </w:p>
        </w:tc>
        <w:tc>
          <w:tcPr>
            <w:tcW w:w="148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(237)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6"/>
                <w:szCs w:val="16"/>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454546"/>
              </w:rPr>
              <w:t>(237)</w:t>
            </w:r>
          </w:p>
        </w:tc>
        <w:tc>
          <w:tcPr>
            <w:tcW w:w="0" w:type="dxa"/>
            <w:vAlign w:val="bottom"/>
          </w:tcPr>
          <w:p>
            <w:pPr>
              <w:spacing w:after="0"/>
              <w:rPr>
                <w:sz w:val="1"/>
                <w:szCs w:val="1"/>
                <w:color w:val="auto"/>
              </w:rPr>
            </w:pPr>
          </w:p>
        </w:tc>
      </w:tr>
      <w:tr>
        <w:trPr>
          <w:trHeight w:val="204"/>
        </w:trPr>
        <w:tc>
          <w:tcPr>
            <w:tcW w:w="4820" w:type="dxa"/>
            <w:vAlign w:val="bottom"/>
            <w:gridSpan w:val="3"/>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Net loss</w:t>
            </w:r>
          </w:p>
        </w:tc>
        <w:tc>
          <w:tcPr>
            <w:tcW w:w="168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spacing w:after="0"/>
              <w:rPr>
                <w:sz w:val="17"/>
                <w:szCs w:val="17"/>
                <w:color w:val="auto"/>
              </w:rPr>
            </w:pPr>
          </w:p>
        </w:tc>
        <w:tc>
          <w:tcPr>
            <w:tcW w:w="60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7"/>
                <w:szCs w:val="17"/>
                <w:color w:val="auto"/>
              </w:rPr>
            </w:pPr>
          </w:p>
        </w:tc>
        <w:tc>
          <w:tcPr>
            <w:tcW w:w="148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shd w:val="clear" w:color="auto" w:fill="E5E6E7"/>
          </w:tcPr>
          <w:p>
            <w:pPr>
              <w:spacing w:after="0"/>
              <w:rPr>
                <w:sz w:val="17"/>
                <w:szCs w:val="17"/>
                <w:color w:val="auto"/>
              </w:rPr>
            </w:pPr>
          </w:p>
        </w:tc>
        <w:tc>
          <w:tcPr>
            <w:tcW w:w="40" w:type="dxa"/>
            <w:vAlign w:val="bottom"/>
            <w:shd w:val="clear" w:color="auto" w:fill="E5E6E7"/>
          </w:tcPr>
          <w:p>
            <w:pPr>
              <w:spacing w:after="0"/>
              <w:rPr>
                <w:sz w:val="17"/>
                <w:szCs w:val="17"/>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146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16"/>
                <w:szCs w:val="16"/>
                <w:color w:val="454546"/>
              </w:rPr>
              <w:t>(123,665)</w:t>
            </w: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3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6"/>
                <w:szCs w:val="16"/>
                <w:color w:val="454546"/>
              </w:rPr>
              <w:t>(123,665)</w:t>
            </w:r>
          </w:p>
        </w:tc>
        <w:tc>
          <w:tcPr>
            <w:tcW w:w="0" w:type="dxa"/>
            <w:vAlign w:val="bottom"/>
          </w:tcPr>
          <w:p>
            <w:pPr>
              <w:spacing w:after="0"/>
              <w:rPr>
                <w:sz w:val="1"/>
                <w:szCs w:val="1"/>
                <w:color w:val="auto"/>
              </w:rPr>
            </w:pPr>
          </w:p>
        </w:tc>
      </w:tr>
      <w:tr>
        <w:trPr>
          <w:trHeight w:val="154"/>
        </w:trPr>
        <w:tc>
          <w:tcPr>
            <w:tcW w:w="4800" w:type="dxa"/>
            <w:vAlign w:val="bottom"/>
            <w:tcBorders>
              <w:top w:val="single" w:sz="8" w:color="E5E6E7"/>
            </w:tcBorders>
            <w:gridSpan w:val="2"/>
          </w:tcPr>
          <w:p>
            <w:pPr>
              <w:spacing w:after="0" w:line="154" w:lineRule="exact"/>
              <w:rPr>
                <w:sz w:val="20"/>
                <w:szCs w:val="20"/>
                <w:color w:val="auto"/>
              </w:rPr>
            </w:pPr>
            <w:r>
              <w:rPr>
                <w:rFonts w:ascii="Times New Roman" w:cs="Times New Roman" w:eastAsia="Times New Roman" w:hAnsi="Times New Roman"/>
                <w:sz w:val="16"/>
                <w:szCs w:val="16"/>
                <w:color w:val="454546"/>
              </w:rPr>
              <w:t>Balance as of December 31, 2022</w:t>
            </w:r>
          </w:p>
        </w:tc>
        <w:tc>
          <w:tcPr>
            <w:tcW w:w="20" w:type="dxa"/>
            <w:vAlign w:val="bottom"/>
            <w:tcBorders>
              <w:top w:val="single" w:sz="8" w:color="454546"/>
            </w:tcBorders>
          </w:tcPr>
          <w:p>
            <w:pPr>
              <w:spacing w:after="0"/>
              <w:rPr>
                <w:sz w:val="13"/>
                <w:szCs w:val="13"/>
                <w:color w:val="auto"/>
              </w:rPr>
            </w:pPr>
          </w:p>
        </w:tc>
        <w:tc>
          <w:tcPr>
            <w:tcW w:w="1360" w:type="dxa"/>
            <w:vAlign w:val="bottom"/>
            <w:tcBorders>
              <w:top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66,857,113</w:t>
            </w:r>
          </w:p>
        </w:tc>
        <w:tc>
          <w:tcPr>
            <w:tcW w:w="280" w:type="dxa"/>
            <w:vAlign w:val="bottom"/>
            <w:tcBorders>
              <w:top w:val="single" w:sz="8" w:color="E5E6E7"/>
            </w:tcBorders>
            <w:gridSpan w:val="2"/>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454546"/>
            </w:tcBorders>
          </w:tcPr>
          <w:p>
            <w:pPr>
              <w:spacing w:after="0"/>
              <w:rPr>
                <w:sz w:val="13"/>
                <w:szCs w:val="13"/>
                <w:color w:val="auto"/>
              </w:rPr>
            </w:pPr>
          </w:p>
        </w:tc>
        <w:tc>
          <w:tcPr>
            <w:tcW w:w="1020" w:type="dxa"/>
            <w:vAlign w:val="bottom"/>
            <w:tcBorders>
              <w:top w:val="single" w:sz="8" w:color="454546"/>
            </w:tcBorders>
          </w:tcPr>
          <w:p>
            <w:pPr>
              <w:jc w:val="right"/>
              <w:ind w:right="941"/>
              <w:spacing w:after="0"/>
              <w:rPr>
                <w:sz w:val="20"/>
                <w:szCs w:val="20"/>
                <w:color w:val="auto"/>
              </w:rPr>
            </w:pPr>
            <w:r>
              <w:rPr>
                <w:rFonts w:ascii="Times New Roman" w:cs="Times New Roman" w:eastAsia="Times New Roman" w:hAnsi="Times New Roman"/>
                <w:sz w:val="5"/>
                <w:szCs w:val="5"/>
                <w:color w:val="454546"/>
                <w:w w:val="78"/>
              </w:rPr>
              <w:t>$</w:t>
            </w:r>
          </w:p>
        </w:tc>
        <w:tc>
          <w:tcPr>
            <w:tcW w:w="260" w:type="dxa"/>
            <w:vAlign w:val="bottom"/>
            <w:tcBorders>
              <w:top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7</w:t>
            </w:r>
          </w:p>
        </w:tc>
        <w:tc>
          <w:tcPr>
            <w:tcW w:w="300" w:type="dxa"/>
            <w:vAlign w:val="bottom"/>
            <w:tcBorders>
              <w:top w:val="single" w:sz="8" w:color="E5E6E7"/>
            </w:tcBorders>
            <w:gridSpan w:val="2"/>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454546"/>
            </w:tcBorders>
          </w:tcPr>
          <w:p>
            <w:pPr>
              <w:spacing w:after="0"/>
              <w:rPr>
                <w:sz w:val="13"/>
                <w:szCs w:val="13"/>
                <w:color w:val="auto"/>
              </w:rPr>
            </w:pPr>
          </w:p>
        </w:tc>
        <w:tc>
          <w:tcPr>
            <w:tcW w:w="140" w:type="dxa"/>
            <w:vAlign w:val="bottom"/>
            <w:tcBorders>
              <w:top w:val="single" w:sz="8" w:color="454546"/>
            </w:tcBorders>
          </w:tcPr>
          <w:p>
            <w:pPr>
              <w:jc w:val="right"/>
              <w:ind w:right="75"/>
              <w:spacing w:after="0"/>
              <w:rPr>
                <w:sz w:val="20"/>
                <w:szCs w:val="20"/>
                <w:color w:val="auto"/>
              </w:rPr>
            </w:pPr>
            <w:r>
              <w:rPr>
                <w:rFonts w:ascii="Times New Roman" w:cs="Times New Roman" w:eastAsia="Times New Roman" w:hAnsi="Times New Roman"/>
                <w:sz w:val="5"/>
                <w:szCs w:val="5"/>
                <w:color w:val="454546"/>
                <w:w w:val="78"/>
              </w:rPr>
              <w:t>$</w:t>
            </w:r>
          </w:p>
        </w:tc>
        <w:tc>
          <w:tcPr>
            <w:tcW w:w="1140" w:type="dxa"/>
            <w:vAlign w:val="bottom"/>
            <w:tcBorders>
              <w:top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522,945</w:t>
            </w:r>
          </w:p>
        </w:tc>
        <w:tc>
          <w:tcPr>
            <w:tcW w:w="300" w:type="dxa"/>
            <w:vAlign w:val="bottom"/>
            <w:tcBorders>
              <w:top w:val="single" w:sz="8" w:color="E5E6E7"/>
            </w:tcBorders>
            <w:gridSpan w:val="2"/>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454546"/>
            </w:tcBorders>
          </w:tcPr>
          <w:p>
            <w:pPr>
              <w:spacing w:after="0"/>
              <w:rPr>
                <w:sz w:val="13"/>
                <w:szCs w:val="13"/>
                <w:color w:val="auto"/>
              </w:rPr>
            </w:pPr>
          </w:p>
        </w:tc>
        <w:tc>
          <w:tcPr>
            <w:tcW w:w="6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5"/>
                <w:szCs w:val="5"/>
                <w:color w:val="454546"/>
                <w:w w:val="78"/>
              </w:rPr>
              <w:t>$</w:t>
            </w:r>
          </w:p>
        </w:tc>
        <w:tc>
          <w:tcPr>
            <w:tcW w:w="1220" w:type="dxa"/>
            <w:vAlign w:val="bottom"/>
            <w:tcBorders>
              <w:top w:val="single" w:sz="8" w:color="454546"/>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454546"/>
              </w:rPr>
              <w:t>(378)</w:t>
            </w:r>
          </w:p>
        </w:tc>
        <w:tc>
          <w:tcPr>
            <w:tcW w:w="280" w:type="dxa"/>
            <w:vAlign w:val="bottom"/>
            <w:tcBorders>
              <w:top w:val="single" w:sz="8" w:color="E5E6E7"/>
            </w:tcBorders>
          </w:tcPr>
          <w:p>
            <w:pPr>
              <w:spacing w:after="0"/>
              <w:rPr>
                <w:sz w:val="13"/>
                <w:szCs w:val="13"/>
                <w:color w:val="auto"/>
              </w:rPr>
            </w:pPr>
          </w:p>
        </w:tc>
        <w:tc>
          <w:tcPr>
            <w:tcW w:w="20" w:type="dxa"/>
            <w:vAlign w:val="bottom"/>
            <w:tcBorders>
              <w:top w:val="single" w:sz="8" w:color="454546"/>
            </w:tcBorders>
          </w:tcPr>
          <w:p>
            <w:pPr>
              <w:spacing w:after="0"/>
              <w:rPr>
                <w:sz w:val="13"/>
                <w:szCs w:val="13"/>
                <w:color w:val="auto"/>
              </w:rPr>
            </w:pPr>
          </w:p>
        </w:tc>
        <w:tc>
          <w:tcPr>
            <w:tcW w:w="140" w:type="dxa"/>
            <w:vAlign w:val="bottom"/>
            <w:tcBorders>
              <w:top w:val="single" w:sz="8" w:color="454546"/>
            </w:tcBorders>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180" w:type="dxa"/>
            <w:vAlign w:val="bottom"/>
            <w:tcBorders>
              <w:top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(279,198)</w:t>
            </w:r>
          </w:p>
        </w:tc>
        <w:tc>
          <w:tcPr>
            <w:tcW w:w="280" w:type="dxa"/>
            <w:vAlign w:val="bottom"/>
            <w:tcBorders>
              <w:top w:val="single" w:sz="8" w:color="E5E6E7"/>
            </w:tcBorders>
            <w:gridSpan w:val="2"/>
          </w:tcPr>
          <w:p>
            <w:pPr>
              <w:spacing w:after="0"/>
              <w:rPr>
                <w:sz w:val="13"/>
                <w:szCs w:val="13"/>
                <w:color w:val="auto"/>
              </w:rPr>
            </w:pPr>
          </w:p>
        </w:tc>
        <w:tc>
          <w:tcPr>
            <w:tcW w:w="20" w:type="dxa"/>
            <w:vAlign w:val="bottom"/>
            <w:tcBorders>
              <w:top w:val="single" w:sz="8" w:color="E5E6E7"/>
            </w:tcBorders>
          </w:tcPr>
          <w:p>
            <w:pPr>
              <w:spacing w:after="0"/>
              <w:rPr>
                <w:sz w:val="13"/>
                <w:szCs w:val="13"/>
                <w:color w:val="auto"/>
              </w:rPr>
            </w:pPr>
          </w:p>
        </w:tc>
        <w:tc>
          <w:tcPr>
            <w:tcW w:w="20" w:type="dxa"/>
            <w:vAlign w:val="bottom"/>
            <w:tcBorders>
              <w:top w:val="single" w:sz="8" w:color="454546"/>
            </w:tcBorders>
          </w:tcPr>
          <w:p>
            <w:pPr>
              <w:spacing w:after="0"/>
              <w:rPr>
                <w:sz w:val="13"/>
                <w:szCs w:val="13"/>
                <w:color w:val="auto"/>
              </w:rPr>
            </w:pPr>
          </w:p>
        </w:tc>
        <w:tc>
          <w:tcPr>
            <w:tcW w:w="100" w:type="dxa"/>
            <w:vAlign w:val="bottom"/>
            <w:tcBorders>
              <w:top w:val="single" w:sz="8" w:color="454546"/>
            </w:tcBorders>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00" w:type="dxa"/>
            <w:vAlign w:val="bottom"/>
            <w:tcBorders>
              <w:top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243,376</w:t>
            </w:r>
          </w:p>
        </w:tc>
        <w:tc>
          <w:tcPr>
            <w:tcW w:w="20" w:type="dxa"/>
            <w:vAlign w:val="bottom"/>
            <w:tcBorders>
              <w:top w:val="single" w:sz="8" w:color="E5E6E7"/>
            </w:tcBorders>
          </w:tcPr>
          <w:p>
            <w:pPr>
              <w:spacing w:after="0"/>
              <w:rPr>
                <w:sz w:val="13"/>
                <w:szCs w:val="13"/>
                <w:color w:val="auto"/>
              </w:rPr>
            </w:pPr>
          </w:p>
        </w:tc>
        <w:tc>
          <w:tcPr>
            <w:tcW w:w="120" w:type="dxa"/>
            <w:vAlign w:val="bottom"/>
            <w:tcBorders>
              <w:top w:val="single" w:sz="8" w:color="E5E6E7"/>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gridSpan w:val="3"/>
            <w:shd w:val="clear" w:color="auto" w:fill="E5E6E7"/>
          </w:tcPr>
          <w:p>
            <w:pPr>
              <w:ind w:left="200"/>
              <w:spacing w:after="0" w:line="149" w:lineRule="exact"/>
              <w:rPr>
                <w:sz w:val="20"/>
                <w:szCs w:val="20"/>
                <w:color w:val="auto"/>
              </w:rPr>
            </w:pPr>
            <w:r>
              <w:rPr>
                <w:rFonts w:ascii="Times New Roman" w:cs="Times New Roman" w:eastAsia="Times New Roman" w:hAnsi="Times New Roman"/>
                <w:sz w:val="16"/>
                <w:szCs w:val="16"/>
                <w:color w:val="454546"/>
              </w:rPr>
              <w:t>Issuance of common stock in connection with</w:t>
            </w:r>
          </w:p>
        </w:tc>
        <w:tc>
          <w:tcPr>
            <w:tcW w:w="1640" w:type="dxa"/>
            <w:vAlign w:val="bottom"/>
            <w:gridSpan w:val="3"/>
            <w:vMerge w:val="restart"/>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535,767</w:t>
            </w:r>
          </w:p>
        </w:tc>
        <w:tc>
          <w:tcPr>
            <w:tcW w:w="20" w:type="dxa"/>
            <w:vAlign w:val="bottom"/>
            <w:shd w:val="clear" w:color="auto" w:fill="E5E6E7"/>
          </w:tcPr>
          <w:p>
            <w:pPr>
              <w:spacing w:after="0"/>
              <w:rPr>
                <w:sz w:val="12"/>
                <w:szCs w:val="12"/>
                <w:color w:val="auto"/>
              </w:rPr>
            </w:pPr>
          </w:p>
        </w:tc>
        <w:tc>
          <w:tcPr>
            <w:tcW w:w="20" w:type="dxa"/>
            <w:vAlign w:val="bottom"/>
            <w:shd w:val="clear" w:color="auto" w:fill="E5E6E7"/>
          </w:tcPr>
          <w:p>
            <w:pPr>
              <w:spacing w:after="0"/>
              <w:rPr>
                <w:sz w:val="12"/>
                <w:szCs w:val="12"/>
                <w:color w:val="auto"/>
              </w:rPr>
            </w:pPr>
          </w:p>
        </w:tc>
        <w:tc>
          <w:tcPr>
            <w:tcW w:w="1020" w:type="dxa"/>
            <w:vAlign w:val="bottom"/>
            <w:shd w:val="clear" w:color="auto" w:fill="E5E6E7"/>
          </w:tcPr>
          <w:p>
            <w:pPr>
              <w:spacing w:after="0"/>
              <w:rPr>
                <w:sz w:val="12"/>
                <w:szCs w:val="12"/>
                <w:color w:val="auto"/>
              </w:rPr>
            </w:pPr>
          </w:p>
        </w:tc>
        <w:tc>
          <w:tcPr>
            <w:tcW w:w="600" w:type="dxa"/>
            <w:vAlign w:val="bottom"/>
            <w:gridSpan w:val="5"/>
            <w:vMerge w:val="restart"/>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2"/>
                <w:szCs w:val="12"/>
                <w:color w:val="auto"/>
              </w:rPr>
            </w:pPr>
          </w:p>
        </w:tc>
        <w:tc>
          <w:tcPr>
            <w:tcW w:w="1440" w:type="dxa"/>
            <w:vAlign w:val="bottom"/>
            <w:gridSpan w:val="3"/>
            <w:vMerge w:val="restart"/>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3,868</w:t>
            </w:r>
          </w:p>
        </w:tc>
        <w:tc>
          <w:tcPr>
            <w:tcW w:w="20" w:type="dxa"/>
            <w:vAlign w:val="bottom"/>
            <w:shd w:val="clear" w:color="auto" w:fill="E5E6E7"/>
          </w:tcPr>
          <w:p>
            <w:pPr>
              <w:spacing w:after="0"/>
              <w:rPr>
                <w:sz w:val="12"/>
                <w:szCs w:val="12"/>
                <w:color w:val="auto"/>
              </w:rPr>
            </w:pPr>
          </w:p>
        </w:tc>
        <w:tc>
          <w:tcPr>
            <w:tcW w:w="20" w:type="dxa"/>
            <w:vAlign w:val="bottom"/>
            <w:shd w:val="clear" w:color="auto" w:fill="E5E6E7"/>
          </w:tcPr>
          <w:p>
            <w:pPr>
              <w:spacing w:after="0"/>
              <w:rPr>
                <w:sz w:val="12"/>
                <w:szCs w:val="12"/>
                <w:color w:val="auto"/>
              </w:rPr>
            </w:pPr>
          </w:p>
        </w:tc>
        <w:tc>
          <w:tcPr>
            <w:tcW w:w="60" w:type="dxa"/>
            <w:vAlign w:val="bottom"/>
            <w:shd w:val="clear" w:color="auto" w:fill="E5E6E7"/>
          </w:tcPr>
          <w:p>
            <w:pPr>
              <w:spacing w:after="0"/>
              <w:rPr>
                <w:sz w:val="12"/>
                <w:szCs w:val="12"/>
                <w:color w:val="auto"/>
              </w:rPr>
            </w:pPr>
          </w:p>
        </w:tc>
        <w:tc>
          <w:tcPr>
            <w:tcW w:w="40" w:type="dxa"/>
            <w:vAlign w:val="bottom"/>
            <w:shd w:val="clear" w:color="auto" w:fill="E5E6E7"/>
          </w:tcPr>
          <w:p>
            <w:pPr>
              <w:spacing w:after="0"/>
              <w:rPr>
                <w:sz w:val="12"/>
                <w:szCs w:val="12"/>
                <w:color w:val="auto"/>
              </w:rPr>
            </w:pPr>
          </w:p>
        </w:tc>
        <w:tc>
          <w:tcPr>
            <w:tcW w:w="118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2"/>
                <w:szCs w:val="12"/>
                <w:color w:val="auto"/>
              </w:rPr>
            </w:pPr>
          </w:p>
        </w:tc>
        <w:tc>
          <w:tcPr>
            <w:tcW w:w="20" w:type="dxa"/>
            <w:vAlign w:val="bottom"/>
            <w:shd w:val="clear" w:color="auto" w:fill="E5E6E7"/>
          </w:tcPr>
          <w:p>
            <w:pPr>
              <w:spacing w:after="0"/>
              <w:rPr>
                <w:sz w:val="12"/>
                <w:szCs w:val="12"/>
                <w:color w:val="auto"/>
              </w:rPr>
            </w:pPr>
          </w:p>
        </w:tc>
        <w:tc>
          <w:tcPr>
            <w:tcW w:w="140" w:type="dxa"/>
            <w:vAlign w:val="bottom"/>
            <w:shd w:val="clear" w:color="auto" w:fill="E5E6E7"/>
          </w:tcPr>
          <w:p>
            <w:pPr>
              <w:spacing w:after="0"/>
              <w:rPr>
                <w:sz w:val="12"/>
                <w:szCs w:val="12"/>
                <w:color w:val="auto"/>
              </w:rPr>
            </w:pPr>
          </w:p>
        </w:tc>
        <w:tc>
          <w:tcPr>
            <w:tcW w:w="1500" w:type="dxa"/>
            <w:vAlign w:val="bottom"/>
            <w:gridSpan w:val="5"/>
            <w:vMerge w:val="restart"/>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2"/>
                <w:szCs w:val="12"/>
                <w:color w:val="auto"/>
              </w:rPr>
            </w:pPr>
          </w:p>
        </w:tc>
        <w:tc>
          <w:tcPr>
            <w:tcW w:w="1220" w:type="dxa"/>
            <w:vAlign w:val="bottom"/>
            <w:gridSpan w:val="2"/>
            <w:vMerge w:val="restart"/>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3,868</w:t>
            </w:r>
          </w:p>
        </w:tc>
        <w:tc>
          <w:tcPr>
            <w:tcW w:w="120" w:type="dxa"/>
            <w:vAlign w:val="bottom"/>
            <w:shd w:val="clear" w:color="auto" w:fill="E5E6E7"/>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at-the-market sales, net of issuance costs of $120</w:t>
            </w:r>
          </w:p>
        </w:tc>
        <w:tc>
          <w:tcPr>
            <w:tcW w:w="16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20" w:type="dxa"/>
            <w:vAlign w:val="bottom"/>
            <w:shd w:val="clear" w:color="auto" w:fill="E5E6E7"/>
          </w:tcPr>
          <w:p>
            <w:pPr>
              <w:spacing w:after="0"/>
              <w:rPr>
                <w:sz w:val="19"/>
                <w:szCs w:val="19"/>
                <w:color w:val="auto"/>
              </w:rPr>
            </w:pPr>
          </w:p>
        </w:tc>
        <w:tc>
          <w:tcPr>
            <w:tcW w:w="600" w:type="dxa"/>
            <w:vAlign w:val="bottom"/>
            <w:gridSpan w:val="5"/>
            <w:vMerge w:val="continue"/>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1180" w:type="dxa"/>
            <w:vAlign w:val="bottom"/>
            <w:vMerge w:val="continue"/>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00" w:type="dxa"/>
            <w:vAlign w:val="bottom"/>
            <w:gridSpan w:val="5"/>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20" w:type="dxa"/>
            <w:vAlign w:val="bottom"/>
            <w:gridSpan w:val="2"/>
            <w:vMerge w:val="continue"/>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6"/>
                <w:szCs w:val="16"/>
                <w:color w:val="454546"/>
              </w:rPr>
              <w:t>Issuance of common stock upon exercise</w:t>
            </w:r>
          </w:p>
        </w:tc>
        <w:tc>
          <w:tcPr>
            <w:tcW w:w="16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454546"/>
              </w:rPr>
              <w:t>302,517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48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5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2"/>
                <w:szCs w:val="12"/>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454546"/>
              </w:rPr>
              <w:t>of pre-funded warrants</w:t>
            </w: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820" w:type="dxa"/>
            <w:vAlign w:val="bottom"/>
            <w:gridSpan w:val="3"/>
            <w:shd w:val="clear" w:color="auto" w:fill="E5E6E7"/>
          </w:tcPr>
          <w:p>
            <w:pPr>
              <w:ind w:left="200"/>
              <w:spacing w:after="0" w:line="152" w:lineRule="exact"/>
              <w:rPr>
                <w:sz w:val="20"/>
                <w:szCs w:val="20"/>
                <w:color w:val="auto"/>
              </w:rPr>
            </w:pPr>
            <w:r>
              <w:rPr>
                <w:rFonts w:ascii="Times New Roman" w:cs="Times New Roman" w:eastAsia="Times New Roman" w:hAnsi="Times New Roman"/>
                <w:sz w:val="16"/>
                <w:szCs w:val="16"/>
                <w:color w:val="454546"/>
              </w:rPr>
              <w:t>Issuance of common stock upon exercise</w:t>
            </w:r>
          </w:p>
        </w:tc>
        <w:tc>
          <w:tcPr>
            <w:tcW w:w="13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11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1180" w:type="dxa"/>
            <w:vAlign w:val="bottom"/>
            <w:shd w:val="clear" w:color="auto" w:fill="E5E6E7"/>
          </w:tcPr>
          <w:p>
            <w:pPr>
              <w:spacing w:after="0"/>
              <w:rPr>
                <w:sz w:val="13"/>
                <w:szCs w:val="13"/>
                <w:color w:val="auto"/>
              </w:rPr>
            </w:pPr>
          </w:p>
        </w:tc>
        <w:tc>
          <w:tcPr>
            <w:tcW w:w="2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40" w:type="dxa"/>
            <w:vAlign w:val="bottom"/>
            <w:shd w:val="clear" w:color="auto" w:fill="E5E6E7"/>
          </w:tcPr>
          <w:p>
            <w:pPr>
              <w:spacing w:after="0"/>
              <w:rPr>
                <w:sz w:val="13"/>
                <w:szCs w:val="13"/>
                <w:color w:val="auto"/>
              </w:rPr>
            </w:pPr>
          </w:p>
        </w:tc>
        <w:tc>
          <w:tcPr>
            <w:tcW w:w="118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12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of stock options and vesting of restricted</w:t>
            </w:r>
          </w:p>
        </w:tc>
        <w:tc>
          <w:tcPr>
            <w:tcW w:w="1640" w:type="dxa"/>
            <w:vAlign w:val="bottom"/>
            <w:gridSpan w:val="3"/>
            <w:vMerge w:val="restart"/>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265,047</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600" w:type="dxa"/>
            <w:vAlign w:val="bottom"/>
            <w:gridSpan w:val="5"/>
            <w:vMerge w:val="restart"/>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5"/>
                <w:szCs w:val="15"/>
                <w:color w:val="auto"/>
              </w:rPr>
            </w:pPr>
          </w:p>
        </w:tc>
        <w:tc>
          <w:tcPr>
            <w:tcW w:w="1440" w:type="dxa"/>
            <w:vAlign w:val="bottom"/>
            <w:gridSpan w:val="3"/>
            <w:vMerge w:val="restart"/>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29</w:t>
            </w:r>
          </w:p>
        </w:tc>
        <w:tc>
          <w:tcPr>
            <w:tcW w:w="2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40" w:type="dxa"/>
            <w:vAlign w:val="bottom"/>
            <w:shd w:val="clear" w:color="auto" w:fill="E5E6E7"/>
          </w:tcPr>
          <w:p>
            <w:pPr>
              <w:spacing w:after="0"/>
              <w:rPr>
                <w:sz w:val="15"/>
                <w:szCs w:val="15"/>
                <w:color w:val="auto"/>
              </w:rPr>
            </w:pPr>
          </w:p>
        </w:tc>
        <w:tc>
          <w:tcPr>
            <w:tcW w:w="118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500" w:type="dxa"/>
            <w:vAlign w:val="bottom"/>
            <w:gridSpan w:val="5"/>
            <w:vMerge w:val="restart"/>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5"/>
                <w:szCs w:val="15"/>
                <w:color w:val="auto"/>
              </w:rPr>
            </w:pPr>
          </w:p>
        </w:tc>
        <w:tc>
          <w:tcPr>
            <w:tcW w:w="1220" w:type="dxa"/>
            <w:vAlign w:val="bottom"/>
            <w:gridSpan w:val="2"/>
            <w:vMerge w:val="restart"/>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29</w:t>
            </w:r>
          </w:p>
        </w:tc>
        <w:tc>
          <w:tcPr>
            <w:tcW w:w="12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20" w:type="dxa"/>
            <w:vAlign w:val="bottom"/>
            <w:gridSpan w:val="3"/>
            <w:shd w:val="clear" w:color="auto" w:fill="E5E6E7"/>
          </w:tcPr>
          <w:p>
            <w:pPr>
              <w:ind w:left="320"/>
              <w:spacing w:after="0"/>
              <w:rPr>
                <w:sz w:val="20"/>
                <w:szCs w:val="20"/>
                <w:color w:val="auto"/>
              </w:rPr>
            </w:pPr>
            <w:r>
              <w:rPr>
                <w:rFonts w:ascii="Times New Roman" w:cs="Times New Roman" w:eastAsia="Times New Roman" w:hAnsi="Times New Roman"/>
                <w:sz w:val="16"/>
                <w:szCs w:val="16"/>
                <w:color w:val="454546"/>
              </w:rPr>
              <w:t>stock units</w:t>
            </w:r>
          </w:p>
        </w:tc>
        <w:tc>
          <w:tcPr>
            <w:tcW w:w="16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20" w:type="dxa"/>
            <w:vAlign w:val="bottom"/>
            <w:shd w:val="clear" w:color="auto" w:fill="E5E6E7"/>
          </w:tcPr>
          <w:p>
            <w:pPr>
              <w:spacing w:after="0"/>
              <w:rPr>
                <w:sz w:val="19"/>
                <w:szCs w:val="19"/>
                <w:color w:val="auto"/>
              </w:rPr>
            </w:pPr>
          </w:p>
        </w:tc>
        <w:tc>
          <w:tcPr>
            <w:tcW w:w="600" w:type="dxa"/>
            <w:vAlign w:val="bottom"/>
            <w:gridSpan w:val="5"/>
            <w:vMerge w:val="continue"/>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40" w:type="dxa"/>
            <w:vAlign w:val="bottom"/>
            <w:gridSpan w:val="3"/>
            <w:vMerge w:val="continue"/>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1180" w:type="dxa"/>
            <w:vAlign w:val="bottom"/>
            <w:vMerge w:val="continue"/>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500" w:type="dxa"/>
            <w:vAlign w:val="bottom"/>
            <w:gridSpan w:val="5"/>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20" w:type="dxa"/>
            <w:vAlign w:val="bottom"/>
            <w:gridSpan w:val="2"/>
            <w:vMerge w:val="continue"/>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6"/>
                <w:szCs w:val="16"/>
                <w:color w:val="454546"/>
              </w:rPr>
              <w:t>Issuance of common stock pursuant to</w:t>
            </w:r>
          </w:p>
        </w:tc>
        <w:tc>
          <w:tcPr>
            <w:tcW w:w="16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454546"/>
              </w:rPr>
              <w:t>369,898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4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653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2"/>
                <w:szCs w:val="12"/>
                <w:color w:val="auto"/>
              </w:rPr>
            </w:pPr>
          </w:p>
        </w:tc>
        <w:tc>
          <w:tcPr>
            <w:tcW w:w="15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454546"/>
              </w:rPr>
              <w:t>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454546"/>
              </w:rPr>
              <w:t>employee stock purchase plan</w:t>
            </w: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20" w:type="dxa"/>
            <w:vAlign w:val="bottom"/>
            <w:gridSpan w:val="3"/>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68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spacing w:after="0"/>
              <w:rPr>
                <w:sz w:val="16"/>
                <w:szCs w:val="16"/>
                <w:color w:val="auto"/>
              </w:rPr>
            </w:pPr>
          </w:p>
        </w:tc>
        <w:tc>
          <w:tcPr>
            <w:tcW w:w="60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6"/>
                <w:szCs w:val="16"/>
                <w:color w:val="auto"/>
              </w:rPr>
            </w:pPr>
          </w:p>
        </w:tc>
        <w:tc>
          <w:tcPr>
            <w:tcW w:w="1440" w:type="dxa"/>
            <w:vAlign w:val="bottom"/>
            <w:gridSpan w:val="3"/>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15,309</w:t>
            </w:r>
          </w:p>
        </w:tc>
        <w:tc>
          <w:tcPr>
            <w:tcW w:w="2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60" w:type="dxa"/>
            <w:vAlign w:val="bottom"/>
            <w:shd w:val="clear" w:color="auto" w:fill="E5E6E7"/>
          </w:tcPr>
          <w:p>
            <w:pPr>
              <w:spacing w:after="0"/>
              <w:rPr>
                <w:sz w:val="16"/>
                <w:szCs w:val="16"/>
                <w:color w:val="auto"/>
              </w:rPr>
            </w:pPr>
          </w:p>
        </w:tc>
        <w:tc>
          <w:tcPr>
            <w:tcW w:w="40" w:type="dxa"/>
            <w:vAlign w:val="bottom"/>
            <w:shd w:val="clear" w:color="auto" w:fill="E5E6E7"/>
          </w:tcPr>
          <w:p>
            <w:pPr>
              <w:spacing w:after="0"/>
              <w:rPr>
                <w:sz w:val="16"/>
                <w:szCs w:val="16"/>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shd w:val="clear" w:color="auto" w:fill="E5E6E7"/>
          </w:tcPr>
          <w:p>
            <w:pPr>
              <w:spacing w:after="0"/>
              <w:rPr>
                <w:sz w:val="16"/>
                <w:szCs w:val="16"/>
                <w:color w:val="auto"/>
              </w:rPr>
            </w:pPr>
          </w:p>
        </w:tc>
        <w:tc>
          <w:tcPr>
            <w:tcW w:w="20" w:type="dxa"/>
            <w:vAlign w:val="bottom"/>
            <w:shd w:val="clear" w:color="auto" w:fill="E5E6E7"/>
          </w:tcPr>
          <w:p>
            <w:pPr>
              <w:spacing w:after="0"/>
              <w:rPr>
                <w:sz w:val="16"/>
                <w:szCs w:val="16"/>
                <w:color w:val="auto"/>
              </w:rPr>
            </w:pPr>
          </w:p>
        </w:tc>
        <w:tc>
          <w:tcPr>
            <w:tcW w:w="140" w:type="dxa"/>
            <w:vAlign w:val="bottom"/>
            <w:shd w:val="clear" w:color="auto" w:fill="E5E6E7"/>
          </w:tcPr>
          <w:p>
            <w:pPr>
              <w:spacing w:after="0"/>
              <w:rPr>
                <w:sz w:val="16"/>
                <w:szCs w:val="16"/>
                <w:color w:val="auto"/>
              </w:rPr>
            </w:pPr>
          </w:p>
        </w:tc>
        <w:tc>
          <w:tcPr>
            <w:tcW w:w="150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6"/>
                <w:szCs w:val="16"/>
                <w:color w:val="auto"/>
              </w:rPr>
            </w:pPr>
          </w:p>
        </w:tc>
        <w:tc>
          <w:tcPr>
            <w:tcW w:w="12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15,309</w:t>
            </w:r>
          </w:p>
        </w:tc>
        <w:tc>
          <w:tcPr>
            <w:tcW w:w="120" w:type="dxa"/>
            <w:vAlign w:val="bottom"/>
            <w:shd w:val="clear" w:color="auto" w:fill="E5E6E7"/>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454546"/>
              </w:rPr>
              <w:t>Vesting of early exercised stock options</w:t>
            </w:r>
          </w:p>
        </w:tc>
        <w:tc>
          <w:tcPr>
            <w:tcW w:w="168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tcPr>
          <w:p>
            <w:pPr>
              <w:spacing w:after="0"/>
              <w:rPr>
                <w:sz w:val="15"/>
                <w:szCs w:val="15"/>
                <w:color w:val="auto"/>
              </w:rPr>
            </w:pPr>
          </w:p>
        </w:tc>
        <w:tc>
          <w:tcPr>
            <w:tcW w:w="6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5"/>
                <w:szCs w:val="15"/>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454546"/>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gridSpan w:val="3"/>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Other comprehensive loss</w:t>
            </w:r>
          </w:p>
        </w:tc>
        <w:tc>
          <w:tcPr>
            <w:tcW w:w="168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spacing w:after="0"/>
              <w:rPr>
                <w:sz w:val="15"/>
                <w:szCs w:val="15"/>
                <w:color w:val="auto"/>
              </w:rPr>
            </w:pPr>
          </w:p>
        </w:tc>
        <w:tc>
          <w:tcPr>
            <w:tcW w:w="60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5"/>
                <w:szCs w:val="15"/>
                <w:color w:val="auto"/>
              </w:rPr>
            </w:pPr>
          </w:p>
        </w:tc>
        <w:tc>
          <w:tcPr>
            <w:tcW w:w="1480" w:type="dxa"/>
            <w:vAlign w:val="bottom"/>
            <w:gridSpan w:val="5"/>
            <w:shd w:val="clear" w:color="auto" w:fill="E5E6E7"/>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shd w:val="clear" w:color="auto" w:fill="E5E6E7"/>
          </w:tcPr>
          <w:p>
            <w:pPr>
              <w:spacing w:after="0"/>
              <w:rPr>
                <w:sz w:val="15"/>
                <w:szCs w:val="15"/>
                <w:color w:val="auto"/>
              </w:rPr>
            </w:pP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272</w:t>
            </w:r>
          </w:p>
        </w:tc>
        <w:tc>
          <w:tcPr>
            <w:tcW w:w="280" w:type="dxa"/>
            <w:vAlign w:val="bottom"/>
            <w:shd w:val="clear" w:color="auto" w:fill="E5E6E7"/>
          </w:tcPr>
          <w:p>
            <w:pPr>
              <w:spacing w:after="0"/>
              <w:rPr>
                <w:sz w:val="15"/>
                <w:szCs w:val="15"/>
                <w:color w:val="auto"/>
              </w:rPr>
            </w:pPr>
          </w:p>
        </w:tc>
        <w:tc>
          <w:tcPr>
            <w:tcW w:w="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500" w:type="dxa"/>
            <w:vAlign w:val="bottom"/>
            <w:gridSpan w:val="5"/>
            <w:shd w:val="clear" w:color="auto" w:fill="E5E6E7"/>
          </w:tcPr>
          <w:p>
            <w:pPr>
              <w:jc w:val="right"/>
              <w:ind w:right="32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5"/>
                <w:szCs w:val="15"/>
                <w:color w:val="auto"/>
              </w:rPr>
            </w:pPr>
          </w:p>
        </w:tc>
        <w:tc>
          <w:tcPr>
            <w:tcW w:w="12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272</w:t>
            </w:r>
          </w:p>
        </w:tc>
        <w:tc>
          <w:tcPr>
            <w:tcW w:w="12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Net loss</w:t>
            </w:r>
          </w:p>
        </w:tc>
        <w:tc>
          <w:tcPr>
            <w:tcW w:w="40" w:type="dxa"/>
            <w:vAlign w:val="bottom"/>
            <w:gridSpan w:val="2"/>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5"/>
                <w:szCs w:val="15"/>
                <w:color w:val="auto"/>
              </w:rPr>
            </w:pPr>
          </w:p>
        </w:tc>
        <w:tc>
          <w:tcPr>
            <w:tcW w:w="148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454546"/>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454546"/>
              </w:rPr>
              <w:t>(124,084)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454546"/>
              </w:rPr>
              <w:t>(124,084)</w:t>
            </w:r>
          </w:p>
        </w:tc>
        <w:tc>
          <w:tcPr>
            <w:tcW w:w="0" w:type="dxa"/>
            <w:vAlign w:val="bottom"/>
          </w:tcPr>
          <w:p>
            <w:pPr>
              <w:spacing w:after="0"/>
              <w:rPr>
                <w:sz w:val="1"/>
                <w:szCs w:val="1"/>
                <w:color w:val="auto"/>
              </w:rPr>
            </w:pPr>
          </w:p>
        </w:tc>
      </w:tr>
      <w:tr>
        <w:trPr>
          <w:trHeight w:val="174"/>
        </w:trPr>
        <w:tc>
          <w:tcPr>
            <w:tcW w:w="4780" w:type="dxa"/>
            <w:vAlign w:val="bottom"/>
            <w:tcBorders>
              <w:top w:val="single" w:sz="8" w:color="E5E6E7"/>
            </w:tcBorders>
            <w:shd w:val="clear" w:color="auto" w:fill="E5E6E7"/>
          </w:tcPr>
          <w:p>
            <w:pPr>
              <w:spacing w:after="0" w:line="174" w:lineRule="exact"/>
              <w:rPr>
                <w:sz w:val="20"/>
                <w:szCs w:val="20"/>
                <w:color w:val="auto"/>
              </w:rPr>
            </w:pPr>
            <w:r>
              <w:rPr>
                <w:rFonts w:ascii="Times New Roman" w:cs="Times New Roman" w:eastAsia="Times New Roman" w:hAnsi="Times New Roman"/>
                <w:sz w:val="16"/>
                <w:szCs w:val="16"/>
                <w:color w:val="454546"/>
              </w:rPr>
              <w:t>Balance as of December 31, 2023</w:t>
            </w:r>
          </w:p>
        </w:tc>
        <w:tc>
          <w:tcPr>
            <w:tcW w:w="40" w:type="dxa"/>
            <w:vAlign w:val="bottom"/>
            <w:tcBorders>
              <w:top w:val="single" w:sz="8" w:color="454546"/>
            </w:tcBorders>
            <w:gridSpan w:val="2"/>
            <w:shd w:val="clear" w:color="auto" w:fill="E5E6E7"/>
          </w:tcPr>
          <w:p>
            <w:pPr>
              <w:spacing w:after="0"/>
              <w:rPr>
                <w:sz w:val="15"/>
                <w:szCs w:val="15"/>
                <w:color w:val="auto"/>
              </w:rPr>
            </w:pPr>
          </w:p>
        </w:tc>
        <w:tc>
          <w:tcPr>
            <w:tcW w:w="136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68,330,342</w:t>
            </w:r>
          </w:p>
        </w:tc>
        <w:tc>
          <w:tcPr>
            <w:tcW w:w="20" w:type="dxa"/>
            <w:vAlign w:val="bottom"/>
            <w:tcBorders>
              <w:bottom w:val="single" w:sz="8" w:color="454546"/>
            </w:tcBorders>
            <w:shd w:val="clear" w:color="auto" w:fill="E5E6E7"/>
          </w:tcPr>
          <w:p>
            <w:pPr>
              <w:spacing w:after="0"/>
              <w:rPr>
                <w:sz w:val="15"/>
                <w:szCs w:val="15"/>
                <w:color w:val="auto"/>
              </w:rPr>
            </w:pPr>
          </w:p>
        </w:tc>
        <w:tc>
          <w:tcPr>
            <w:tcW w:w="26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1020" w:type="dxa"/>
            <w:vAlign w:val="bottom"/>
            <w:tcBorders>
              <w:top w:val="single" w:sz="8" w:color="454546"/>
              <w:bottom w:val="single" w:sz="8" w:color="454546"/>
            </w:tcBorders>
            <w:shd w:val="clear" w:color="auto" w:fill="E5E6E7"/>
          </w:tcPr>
          <w:p>
            <w:pPr>
              <w:jc w:val="right"/>
              <w:ind w:right="941"/>
              <w:spacing w:after="0"/>
              <w:rPr>
                <w:sz w:val="20"/>
                <w:szCs w:val="20"/>
                <w:color w:val="auto"/>
              </w:rPr>
            </w:pPr>
            <w:r>
              <w:rPr>
                <w:rFonts w:ascii="Times New Roman" w:cs="Times New Roman" w:eastAsia="Times New Roman" w:hAnsi="Times New Roman"/>
                <w:sz w:val="5"/>
                <w:szCs w:val="5"/>
                <w:color w:val="454546"/>
                <w:w w:val="78"/>
              </w:rPr>
              <w:t>$</w:t>
            </w:r>
          </w:p>
        </w:tc>
        <w:tc>
          <w:tcPr>
            <w:tcW w:w="26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7</w:t>
            </w:r>
          </w:p>
        </w:tc>
        <w:tc>
          <w:tcPr>
            <w:tcW w:w="20" w:type="dxa"/>
            <w:vAlign w:val="bottom"/>
            <w:tcBorders>
              <w:bottom w:val="single" w:sz="8" w:color="454546"/>
            </w:tcBorders>
            <w:shd w:val="clear" w:color="auto" w:fill="E5E6E7"/>
          </w:tcPr>
          <w:p>
            <w:pPr>
              <w:spacing w:after="0"/>
              <w:rPr>
                <w:sz w:val="15"/>
                <w:szCs w:val="15"/>
                <w:color w:val="auto"/>
              </w:rPr>
            </w:pP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140" w:type="dxa"/>
            <w:vAlign w:val="bottom"/>
            <w:tcBorders>
              <w:top w:val="single" w:sz="8" w:color="454546"/>
              <w:bottom w:val="single" w:sz="8" w:color="454546"/>
            </w:tcBorders>
            <w:shd w:val="clear" w:color="auto" w:fill="E5E6E7"/>
          </w:tcPr>
          <w:p>
            <w:pPr>
              <w:jc w:val="right"/>
              <w:ind w:right="75"/>
              <w:spacing w:after="0"/>
              <w:rPr>
                <w:sz w:val="20"/>
                <w:szCs w:val="20"/>
                <w:color w:val="auto"/>
              </w:rPr>
            </w:pPr>
            <w:r>
              <w:rPr>
                <w:rFonts w:ascii="Times New Roman" w:cs="Times New Roman" w:eastAsia="Times New Roman" w:hAnsi="Times New Roman"/>
                <w:sz w:val="5"/>
                <w:szCs w:val="5"/>
                <w:color w:val="454546"/>
                <w:w w:val="78"/>
              </w:rPr>
              <w:t>$</w:t>
            </w:r>
          </w:p>
        </w:tc>
        <w:tc>
          <w:tcPr>
            <w:tcW w:w="114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542,805</w:t>
            </w:r>
          </w:p>
        </w:tc>
        <w:tc>
          <w:tcPr>
            <w:tcW w:w="20" w:type="dxa"/>
            <w:vAlign w:val="bottom"/>
            <w:tcBorders>
              <w:bottom w:val="single" w:sz="8" w:color="454546"/>
            </w:tcBorders>
            <w:shd w:val="clear" w:color="auto" w:fill="E5E6E7"/>
          </w:tcPr>
          <w:p>
            <w:pPr>
              <w:spacing w:after="0"/>
              <w:rPr>
                <w:sz w:val="15"/>
                <w:szCs w:val="15"/>
                <w:color w:val="auto"/>
              </w:rPr>
            </w:pP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6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454546"/>
                <w:w w:val="78"/>
              </w:rPr>
              <w:t>$</w:t>
            </w:r>
          </w:p>
        </w:tc>
        <w:tc>
          <w:tcPr>
            <w:tcW w:w="40" w:type="dxa"/>
            <w:vAlign w:val="bottom"/>
            <w:tcBorders>
              <w:top w:val="single" w:sz="8" w:color="454546"/>
              <w:bottom w:val="single" w:sz="8" w:color="454546"/>
            </w:tcBorders>
            <w:shd w:val="clear" w:color="auto" w:fill="E5E6E7"/>
          </w:tcPr>
          <w:p>
            <w:pPr>
              <w:spacing w:after="0"/>
              <w:rPr>
                <w:sz w:val="15"/>
                <w:szCs w:val="15"/>
                <w:color w:val="auto"/>
              </w:rPr>
            </w:pPr>
          </w:p>
        </w:tc>
        <w:tc>
          <w:tcPr>
            <w:tcW w:w="118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(106)</w:t>
            </w:r>
          </w:p>
        </w:tc>
        <w:tc>
          <w:tcPr>
            <w:tcW w:w="28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140" w:type="dxa"/>
            <w:vAlign w:val="bottom"/>
            <w:tcBorders>
              <w:top w:val="single" w:sz="8" w:color="454546"/>
              <w:bottom w:val="single" w:sz="8" w:color="454546"/>
            </w:tcBorders>
            <w:shd w:val="clear" w:color="auto" w:fill="E5E6E7"/>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18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(403,282)</w:t>
            </w:r>
          </w:p>
        </w:tc>
        <w:tc>
          <w:tcPr>
            <w:tcW w:w="20" w:type="dxa"/>
            <w:vAlign w:val="bottom"/>
            <w:tcBorders>
              <w:bottom w:val="single" w:sz="8" w:color="454546"/>
            </w:tcBorders>
            <w:shd w:val="clear" w:color="auto" w:fill="E5E6E7"/>
          </w:tcPr>
          <w:p>
            <w:pPr>
              <w:spacing w:after="0"/>
              <w:rPr>
                <w:sz w:val="15"/>
                <w:szCs w:val="15"/>
                <w:color w:val="auto"/>
              </w:rPr>
            </w:pPr>
          </w:p>
        </w:tc>
        <w:tc>
          <w:tcPr>
            <w:tcW w:w="260" w:type="dxa"/>
            <w:vAlign w:val="bottom"/>
            <w:tcBorders>
              <w:top w:val="single" w:sz="8" w:color="E5E6E7"/>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20" w:type="dxa"/>
            <w:vAlign w:val="bottom"/>
            <w:tcBorders>
              <w:top w:val="single" w:sz="8" w:color="454546"/>
            </w:tcBorders>
            <w:shd w:val="clear" w:color="auto" w:fill="E5E6E7"/>
          </w:tcPr>
          <w:p>
            <w:pPr>
              <w:spacing w:after="0"/>
              <w:rPr>
                <w:sz w:val="15"/>
                <w:szCs w:val="15"/>
                <w:color w:val="auto"/>
              </w:rPr>
            </w:pPr>
          </w:p>
        </w:tc>
        <w:tc>
          <w:tcPr>
            <w:tcW w:w="100" w:type="dxa"/>
            <w:vAlign w:val="bottom"/>
            <w:tcBorders>
              <w:top w:val="single" w:sz="8" w:color="454546"/>
              <w:bottom w:val="single" w:sz="8" w:color="454546"/>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00" w:type="dxa"/>
            <w:vAlign w:val="bottom"/>
            <w:tcBorders>
              <w:top w:val="single" w:sz="8" w:color="454546"/>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139,424</w:t>
            </w:r>
          </w:p>
        </w:tc>
        <w:tc>
          <w:tcPr>
            <w:tcW w:w="20" w:type="dxa"/>
            <w:vAlign w:val="bottom"/>
            <w:tcBorders>
              <w:bottom w:val="single" w:sz="8" w:color="454546"/>
            </w:tcBorders>
            <w:shd w:val="clear" w:color="auto" w:fill="E5E6E7"/>
          </w:tcPr>
          <w:p>
            <w:pPr>
              <w:spacing w:after="0"/>
              <w:rPr>
                <w:sz w:val="15"/>
                <w:szCs w:val="15"/>
                <w:color w:val="auto"/>
              </w:rPr>
            </w:pPr>
          </w:p>
        </w:tc>
        <w:tc>
          <w:tcPr>
            <w:tcW w:w="120" w:type="dxa"/>
            <w:vAlign w:val="bottom"/>
            <w:tcBorders>
              <w:top w:val="single" w:sz="8" w:color="E5E6E7"/>
            </w:tcBorders>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14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454546"/>
            </w:tcBorders>
          </w:tcPr>
          <w:p>
            <w:pPr>
              <w:spacing w:after="0" w:line="20" w:lineRule="exact"/>
              <w:rPr>
                <w:sz w:val="1"/>
                <w:szCs w:val="1"/>
                <w:color w:val="auto"/>
              </w:rPr>
            </w:pPr>
          </w:p>
        </w:tc>
        <w:tc>
          <w:tcPr>
            <w:tcW w:w="4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20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5480" w:h="11880" w:orient="landscape"/>
          <w:cols w:equalWidth="0" w:num="1">
            <w:col w:w="14400"/>
          </w:cols>
          <w:pgMar w:left="540" w:top="1000" w:right="54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103</w:t>
      </w:r>
    </w:p>
    <w:p>
      <w:pPr>
        <w:sectPr>
          <w:pgSz w:w="15480" w:h="11880" w:orient="landscape"/>
          <w:cols w:equalWidth="0" w:num="1">
            <w:col w:w="14400"/>
          </w:cols>
          <w:pgMar w:left="540" w:top="1000" w:right="540" w:bottom="27" w:gutter="0" w:footer="0" w:header="0"/>
          <w:type w:val="continuous"/>
        </w:sectPr>
      </w:pPr>
    </w:p>
    <w:bookmarkStart w:id="107" w:name="page108"/>
    <w:bookmarkEnd w:id="107"/>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Cash Flows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174"/>
        </w:trPr>
        <w:tc>
          <w:tcPr>
            <w:tcW w:w="6300" w:type="dxa"/>
            <w:vAlign w:val="bottom"/>
            <w:tcBorders>
              <w:bottom w:val="single" w:sz="8" w:color="E5E6E7"/>
            </w:tcBorders>
          </w:tcPr>
          <w:p>
            <w:pPr>
              <w:spacing w:after="0"/>
              <w:rPr>
                <w:sz w:val="15"/>
                <w:szCs w:val="15"/>
                <w:color w:val="auto"/>
              </w:rPr>
            </w:pPr>
          </w:p>
        </w:tc>
        <w:tc>
          <w:tcPr>
            <w:tcW w:w="100" w:type="dxa"/>
            <w:vAlign w:val="bottom"/>
            <w:tcBorders>
              <w:bottom w:val="single" w:sz="8" w:color="E5E6E7"/>
            </w:tcBorders>
          </w:tcPr>
          <w:p>
            <w:pPr>
              <w:spacing w:after="0"/>
              <w:rPr>
                <w:sz w:val="15"/>
                <w:szCs w:val="15"/>
                <w:color w:val="auto"/>
              </w:rPr>
            </w:pPr>
          </w:p>
        </w:tc>
        <w:tc>
          <w:tcPr>
            <w:tcW w:w="300" w:type="dxa"/>
            <w:vAlign w:val="bottom"/>
            <w:tcBorders>
              <w:top w:val="single" w:sz="8" w:color="454546"/>
              <w:bottom w:val="single" w:sz="8" w:color="454546"/>
            </w:tcBorders>
          </w:tcPr>
          <w:p>
            <w:pPr>
              <w:spacing w:after="0"/>
              <w:rPr>
                <w:sz w:val="15"/>
                <w:szCs w:val="15"/>
                <w:color w:val="auto"/>
              </w:rPr>
            </w:pPr>
          </w:p>
        </w:tc>
        <w:tc>
          <w:tcPr>
            <w:tcW w:w="1020" w:type="dxa"/>
            <w:vAlign w:val="bottom"/>
            <w:tcBorders>
              <w:top w:val="single" w:sz="8" w:color="454546"/>
              <w:bottom w:val="single" w:sz="8" w:color="454546"/>
            </w:tcBorders>
          </w:tcPr>
          <w:p>
            <w:pPr>
              <w:jc w:val="right"/>
              <w:ind w:right="42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40" w:type="dxa"/>
            <w:vAlign w:val="bottom"/>
            <w:tcBorders>
              <w:top w:val="single" w:sz="8" w:color="454546"/>
              <w:bottom w:val="single" w:sz="8" w:color="E5E6E7"/>
            </w:tcBorders>
          </w:tcPr>
          <w:p>
            <w:pPr>
              <w:spacing w:after="0"/>
              <w:rPr>
                <w:sz w:val="15"/>
                <w:szCs w:val="15"/>
                <w:color w:val="auto"/>
              </w:rPr>
            </w:pPr>
          </w:p>
        </w:tc>
        <w:tc>
          <w:tcPr>
            <w:tcW w:w="100" w:type="dxa"/>
            <w:vAlign w:val="bottom"/>
            <w:tcBorders>
              <w:top w:val="single" w:sz="8" w:color="454546"/>
              <w:bottom w:val="single" w:sz="8" w:color="E5E6E7"/>
            </w:tcBorders>
          </w:tcPr>
          <w:p>
            <w:pPr>
              <w:spacing w:after="0"/>
              <w:rPr>
                <w:sz w:val="15"/>
                <w:szCs w:val="15"/>
                <w:color w:val="auto"/>
              </w:rPr>
            </w:pPr>
          </w:p>
        </w:tc>
        <w:tc>
          <w:tcPr>
            <w:tcW w:w="280" w:type="dxa"/>
            <w:vAlign w:val="bottom"/>
            <w:tcBorders>
              <w:top w:val="single" w:sz="8" w:color="454546"/>
              <w:bottom w:val="single" w:sz="8" w:color="454546"/>
            </w:tcBorders>
          </w:tcPr>
          <w:p>
            <w:pPr>
              <w:spacing w:after="0"/>
              <w:rPr>
                <w:sz w:val="15"/>
                <w:szCs w:val="15"/>
                <w:color w:val="auto"/>
              </w:rPr>
            </w:pPr>
          </w:p>
        </w:tc>
        <w:tc>
          <w:tcPr>
            <w:tcW w:w="1020" w:type="dxa"/>
            <w:vAlign w:val="bottom"/>
            <w:tcBorders>
              <w:top w:val="single" w:sz="8" w:color="454546"/>
              <w:bottom w:val="single" w:sz="8" w:color="454546"/>
            </w:tcBorders>
          </w:tcPr>
          <w:p>
            <w:pPr>
              <w:jc w:val="right"/>
              <w:ind w:right="40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Cash flows from operating activities: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454546"/>
              </w:rPr>
              <w:t>Net loss</w:t>
            </w:r>
          </w:p>
        </w:tc>
        <w:tc>
          <w:tcPr>
            <w:tcW w:w="10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(124,084)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(123,665)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color w:val="454546"/>
              </w:rPr>
              <w:t>Adjustments to reconcile net loss to net cash used in operating activities: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Depreciation and amortization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8,687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6,467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Amortization (accretion) of premium (discount) on marketable securities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315</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(307)</w:t>
            </w: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15,309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Non-cash operating lease expense</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3,132</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2,246</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Other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Changes in operating assets and liabilities: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Prepaid expenses and other current assets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454546"/>
              </w:rPr>
              <w:t>(2,934)</w:t>
            </w: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Other noncurrent assets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1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6"/>
                <w:szCs w:val="16"/>
                <w:color w:val="454546"/>
              </w:rPr>
              <w:t>(601)</w:t>
            </w: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(815)</w:t>
            </w:r>
          </w:p>
        </w:tc>
        <w:tc>
          <w:tcPr>
            <w:tcW w:w="0" w:type="dxa"/>
            <w:vAlign w:val="bottom"/>
          </w:tcPr>
          <w:p>
            <w:pPr>
              <w:spacing w:after="0"/>
              <w:rPr>
                <w:sz w:val="1"/>
                <w:szCs w:val="1"/>
                <w:color w:val="auto"/>
              </w:rPr>
            </w:pPr>
          </w:p>
        </w:tc>
      </w:tr>
      <w:tr>
        <w:trPr>
          <w:trHeight w:val="184"/>
        </w:trPr>
        <w:tc>
          <w:tcPr>
            <w:tcW w:w="630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Accounts payable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54546"/>
              </w:rPr>
              <w:t>(3,282)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Accrued and other current liabilities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2,256</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4,348</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Operating lease 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54546"/>
              </w:rPr>
              <w:t>(4,123)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454546"/>
              </w:rPr>
              <w:t>(3,107)</w:t>
            </w:r>
          </w:p>
        </w:tc>
        <w:tc>
          <w:tcPr>
            <w:tcW w:w="0" w:type="dxa"/>
            <w:vAlign w:val="bottom"/>
          </w:tcPr>
          <w:p>
            <w:pPr>
              <w:spacing w:after="0"/>
              <w:rPr>
                <w:sz w:val="1"/>
                <w:szCs w:val="1"/>
                <w:color w:val="auto"/>
              </w:rPr>
            </w:pPr>
          </w:p>
        </w:tc>
      </w:tr>
      <w:tr>
        <w:trPr>
          <w:trHeight w:val="204"/>
        </w:trPr>
        <w:tc>
          <w:tcPr>
            <w:tcW w:w="63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Other noncurrent liabilities</w:t>
            </w:r>
          </w:p>
        </w:tc>
        <w:tc>
          <w:tcPr>
            <w:tcW w:w="10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w:t>
            </w:r>
          </w:p>
        </w:tc>
        <w:tc>
          <w:tcPr>
            <w:tcW w:w="14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(1)</w:t>
            </w:r>
          </w:p>
        </w:tc>
        <w:tc>
          <w:tcPr>
            <w:tcW w:w="0" w:type="dxa"/>
            <w:vAlign w:val="bottom"/>
          </w:tcPr>
          <w:p>
            <w:pPr>
              <w:spacing w:after="0"/>
              <w:rPr>
                <w:sz w:val="1"/>
                <w:szCs w:val="1"/>
                <w:color w:val="auto"/>
              </w:rPr>
            </w:pPr>
          </w:p>
        </w:tc>
      </w:tr>
      <w:tr>
        <w:trPr>
          <w:trHeight w:val="154"/>
        </w:trPr>
        <w:tc>
          <w:tcPr>
            <w:tcW w:w="6300" w:type="dxa"/>
            <w:vAlign w:val="bottom"/>
            <w:tcBorders>
              <w:top w:val="single" w:sz="8" w:color="E5E6E7"/>
              <w:bottom w:val="single" w:sz="8" w:color="E5E6E7"/>
            </w:tcBorders>
          </w:tcPr>
          <w:p>
            <w:pPr>
              <w:ind w:left="500"/>
              <w:spacing w:after="0" w:line="154" w:lineRule="exact"/>
              <w:rPr>
                <w:sz w:val="20"/>
                <w:szCs w:val="20"/>
                <w:color w:val="auto"/>
              </w:rPr>
            </w:pPr>
            <w:r>
              <w:rPr>
                <w:rFonts w:ascii="Times New Roman" w:cs="Times New Roman" w:eastAsia="Times New Roman" w:hAnsi="Times New Roman"/>
                <w:sz w:val="16"/>
                <w:szCs w:val="16"/>
                <w:color w:val="454546"/>
              </w:rPr>
              <w:t>Net cash used in operating activities</w:t>
            </w:r>
          </w:p>
        </w:tc>
        <w:tc>
          <w:tcPr>
            <w:tcW w:w="100" w:type="dxa"/>
            <w:vAlign w:val="bottom"/>
            <w:tcBorders>
              <w:top w:val="single" w:sz="8" w:color="E5E6E7"/>
              <w:bottom w:val="single" w:sz="8" w:color="E5E6E7"/>
            </w:tcBorders>
          </w:tcPr>
          <w:p>
            <w:pPr>
              <w:spacing w:after="0"/>
              <w:rPr>
                <w:sz w:val="13"/>
                <w:szCs w:val="13"/>
                <w:color w:val="auto"/>
              </w:rPr>
            </w:pPr>
          </w:p>
        </w:tc>
        <w:tc>
          <w:tcPr>
            <w:tcW w:w="300" w:type="dxa"/>
            <w:vAlign w:val="bottom"/>
            <w:tcBorders>
              <w:top w:val="single" w:sz="8" w:color="454546"/>
              <w:bottom w:val="single" w:sz="8" w:color="454546"/>
            </w:tcBorders>
          </w:tcPr>
          <w:p>
            <w:pPr>
              <w:spacing w:after="0"/>
              <w:rPr>
                <w:sz w:val="13"/>
                <w:szCs w:val="13"/>
                <w:color w:val="auto"/>
              </w:rPr>
            </w:pPr>
          </w:p>
        </w:tc>
        <w:tc>
          <w:tcPr>
            <w:tcW w:w="1020" w:type="dxa"/>
            <w:vAlign w:val="bottom"/>
            <w:tcBorders>
              <w:top w:val="single" w:sz="8" w:color="454546"/>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(102,072)</w:t>
            </w:r>
          </w:p>
        </w:tc>
        <w:tc>
          <w:tcPr>
            <w:tcW w:w="140" w:type="dxa"/>
            <w:vAlign w:val="bottom"/>
            <w:tcBorders>
              <w:top w:val="single" w:sz="8" w:color="E5E6E7"/>
              <w:bottom w:val="single" w:sz="8" w:color="E5E6E7"/>
            </w:tcBorders>
          </w:tcPr>
          <w:p>
            <w:pPr>
              <w:spacing w:after="0"/>
              <w:rPr>
                <w:sz w:val="13"/>
                <w:szCs w:val="13"/>
                <w:color w:val="auto"/>
              </w:rPr>
            </w:pPr>
          </w:p>
        </w:tc>
        <w:tc>
          <w:tcPr>
            <w:tcW w:w="100" w:type="dxa"/>
            <w:vAlign w:val="bottom"/>
            <w:tcBorders>
              <w:top w:val="single" w:sz="8" w:color="E5E6E7"/>
              <w:bottom w:val="single" w:sz="8" w:color="E5E6E7"/>
            </w:tcBorders>
          </w:tcPr>
          <w:p>
            <w:pPr>
              <w:spacing w:after="0"/>
              <w:rPr>
                <w:sz w:val="13"/>
                <w:szCs w:val="13"/>
                <w:color w:val="auto"/>
              </w:rPr>
            </w:pPr>
          </w:p>
        </w:tc>
        <w:tc>
          <w:tcPr>
            <w:tcW w:w="280" w:type="dxa"/>
            <w:vAlign w:val="bottom"/>
            <w:tcBorders>
              <w:top w:val="single" w:sz="8" w:color="454546"/>
              <w:bottom w:val="single" w:sz="8" w:color="454546"/>
            </w:tcBorders>
          </w:tcPr>
          <w:p>
            <w:pPr>
              <w:spacing w:after="0"/>
              <w:rPr>
                <w:sz w:val="13"/>
                <w:szCs w:val="13"/>
                <w:color w:val="auto"/>
              </w:rPr>
            </w:pPr>
          </w:p>
        </w:tc>
        <w:tc>
          <w:tcPr>
            <w:tcW w:w="1020" w:type="dxa"/>
            <w:vAlign w:val="bottom"/>
            <w:tcBorders>
              <w:top w:val="single" w:sz="8" w:color="454546"/>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(104,424)</w:t>
            </w:r>
          </w:p>
        </w:tc>
        <w:tc>
          <w:tcPr>
            <w:tcW w:w="100" w:type="dxa"/>
            <w:vAlign w:val="bottom"/>
            <w:tcBorders>
              <w:top w:val="single" w:sz="8" w:color="E5E6E7"/>
              <w:bottom w:val="single" w:sz="8" w:color="E5E6E7"/>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Cash flows from investing activities: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Purchases of property and equipment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(1,239)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(20,630)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Purchases of marketable securities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1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6"/>
                <w:szCs w:val="16"/>
                <w:color w:val="454546"/>
              </w:rPr>
              <w:t>(56,644)</w:t>
            </w: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(140,476)</w:t>
            </w: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Proceeds from maturities of marketable securities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106,623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244,750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Other</w:t>
            </w:r>
          </w:p>
        </w:tc>
        <w:tc>
          <w:tcPr>
            <w:tcW w:w="10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1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6"/>
                <w:szCs w:val="16"/>
                <w:color w:val="454546"/>
              </w:rPr>
              <w:t>(25)</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w:t>
            </w: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300" w:type="dxa"/>
            <w:vAlign w:val="bottom"/>
            <w:tcBorders>
              <w:top w:val="single" w:sz="8" w:color="E5E6E7"/>
              <w:bottom w:val="single" w:sz="8" w:color="E5E6E7"/>
            </w:tcBorders>
          </w:tcPr>
          <w:p>
            <w:pPr>
              <w:ind w:left="500"/>
              <w:spacing w:after="0" w:line="154" w:lineRule="exact"/>
              <w:rPr>
                <w:sz w:val="20"/>
                <w:szCs w:val="20"/>
                <w:color w:val="auto"/>
              </w:rPr>
            </w:pPr>
            <w:r>
              <w:rPr>
                <w:rFonts w:ascii="Times New Roman" w:cs="Times New Roman" w:eastAsia="Times New Roman" w:hAnsi="Times New Roman"/>
                <w:sz w:val="16"/>
                <w:szCs w:val="16"/>
                <w:color w:val="454546"/>
              </w:rPr>
              <w:t>Net cash provided by investing activities</w:t>
            </w:r>
          </w:p>
        </w:tc>
        <w:tc>
          <w:tcPr>
            <w:tcW w:w="100" w:type="dxa"/>
            <w:vAlign w:val="bottom"/>
            <w:tcBorders>
              <w:top w:val="single" w:sz="8" w:color="E5E6E7"/>
              <w:bottom w:val="single" w:sz="8" w:color="E5E6E7"/>
            </w:tcBorders>
          </w:tcPr>
          <w:p>
            <w:pPr>
              <w:spacing w:after="0"/>
              <w:rPr>
                <w:sz w:val="13"/>
                <w:szCs w:val="13"/>
                <w:color w:val="auto"/>
              </w:rPr>
            </w:pPr>
          </w:p>
        </w:tc>
        <w:tc>
          <w:tcPr>
            <w:tcW w:w="300" w:type="dxa"/>
            <w:vAlign w:val="bottom"/>
            <w:tcBorders>
              <w:top w:val="single" w:sz="8" w:color="454546"/>
              <w:bottom w:val="single" w:sz="8" w:color="454546"/>
            </w:tcBorders>
          </w:tcPr>
          <w:p>
            <w:pPr>
              <w:spacing w:after="0"/>
              <w:rPr>
                <w:sz w:val="13"/>
                <w:szCs w:val="13"/>
                <w:color w:val="auto"/>
              </w:rPr>
            </w:pPr>
          </w:p>
        </w:tc>
        <w:tc>
          <w:tcPr>
            <w:tcW w:w="1020" w:type="dxa"/>
            <w:vAlign w:val="bottom"/>
            <w:tcBorders>
              <w:top w:val="single" w:sz="8" w:color="454546"/>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48,715</w:t>
            </w:r>
          </w:p>
        </w:tc>
        <w:tc>
          <w:tcPr>
            <w:tcW w:w="140" w:type="dxa"/>
            <w:vAlign w:val="bottom"/>
            <w:tcBorders>
              <w:top w:val="single" w:sz="8" w:color="E5E6E7"/>
              <w:bottom w:val="single" w:sz="8" w:color="E5E6E7"/>
            </w:tcBorders>
          </w:tcPr>
          <w:p>
            <w:pPr>
              <w:spacing w:after="0"/>
              <w:rPr>
                <w:sz w:val="13"/>
                <w:szCs w:val="13"/>
                <w:color w:val="auto"/>
              </w:rPr>
            </w:pPr>
          </w:p>
        </w:tc>
        <w:tc>
          <w:tcPr>
            <w:tcW w:w="100" w:type="dxa"/>
            <w:vAlign w:val="bottom"/>
            <w:tcBorders>
              <w:top w:val="single" w:sz="8" w:color="E5E6E7"/>
              <w:bottom w:val="single" w:sz="8" w:color="E5E6E7"/>
            </w:tcBorders>
          </w:tcPr>
          <w:p>
            <w:pPr>
              <w:spacing w:after="0"/>
              <w:rPr>
                <w:sz w:val="13"/>
                <w:szCs w:val="13"/>
                <w:color w:val="auto"/>
              </w:rPr>
            </w:pPr>
          </w:p>
        </w:tc>
        <w:tc>
          <w:tcPr>
            <w:tcW w:w="280" w:type="dxa"/>
            <w:vAlign w:val="bottom"/>
            <w:tcBorders>
              <w:top w:val="single" w:sz="8" w:color="454546"/>
              <w:bottom w:val="single" w:sz="8" w:color="454546"/>
            </w:tcBorders>
          </w:tcPr>
          <w:p>
            <w:pPr>
              <w:spacing w:after="0"/>
              <w:rPr>
                <w:sz w:val="13"/>
                <w:szCs w:val="13"/>
                <w:color w:val="auto"/>
              </w:rPr>
            </w:pPr>
          </w:p>
        </w:tc>
        <w:tc>
          <w:tcPr>
            <w:tcW w:w="1020" w:type="dxa"/>
            <w:vAlign w:val="bottom"/>
            <w:tcBorders>
              <w:top w:val="single" w:sz="8" w:color="454546"/>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83,652</w:t>
            </w:r>
          </w:p>
        </w:tc>
        <w:tc>
          <w:tcPr>
            <w:tcW w:w="100" w:type="dxa"/>
            <w:vAlign w:val="bottom"/>
            <w:tcBorders>
              <w:top w:val="single" w:sz="8" w:color="E5E6E7"/>
              <w:bottom w:val="single" w:sz="8" w:color="E5E6E7"/>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Cash flows from financing activities: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00" w:type="dxa"/>
            <w:vAlign w:val="bottom"/>
          </w:tcPr>
          <w:p>
            <w:pPr>
              <w:ind w:left="200"/>
              <w:spacing w:after="0" w:line="169" w:lineRule="exact"/>
              <w:rPr>
                <w:sz w:val="20"/>
                <w:szCs w:val="20"/>
                <w:color w:val="auto"/>
              </w:rPr>
            </w:pPr>
            <w:r>
              <w:rPr>
                <w:rFonts w:ascii="Times New Roman" w:cs="Times New Roman" w:eastAsia="Times New Roman" w:hAnsi="Times New Roman"/>
                <w:sz w:val="16"/>
                <w:szCs w:val="16"/>
                <w:color w:val="454546"/>
              </w:rPr>
              <w:t>Proceeds from issuance of common stock and pre-funded warrants in follow-on offering, net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454546"/>
              </w:rPr>
              <w:t>77,387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of issuance costs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Proceeds from at-the-market sales, net of issuance costs</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3,868</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1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184"/>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Payment of accrued offering costs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454546"/>
              </w:rPr>
              <w:t>(501)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04"/>
        </w:trPr>
        <w:tc>
          <w:tcPr>
            <w:tcW w:w="630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Proceeds from exercise of stock options and employee stock purchase plan</w:t>
            </w:r>
          </w:p>
        </w:tc>
        <w:tc>
          <w:tcPr>
            <w:tcW w:w="100" w:type="dxa"/>
            <w:vAlign w:val="bottom"/>
            <w:tcBorders>
              <w:bottom w:val="single" w:sz="8" w:color="E5E6E7"/>
            </w:tcBorders>
            <w:shd w:val="clear" w:color="auto" w:fill="E5E6E7"/>
          </w:tcPr>
          <w:p>
            <w:pPr>
              <w:spacing w:after="0"/>
              <w:rPr>
                <w:sz w:val="17"/>
                <w:szCs w:val="17"/>
                <w:color w:val="auto"/>
              </w:rPr>
            </w:pPr>
          </w:p>
        </w:tc>
        <w:tc>
          <w:tcPr>
            <w:tcW w:w="300" w:type="dxa"/>
            <w:vAlign w:val="bottom"/>
            <w:tcBorders>
              <w:bottom w:val="single" w:sz="8" w:color="454546"/>
            </w:tcBorders>
            <w:shd w:val="clear" w:color="auto" w:fill="E5E6E7"/>
          </w:tcPr>
          <w:p>
            <w:pPr>
              <w:spacing w:after="0"/>
              <w:rPr>
                <w:sz w:val="17"/>
                <w:szCs w:val="17"/>
                <w:color w:val="auto"/>
              </w:rPr>
            </w:pPr>
          </w:p>
        </w:tc>
        <w:tc>
          <w:tcPr>
            <w:tcW w:w="10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682</w:t>
            </w:r>
          </w:p>
        </w:tc>
        <w:tc>
          <w:tcPr>
            <w:tcW w:w="140" w:type="dxa"/>
            <w:vAlign w:val="bottom"/>
            <w:tcBorders>
              <w:bottom w:val="single" w:sz="8" w:color="E5E6E7"/>
            </w:tcBorders>
            <w:shd w:val="clear" w:color="auto" w:fill="E5E6E7"/>
          </w:tcPr>
          <w:p>
            <w:pPr>
              <w:spacing w:after="0"/>
              <w:rPr>
                <w:sz w:val="17"/>
                <w:szCs w:val="17"/>
                <w:color w:val="auto"/>
              </w:rPr>
            </w:pPr>
          </w:p>
        </w:tc>
        <w:tc>
          <w:tcPr>
            <w:tcW w:w="100" w:type="dxa"/>
            <w:vAlign w:val="bottom"/>
            <w:tcBorders>
              <w:bottom w:val="single" w:sz="8" w:color="E5E6E7"/>
            </w:tcBorders>
            <w:shd w:val="clear" w:color="auto" w:fill="E5E6E7"/>
          </w:tcPr>
          <w:p>
            <w:pPr>
              <w:spacing w:after="0"/>
              <w:rPr>
                <w:sz w:val="17"/>
                <w:szCs w:val="17"/>
                <w:color w:val="auto"/>
              </w:rPr>
            </w:pPr>
          </w:p>
        </w:tc>
        <w:tc>
          <w:tcPr>
            <w:tcW w:w="280" w:type="dxa"/>
            <w:vAlign w:val="bottom"/>
            <w:tcBorders>
              <w:bottom w:val="single" w:sz="8" w:color="454546"/>
            </w:tcBorders>
            <w:shd w:val="clear" w:color="auto" w:fill="E5E6E7"/>
          </w:tcPr>
          <w:p>
            <w:pPr>
              <w:spacing w:after="0"/>
              <w:rPr>
                <w:sz w:val="17"/>
                <w:szCs w:val="17"/>
                <w:color w:val="auto"/>
              </w:rPr>
            </w:pPr>
          </w:p>
        </w:tc>
        <w:tc>
          <w:tcPr>
            <w:tcW w:w="10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380</w:t>
            </w:r>
          </w:p>
        </w:tc>
        <w:tc>
          <w:tcPr>
            <w:tcW w:w="100" w:type="dxa"/>
            <w:vAlign w:val="bottom"/>
            <w:tcBorders>
              <w:bottom w:val="single" w:sz="8" w:color="E5E6E7"/>
            </w:tcBorders>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300" w:type="dxa"/>
            <w:vAlign w:val="bottom"/>
            <w:tcBorders>
              <w:bottom w:val="single" w:sz="8" w:color="E5E6E7"/>
            </w:tcBorders>
          </w:tcPr>
          <w:p>
            <w:pPr>
              <w:ind w:left="500"/>
              <w:spacing w:after="0" w:line="154" w:lineRule="exact"/>
              <w:rPr>
                <w:sz w:val="20"/>
                <w:szCs w:val="20"/>
                <w:color w:val="auto"/>
              </w:rPr>
            </w:pPr>
            <w:r>
              <w:rPr>
                <w:rFonts w:ascii="Times New Roman" w:cs="Times New Roman" w:eastAsia="Times New Roman" w:hAnsi="Times New Roman"/>
                <w:sz w:val="16"/>
                <w:szCs w:val="16"/>
                <w:color w:val="454546"/>
              </w:rPr>
              <w:t>Net cash provided by financing activities</w:t>
            </w:r>
          </w:p>
        </w:tc>
        <w:tc>
          <w:tcPr>
            <w:tcW w:w="100" w:type="dxa"/>
            <w:vAlign w:val="bottom"/>
            <w:tcBorders>
              <w:bottom w:val="single" w:sz="8" w:color="E5E6E7"/>
            </w:tcBorders>
          </w:tcPr>
          <w:p>
            <w:pPr>
              <w:spacing w:after="0"/>
              <w:rPr>
                <w:sz w:val="13"/>
                <w:szCs w:val="13"/>
                <w:color w:val="auto"/>
              </w:rPr>
            </w:pPr>
          </w:p>
        </w:tc>
        <w:tc>
          <w:tcPr>
            <w:tcW w:w="300" w:type="dxa"/>
            <w:vAlign w:val="bottom"/>
            <w:tcBorders>
              <w:bottom w:val="single" w:sz="8" w:color="454546"/>
            </w:tcBorders>
          </w:tcPr>
          <w:p>
            <w:pPr>
              <w:spacing w:after="0"/>
              <w:rPr>
                <w:sz w:val="13"/>
                <w:szCs w:val="13"/>
                <w:color w:val="auto"/>
              </w:rPr>
            </w:pPr>
          </w:p>
        </w:tc>
        <w:tc>
          <w:tcPr>
            <w:tcW w:w="1020" w:type="dxa"/>
            <w:vAlign w:val="bottom"/>
            <w:tcBorders>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4,049</w:t>
            </w:r>
          </w:p>
        </w:tc>
        <w:tc>
          <w:tcPr>
            <w:tcW w:w="140" w:type="dxa"/>
            <w:vAlign w:val="bottom"/>
            <w:tcBorders>
              <w:bottom w:val="single" w:sz="8" w:color="E5E6E7"/>
            </w:tcBorders>
          </w:tcPr>
          <w:p>
            <w:pPr>
              <w:spacing w:after="0"/>
              <w:rPr>
                <w:sz w:val="13"/>
                <w:szCs w:val="13"/>
                <w:color w:val="auto"/>
              </w:rPr>
            </w:pPr>
          </w:p>
        </w:tc>
        <w:tc>
          <w:tcPr>
            <w:tcW w:w="100" w:type="dxa"/>
            <w:vAlign w:val="bottom"/>
            <w:tcBorders>
              <w:bottom w:val="single" w:sz="8" w:color="E5E6E7"/>
            </w:tcBorders>
          </w:tcPr>
          <w:p>
            <w:pPr>
              <w:spacing w:after="0"/>
              <w:rPr>
                <w:sz w:val="13"/>
                <w:szCs w:val="13"/>
                <w:color w:val="auto"/>
              </w:rPr>
            </w:pPr>
          </w:p>
        </w:tc>
        <w:tc>
          <w:tcPr>
            <w:tcW w:w="280" w:type="dxa"/>
            <w:vAlign w:val="bottom"/>
            <w:tcBorders>
              <w:bottom w:val="single" w:sz="8" w:color="454546"/>
            </w:tcBorders>
          </w:tcPr>
          <w:p>
            <w:pPr>
              <w:spacing w:after="0"/>
              <w:rPr>
                <w:sz w:val="13"/>
                <w:szCs w:val="13"/>
                <w:color w:val="auto"/>
              </w:rPr>
            </w:pPr>
          </w:p>
        </w:tc>
        <w:tc>
          <w:tcPr>
            <w:tcW w:w="1020" w:type="dxa"/>
            <w:vAlign w:val="bottom"/>
            <w:tcBorders>
              <w:bottom w:val="single" w:sz="8" w:color="454546"/>
            </w:tcBorders>
          </w:tcPr>
          <w:p>
            <w:pPr>
              <w:jc w:val="right"/>
              <w:spacing w:after="0" w:line="154" w:lineRule="exact"/>
              <w:rPr>
                <w:sz w:val="20"/>
                <w:szCs w:val="20"/>
                <w:color w:val="auto"/>
              </w:rPr>
            </w:pPr>
            <w:r>
              <w:rPr>
                <w:rFonts w:ascii="Times New Roman" w:cs="Times New Roman" w:eastAsia="Times New Roman" w:hAnsi="Times New Roman"/>
                <w:sz w:val="16"/>
                <w:szCs w:val="16"/>
                <w:color w:val="454546"/>
              </w:rPr>
              <w:t>77,767</w:t>
            </w:r>
          </w:p>
        </w:tc>
        <w:tc>
          <w:tcPr>
            <w:tcW w:w="100" w:type="dxa"/>
            <w:vAlign w:val="bottom"/>
            <w:tcBorders>
              <w:bottom w:val="single" w:sz="8" w:color="E5E6E7"/>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color w:val="454546"/>
              </w:rPr>
              <w:t>Net change in cash, cash equivalents and restricted cash</w:t>
            </w:r>
          </w:p>
        </w:tc>
        <w:tc>
          <w:tcPr>
            <w:tcW w:w="10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(49,308)</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20" w:type="dxa"/>
            <w:vAlign w:val="bottom"/>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56,995</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6"/>
                <w:szCs w:val="16"/>
                <w:color w:val="454546"/>
              </w:rPr>
              <w:t>Cash and cash equivalents and restricted cash at beginning of period</w:t>
            </w:r>
          </w:p>
        </w:tc>
        <w:tc>
          <w:tcPr>
            <w:tcW w:w="100" w:type="dxa"/>
            <w:vAlign w:val="bottom"/>
            <w:tcBorders>
              <w:bottom w:val="single" w:sz="8" w:color="E5E6E7"/>
            </w:tcBorders>
          </w:tcPr>
          <w:p>
            <w:pPr>
              <w:spacing w:after="0"/>
              <w:rPr>
                <w:sz w:val="15"/>
                <w:szCs w:val="15"/>
                <w:color w:val="auto"/>
              </w:rPr>
            </w:pPr>
          </w:p>
        </w:tc>
        <w:tc>
          <w:tcPr>
            <w:tcW w:w="300" w:type="dxa"/>
            <w:vAlign w:val="bottom"/>
            <w:tcBorders>
              <w:bottom w:val="single" w:sz="8" w:color="454546"/>
            </w:tcBorders>
          </w:tcPr>
          <w:p>
            <w:pPr>
              <w:spacing w:after="0"/>
              <w:rPr>
                <w:sz w:val="15"/>
                <w:szCs w:val="15"/>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95,671</w:t>
            </w:r>
          </w:p>
        </w:tc>
        <w:tc>
          <w:tcPr>
            <w:tcW w:w="140" w:type="dxa"/>
            <w:vAlign w:val="bottom"/>
            <w:tcBorders>
              <w:bottom w:val="single" w:sz="8" w:color="E5E6E7"/>
            </w:tcBorders>
          </w:tcPr>
          <w:p>
            <w:pPr>
              <w:spacing w:after="0"/>
              <w:rPr>
                <w:sz w:val="15"/>
                <w:szCs w:val="15"/>
                <w:color w:val="auto"/>
              </w:rPr>
            </w:pPr>
          </w:p>
        </w:tc>
        <w:tc>
          <w:tcPr>
            <w:tcW w:w="10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38,676</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color w:val="454546"/>
              </w:rPr>
              <w:t>Cash and cash equivalents and restricted cash at end of period</w:t>
            </w:r>
          </w:p>
        </w:tc>
        <w:tc>
          <w:tcPr>
            <w:tcW w:w="100" w:type="dxa"/>
            <w:vAlign w:val="bottom"/>
            <w:shd w:val="clear" w:color="auto" w:fill="E5E6E7"/>
          </w:tcPr>
          <w:p>
            <w:pPr>
              <w:spacing w:after="0"/>
              <w:rPr>
                <w:sz w:val="15"/>
                <w:szCs w:val="15"/>
                <w:color w:val="auto"/>
              </w:rPr>
            </w:pPr>
          </w:p>
        </w:tc>
        <w:tc>
          <w:tcPr>
            <w:tcW w:w="300" w:type="dxa"/>
            <w:vAlign w:val="bottom"/>
            <w:tcBorders>
              <w:bottom w:val="single" w:sz="8" w:color="454546"/>
            </w:tcBorders>
            <w:shd w:val="clear" w:color="auto" w:fill="E5E6E7"/>
          </w:tcPr>
          <w:p>
            <w:pPr>
              <w:jc w:val="right"/>
              <w:ind w:right="140"/>
              <w:spacing w:after="0" w:line="174" w:lineRule="exact"/>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Borders>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46,363</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tcBorders>
              <w:bottom w:val="single" w:sz="8" w:color="454546"/>
            </w:tcBorders>
            <w:shd w:val="clear" w:color="auto" w:fill="E5E6E7"/>
          </w:tcPr>
          <w:p>
            <w:pPr>
              <w:jc w:val="right"/>
              <w:ind w:right="120"/>
              <w:spacing w:after="0" w:line="174" w:lineRule="exact"/>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Borders>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95,671</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Components of cash, cash equivalents and restricted cash:</w:t>
            </w:r>
          </w:p>
        </w:tc>
        <w:tc>
          <w:tcPr>
            <w:tcW w:w="10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color w:val="454546"/>
              </w:rPr>
              <w:t>Cash and cash equivalents</w:t>
            </w:r>
          </w:p>
        </w:tc>
        <w:tc>
          <w:tcPr>
            <w:tcW w:w="40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45,681</w:t>
            </w:r>
          </w:p>
        </w:tc>
        <w:tc>
          <w:tcPr>
            <w:tcW w:w="140" w:type="dxa"/>
            <w:vAlign w:val="bottom"/>
            <w:shd w:val="clear" w:color="auto" w:fill="E5E6E7"/>
          </w:tcPr>
          <w:p>
            <w:pPr>
              <w:spacing w:after="0"/>
              <w:rPr>
                <w:sz w:val="15"/>
                <w:szCs w:val="15"/>
                <w:color w:val="auto"/>
              </w:rPr>
            </w:pPr>
          </w:p>
        </w:tc>
        <w:tc>
          <w:tcPr>
            <w:tcW w:w="3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95,272</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6"/>
                <w:szCs w:val="16"/>
                <w:color w:val="454546"/>
              </w:rPr>
              <w:t>Restricted cash included in other noncurrent assets</w:t>
            </w:r>
          </w:p>
        </w:tc>
        <w:tc>
          <w:tcPr>
            <w:tcW w:w="100" w:type="dxa"/>
            <w:vAlign w:val="bottom"/>
            <w:tcBorders>
              <w:bottom w:val="single" w:sz="8" w:color="E5E6E7"/>
            </w:tcBorders>
          </w:tcPr>
          <w:p>
            <w:pPr>
              <w:spacing w:after="0"/>
              <w:rPr>
                <w:sz w:val="15"/>
                <w:szCs w:val="15"/>
                <w:color w:val="auto"/>
              </w:rPr>
            </w:pPr>
          </w:p>
        </w:tc>
        <w:tc>
          <w:tcPr>
            <w:tcW w:w="300" w:type="dxa"/>
            <w:vAlign w:val="bottom"/>
            <w:tcBorders>
              <w:bottom w:val="single" w:sz="8" w:color="454546"/>
            </w:tcBorders>
          </w:tcPr>
          <w:p>
            <w:pPr>
              <w:spacing w:after="0"/>
              <w:rPr>
                <w:sz w:val="15"/>
                <w:szCs w:val="15"/>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682</w:t>
            </w:r>
          </w:p>
        </w:tc>
        <w:tc>
          <w:tcPr>
            <w:tcW w:w="140" w:type="dxa"/>
            <w:vAlign w:val="bottom"/>
            <w:tcBorders>
              <w:bottom w:val="single" w:sz="8" w:color="E5E6E7"/>
            </w:tcBorders>
          </w:tcPr>
          <w:p>
            <w:pPr>
              <w:spacing w:after="0"/>
              <w:rPr>
                <w:sz w:val="15"/>
                <w:szCs w:val="15"/>
                <w:color w:val="auto"/>
              </w:rPr>
            </w:pPr>
          </w:p>
        </w:tc>
        <w:tc>
          <w:tcPr>
            <w:tcW w:w="10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399</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E5E6E7"/>
          </w:tcPr>
          <w:p>
            <w:pPr>
              <w:spacing w:after="0" w:line="174" w:lineRule="exact"/>
              <w:rPr>
                <w:sz w:val="20"/>
                <w:szCs w:val="20"/>
                <w:color w:val="auto"/>
              </w:rPr>
            </w:pPr>
            <w:r>
              <w:rPr>
                <w:rFonts w:ascii="Times New Roman" w:cs="Times New Roman" w:eastAsia="Times New Roman" w:hAnsi="Times New Roman"/>
                <w:sz w:val="16"/>
                <w:szCs w:val="16"/>
                <w:color w:val="454546"/>
              </w:rPr>
              <w:t>Cash, cash equivalents and restricted cash</w:t>
            </w:r>
          </w:p>
        </w:tc>
        <w:tc>
          <w:tcPr>
            <w:tcW w:w="100" w:type="dxa"/>
            <w:vAlign w:val="bottom"/>
            <w:shd w:val="clear" w:color="auto" w:fill="E5E6E7"/>
          </w:tcPr>
          <w:p>
            <w:pPr>
              <w:spacing w:after="0"/>
              <w:rPr>
                <w:sz w:val="15"/>
                <w:szCs w:val="15"/>
                <w:color w:val="auto"/>
              </w:rPr>
            </w:pPr>
          </w:p>
        </w:tc>
        <w:tc>
          <w:tcPr>
            <w:tcW w:w="300" w:type="dxa"/>
            <w:vAlign w:val="bottom"/>
            <w:tcBorders>
              <w:bottom w:val="single" w:sz="8" w:color="454546"/>
            </w:tcBorders>
            <w:shd w:val="clear" w:color="auto" w:fill="E5E6E7"/>
          </w:tcPr>
          <w:p>
            <w:pPr>
              <w:jc w:val="right"/>
              <w:ind w:right="140"/>
              <w:spacing w:after="0" w:line="174" w:lineRule="exact"/>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Borders>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46,363</w:t>
            </w:r>
          </w:p>
        </w:tc>
        <w:tc>
          <w:tcPr>
            <w:tcW w:w="140" w:type="dxa"/>
            <w:vAlign w:val="bottom"/>
            <w:shd w:val="clear" w:color="auto" w:fill="E5E6E7"/>
          </w:tcPr>
          <w:p>
            <w:pPr>
              <w:spacing w:after="0"/>
              <w:rPr>
                <w:sz w:val="15"/>
                <w:szCs w:val="15"/>
                <w:color w:val="auto"/>
              </w:rPr>
            </w:pPr>
          </w:p>
        </w:tc>
        <w:tc>
          <w:tcPr>
            <w:tcW w:w="100" w:type="dxa"/>
            <w:vAlign w:val="bottom"/>
            <w:shd w:val="clear" w:color="auto" w:fill="E5E6E7"/>
          </w:tcPr>
          <w:p>
            <w:pPr>
              <w:spacing w:after="0"/>
              <w:rPr>
                <w:sz w:val="15"/>
                <w:szCs w:val="15"/>
                <w:color w:val="auto"/>
              </w:rPr>
            </w:pPr>
          </w:p>
        </w:tc>
        <w:tc>
          <w:tcPr>
            <w:tcW w:w="280" w:type="dxa"/>
            <w:vAlign w:val="bottom"/>
            <w:tcBorders>
              <w:bottom w:val="single" w:sz="8" w:color="454546"/>
            </w:tcBorders>
            <w:shd w:val="clear" w:color="auto" w:fill="E5E6E7"/>
          </w:tcPr>
          <w:p>
            <w:pPr>
              <w:jc w:val="right"/>
              <w:ind w:right="120"/>
              <w:spacing w:after="0" w:line="174" w:lineRule="exact"/>
              <w:rPr>
                <w:sz w:val="20"/>
                <w:szCs w:val="20"/>
                <w:color w:val="auto"/>
              </w:rPr>
            </w:pPr>
            <w:r>
              <w:rPr>
                <w:rFonts w:ascii="Times New Roman" w:cs="Times New Roman" w:eastAsia="Times New Roman" w:hAnsi="Times New Roman"/>
                <w:sz w:val="16"/>
                <w:szCs w:val="16"/>
                <w:color w:val="454546"/>
                <w:w w:val="74"/>
              </w:rPr>
              <w:t>$</w:t>
            </w:r>
          </w:p>
        </w:tc>
        <w:tc>
          <w:tcPr>
            <w:tcW w:w="1020" w:type="dxa"/>
            <w:vAlign w:val="bottom"/>
            <w:tcBorders>
              <w:bottom w:val="single" w:sz="8" w:color="454546"/>
            </w:tcBorders>
            <w:shd w:val="clear" w:color="auto" w:fill="E5E6E7"/>
          </w:tcPr>
          <w:p>
            <w:pPr>
              <w:jc w:val="right"/>
              <w:spacing w:after="0" w:line="174" w:lineRule="exact"/>
              <w:rPr>
                <w:sz w:val="20"/>
                <w:szCs w:val="20"/>
                <w:color w:val="auto"/>
              </w:rPr>
            </w:pPr>
            <w:r>
              <w:rPr>
                <w:rFonts w:ascii="Times New Roman" w:cs="Times New Roman" w:eastAsia="Times New Roman" w:hAnsi="Times New Roman"/>
                <w:sz w:val="16"/>
                <w:szCs w:val="16"/>
                <w:color w:val="454546"/>
              </w:rPr>
              <w:t>95,671</w:t>
            </w:r>
          </w:p>
        </w:tc>
        <w:tc>
          <w:tcPr>
            <w:tcW w:w="10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Supplemental disclosure of non-cash investing and financing activities:</w:t>
            </w:r>
          </w:p>
        </w:tc>
        <w:tc>
          <w:tcPr>
            <w:tcW w:w="10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shd w:val="clear" w:color="auto" w:fill="E5E6E7"/>
          </w:tcPr>
          <w:p>
            <w:pPr>
              <w:ind w:left="200"/>
              <w:spacing w:after="0" w:line="169" w:lineRule="exact"/>
              <w:rPr>
                <w:sz w:val="20"/>
                <w:szCs w:val="20"/>
                <w:color w:val="auto"/>
              </w:rPr>
            </w:pPr>
            <w:r>
              <w:rPr>
                <w:rFonts w:ascii="Times New Roman" w:cs="Times New Roman" w:eastAsia="Times New Roman" w:hAnsi="Times New Roman"/>
                <w:sz w:val="16"/>
                <w:szCs w:val="16"/>
                <w:color w:val="454546"/>
              </w:rPr>
              <w:t>Offering costs related to November 2022 public offering included in accounts payable and</w:t>
            </w:r>
          </w:p>
        </w:tc>
        <w:tc>
          <w:tcPr>
            <w:tcW w:w="400" w:type="dxa"/>
            <w:vAlign w:val="bottom"/>
            <w:gridSpan w:val="2"/>
            <w:vMerge w:val="restart"/>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1160" w:type="dxa"/>
            <w:vAlign w:val="bottom"/>
            <w:gridSpan w:val="2"/>
            <w:vMerge w:val="restart"/>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380" w:type="dxa"/>
            <w:vAlign w:val="bottom"/>
            <w:gridSpan w:val="2"/>
            <w:vMerge w:val="restart"/>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501</w:t>
            </w:r>
          </w:p>
        </w:tc>
        <w:tc>
          <w:tcPr>
            <w:tcW w:w="10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accrued and other current liabilities</w:t>
            </w:r>
          </w:p>
        </w:tc>
        <w:tc>
          <w:tcPr>
            <w:tcW w:w="400" w:type="dxa"/>
            <w:vAlign w:val="bottom"/>
            <w:gridSpan w:val="2"/>
            <w:vMerge w:val="continue"/>
            <w:shd w:val="clear" w:color="auto" w:fill="E5E6E7"/>
          </w:tcPr>
          <w:p>
            <w:pPr>
              <w:spacing w:after="0"/>
              <w:rPr>
                <w:sz w:val="17"/>
                <w:szCs w:val="17"/>
                <w:color w:val="auto"/>
              </w:rPr>
            </w:pPr>
          </w:p>
        </w:tc>
        <w:tc>
          <w:tcPr>
            <w:tcW w:w="1160" w:type="dxa"/>
            <w:vAlign w:val="bottom"/>
            <w:gridSpan w:val="2"/>
            <w:vMerge w:val="continue"/>
            <w:shd w:val="clear" w:color="auto" w:fill="E5E6E7"/>
          </w:tcPr>
          <w:p>
            <w:pPr>
              <w:spacing w:after="0"/>
              <w:rPr>
                <w:sz w:val="17"/>
                <w:szCs w:val="17"/>
                <w:color w:val="auto"/>
              </w:rPr>
            </w:pPr>
          </w:p>
        </w:tc>
        <w:tc>
          <w:tcPr>
            <w:tcW w:w="380" w:type="dxa"/>
            <w:vAlign w:val="bottom"/>
            <w:gridSpan w:val="2"/>
            <w:vMerge w:val="continue"/>
            <w:shd w:val="clear" w:color="auto" w:fill="E5E6E7"/>
          </w:tcPr>
          <w:p>
            <w:pPr>
              <w:spacing w:after="0"/>
              <w:rPr>
                <w:sz w:val="17"/>
                <w:szCs w:val="17"/>
                <w:color w:val="auto"/>
              </w:rPr>
            </w:pPr>
          </w:p>
        </w:tc>
        <w:tc>
          <w:tcPr>
            <w:tcW w:w="1020" w:type="dxa"/>
            <w:vAlign w:val="bottom"/>
            <w:vMerge w:val="continue"/>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Property and equipment included in accounts payable and accrued and other current liabilities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249</w:t>
            </w:r>
          </w:p>
        </w:tc>
        <w:tc>
          <w:tcPr>
            <w:tcW w:w="1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104</w:t>
      </w:r>
    </w:p>
    <w:p>
      <w:pPr>
        <w:sectPr>
          <w:pgSz w:w="11880" w:h="15480" w:orient="portrait"/>
          <w:cols w:equalWidth="0" w:num="1">
            <w:col w:w="9360"/>
          </w:cols>
          <w:pgMar w:left="1260" w:top="1440" w:right="1260" w:bottom="0" w:gutter="0" w:footer="0" w:header="0"/>
          <w:type w:val="continuous"/>
        </w:sectPr>
      </w:pPr>
    </w:p>
    <w:bookmarkStart w:id="108" w:name="page109"/>
    <w:bookmarkEnd w:id="108"/>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Notes to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 Organization and Description of the Business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Description of the Business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Liquidity</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The Company has incurred net losses since inception and expects such losses to continue in the future as it conducts research and development activities. As of December 31, 2023, the Company had an accumulated deficit of $403.3 million. The Company incurred a net loss of $124.1 million and $123.7 million during the years ended December 31, 2023 and 2022, respectively. The Company had $104.6 million of cash, cash equivalents and investments in marketable securities as of December 31, 2023.</w:t>
      </w:r>
    </w:p>
    <w:p>
      <w:pPr>
        <w:spacing w:after="0" w:line="77"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Management recognizes the need to raise additional capital to fully implement its business plan. The Company may seek to raise capital through equity financings, debt financings, license agreements, strategic collaborations or other sources of financing. On February 12, 2024, the Company completed an underwritten offering and received net proceeds of $46.5 million. See </w:t>
      </w:r>
      <w:r>
        <w:rPr>
          <w:rFonts w:ascii="Times New Roman" w:cs="Times New Roman" w:eastAsia="Times New Roman" w:hAnsi="Times New Roman"/>
          <w:sz w:val="20"/>
          <w:szCs w:val="20"/>
          <w:i w:val="1"/>
          <w:iCs w:val="1"/>
          <w:color w:val="454546"/>
        </w:rPr>
        <w:t>Note 10</w:t>
      </w:r>
      <w:r>
        <w:rPr>
          <w:rFonts w:ascii="Times New Roman" w:cs="Times New Roman" w:eastAsia="Times New Roman" w:hAnsi="Times New Roman"/>
          <w:sz w:val="20"/>
          <w:szCs w:val="20"/>
          <w:color w:val="454546"/>
        </w:rPr>
        <w:t xml:space="preserve"> to the Company's financial statements for details. Management believes its existing cash, cash equivalents and investments in marketable securities as of December 31, 2023, along with the additional $46.5 million mentioned above, will be sufficient to fund the Company’s operations for at least the next twelve months following the date these financial statements are filed with the Securities and Exchange Commission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2. Summary of Significant Accounting Policies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Basis of Presentation</w:t>
      </w:r>
    </w:p>
    <w:p>
      <w:pPr>
        <w:spacing w:after="0" w:line="12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The accompanying financial statements have been prepared in accordance with accounting principles generally accepted in the United States of America (GAAP).</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Use of Estimates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valuation of equity-based awards and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Fair Value Measurements</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105</w:t>
      </w:r>
    </w:p>
    <w:p>
      <w:pPr>
        <w:sectPr>
          <w:pgSz w:w="11880" w:h="15480" w:orient="portrait"/>
          <w:cols w:equalWidth="0" w:num="1">
            <w:col w:w="9360"/>
          </w:cols>
          <w:pgMar w:left="1260" w:top="1440" w:right="1260" w:bottom="0" w:gutter="0" w:footer="0" w:header="0"/>
          <w:type w:val="continuous"/>
        </w:sectPr>
      </w:pPr>
    </w:p>
    <w:bookmarkStart w:id="109" w:name="page110"/>
    <w:bookmarkEnd w:id="109"/>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Level 1 - Inputs are unadjusted, quoted prices in active markets for identical assets or liabilities at the measurement date.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Company’s cash and cash equivalents, prepaid expenses and other current assets, accounts payable and accrued expenses and other current liabilities approximate their fair value due to their short-term nature.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Concentrations of Credit Risk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Risks and Uncertainties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The Company is subject to certain risks including, but not limited to, the ability to obtain future financing, possible failure of ongoing and future clinical trials, the need to obtain regulatory approvals for its product candidates, the need to successfully commercialize and gain market acceptance of the Company’s product candidates, competitive developments, protection of proprietary technology, the ability to make milestone, royalty or other payments due under licensing agreements, and the Company’s ability to attract and retain employees necessary to support its business plan.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Segment Information</w:t>
      </w:r>
    </w:p>
    <w:p>
      <w:pPr>
        <w:spacing w:after="0" w:line="12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The Company views its operations and manages its business as one operating segment, which is the business of discovering and developing potential treatments that address the underlying drivers of heart disease. The Company’s long-lived assets are located in the United States.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Cash and Cash Equivalents</w:t>
      </w:r>
    </w:p>
    <w:p>
      <w:pPr>
        <w:spacing w:after="0" w:line="12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454546"/>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Restricted Cash</w:t>
      </w:r>
    </w:p>
    <w:p>
      <w:pPr>
        <w:spacing w:after="0" w:line="12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 restricted cash primarily represents security deposits for the Company’s operating leases in South San Francisco, and Union City, California. The security deposits are in the form of a letter of credit secured by restricted cash.</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Marketable Securities</w:t>
      </w:r>
    </w:p>
    <w:p>
      <w:pPr>
        <w:spacing w:after="0" w:line="120"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454546"/>
        </w:rPr>
        <w:t>The Company invests in marketable securities, primarily securities issued by the U.S. government and its agencies, commercial paper and corporate bonds. All marketable securities have been classified as available-for-sale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106</w:t>
      </w:r>
    </w:p>
    <w:p>
      <w:pPr>
        <w:sectPr>
          <w:pgSz w:w="11880" w:h="15480" w:orient="portrait"/>
          <w:cols w:equalWidth="0" w:num="1">
            <w:col w:w="9360"/>
          </w:cols>
          <w:pgMar w:left="1260" w:top="1240" w:right="1260" w:bottom="0" w:gutter="0" w:footer="0" w:header="0"/>
          <w:type w:val="continuous"/>
        </w:sectPr>
      </w:pPr>
    </w:p>
    <w:bookmarkStart w:id="110" w:name="page111"/>
    <w:bookmarkEnd w:id="110"/>
    <w:p>
      <w:pPr>
        <w:spacing w:after="0" w:line="243" w:lineRule="auto"/>
        <w:rPr>
          <w:sz w:val="20"/>
          <w:szCs w:val="20"/>
          <w:color w:val="auto"/>
        </w:rPr>
      </w:pPr>
      <w:r>
        <w:rPr>
          <w:rFonts w:ascii="Times New Roman" w:cs="Times New Roman" w:eastAsia="Times New Roman" w:hAnsi="Times New Roman"/>
          <w:sz w:val="20"/>
          <w:szCs w:val="20"/>
          <w:color w:val="454546"/>
        </w:rPr>
        <w:t>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 Net</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Impairment for Long-Lived Assets</w:t>
      </w:r>
    </w:p>
    <w:p>
      <w:pPr>
        <w:spacing w:after="0" w:line="12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454546"/>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Leases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86"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454546"/>
        </w:rPr>
        <w:t>The Company’s non-lease components are primarily related to property taxes, insurance, and common area maintenance, which vary based on future outcomes, and are recognized as rent expense when incurred.</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Research and development (R&amp;D) costs are expensed as incurred. Research and development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include, among others, consulting fees, salaries, benefits, travel, stock-based compensation, laboratory supplies and</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107</w:t>
      </w:r>
    </w:p>
    <w:p>
      <w:pPr>
        <w:sectPr>
          <w:pgSz w:w="11880" w:h="15480" w:orient="portrait"/>
          <w:cols w:equalWidth="0" w:num="1">
            <w:col w:w="9360"/>
          </w:cols>
          <w:pgMar w:left="1260" w:top="1240" w:right="1260" w:bottom="0" w:gutter="0" w:footer="0" w:header="0"/>
          <w:type w:val="continuous"/>
        </w:sectPr>
      </w:pPr>
    </w:p>
    <w:bookmarkStart w:id="111" w:name="page112"/>
    <w:bookmarkEnd w:id="111"/>
    <w:p>
      <w:pPr>
        <w:jc w:val="both"/>
        <w:ind w:right="360"/>
        <w:spacing w:after="0" w:line="258" w:lineRule="auto"/>
        <w:rPr>
          <w:sz w:val="20"/>
          <w:szCs w:val="20"/>
          <w:color w:val="auto"/>
        </w:rPr>
      </w:pPr>
      <w:r>
        <w:rPr>
          <w:rFonts w:ascii="Times New Roman" w:cs="Times New Roman" w:eastAsia="Times New Roman" w:hAnsi="Times New Roman"/>
          <w:sz w:val="20"/>
          <w:szCs w:val="20"/>
          <w:color w:val="454546"/>
        </w:rPr>
        <w:t>other non-capital equipment utilized for in-house research, allocated facilities and overhead costs, fees related to licensing agreements, fees paid to contract research organizations (CRO) that conduct research and development activities on the Company’s behalf and costs related to compliance with regulatory requirements.</w:t>
      </w:r>
    </w:p>
    <w:p>
      <w:pPr>
        <w:spacing w:after="0" w:line="68" w:lineRule="exact"/>
        <w:rPr>
          <w:sz w:val="20"/>
          <w:szCs w:val="20"/>
          <w:color w:val="auto"/>
        </w:rPr>
      </w:pPr>
    </w:p>
    <w:p>
      <w:pPr>
        <w:jc w:val="both"/>
        <w:ind w:right="660" w:firstLine="490"/>
        <w:spacing w:after="0" w:line="277" w:lineRule="auto"/>
        <w:rPr>
          <w:sz w:val="20"/>
          <w:szCs w:val="20"/>
          <w:color w:val="auto"/>
        </w:rPr>
      </w:pPr>
      <w:r>
        <w:rPr>
          <w:rFonts w:ascii="Times New Roman" w:cs="Times New Roman" w:eastAsia="Times New Roman" w:hAnsi="Times New Roman"/>
          <w:sz w:val="20"/>
          <w:szCs w:val="20"/>
          <w:color w:val="454546"/>
        </w:rPr>
        <w:t>Goods or services incurred for research and development activities that have not yet been invoiced are recorded as liabilities within accrued expenses and other current liabilities on the Company’s balance sheets.</w:t>
      </w:r>
    </w:p>
    <w:p>
      <w:pPr>
        <w:spacing w:after="0" w:line="49"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454546"/>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8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454546"/>
        </w:rPr>
        <w:t>Non-refundable advance payments for goods or services to be rendered as part of future research and development activities are capitalized on the Company’s balance sheets until the goods or services are received.</w:t>
      </w:r>
    </w:p>
    <w:p>
      <w:pPr>
        <w:spacing w:after="0" w:line="49"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454546"/>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454546"/>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7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fair value of restricted stock awards is determined on the date of grant based on the estimated fair value of the Company’s common stock on that date.</w:t>
      </w:r>
    </w:p>
    <w:p>
      <w:pPr>
        <w:spacing w:after="0" w:line="49"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For purposes of determining the estimated fair value of options granted to employees and nonemployees, the Company uses the Black-Scholes option pricing model. See </w:t>
      </w:r>
      <w:r>
        <w:rPr>
          <w:rFonts w:ascii="Times New Roman" w:cs="Times New Roman" w:eastAsia="Times New Roman" w:hAnsi="Times New Roman"/>
          <w:sz w:val="20"/>
          <w:szCs w:val="20"/>
          <w:i w:val="1"/>
          <w:iCs w:val="1"/>
          <w:color w:val="454546"/>
        </w:rPr>
        <w:t>Note 7</w:t>
      </w:r>
      <w:r>
        <w:rPr>
          <w:rFonts w:ascii="Times New Roman" w:cs="Times New Roman" w:eastAsia="Times New Roman" w:hAnsi="Times New Roman"/>
          <w:sz w:val="20"/>
          <w:szCs w:val="20"/>
          <w:color w:val="454546"/>
        </w:rPr>
        <w:t xml:space="preserve"> to the Company's financial statements for the specific assumptions used in applying the Black-Scholes valuation model.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Income Taxes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A valuation allowance is recorded for deferred tax assets if it is more likely than not that some portion or all of the deferred tax assets will not be realized. As of December 31, 2023 and 2022, the Company has recorded a full valuation allowance on its net deferred tax assets.</w:t>
      </w:r>
    </w:p>
    <w:p>
      <w:pPr>
        <w:spacing w:after="0" w:line="6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Tax benefits related to uncertain tax positions are recognized when it is more likely than not that a tax position will be sustained during an audit. Interest and penalties, if any, related to unrecognized tax benefits are included within the provision for income tax.</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Net Loss Per Share</w:t>
      </w:r>
    </w:p>
    <w:p>
      <w:pPr>
        <w:spacing w:after="0" w:line="120" w:lineRule="exact"/>
        <w:rPr>
          <w:sz w:val="20"/>
          <w:szCs w:val="20"/>
          <w:color w:val="auto"/>
        </w:rPr>
      </w:pPr>
    </w:p>
    <w:p>
      <w:pPr>
        <w:jc w:val="both"/>
        <w:ind w:right="40" w:firstLine="490"/>
        <w:spacing w:after="0" w:line="247" w:lineRule="auto"/>
        <w:rPr>
          <w:sz w:val="20"/>
          <w:szCs w:val="20"/>
          <w:color w:val="auto"/>
        </w:rPr>
      </w:pPr>
      <w:r>
        <w:rPr>
          <w:rFonts w:ascii="Times New Roman" w:cs="Times New Roman" w:eastAsia="Times New Roman" w:hAnsi="Times New Roman"/>
          <w:sz w:val="20"/>
          <w:szCs w:val="20"/>
          <w:color w:val="454546"/>
        </w:rPr>
        <w:t>Basic net loss per share is calculated by dividing the net loss by the weighted-average number of shares of the Company’s common stock outstanding for the period, without consideration for potential dilutive shares of common stock. Basic shares of common stock outstanding include the weighted-average effect of the Company’s pre-funded warrants issued in November 2022 because the pre-funded warrants have a nominal exercise price. As the Company is in a loss position for the periods presented, diluted net loss per share is the same as basic net loss per share, since the effects of potentially dilutive securities are antidilutive. Shares related to early exercised stock options that are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108</w:t>
      </w:r>
    </w:p>
    <w:p>
      <w:pPr>
        <w:sectPr>
          <w:pgSz w:w="11880" w:h="15480" w:orient="portrait"/>
          <w:cols w:equalWidth="0" w:num="1">
            <w:col w:w="9360"/>
          </w:cols>
          <w:pgMar w:left="1260" w:top="1240" w:right="1260" w:bottom="0" w:gutter="0" w:footer="0" w:header="0"/>
          <w:type w:val="continuous"/>
        </w:sectPr>
      </w:pPr>
    </w:p>
    <w:bookmarkStart w:id="112" w:name="page113"/>
    <w:bookmarkEnd w:id="112"/>
    <w:p>
      <w:pPr>
        <w:ind w:right="400"/>
        <w:spacing w:after="0" w:line="277" w:lineRule="auto"/>
        <w:rPr>
          <w:sz w:val="20"/>
          <w:szCs w:val="20"/>
          <w:color w:val="auto"/>
        </w:rPr>
      </w:pPr>
      <w:r>
        <w:rPr>
          <w:rFonts w:ascii="Times New Roman" w:cs="Times New Roman" w:eastAsia="Times New Roman" w:hAnsi="Times New Roman"/>
          <w:sz w:val="20"/>
          <w:szCs w:val="20"/>
          <w:color w:val="454546"/>
        </w:rPr>
        <w:t>subject to repurchase are excluded from the basic and diluted net loss per share calculation until the Company’s repurchase right lapses.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Emerging Growth Company Status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Recently Adopted Accounting Standards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 June 2016, the Financial Accounting Standards Board (FASB) issued Accounting Standards Update (ASU) No. 2016-13, </w:t>
      </w:r>
      <w:r>
        <w:rPr>
          <w:rFonts w:ascii="Times New Roman" w:cs="Times New Roman" w:eastAsia="Times New Roman" w:hAnsi="Times New Roman"/>
          <w:sz w:val="20"/>
          <w:szCs w:val="20"/>
          <w:i w:val="1"/>
          <w:iCs w:val="1"/>
          <w:color w:val="454546"/>
        </w:rPr>
        <w:t>Financial Instruments – Credit Losses (Topic 326): Measurement of Credit Losses on Financial</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Instruments </w:t>
      </w:r>
      <w:r>
        <w:rPr>
          <w:rFonts w:ascii="Times New Roman" w:cs="Times New Roman" w:eastAsia="Times New Roman" w:hAnsi="Times New Roman"/>
          <w:sz w:val="20"/>
          <w:szCs w:val="20"/>
          <w:color w:val="454546"/>
        </w:rPr>
        <w:t>(ASU 2016-13), which replaces the existing incurred loss impairment model with an expected credit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loss model. This standard requires companies to recognize an allowance for credit losses on available-for-sale debt securities rather than the prior approach of recording a reduction to the carrying value of the asset. ASU 2016-13 became effective for the Company beginning January 1, 2023. The adoption of this standard did not have a material impact on the Company's financial statements.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Recently Issued Accounting Pronouncements Note Yet Adopted</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In December 2023, the FASB issued ASU No. 2023-09, </w:t>
      </w:r>
      <w:r>
        <w:rPr>
          <w:rFonts w:ascii="Times New Roman" w:cs="Times New Roman" w:eastAsia="Times New Roman" w:hAnsi="Times New Roman"/>
          <w:sz w:val="20"/>
          <w:szCs w:val="20"/>
          <w:i w:val="1"/>
          <w:iCs w:val="1"/>
          <w:color w:val="454546"/>
        </w:rPr>
        <w:t>Income Taxes (Topic 740): Improvements to Income</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Tax Disclosures </w:t>
      </w:r>
      <w:r>
        <w:rPr>
          <w:rFonts w:ascii="Times New Roman" w:cs="Times New Roman" w:eastAsia="Times New Roman" w:hAnsi="Times New Roman"/>
          <w:sz w:val="20"/>
          <w:szCs w:val="20"/>
          <w:color w:val="454546"/>
        </w:rPr>
        <w:t>(ASU 2023-09), which requires disaggregated information about a reporting entity’s effective tax</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rate reconciliation as well as information on income taxes paid. ASU 2023-09 is effective for the Company beginning January 1, 2025. The Company is evaluating the impact of this standard on its financial statements and related disclosures.</w:t>
      </w:r>
    </w:p>
    <w:p>
      <w:pPr>
        <w:spacing w:after="0" w:line="7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 November 2023, the FASB issued ASU No. 2023-07, </w:t>
      </w:r>
      <w:r>
        <w:rPr>
          <w:rFonts w:ascii="Times New Roman" w:cs="Times New Roman" w:eastAsia="Times New Roman" w:hAnsi="Times New Roman"/>
          <w:sz w:val="20"/>
          <w:szCs w:val="20"/>
          <w:i w:val="1"/>
          <w:iCs w:val="1"/>
          <w:color w:val="454546"/>
        </w:rPr>
        <w:t>Segment Reporting (Topic 280): Improvements to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Reportable Segment Disclosures </w:t>
      </w:r>
      <w:r>
        <w:rPr>
          <w:rFonts w:ascii="Times New Roman" w:cs="Times New Roman" w:eastAsia="Times New Roman" w:hAnsi="Times New Roman"/>
          <w:sz w:val="20"/>
          <w:szCs w:val="20"/>
          <w:color w:val="454546"/>
        </w:rPr>
        <w:t>(ASU 2023-07), which improves reportable segment disclosure requirements,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primarily through enhanced disclosures about significant segment expenses. In addition, ASU 2023-07 enhances interim disclosure requirements, clarifies circumstances in which an entity can disclose multiple segment measures of profit or loss, provided new segment disclosure requirements for entities with a single reportable segment, and contains other disclosure requirements. ASU 2023-07 is effective for the Company beginning January 1, 2024. The Company is evaluating the impact of this standard on its financial statements and related disclosures.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109</w:t>
      </w:r>
    </w:p>
    <w:p>
      <w:pPr>
        <w:sectPr>
          <w:pgSz w:w="11880" w:h="15480" w:orient="portrait"/>
          <w:cols w:equalWidth="0" w:num="1">
            <w:col w:w="9340"/>
          </w:cols>
          <w:pgMar w:left="1260" w:top="1240" w:right="128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454546"/>
        </w:rPr>
        <w:t>Note 3. Fair Value Measurements</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4"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Level 1 - Inputs are unadjusted, quoted prices in active markets for identical assets or liabilities at the measurement date.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tables summarize the Company’s financial assets measured at fair value on a recurring basis by level within the fair value hierarchy: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Valuation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454546"/>
              </w:rPr>
              <w:t>December 31, 2023</w:t>
            </w:r>
          </w:p>
        </w:tc>
        <w:tc>
          <w:tcPr>
            <w:tcW w:w="10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6"/>
                <w:szCs w:val="16"/>
                <w:b w:val="1"/>
                <w:bCs w:val="1"/>
                <w:color w:val="454546"/>
              </w:rPr>
              <w:t>Amortized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26"/>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454546"/>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Hierarchy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454546"/>
                <w:w w:val="96"/>
              </w:rPr>
              <w:t>Cost</w:t>
            </w:r>
          </w:p>
        </w:tc>
        <w:tc>
          <w:tcPr>
            <w:tcW w:w="2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454546"/>
              </w:rPr>
              <w:t>Gain</w:t>
            </w:r>
          </w:p>
        </w:tc>
        <w:tc>
          <w:tcPr>
            <w:tcW w:w="24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454546"/>
              </w:rPr>
              <w:t>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26"/>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360" w:type="dxa"/>
            <w:vAlign w:val="bottom"/>
            <w:gridSpan w:val="3"/>
          </w:tcPr>
          <w:p>
            <w:pPr>
              <w:jc w:val="center"/>
              <w:ind w:right="684"/>
              <w:spacing w:after="0" w:line="174" w:lineRule="exact"/>
              <w:rPr>
                <w:sz w:val="20"/>
                <w:szCs w:val="20"/>
                <w:color w:val="auto"/>
              </w:rPr>
            </w:pPr>
            <w:r>
              <w:rPr>
                <w:rFonts w:ascii="Times New Roman" w:cs="Times New Roman" w:eastAsia="Times New Roman" w:hAnsi="Times New Roman"/>
                <w:sz w:val="16"/>
                <w:szCs w:val="16"/>
                <w:b w:val="1"/>
                <w:bCs w:val="1"/>
                <w:color w:val="454546"/>
                <w:w w:val="77"/>
              </w:rPr>
              <w:t>thousands)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1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Money market funds</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91</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91</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U.S. treasuries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Commercial paper</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34,901</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(18)</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34,883</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Government agencies bonds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b w:val="1"/>
                <w:bCs w:val="1"/>
                <w:color w:val="454546"/>
              </w:rPr>
              <w:t>Marketable securities:</w:t>
            </w:r>
          </w:p>
        </w:tc>
        <w:tc>
          <w:tcPr>
            <w:tcW w:w="1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U.S. treasuries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16,182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Commercial paper</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2,971</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(2)</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2,969</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Government agencies bonds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39,897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financial assets</w:t>
            </w:r>
          </w:p>
        </w:tc>
        <w:tc>
          <w:tcPr>
            <w:tcW w:w="122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104,026</w:t>
            </w:r>
          </w:p>
        </w:tc>
        <w:tc>
          <w:tcPr>
            <w:tcW w:w="22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11</w:t>
            </w:r>
          </w:p>
        </w:tc>
        <w:tc>
          <w:tcPr>
            <w:tcW w:w="2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454546"/>
              <w:bottom w:val="single" w:sz="8" w:color="454546"/>
            </w:tcBorders>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9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(117)</w:t>
            </w:r>
          </w:p>
        </w:tc>
        <w:tc>
          <w:tcPr>
            <w:tcW w:w="14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9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103,920</w:t>
            </w:r>
          </w:p>
        </w:tc>
        <w:tc>
          <w:tcPr>
            <w:tcW w:w="20" w:type="dxa"/>
            <w:vAlign w:val="bottom"/>
            <w:tcBorders>
              <w:top w:val="single" w:sz="8" w:color="E5E6E7"/>
            </w:tcBorders>
            <w:shd w:val="clear" w:color="auto" w:fill="E5E6E7"/>
          </w:tcPr>
          <w:p>
            <w:pPr>
              <w:spacing w:after="0"/>
              <w:rPr>
                <w:sz w:val="19"/>
                <w:szCs w:val="19"/>
                <w:color w:val="auto"/>
              </w:rPr>
            </w:pPr>
          </w:p>
        </w:tc>
        <w:tc>
          <w:tcPr>
            <w:tcW w:w="8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90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282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Valuation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spacing w:after="0"/>
              <w:rPr>
                <w:sz w:val="24"/>
                <w:szCs w:val="24"/>
                <w:color w:val="auto"/>
              </w:rPr>
            </w:pPr>
          </w:p>
        </w:tc>
        <w:tc>
          <w:tcPr>
            <w:tcW w:w="220" w:type="dxa"/>
            <w:vAlign w:val="bottom"/>
            <w:tcBorders>
              <w:bottom w:val="single" w:sz="8" w:color="454546"/>
            </w:tcBorders>
          </w:tcPr>
          <w:p>
            <w:pPr>
              <w:spacing w:after="0"/>
              <w:rPr>
                <w:sz w:val="24"/>
                <w:szCs w:val="24"/>
                <w:color w:val="auto"/>
              </w:rPr>
            </w:pPr>
          </w:p>
        </w:tc>
        <w:tc>
          <w:tcPr>
            <w:tcW w:w="140" w:type="dxa"/>
            <w:vAlign w:val="bottom"/>
            <w:tcBorders>
              <w:bottom w:val="single" w:sz="8" w:color="454546"/>
            </w:tcBorders>
          </w:tcPr>
          <w:p>
            <w:pPr>
              <w:spacing w:after="0"/>
              <w:rPr>
                <w:sz w:val="24"/>
                <w:szCs w:val="24"/>
                <w:color w:val="auto"/>
              </w:rPr>
            </w:pPr>
          </w:p>
        </w:tc>
        <w:tc>
          <w:tcPr>
            <w:tcW w:w="2480" w:type="dxa"/>
            <w:vAlign w:val="bottom"/>
            <w:tcBorders>
              <w:bottom w:val="single" w:sz="8" w:color="454546"/>
            </w:tcBorders>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454546"/>
              </w:rPr>
              <w:t>December 31, 2022</w:t>
            </w:r>
          </w:p>
        </w:tc>
        <w:tc>
          <w:tcPr>
            <w:tcW w:w="100" w:type="dxa"/>
            <w:vAlign w:val="bottom"/>
            <w:tcBorders>
              <w:bottom w:val="single" w:sz="8" w:color="454546"/>
            </w:tcBorders>
          </w:tcPr>
          <w:p>
            <w:pPr>
              <w:spacing w:after="0"/>
              <w:rPr>
                <w:sz w:val="24"/>
                <w:szCs w:val="24"/>
                <w:color w:val="auto"/>
              </w:rPr>
            </w:pPr>
          </w:p>
        </w:tc>
        <w:tc>
          <w:tcPr>
            <w:tcW w:w="120" w:type="dxa"/>
            <w:vAlign w:val="bottom"/>
            <w:tcBorders>
              <w:bottom w:val="single" w:sz="8" w:color="454546"/>
            </w:tcBorders>
          </w:tcPr>
          <w:p>
            <w:pPr>
              <w:spacing w:after="0"/>
              <w:rPr>
                <w:sz w:val="24"/>
                <w:szCs w:val="24"/>
                <w:color w:val="auto"/>
              </w:rPr>
            </w:pPr>
          </w:p>
        </w:tc>
        <w:tc>
          <w:tcPr>
            <w:tcW w:w="900" w:type="dxa"/>
            <w:vAlign w:val="bottom"/>
            <w:tcBorders>
              <w:bottom w:val="single" w:sz="8" w:color="454546"/>
            </w:tcBorders>
          </w:tcPr>
          <w:p>
            <w:pPr>
              <w:spacing w:after="0"/>
              <w:rPr>
                <w:sz w:val="24"/>
                <w:szCs w:val="24"/>
                <w:color w:val="auto"/>
              </w:rPr>
            </w:pPr>
          </w:p>
        </w:tc>
        <w:tc>
          <w:tcPr>
            <w:tcW w:w="20" w:type="dxa"/>
            <w:vAlign w:val="bottom"/>
            <w:tcBorders>
              <w:bottom w:val="single" w:sz="8" w:color="454546"/>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6"/>
                <w:szCs w:val="16"/>
                <w:b w:val="1"/>
                <w:bCs w:val="1"/>
                <w:color w:val="454546"/>
              </w:rPr>
              <w:t>Amortized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26"/>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454546"/>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Hierarchy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454546"/>
                <w:w w:val="96"/>
              </w:rPr>
              <w:t>Cost</w:t>
            </w:r>
          </w:p>
        </w:tc>
        <w:tc>
          <w:tcPr>
            <w:tcW w:w="2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454546"/>
              </w:rPr>
              <w:t>Gain</w:t>
            </w:r>
          </w:p>
        </w:tc>
        <w:tc>
          <w:tcPr>
            <w:tcW w:w="24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454546"/>
              </w:rPr>
              <w:t>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26"/>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360" w:type="dxa"/>
            <w:vAlign w:val="bottom"/>
            <w:gridSpan w:val="3"/>
          </w:tcPr>
          <w:p>
            <w:pPr>
              <w:jc w:val="center"/>
              <w:ind w:right="684"/>
              <w:spacing w:after="0" w:line="174" w:lineRule="exact"/>
              <w:rPr>
                <w:sz w:val="20"/>
                <w:szCs w:val="20"/>
                <w:color w:val="auto"/>
              </w:rPr>
            </w:pPr>
            <w:r>
              <w:rPr>
                <w:rFonts w:ascii="Times New Roman" w:cs="Times New Roman" w:eastAsia="Times New Roman" w:hAnsi="Times New Roman"/>
                <w:sz w:val="16"/>
                <w:szCs w:val="16"/>
                <w:b w:val="1"/>
                <w:bCs w:val="1"/>
                <w:color w:val="454546"/>
                <w:w w:val="77"/>
              </w:rPr>
              <w:t>thousands)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1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Cash equivalents</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28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20,532</w:t>
            </w:r>
          </w:p>
        </w:tc>
        <w:tc>
          <w:tcPr>
            <w:tcW w:w="3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80" w:type="dxa"/>
            <w:vAlign w:val="bottom"/>
            <w:gridSpan w:val="2"/>
            <w:shd w:val="clear" w:color="auto" w:fill="E5E6E7"/>
          </w:tcPr>
          <w:p>
            <w:pPr>
              <w:jc w:val="center"/>
              <w:ind w:left="113"/>
              <w:spacing w:after="0"/>
              <w:rPr>
                <w:sz w:val="20"/>
                <w:szCs w:val="20"/>
                <w:color w:val="auto"/>
              </w:rPr>
            </w:pPr>
            <w:r>
              <w:rPr>
                <w:rFonts w:ascii="Times New Roman" w:cs="Times New Roman" w:eastAsia="Times New Roman" w:hAnsi="Times New Roman"/>
                <w:sz w:val="20"/>
                <w:szCs w:val="20"/>
                <w:color w:val="454546"/>
                <w:w w:val="99"/>
              </w:rPr>
              <w:t>$</w:t>
            </w: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20,532</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Money market funds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7,203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Commercial paper</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11,972</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(4)</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11,968</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Government agencies bonds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54,569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54,581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b w:val="1"/>
                <w:bCs w:val="1"/>
                <w:color w:val="454546"/>
              </w:rPr>
              <w:t>Marketable securities:</w:t>
            </w:r>
          </w:p>
        </w:tc>
        <w:tc>
          <w:tcPr>
            <w:tcW w:w="1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U.S. treasuries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25,273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Commercial paper</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43,605</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(125)</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43,484</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Corporate bonds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Government agencies bonds</w:t>
            </w:r>
          </w:p>
        </w:tc>
        <w:tc>
          <w:tcPr>
            <w:tcW w:w="12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37,770</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(110)</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37,669</w:t>
            </w: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454546"/>
              </w:rPr>
              <w:t>Total financial assets</w:t>
            </w:r>
          </w:p>
        </w:tc>
        <w:tc>
          <w:tcPr>
            <w:tcW w:w="12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203,620</w:t>
            </w:r>
          </w:p>
        </w:tc>
        <w:tc>
          <w:tcPr>
            <w:tcW w:w="220" w:type="dxa"/>
            <w:vAlign w:val="bottom"/>
          </w:tcPr>
          <w:p>
            <w:pPr>
              <w:spacing w:after="0"/>
              <w:rPr>
                <w:sz w:val="19"/>
                <w:szCs w:val="19"/>
                <w:color w:val="auto"/>
              </w:rPr>
            </w:pPr>
          </w:p>
        </w:tc>
        <w:tc>
          <w:tcPr>
            <w:tcW w:w="1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w:t>
            </w:r>
          </w:p>
        </w:tc>
        <w:tc>
          <w:tcPr>
            <w:tcW w:w="240" w:type="dxa"/>
            <w:vAlign w:val="bottom"/>
          </w:tcPr>
          <w:p>
            <w:pPr>
              <w:spacing w:after="0"/>
              <w:rPr>
                <w:sz w:val="19"/>
                <w:szCs w:val="19"/>
                <w:color w:val="auto"/>
              </w:rPr>
            </w:pPr>
          </w:p>
        </w:tc>
        <w:tc>
          <w:tcPr>
            <w:tcW w:w="140" w:type="dxa"/>
            <w:vAlign w:val="bottom"/>
            <w:tcBorders>
              <w:top w:val="single" w:sz="8" w:color="454546"/>
              <w:bottom w:val="single" w:sz="8" w:color="454546"/>
            </w:tcBorders>
          </w:tcPr>
          <w:p>
            <w:pPr>
              <w:jc w:val="center"/>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(404)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203,242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90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110</w:t>
      </w:r>
    </w:p>
    <w:p>
      <w:pPr>
        <w:sectPr>
          <w:pgSz w:w="11880" w:h="15480" w:orient="portrait"/>
          <w:cols w:equalWidth="0" w:num="1">
            <w:col w:w="9360"/>
          </w:cols>
          <w:pgMar w:left="1260" w:top="1236" w:right="1260" w:bottom="0" w:gutter="0" w:footer="0" w:header="0"/>
          <w:type w:val="continuous"/>
        </w:sectPr>
      </w:pPr>
    </w:p>
    <w:bookmarkStart w:id="114" w:name="page115"/>
    <w:bookmarkEnd w:id="114"/>
    <w:p>
      <w:pPr>
        <w:ind w:right="140"/>
        <w:spacing w:after="0" w:line="277" w:lineRule="auto"/>
        <w:rPr>
          <w:sz w:val="20"/>
          <w:szCs w:val="20"/>
          <w:color w:val="auto"/>
        </w:rPr>
      </w:pPr>
      <w:r>
        <w:rPr>
          <w:rFonts w:ascii="Times New Roman" w:cs="Times New Roman" w:eastAsia="Times New Roman" w:hAnsi="Times New Roman"/>
          <w:sz w:val="20"/>
          <w:szCs w:val="20"/>
          <w:color w:val="454546"/>
        </w:rPr>
        <w:t>These models generally use inputs such as observable market data, quoted market prices for similar instruments, or historical pricing trends of a security relative to its peers.</w:t>
      </w:r>
    </w:p>
    <w:p>
      <w:pPr>
        <w:spacing w:after="0" w:line="4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The Company believes it is more likely than not that its marketable securities in an unrealized loss position will be held until maturity or the recovery of the cost basis of the investment. As of December 31, 2023,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 As of December 31, 2023, all available-for-sale marketable securities had remaining maturities of less than one year.</w:t>
      </w:r>
    </w:p>
    <w:p>
      <w:pPr>
        <w:spacing w:after="0" w:line="8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The carrying amount of the Company’s remaining financial assets and liabilities, which include cash, receivables and payables, approximate their fair values due to their short-term nature.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4. Balance Sheet Components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 Net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Property and equipment, net, consists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454546"/>
              </w:rPr>
              <w:t>December 31,</w:t>
            </w:r>
          </w:p>
        </w:tc>
      </w:tr>
      <w:tr>
        <w:trPr>
          <w:trHeight w:val="203"/>
        </w:trPr>
        <w:tc>
          <w:tcPr>
            <w:tcW w:w="5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160" w:type="dxa"/>
            <w:vAlign w:val="bottom"/>
            <w:tcBorders>
              <w:bottom w:val="single" w:sz="8" w:color="454546"/>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160" w:type="dxa"/>
            <w:vAlign w:val="bottom"/>
            <w:tcBorders>
              <w:bottom w:val="single" w:sz="8" w:color="454546"/>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Pr>
          <w:p>
            <w:pPr>
              <w:spacing w:after="0"/>
              <w:rPr>
                <w:sz w:val="17"/>
                <w:szCs w:val="17"/>
                <w:color w:val="auto"/>
              </w:rPr>
            </w:pPr>
          </w:p>
        </w:tc>
      </w:tr>
      <w:tr>
        <w:trPr>
          <w:trHeight w:val="174"/>
        </w:trPr>
        <w:tc>
          <w:tcPr>
            <w:tcW w:w="5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5"/>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540" w:type="dxa"/>
            <w:vAlign w:val="bottom"/>
            <w:gridSpan w:val="4"/>
          </w:tcPr>
          <w:p>
            <w:pPr>
              <w:jc w:val="center"/>
              <w:ind w:right="824"/>
              <w:spacing w:after="0" w:line="174" w:lineRule="exact"/>
              <w:rPr>
                <w:sz w:val="20"/>
                <w:szCs w:val="20"/>
                <w:color w:val="auto"/>
              </w:rPr>
            </w:pPr>
            <w:r>
              <w:rPr>
                <w:rFonts w:ascii="Times New Roman" w:cs="Times New Roman" w:eastAsia="Times New Roman" w:hAnsi="Times New Roman"/>
                <w:sz w:val="16"/>
                <w:szCs w:val="16"/>
                <w:b w:val="1"/>
                <w:bCs w:val="1"/>
                <w:color w:val="454546"/>
                <w:w w:val="82"/>
              </w:rPr>
              <w:t>thousands)</w:t>
            </w:r>
          </w:p>
        </w:tc>
        <w:tc>
          <w:tcPr>
            <w:tcW w:w="100" w:type="dxa"/>
            <w:vAlign w:val="bottom"/>
          </w:tcPr>
          <w:p>
            <w:pPr>
              <w:spacing w:after="0"/>
              <w:rPr>
                <w:sz w:val="15"/>
                <w:szCs w:val="15"/>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Leasehold improvements</w:t>
            </w:r>
          </w:p>
        </w:tc>
        <w:tc>
          <w:tcPr>
            <w:tcW w:w="1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25,608</w:t>
            </w:r>
          </w:p>
        </w:tc>
        <w:tc>
          <w:tcPr>
            <w:tcW w:w="160" w:type="dxa"/>
            <w:vAlign w:val="bottom"/>
            <w:shd w:val="clear" w:color="auto" w:fill="E5E6E7"/>
          </w:tcPr>
          <w:p>
            <w:pPr>
              <w:spacing w:after="0"/>
              <w:rPr>
                <w:sz w:val="19"/>
                <w:szCs w:val="19"/>
                <w:color w:val="auto"/>
              </w:rPr>
            </w:pPr>
          </w:p>
        </w:tc>
        <w:tc>
          <w:tcPr>
            <w:tcW w:w="220" w:type="dxa"/>
            <w:vAlign w:val="bottom"/>
            <w:gridSpan w:val="2"/>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23,605</w:t>
            </w:r>
          </w:p>
        </w:tc>
        <w:tc>
          <w:tcPr>
            <w:tcW w:w="100" w:type="dxa"/>
            <w:vAlign w:val="bottom"/>
            <w:shd w:val="clear" w:color="auto" w:fill="E5E6E7"/>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454546"/>
              </w:rPr>
              <w:t>Laboratory equipment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19,973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20,537</w:t>
            </w:r>
          </w:p>
        </w:tc>
        <w:tc>
          <w:tcPr>
            <w:tcW w:w="100" w:type="dxa"/>
            <w:vAlign w:val="bottom"/>
          </w:tcPr>
          <w:p>
            <w:pPr>
              <w:spacing w:after="0"/>
              <w:rPr>
                <w:sz w:val="19"/>
                <w:szCs w:val="19"/>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Manufacturing equipment</w:t>
            </w:r>
          </w:p>
        </w:tc>
        <w:tc>
          <w:tcPr>
            <w:tcW w:w="1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17,716</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17,468</w:t>
            </w:r>
          </w:p>
        </w:tc>
        <w:tc>
          <w:tcPr>
            <w:tcW w:w="100" w:type="dxa"/>
            <w:vAlign w:val="bottom"/>
            <w:shd w:val="clear" w:color="auto" w:fill="E5E6E7"/>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454546"/>
              </w:rPr>
              <w:t>Construction in progress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3,128</w:t>
            </w:r>
          </w:p>
        </w:tc>
        <w:tc>
          <w:tcPr>
            <w:tcW w:w="100" w:type="dxa"/>
            <w:vAlign w:val="bottom"/>
          </w:tcPr>
          <w:p>
            <w:pPr>
              <w:spacing w:after="0"/>
              <w:rPr>
                <w:sz w:val="19"/>
                <w:szCs w:val="19"/>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Computer equipment and software</w:t>
            </w:r>
          </w:p>
        </w:tc>
        <w:tc>
          <w:tcPr>
            <w:tcW w:w="12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1,614</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1,060</w:t>
            </w:r>
          </w:p>
        </w:tc>
        <w:tc>
          <w:tcPr>
            <w:tcW w:w="100" w:type="dxa"/>
            <w:vAlign w:val="bottom"/>
            <w:shd w:val="clear" w:color="auto" w:fill="E5E6E7"/>
          </w:tcPr>
          <w:p>
            <w:pPr>
              <w:spacing w:after="0"/>
              <w:rPr>
                <w:sz w:val="19"/>
                <w:szCs w:val="19"/>
                <w:color w:val="auto"/>
              </w:rPr>
            </w:pPr>
          </w:p>
        </w:tc>
      </w:tr>
      <w:tr>
        <w:trPr>
          <w:trHeight w:val="230"/>
        </w:trPr>
        <w:tc>
          <w:tcPr>
            <w:tcW w:w="51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Furniture and fixtures</w:t>
            </w:r>
          </w:p>
        </w:tc>
        <w:tc>
          <w:tcPr>
            <w:tcW w:w="1240" w:type="dxa"/>
            <w:vAlign w:val="bottom"/>
            <w:tcBorders>
              <w:bottom w:val="single" w:sz="8" w:color="E5E6E7"/>
            </w:tcBorders>
          </w:tcPr>
          <w:p>
            <w:pPr>
              <w:spacing w:after="0"/>
              <w:rPr>
                <w:sz w:val="19"/>
                <w:szCs w:val="19"/>
                <w:color w:val="auto"/>
              </w:rPr>
            </w:pPr>
          </w:p>
        </w:tc>
        <w:tc>
          <w:tcPr>
            <w:tcW w:w="140" w:type="dxa"/>
            <w:vAlign w:val="bottom"/>
            <w:tcBorders>
              <w:bottom w:val="single" w:sz="8" w:color="454546"/>
            </w:tcBorders>
          </w:tcPr>
          <w:p>
            <w:pPr>
              <w:spacing w:after="0"/>
              <w:rPr>
                <w:sz w:val="19"/>
                <w:szCs w:val="19"/>
                <w:color w:val="auto"/>
              </w:rPr>
            </w:pPr>
          </w:p>
        </w:tc>
        <w:tc>
          <w:tcPr>
            <w:tcW w:w="11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976</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140" w:type="dxa"/>
            <w:vAlign w:val="bottom"/>
            <w:tcBorders>
              <w:bottom w:val="single" w:sz="8" w:color="454546"/>
            </w:tcBorders>
          </w:tcPr>
          <w:p>
            <w:pPr>
              <w:spacing w:after="0"/>
              <w:rPr>
                <w:sz w:val="19"/>
                <w:szCs w:val="19"/>
                <w:color w:val="auto"/>
              </w:rPr>
            </w:pPr>
          </w:p>
        </w:tc>
        <w:tc>
          <w:tcPr>
            <w:tcW w:w="11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910</w:t>
            </w:r>
          </w:p>
        </w:tc>
        <w:tc>
          <w:tcPr>
            <w:tcW w:w="100" w:type="dxa"/>
            <w:vAlign w:val="bottom"/>
            <w:tcBorders>
              <w:bottom w:val="single" w:sz="8" w:color="E5E6E7"/>
            </w:tcBorders>
          </w:tcPr>
          <w:p>
            <w:pPr>
              <w:spacing w:after="0"/>
              <w:rPr>
                <w:sz w:val="19"/>
                <w:szCs w:val="19"/>
                <w:color w:val="auto"/>
              </w:rPr>
            </w:pPr>
          </w:p>
        </w:tc>
      </w:tr>
      <w:tr>
        <w:trPr>
          <w:trHeight w:val="220"/>
        </w:trPr>
        <w:tc>
          <w:tcPr>
            <w:tcW w:w="518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 property and equipment</w:t>
            </w:r>
          </w:p>
        </w:tc>
        <w:tc>
          <w:tcPr>
            <w:tcW w:w="1240" w:type="dxa"/>
            <w:vAlign w:val="bottom"/>
            <w:shd w:val="clear" w:color="auto" w:fill="E5E6E7"/>
          </w:tcPr>
          <w:p>
            <w:pPr>
              <w:spacing w:after="0"/>
              <w:rPr>
                <w:sz w:val="19"/>
                <w:szCs w:val="19"/>
                <w:color w:val="auto"/>
              </w:rPr>
            </w:pPr>
          </w:p>
        </w:tc>
        <w:tc>
          <w:tcPr>
            <w:tcW w:w="1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16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67,617</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116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66,708</w:t>
            </w:r>
          </w:p>
        </w:tc>
        <w:tc>
          <w:tcPr>
            <w:tcW w:w="100" w:type="dxa"/>
            <w:vAlign w:val="bottom"/>
            <w:shd w:val="clear" w:color="auto" w:fill="E5E6E7"/>
          </w:tcPr>
          <w:p>
            <w:pPr>
              <w:spacing w:after="0"/>
              <w:rPr>
                <w:sz w:val="19"/>
                <w:szCs w:val="19"/>
                <w:color w:val="auto"/>
              </w:rPr>
            </w:pPr>
          </w:p>
        </w:tc>
      </w:tr>
      <w:tr>
        <w:trPr>
          <w:trHeight w:val="230"/>
        </w:trPr>
        <w:tc>
          <w:tcPr>
            <w:tcW w:w="51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Less: accumulated depreciation and amortization</w:t>
            </w:r>
          </w:p>
        </w:tc>
        <w:tc>
          <w:tcPr>
            <w:tcW w:w="1240" w:type="dxa"/>
            <w:vAlign w:val="bottom"/>
            <w:tcBorders>
              <w:bottom w:val="single" w:sz="8" w:color="E5E6E7"/>
            </w:tcBorders>
          </w:tcPr>
          <w:p>
            <w:pPr>
              <w:spacing w:after="0"/>
              <w:rPr>
                <w:sz w:val="19"/>
                <w:szCs w:val="19"/>
                <w:color w:val="auto"/>
              </w:rPr>
            </w:pPr>
          </w:p>
        </w:tc>
        <w:tc>
          <w:tcPr>
            <w:tcW w:w="140" w:type="dxa"/>
            <w:vAlign w:val="bottom"/>
            <w:tcBorders>
              <w:bottom w:val="single" w:sz="8" w:color="454546"/>
            </w:tcBorders>
          </w:tcPr>
          <w:p>
            <w:pPr>
              <w:spacing w:after="0"/>
              <w:rPr>
                <w:sz w:val="19"/>
                <w:szCs w:val="19"/>
                <w:color w:val="auto"/>
              </w:rPr>
            </w:pPr>
          </w:p>
        </w:tc>
        <w:tc>
          <w:tcPr>
            <w:tcW w:w="11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(24,340)</w:t>
            </w:r>
          </w:p>
        </w:tc>
        <w:tc>
          <w:tcPr>
            <w:tcW w:w="16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140" w:type="dxa"/>
            <w:vAlign w:val="bottom"/>
            <w:tcBorders>
              <w:bottom w:val="single" w:sz="8" w:color="454546"/>
            </w:tcBorders>
          </w:tcPr>
          <w:p>
            <w:pPr>
              <w:spacing w:after="0"/>
              <w:rPr>
                <w:sz w:val="19"/>
                <w:szCs w:val="19"/>
                <w:color w:val="auto"/>
              </w:rPr>
            </w:pPr>
          </w:p>
        </w:tc>
        <w:tc>
          <w:tcPr>
            <w:tcW w:w="11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(15,676)</w:t>
            </w:r>
          </w:p>
        </w:tc>
        <w:tc>
          <w:tcPr>
            <w:tcW w:w="100" w:type="dxa"/>
            <w:vAlign w:val="bottom"/>
            <w:tcBorders>
              <w:bottom w:val="single" w:sz="8" w:color="E5E6E7"/>
            </w:tcBorders>
          </w:tcPr>
          <w:p>
            <w:pPr>
              <w:spacing w:after="0"/>
              <w:rPr>
                <w:sz w:val="19"/>
                <w:szCs w:val="19"/>
                <w:color w:val="auto"/>
              </w:rPr>
            </w:pPr>
          </w:p>
        </w:tc>
      </w:tr>
      <w:tr>
        <w:trPr>
          <w:trHeight w:val="220"/>
        </w:trPr>
        <w:tc>
          <w:tcPr>
            <w:tcW w:w="518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 property and equipment, net</w:t>
            </w:r>
          </w:p>
        </w:tc>
        <w:tc>
          <w:tcPr>
            <w:tcW w:w="1240" w:type="dxa"/>
            <w:vAlign w:val="bottom"/>
            <w:shd w:val="clear" w:color="auto" w:fill="E5E6E7"/>
          </w:tcPr>
          <w:p>
            <w:pPr>
              <w:spacing w:after="0"/>
              <w:rPr>
                <w:sz w:val="19"/>
                <w:szCs w:val="19"/>
                <w:color w:val="auto"/>
              </w:rPr>
            </w:pPr>
          </w:p>
        </w:tc>
        <w:tc>
          <w:tcPr>
            <w:tcW w:w="1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16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43,277</w:t>
            </w: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tcBorders>
              <w:bottom w:val="single" w:sz="8" w:color="454546"/>
            </w:tcBorders>
            <w:shd w:val="clear" w:color="auto" w:fill="E5E6E7"/>
          </w:tcPr>
          <w:p>
            <w:pPr>
              <w:jc w:val="center"/>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116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51,032</w:t>
            </w:r>
          </w:p>
        </w:tc>
        <w:tc>
          <w:tcPr>
            <w:tcW w:w="100" w:type="dxa"/>
            <w:vAlign w:val="bottom"/>
            <w:shd w:val="clear" w:color="auto" w:fill="E5E6E7"/>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16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16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454546"/>
        </w:rPr>
        <w:t>Depreciation and amortization expense for the years ended December 31, 2023 and 2022, was $8.7 million and $6.5 million, respectively.</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Accrued Expenses and Other Current Liabilities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Accrued expenses and other current liabilities consist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1180" w:type="dxa"/>
            <w:vAlign w:val="bottom"/>
            <w:tcBorders>
              <w:bottom w:val="single" w:sz="8" w:color="454546"/>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1180" w:type="dxa"/>
            <w:vAlign w:val="bottom"/>
            <w:tcBorders>
              <w:bottom w:val="single" w:sz="8" w:color="454546"/>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68"/>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540" w:type="dxa"/>
            <w:vAlign w:val="bottom"/>
            <w:gridSpan w:val="4"/>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compensation and related expenses</w:t>
            </w:r>
          </w:p>
        </w:tc>
        <w:tc>
          <w:tcPr>
            <w:tcW w:w="12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w w:val="99"/>
              </w:rPr>
              <w:t>$</w:t>
            </w: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8,700</w:t>
            </w:r>
          </w:p>
        </w:tc>
        <w:tc>
          <w:tcPr>
            <w:tcW w:w="360" w:type="dxa"/>
            <w:vAlign w:val="bottom"/>
            <w:gridSpan w:val="3"/>
            <w:shd w:val="clear" w:color="auto" w:fill="E5E6E7"/>
          </w:tcPr>
          <w:p>
            <w:pPr>
              <w:ind w:left="240"/>
              <w:spacing w:after="0"/>
              <w:rPr>
                <w:sz w:val="20"/>
                <w:szCs w:val="20"/>
                <w:color w:val="auto"/>
              </w:rPr>
            </w:pPr>
            <w:r>
              <w:rPr>
                <w:rFonts w:ascii="Times New Roman" w:cs="Times New Roman" w:eastAsia="Times New Roman" w:hAnsi="Times New Roman"/>
                <w:sz w:val="20"/>
                <w:szCs w:val="20"/>
                <w:color w:val="454546"/>
                <w:w w:val="99"/>
              </w:rPr>
              <w:t>$</w:t>
            </w: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6,299</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454546"/>
              </w:rPr>
              <w:t>Accrued research and development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professional services</w:t>
            </w:r>
          </w:p>
        </w:tc>
        <w:tc>
          <w:tcPr>
            <w:tcW w:w="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743</w:t>
            </w: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454546"/>
              </w:rPr>
              <w:t>ESPP deduction liability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facility management services</w:t>
            </w:r>
          </w:p>
        </w:tc>
        <w:tc>
          <w:tcPr>
            <w:tcW w:w="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Other current liabilities</w:t>
            </w:r>
          </w:p>
        </w:tc>
        <w:tc>
          <w:tcPr>
            <w:tcW w:w="20" w:type="dxa"/>
            <w:vAlign w:val="bottom"/>
            <w:tcBorders>
              <w:bottom w:val="single" w:sz="8" w:color="E5E6E7"/>
            </w:tcBorders>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1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485</w:t>
            </w:r>
          </w:p>
        </w:tc>
        <w:tc>
          <w:tcPr>
            <w:tcW w:w="240" w:type="dxa"/>
            <w:vAlign w:val="bottom"/>
            <w:tcBorders>
              <w:bottom w:val="single" w:sz="8" w:color="E5E6E7"/>
            </w:tcBorders>
          </w:tcPr>
          <w:p>
            <w:pPr>
              <w:spacing w:after="0"/>
              <w:rPr>
                <w:sz w:val="19"/>
                <w:szCs w:val="19"/>
                <w:color w:val="auto"/>
              </w:rPr>
            </w:pPr>
          </w:p>
        </w:tc>
        <w:tc>
          <w:tcPr>
            <w:tcW w:w="20" w:type="dxa"/>
            <w:vAlign w:val="bottom"/>
            <w:tcBorders>
              <w:bottom w:val="single" w:sz="8" w:color="E5E6E7"/>
            </w:tcBorders>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1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545</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 accrued and other current liabilities</w:t>
            </w:r>
          </w:p>
        </w:tc>
        <w:tc>
          <w:tcPr>
            <w:tcW w:w="20" w:type="dxa"/>
            <w:vAlign w:val="bottom"/>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1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12,784</w:t>
            </w:r>
          </w:p>
        </w:tc>
        <w:tc>
          <w:tcPr>
            <w:tcW w:w="24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1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10,664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Prepaid Expenses and Other Current Assets</w:t>
            </w:r>
          </w:p>
        </w:tc>
        <w:tc>
          <w:tcPr>
            <w:tcW w:w="2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420" w:type="dxa"/>
            <w:vAlign w:val="bottom"/>
          </w:tcPr>
          <w:p>
            <w:pPr>
              <w:ind w:left="500"/>
              <w:spacing w:after="0"/>
              <w:rPr>
                <w:sz w:val="20"/>
                <w:szCs w:val="20"/>
                <w:color w:val="auto"/>
              </w:rPr>
            </w:pPr>
            <w:r>
              <w:rPr>
                <w:rFonts w:ascii="Times New Roman" w:cs="Times New Roman" w:eastAsia="Times New Roman" w:hAnsi="Times New Roman"/>
                <w:sz w:val="20"/>
                <w:szCs w:val="20"/>
                <w:color w:val="454546"/>
              </w:rPr>
              <w:t>Prepaid expenses and other current assets consist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8"/>
                <w:szCs w:val="18"/>
                <w:b w:val="1"/>
                <w:bCs w:val="1"/>
                <w:color w:val="454546"/>
                <w:w w:val="99"/>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454546"/>
                <w:w w:val="99"/>
              </w:rPr>
              <w:t>December 31,</w:t>
            </w:r>
          </w:p>
        </w:tc>
        <w:tc>
          <w:tcPr>
            <w:tcW w:w="0" w:type="dxa"/>
            <w:vAlign w:val="bottom"/>
          </w:tcPr>
          <w:p>
            <w:pPr>
              <w:spacing w:after="0"/>
              <w:rPr>
                <w:sz w:val="1"/>
                <w:szCs w:val="1"/>
                <w:color w:val="auto"/>
              </w:rPr>
            </w:pPr>
          </w:p>
        </w:tc>
      </w:tr>
      <w:tr>
        <w:trPr>
          <w:trHeight w:val="227"/>
        </w:trPr>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180" w:type="dxa"/>
            <w:vAlign w:val="bottom"/>
            <w:tcBorders>
              <w:bottom w:val="single" w:sz="8" w:color="454546"/>
            </w:tcBorders>
          </w:tcPr>
          <w:p>
            <w:pPr>
              <w:jc w:val="right"/>
              <w:ind w:right="388"/>
              <w:spacing w:after="0"/>
              <w:rPr>
                <w:sz w:val="20"/>
                <w:szCs w:val="20"/>
                <w:color w:val="auto"/>
              </w:rPr>
            </w:pPr>
            <w:r>
              <w:rPr>
                <w:rFonts w:ascii="Times New Roman" w:cs="Times New Roman" w:eastAsia="Times New Roman" w:hAnsi="Times New Roman"/>
                <w:sz w:val="18"/>
                <w:szCs w:val="18"/>
                <w:b w:val="1"/>
                <w:bCs w:val="1"/>
                <w:color w:val="454546"/>
              </w:rPr>
              <w:t>2023</w:t>
            </w:r>
          </w:p>
        </w:tc>
        <w:tc>
          <w:tcPr>
            <w:tcW w:w="240" w:type="dxa"/>
            <w:vAlign w:val="bottom"/>
          </w:tcPr>
          <w:p>
            <w:pPr>
              <w:spacing w:after="0"/>
              <w:rPr>
                <w:sz w:val="19"/>
                <w:szCs w:val="19"/>
                <w:color w:val="auto"/>
              </w:rPr>
            </w:pPr>
          </w:p>
        </w:tc>
        <w:tc>
          <w:tcPr>
            <w:tcW w:w="20" w:type="dxa"/>
            <w:vAlign w:val="bottom"/>
            <w:tcBorders>
              <w:bottom w:val="single" w:sz="8" w:color="454546"/>
            </w:tcBorders>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180" w:type="dxa"/>
            <w:vAlign w:val="bottom"/>
            <w:tcBorders>
              <w:bottom w:val="single" w:sz="8" w:color="454546"/>
            </w:tcBorders>
          </w:tcPr>
          <w:p>
            <w:pPr>
              <w:jc w:val="right"/>
              <w:ind w:right="367"/>
              <w:spacing w:after="0"/>
              <w:rPr>
                <w:sz w:val="20"/>
                <w:szCs w:val="20"/>
                <w:color w:val="auto"/>
              </w:rPr>
            </w:pPr>
            <w:r>
              <w:rPr>
                <w:rFonts w:ascii="Times New Roman" w:cs="Times New Roman" w:eastAsia="Times New Roman" w:hAnsi="Times New Roman"/>
                <w:sz w:val="18"/>
                <w:szCs w:val="18"/>
                <w:b w:val="1"/>
                <w:bCs w:val="1"/>
                <w:color w:val="454546"/>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08"/>
              <w:spacing w:after="0" w:line="197" w:lineRule="exact"/>
              <w:rPr>
                <w:sz w:val="20"/>
                <w:szCs w:val="20"/>
                <w:color w:val="auto"/>
              </w:rPr>
            </w:pPr>
            <w:r>
              <w:rPr>
                <w:rFonts w:ascii="Times New Roman" w:cs="Times New Roman" w:eastAsia="Times New Roman" w:hAnsi="Times New Roman"/>
                <w:sz w:val="18"/>
                <w:szCs w:val="18"/>
                <w:b w:val="1"/>
                <w:bCs w:val="1"/>
                <w:color w:val="454546"/>
              </w:rPr>
              <w:t>(In</w:t>
            </w:r>
          </w:p>
        </w:tc>
        <w:tc>
          <w:tcPr>
            <w:tcW w:w="1540" w:type="dxa"/>
            <w:vAlign w:val="bottom"/>
            <w:gridSpan w:val="4"/>
          </w:tcPr>
          <w:p>
            <w:pPr>
              <w:spacing w:after="0" w:line="197" w:lineRule="exact"/>
              <w:rPr>
                <w:sz w:val="20"/>
                <w:szCs w:val="20"/>
                <w:color w:val="auto"/>
              </w:rPr>
            </w:pPr>
            <w:r>
              <w:rPr>
                <w:rFonts w:ascii="Times New Roman" w:cs="Times New Roman" w:eastAsia="Times New Roman" w:hAnsi="Times New Roman"/>
                <w:sz w:val="18"/>
                <w:szCs w:val="18"/>
                <w:b w:val="1"/>
                <w:bCs w:val="1"/>
                <w:color w:val="454546"/>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Prepaid expenses</w:t>
            </w: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5,783</w:t>
            </w: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4,044</w:t>
            </w: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454546"/>
              </w:rPr>
              <w:t>Tax credit receivable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Other current assets</w:t>
            </w:r>
          </w:p>
        </w:tc>
        <w:tc>
          <w:tcPr>
            <w:tcW w:w="20" w:type="dxa"/>
            <w:vAlign w:val="bottom"/>
            <w:shd w:val="clear" w:color="auto" w:fill="E5E6E7"/>
          </w:tcPr>
          <w:p>
            <w:pPr>
              <w:spacing w:after="0"/>
              <w:rPr>
                <w:sz w:val="17"/>
                <w:szCs w:val="17"/>
                <w:color w:val="auto"/>
              </w:rPr>
            </w:pPr>
          </w:p>
        </w:tc>
        <w:tc>
          <w:tcPr>
            <w:tcW w:w="100" w:type="dxa"/>
            <w:vAlign w:val="bottom"/>
            <w:tcBorders>
              <w:bottom w:val="single" w:sz="8" w:color="454546"/>
            </w:tcBorders>
            <w:shd w:val="clear" w:color="auto" w:fill="E5E6E7"/>
          </w:tcPr>
          <w:p>
            <w:pPr>
              <w:spacing w:after="0"/>
              <w:rPr>
                <w:sz w:val="17"/>
                <w:szCs w:val="17"/>
                <w:color w:val="auto"/>
              </w:rPr>
            </w:pPr>
          </w:p>
        </w:tc>
        <w:tc>
          <w:tcPr>
            <w:tcW w:w="11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1,157</w:t>
            </w:r>
          </w:p>
        </w:tc>
        <w:tc>
          <w:tcPr>
            <w:tcW w:w="240" w:type="dxa"/>
            <w:vAlign w:val="bottom"/>
            <w:shd w:val="clear" w:color="auto" w:fill="E5E6E7"/>
          </w:tcPr>
          <w:p>
            <w:pPr>
              <w:spacing w:after="0"/>
              <w:rPr>
                <w:sz w:val="17"/>
                <w:szCs w:val="17"/>
                <w:color w:val="auto"/>
              </w:rPr>
            </w:pPr>
          </w:p>
        </w:tc>
        <w:tc>
          <w:tcPr>
            <w:tcW w:w="20" w:type="dxa"/>
            <w:vAlign w:val="bottom"/>
            <w:tcBorders>
              <w:bottom w:val="single" w:sz="8" w:color="454546"/>
            </w:tcBorders>
            <w:shd w:val="clear" w:color="auto" w:fill="E5E6E7"/>
          </w:tcPr>
          <w:p>
            <w:pPr>
              <w:spacing w:after="0"/>
              <w:rPr>
                <w:sz w:val="17"/>
                <w:szCs w:val="17"/>
                <w:color w:val="auto"/>
              </w:rPr>
            </w:pPr>
          </w:p>
        </w:tc>
        <w:tc>
          <w:tcPr>
            <w:tcW w:w="100" w:type="dxa"/>
            <w:vAlign w:val="bottom"/>
            <w:tcBorders>
              <w:bottom w:val="single" w:sz="8" w:color="454546"/>
            </w:tcBorders>
            <w:shd w:val="clear" w:color="auto" w:fill="E5E6E7"/>
          </w:tcPr>
          <w:p>
            <w:pPr>
              <w:spacing w:after="0"/>
              <w:rPr>
                <w:sz w:val="17"/>
                <w:szCs w:val="17"/>
                <w:color w:val="auto"/>
              </w:rPr>
            </w:pPr>
          </w:p>
        </w:tc>
        <w:tc>
          <w:tcPr>
            <w:tcW w:w="11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938</w:t>
            </w: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42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454546"/>
              </w:rPr>
              <w:t>Total prepaid expenses and other current assets</w:t>
            </w:r>
          </w:p>
        </w:tc>
        <w:tc>
          <w:tcPr>
            <w:tcW w:w="20" w:type="dxa"/>
            <w:vAlign w:val="bottom"/>
          </w:tcPr>
          <w:p>
            <w:pPr>
              <w:spacing w:after="0"/>
              <w:rPr>
                <w:sz w:val="17"/>
                <w:szCs w:val="17"/>
                <w:color w:val="auto"/>
              </w:rPr>
            </w:pPr>
          </w:p>
        </w:tc>
        <w:tc>
          <w:tcPr>
            <w:tcW w:w="100" w:type="dxa"/>
            <w:vAlign w:val="bottom"/>
            <w:tcBorders>
              <w:bottom w:val="single" w:sz="8" w:color="454546"/>
            </w:tcBorders>
          </w:tcPr>
          <w:p>
            <w:pPr>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118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6,940</w:t>
            </w:r>
          </w:p>
        </w:tc>
        <w:tc>
          <w:tcPr>
            <w:tcW w:w="240" w:type="dxa"/>
            <w:vAlign w:val="bottom"/>
          </w:tcPr>
          <w:p>
            <w:pPr>
              <w:spacing w:after="0"/>
              <w:rPr>
                <w:sz w:val="17"/>
                <w:szCs w:val="17"/>
                <w:color w:val="auto"/>
              </w:rPr>
            </w:pPr>
          </w:p>
        </w:tc>
        <w:tc>
          <w:tcPr>
            <w:tcW w:w="120" w:type="dxa"/>
            <w:vAlign w:val="bottom"/>
            <w:tcBorders>
              <w:bottom w:val="single" w:sz="8" w:color="454546"/>
            </w:tcBorders>
            <w:gridSpan w:val="2"/>
          </w:tcPr>
          <w:p>
            <w:pPr>
              <w:spacing w:after="0" w:line="197" w:lineRule="exact"/>
              <w:rPr>
                <w:sz w:val="20"/>
                <w:szCs w:val="20"/>
                <w:color w:val="auto"/>
              </w:rPr>
            </w:pPr>
            <w:r>
              <w:rPr>
                <w:rFonts w:ascii="Times New Roman" w:cs="Times New Roman" w:eastAsia="Times New Roman" w:hAnsi="Times New Roman"/>
                <w:sz w:val="18"/>
                <w:szCs w:val="18"/>
                <w:color w:val="454546"/>
              </w:rPr>
              <w:t>$</w:t>
            </w:r>
          </w:p>
        </w:tc>
        <w:tc>
          <w:tcPr>
            <w:tcW w:w="118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7,227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111</w:t>
      </w:r>
    </w:p>
    <w:p>
      <w:pPr>
        <w:sectPr>
          <w:pgSz w:w="11880" w:h="15480" w:orient="portrait"/>
          <w:cols w:equalWidth="0" w:num="1">
            <w:col w:w="9360"/>
          </w:cols>
          <w:pgMar w:left="1260" w:top="1240" w:right="12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454546"/>
        </w:rPr>
        <w:t>Note 5. Commitments and Contingencies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Facility Leases</w:t>
      </w:r>
    </w:p>
    <w:p>
      <w:pPr>
        <w:spacing w:after="0" w:line="120"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454546"/>
        </w:rPr>
        <w:t>In December 2016, the Company entered into a lease agreement for office and laboratory space in South San Francisco, California. The lease expires in May 2025 and the Company may renew the lease term for two additional five-year periods.</w:t>
      </w:r>
    </w:p>
    <w:p>
      <w:pPr>
        <w:spacing w:after="0" w:line="68" w:lineRule="exact"/>
        <w:rPr>
          <w:sz w:val="20"/>
          <w:szCs w:val="20"/>
          <w:color w:val="auto"/>
        </w:rPr>
      </w:pPr>
    </w:p>
    <w:p>
      <w:pPr>
        <w:ind w:right="800" w:firstLine="490"/>
        <w:spacing w:after="0" w:line="277" w:lineRule="auto"/>
        <w:rPr>
          <w:sz w:val="20"/>
          <w:szCs w:val="20"/>
          <w:color w:val="auto"/>
        </w:rPr>
      </w:pPr>
      <w:r>
        <w:rPr>
          <w:rFonts w:ascii="Times New Roman" w:cs="Times New Roman" w:eastAsia="Times New Roman" w:hAnsi="Times New Roman"/>
          <w:sz w:val="20"/>
          <w:szCs w:val="20"/>
          <w:color w:val="454546"/>
        </w:rPr>
        <w:t>In February 2021, the Company entered into a lease agreement for the Union City Facility. The lease commenced in May 2021 and has a ten-year term with one five-year renewal option.</w:t>
      </w:r>
    </w:p>
    <w:p>
      <w:pPr>
        <w:spacing w:after="0" w:line="49"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454546"/>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 In October 2023, the Company entered into a second amendment for additional laboratory space and to extend the term of the sublease premise through November 30, 2024.</w:t>
      </w:r>
    </w:p>
    <w:p>
      <w:pPr>
        <w:spacing w:after="0" w:line="8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454546"/>
        </w:rPr>
        <w:t>Information related to operating lease activity during the year ended December 31, 2023 was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Borders>
              <w:bottom w:val="single" w:sz="8" w:color="454546"/>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454546"/>
              </w:rPr>
              <w:t>Year Ended December 31,</w:t>
            </w:r>
          </w:p>
        </w:tc>
        <w:tc>
          <w:tcPr>
            <w:tcW w:w="480" w:type="dxa"/>
            <w:vAlign w:val="bottom"/>
            <w:tcBorders>
              <w:bottom w:val="single" w:sz="8" w:color="454546"/>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500" w:type="dxa"/>
            <w:vAlign w:val="bottom"/>
          </w:tcPr>
          <w:p>
            <w:pPr>
              <w:spacing w:after="0"/>
              <w:rPr>
                <w:sz w:val="17"/>
                <w:szCs w:val="17"/>
                <w:color w:val="auto"/>
              </w:rPr>
            </w:pPr>
          </w:p>
        </w:tc>
        <w:tc>
          <w:tcPr>
            <w:tcW w:w="12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454546"/>
            </w:tcBorders>
          </w:tcPr>
          <w:p>
            <w:pPr>
              <w:spacing w:after="0"/>
              <w:rPr>
                <w:sz w:val="17"/>
                <w:szCs w:val="17"/>
                <w:color w:val="auto"/>
              </w:rPr>
            </w:pPr>
          </w:p>
        </w:tc>
        <w:tc>
          <w:tcPr>
            <w:tcW w:w="500" w:type="dxa"/>
            <w:vAlign w:val="bottom"/>
            <w:tcBorders>
              <w:top w:val="single" w:sz="8" w:color="454546"/>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454546"/>
            </w:tcBorders>
          </w:tcPr>
          <w:p>
            <w:pPr>
              <w:spacing w:after="0"/>
              <w:rPr>
                <w:sz w:val="17"/>
                <w:szCs w:val="17"/>
                <w:color w:val="auto"/>
              </w:rPr>
            </w:pPr>
          </w:p>
        </w:tc>
        <w:tc>
          <w:tcPr>
            <w:tcW w:w="480" w:type="dxa"/>
            <w:vAlign w:val="bottom"/>
            <w:tcBorders>
              <w:top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80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Operating lease cost</w:t>
            </w:r>
          </w:p>
        </w:tc>
        <w:tc>
          <w:tcPr>
            <w:tcW w:w="1220" w:type="dxa"/>
            <w:vAlign w:val="bottom"/>
            <w:gridSpan w:val="2"/>
            <w:shd w:val="clear" w:color="auto" w:fill="E5E6E7"/>
          </w:tcPr>
          <w:p>
            <w:pPr>
              <w:jc w:val="right"/>
              <w:ind w:right="833"/>
              <w:spacing w:after="0"/>
              <w:rPr>
                <w:sz w:val="20"/>
                <w:szCs w:val="20"/>
                <w:color w:val="auto"/>
              </w:rPr>
            </w:pPr>
            <w:r>
              <w:rPr>
                <w:rFonts w:ascii="Times New Roman" w:cs="Times New Roman" w:eastAsia="Times New Roman" w:hAnsi="Times New Roman"/>
                <w:sz w:val="18"/>
                <w:szCs w:val="18"/>
                <w:color w:val="454546"/>
              </w:rPr>
              <w:t>$</w:t>
            </w:r>
          </w:p>
        </w:tc>
        <w:tc>
          <w:tcPr>
            <w:tcW w:w="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4,356</w:t>
            </w:r>
          </w:p>
        </w:tc>
        <w:tc>
          <w:tcPr>
            <w:tcW w:w="1260" w:type="dxa"/>
            <w:vAlign w:val="bottom"/>
            <w:gridSpan w:val="2"/>
            <w:shd w:val="clear" w:color="auto" w:fill="E5E6E7"/>
          </w:tcPr>
          <w:p>
            <w:pPr>
              <w:jc w:val="right"/>
              <w:ind w:right="830"/>
              <w:spacing w:after="0"/>
              <w:rPr>
                <w:sz w:val="20"/>
                <w:szCs w:val="20"/>
                <w:color w:val="auto"/>
              </w:rPr>
            </w:pPr>
            <w:r>
              <w:rPr>
                <w:rFonts w:ascii="Times New Roman" w:cs="Times New Roman" w:eastAsia="Times New Roman" w:hAnsi="Times New Roman"/>
                <w:sz w:val="18"/>
                <w:szCs w:val="18"/>
                <w:color w:val="454546"/>
              </w:rPr>
              <w:t>$</w:t>
            </w:r>
          </w:p>
        </w:tc>
        <w:tc>
          <w:tcPr>
            <w:tcW w:w="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3,714</w:t>
            </w:r>
          </w:p>
        </w:tc>
        <w:tc>
          <w:tcPr>
            <w:tcW w:w="100" w:type="dxa"/>
            <w:vAlign w:val="bottom"/>
            <w:shd w:val="clear" w:color="auto" w:fill="E5E6E7"/>
          </w:tcPr>
          <w:p>
            <w:pPr>
              <w:spacing w:after="0"/>
              <w:rPr>
                <w:sz w:val="17"/>
                <w:szCs w:val="17"/>
                <w:color w:val="auto"/>
              </w:rPr>
            </w:pPr>
          </w:p>
        </w:tc>
      </w:t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454546"/>
              </w:rPr>
              <w:t>Variable lease cost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1,265</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1,209</w:t>
            </w:r>
          </w:p>
        </w:tc>
        <w:tc>
          <w:tcPr>
            <w:tcW w:w="100" w:type="dxa"/>
            <w:vAlign w:val="bottom"/>
          </w:tcPr>
          <w:p>
            <w:pPr>
              <w:spacing w:after="0"/>
              <w:rPr>
                <w:sz w:val="17"/>
                <w:szCs w:val="17"/>
                <w:color w:val="auto"/>
              </w:rPr>
            </w:pPr>
          </w:p>
        </w:tc>
      </w:tr>
      <w:tr>
        <w:trPr>
          <w:trHeight w:val="207"/>
        </w:trPr>
        <w:tc>
          <w:tcPr>
            <w:tcW w:w="580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Short-term lease cost</w:t>
            </w:r>
          </w:p>
        </w:tc>
        <w:tc>
          <w:tcPr>
            <w:tcW w:w="220" w:type="dxa"/>
            <w:vAlign w:val="bottom"/>
            <w:shd w:val="clear" w:color="auto" w:fill="E5E6E7"/>
          </w:tcPr>
          <w:p>
            <w:pPr>
              <w:spacing w:after="0"/>
              <w:rPr>
                <w:sz w:val="17"/>
                <w:szCs w:val="17"/>
                <w:color w:val="auto"/>
              </w:rPr>
            </w:pPr>
          </w:p>
        </w:tc>
        <w:tc>
          <w:tcPr>
            <w:tcW w:w="1000" w:type="dxa"/>
            <w:vAlign w:val="bottom"/>
            <w:tcBorders>
              <w:bottom w:val="single" w:sz="8" w:color="454546"/>
            </w:tcBorders>
            <w:shd w:val="clear" w:color="auto" w:fill="E5E6E7"/>
          </w:tcPr>
          <w:p>
            <w:pPr>
              <w:spacing w:after="0"/>
              <w:rPr>
                <w:sz w:val="17"/>
                <w:szCs w:val="17"/>
                <w:color w:val="auto"/>
              </w:rPr>
            </w:pPr>
          </w:p>
        </w:tc>
        <w:tc>
          <w:tcPr>
            <w:tcW w:w="5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w:t>
            </w:r>
          </w:p>
        </w:tc>
        <w:tc>
          <w:tcPr>
            <w:tcW w:w="240" w:type="dxa"/>
            <w:vAlign w:val="bottom"/>
            <w:shd w:val="clear" w:color="auto" w:fill="E5E6E7"/>
          </w:tcPr>
          <w:p>
            <w:pPr>
              <w:spacing w:after="0"/>
              <w:rPr>
                <w:sz w:val="17"/>
                <w:szCs w:val="17"/>
                <w:color w:val="auto"/>
              </w:rPr>
            </w:pPr>
          </w:p>
        </w:tc>
        <w:tc>
          <w:tcPr>
            <w:tcW w:w="1020" w:type="dxa"/>
            <w:vAlign w:val="bottom"/>
            <w:tcBorders>
              <w:bottom w:val="single" w:sz="8" w:color="454546"/>
            </w:tcBorders>
            <w:shd w:val="clear" w:color="auto" w:fill="E5E6E7"/>
          </w:tcPr>
          <w:p>
            <w:pPr>
              <w:spacing w:after="0"/>
              <w:rPr>
                <w:sz w:val="17"/>
                <w:szCs w:val="17"/>
                <w:color w:val="auto"/>
              </w:rPr>
            </w:pPr>
          </w:p>
        </w:tc>
        <w:tc>
          <w:tcPr>
            <w:tcW w:w="4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952</w:t>
            </w:r>
          </w:p>
        </w:tc>
        <w:tc>
          <w:tcPr>
            <w:tcW w:w="100" w:type="dxa"/>
            <w:vAlign w:val="bottom"/>
            <w:shd w:val="clear" w:color="auto" w:fill="E5E6E7"/>
          </w:tcPr>
          <w:p>
            <w:pPr>
              <w:spacing w:after="0"/>
              <w:rPr>
                <w:sz w:val="17"/>
                <w:szCs w:val="17"/>
                <w:color w:val="auto"/>
              </w:rPr>
            </w:pPr>
          </w:p>
        </w:tc>
      </w:tr>
      <w:tr>
        <w:trPr>
          <w:trHeight w:val="237"/>
        </w:trPr>
        <w:tc>
          <w:tcPr>
            <w:tcW w:w="5800" w:type="dxa"/>
            <w:vAlign w:val="bottom"/>
            <w:tcBorders>
              <w:bottom w:val="single" w:sz="8" w:color="E5E6E7"/>
            </w:tcBorders>
          </w:tcPr>
          <w:p>
            <w:pPr>
              <w:ind w:left="100"/>
              <w:spacing w:after="0" w:line="197" w:lineRule="exact"/>
              <w:rPr>
                <w:sz w:val="20"/>
                <w:szCs w:val="20"/>
                <w:color w:val="auto"/>
              </w:rPr>
            </w:pPr>
            <w:r>
              <w:rPr>
                <w:rFonts w:ascii="Times New Roman" w:cs="Times New Roman" w:eastAsia="Times New Roman" w:hAnsi="Times New Roman"/>
                <w:sz w:val="18"/>
                <w:szCs w:val="18"/>
                <w:color w:val="454546"/>
              </w:rPr>
              <w:t>Total lease cost</w:t>
            </w:r>
          </w:p>
        </w:tc>
        <w:tc>
          <w:tcPr>
            <w:tcW w:w="220" w:type="dxa"/>
            <w:vAlign w:val="bottom"/>
            <w:tcBorders>
              <w:bottom w:val="single" w:sz="8" w:color="E5E6E7"/>
            </w:tcBorders>
          </w:tcPr>
          <w:p>
            <w:pPr>
              <w:spacing w:after="0"/>
              <w:rPr>
                <w:sz w:val="20"/>
                <w:szCs w:val="20"/>
                <w:color w:val="auto"/>
              </w:rPr>
            </w:pPr>
          </w:p>
        </w:tc>
        <w:tc>
          <w:tcPr>
            <w:tcW w:w="1000" w:type="dxa"/>
            <w:vAlign w:val="bottom"/>
            <w:tcBorders>
              <w:bottom w:val="single" w:sz="8" w:color="454546"/>
            </w:tcBorders>
          </w:tcPr>
          <w:p>
            <w:pPr>
              <w:jc w:val="right"/>
              <w:ind w:right="833"/>
              <w:spacing w:after="0"/>
              <w:rPr>
                <w:sz w:val="20"/>
                <w:szCs w:val="20"/>
                <w:color w:val="auto"/>
              </w:rPr>
            </w:pPr>
            <w:r>
              <w:rPr>
                <w:rFonts w:ascii="Times New Roman" w:cs="Times New Roman" w:eastAsia="Times New Roman" w:hAnsi="Times New Roman"/>
                <w:sz w:val="17"/>
                <w:szCs w:val="17"/>
                <w:color w:val="454546"/>
                <w:w w:val="70"/>
              </w:rPr>
              <w:t>$</w:t>
            </w:r>
          </w:p>
        </w:tc>
        <w:tc>
          <w:tcPr>
            <w:tcW w:w="50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5,626</w:t>
            </w:r>
          </w:p>
        </w:tc>
        <w:tc>
          <w:tcPr>
            <w:tcW w:w="240" w:type="dxa"/>
            <w:vAlign w:val="bottom"/>
            <w:tcBorders>
              <w:bottom w:val="single" w:sz="8" w:color="E5E6E7"/>
            </w:tcBorders>
          </w:tcPr>
          <w:p>
            <w:pPr>
              <w:spacing w:after="0"/>
              <w:rPr>
                <w:sz w:val="20"/>
                <w:szCs w:val="20"/>
                <w:color w:val="auto"/>
              </w:rPr>
            </w:pPr>
          </w:p>
        </w:tc>
        <w:tc>
          <w:tcPr>
            <w:tcW w:w="1020" w:type="dxa"/>
            <w:vAlign w:val="bottom"/>
            <w:tcBorders>
              <w:bottom w:val="single" w:sz="8" w:color="454546"/>
            </w:tcBorders>
          </w:tcPr>
          <w:p>
            <w:pPr>
              <w:jc w:val="right"/>
              <w:ind w:right="83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48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5,875</w:t>
            </w:r>
          </w:p>
        </w:tc>
        <w:tc>
          <w:tcPr>
            <w:tcW w:w="100" w:type="dxa"/>
            <w:vAlign w:val="bottom"/>
            <w:tcBorders>
              <w:bottom w:val="single" w:sz="8" w:color="E5E6E7"/>
            </w:tcBorders>
          </w:tcPr>
          <w:p>
            <w:pPr>
              <w:spacing w:after="0"/>
              <w:rPr>
                <w:sz w:val="20"/>
                <w:szCs w:val="20"/>
                <w:color w:val="auto"/>
              </w:rPr>
            </w:pPr>
          </w:p>
        </w:tc>
      </w:tr>
      <w:tr>
        <w:trPr>
          <w:trHeight w:val="192"/>
        </w:trPr>
        <w:tc>
          <w:tcPr>
            <w:tcW w:w="5800" w:type="dxa"/>
            <w:vAlign w:val="bottom"/>
            <w:shd w:val="clear" w:color="auto" w:fill="E5E6E7"/>
          </w:tcPr>
          <w:p>
            <w:pPr>
              <w:spacing w:after="0"/>
              <w:rPr>
                <w:sz w:val="16"/>
                <w:szCs w:val="16"/>
                <w:color w:val="auto"/>
              </w:rPr>
            </w:pPr>
          </w:p>
        </w:tc>
        <w:tc>
          <w:tcPr>
            <w:tcW w:w="220" w:type="dxa"/>
            <w:vAlign w:val="bottom"/>
            <w:shd w:val="clear" w:color="auto" w:fill="E5E6E7"/>
          </w:tcPr>
          <w:p>
            <w:pPr>
              <w:spacing w:after="0"/>
              <w:rPr>
                <w:sz w:val="16"/>
                <w:szCs w:val="16"/>
                <w:color w:val="auto"/>
              </w:rPr>
            </w:pPr>
          </w:p>
        </w:tc>
        <w:tc>
          <w:tcPr>
            <w:tcW w:w="1000" w:type="dxa"/>
            <w:vAlign w:val="bottom"/>
            <w:shd w:val="clear" w:color="auto" w:fill="E5E6E7"/>
          </w:tcPr>
          <w:p>
            <w:pPr>
              <w:spacing w:after="0"/>
              <w:rPr>
                <w:sz w:val="16"/>
                <w:szCs w:val="16"/>
                <w:color w:val="auto"/>
              </w:rPr>
            </w:pPr>
          </w:p>
        </w:tc>
        <w:tc>
          <w:tcPr>
            <w:tcW w:w="500" w:type="dxa"/>
            <w:vAlign w:val="bottom"/>
            <w:shd w:val="clear" w:color="auto" w:fill="E5E6E7"/>
          </w:tcPr>
          <w:p>
            <w:pPr>
              <w:spacing w:after="0"/>
              <w:rPr>
                <w:sz w:val="16"/>
                <w:szCs w:val="16"/>
                <w:color w:val="auto"/>
              </w:rPr>
            </w:pPr>
          </w:p>
        </w:tc>
        <w:tc>
          <w:tcPr>
            <w:tcW w:w="240" w:type="dxa"/>
            <w:vAlign w:val="bottom"/>
            <w:shd w:val="clear" w:color="auto" w:fill="E5E6E7"/>
          </w:tcPr>
          <w:p>
            <w:pPr>
              <w:spacing w:after="0"/>
              <w:rPr>
                <w:sz w:val="16"/>
                <w:szCs w:val="16"/>
                <w:color w:val="auto"/>
              </w:rPr>
            </w:pPr>
          </w:p>
        </w:tc>
        <w:tc>
          <w:tcPr>
            <w:tcW w:w="1020" w:type="dxa"/>
            <w:vAlign w:val="bottom"/>
            <w:shd w:val="clear" w:color="auto" w:fill="E5E6E7"/>
          </w:tcPr>
          <w:p>
            <w:pPr>
              <w:spacing w:after="0"/>
              <w:rPr>
                <w:sz w:val="16"/>
                <w:szCs w:val="16"/>
                <w:color w:val="auto"/>
              </w:rPr>
            </w:pPr>
          </w:p>
        </w:tc>
        <w:tc>
          <w:tcPr>
            <w:tcW w:w="480" w:type="dxa"/>
            <w:vAlign w:val="bottom"/>
            <w:shd w:val="clear" w:color="auto" w:fill="E5E6E7"/>
          </w:tcPr>
          <w:p>
            <w:pPr>
              <w:spacing w:after="0"/>
              <w:rPr>
                <w:sz w:val="16"/>
                <w:szCs w:val="16"/>
                <w:color w:val="auto"/>
              </w:rPr>
            </w:pPr>
          </w:p>
        </w:tc>
        <w:tc>
          <w:tcPr>
            <w:tcW w:w="100" w:type="dxa"/>
            <w:vAlign w:val="bottom"/>
            <w:shd w:val="clear" w:color="auto" w:fill="E5E6E7"/>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454546"/>
              </w:rPr>
              <w:t>Operating lease right-of-use assets obtained in exchange for lease obligations</w:t>
            </w:r>
          </w:p>
        </w:tc>
        <w:tc>
          <w:tcPr>
            <w:tcW w:w="220" w:type="dxa"/>
            <w:vAlign w:val="bottom"/>
          </w:tcPr>
          <w:p>
            <w:pPr>
              <w:spacing w:after="0"/>
              <w:rPr>
                <w:sz w:val="17"/>
                <w:szCs w:val="17"/>
                <w:color w:val="auto"/>
              </w:rPr>
            </w:pP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454546"/>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1,448</w:t>
            </w:r>
          </w:p>
        </w:tc>
        <w:tc>
          <w:tcPr>
            <w:tcW w:w="240" w:type="dxa"/>
            <w:vAlign w:val="bottom"/>
          </w:tcPr>
          <w:p>
            <w:pPr>
              <w:spacing w:after="0"/>
              <w:rPr>
                <w:sz w:val="17"/>
                <w:szCs w:val="17"/>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454546"/>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2,224</w:t>
            </w:r>
          </w:p>
        </w:tc>
        <w:tc>
          <w:tcPr>
            <w:tcW w:w="100" w:type="dxa"/>
            <w:vAlign w:val="bottom"/>
          </w:tcPr>
          <w:p>
            <w:pPr>
              <w:spacing w:after="0"/>
              <w:rPr>
                <w:sz w:val="17"/>
                <w:szCs w:val="17"/>
                <w:color w:val="auto"/>
              </w:rPr>
            </w:pPr>
          </w:p>
        </w:tc>
      </w:tr>
      <w:tr>
        <w:trPr>
          <w:trHeight w:val="207"/>
        </w:trPr>
        <w:tc>
          <w:tcPr>
            <w:tcW w:w="580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Cash paid for amounts included in the measurement of lease liabilities</w:t>
            </w:r>
          </w:p>
        </w:tc>
        <w:tc>
          <w:tcPr>
            <w:tcW w:w="1220" w:type="dxa"/>
            <w:vAlign w:val="bottom"/>
            <w:gridSpan w:val="2"/>
            <w:shd w:val="clear" w:color="auto" w:fill="E5E6E7"/>
          </w:tcPr>
          <w:p>
            <w:pPr>
              <w:jc w:val="right"/>
              <w:ind w:right="833"/>
              <w:spacing w:after="0"/>
              <w:rPr>
                <w:sz w:val="20"/>
                <w:szCs w:val="20"/>
                <w:color w:val="auto"/>
              </w:rPr>
            </w:pPr>
            <w:r>
              <w:rPr>
                <w:rFonts w:ascii="Times New Roman" w:cs="Times New Roman" w:eastAsia="Times New Roman" w:hAnsi="Times New Roman"/>
                <w:sz w:val="18"/>
                <w:szCs w:val="18"/>
                <w:color w:val="454546"/>
              </w:rPr>
              <w:t>$</w:t>
            </w:r>
          </w:p>
        </w:tc>
        <w:tc>
          <w:tcPr>
            <w:tcW w:w="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5,347</w:t>
            </w:r>
          </w:p>
        </w:tc>
        <w:tc>
          <w:tcPr>
            <w:tcW w:w="1260" w:type="dxa"/>
            <w:vAlign w:val="bottom"/>
            <w:gridSpan w:val="2"/>
            <w:shd w:val="clear" w:color="auto" w:fill="E5E6E7"/>
          </w:tcPr>
          <w:p>
            <w:pPr>
              <w:jc w:val="right"/>
              <w:ind w:right="830"/>
              <w:spacing w:after="0"/>
              <w:rPr>
                <w:sz w:val="20"/>
                <w:szCs w:val="20"/>
                <w:color w:val="auto"/>
              </w:rPr>
            </w:pPr>
            <w:r>
              <w:rPr>
                <w:rFonts w:ascii="Times New Roman" w:cs="Times New Roman" w:eastAsia="Times New Roman" w:hAnsi="Times New Roman"/>
                <w:sz w:val="18"/>
                <w:szCs w:val="18"/>
                <w:color w:val="454546"/>
              </w:rPr>
              <w:t>$</w:t>
            </w:r>
          </w:p>
        </w:tc>
        <w:tc>
          <w:tcPr>
            <w:tcW w:w="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4,293</w:t>
            </w:r>
          </w:p>
        </w:tc>
        <w:tc>
          <w:tcPr>
            <w:tcW w:w="100" w:type="dxa"/>
            <w:vAlign w:val="bottom"/>
            <w:shd w:val="clear" w:color="auto" w:fill="E5E6E7"/>
          </w:tcPr>
          <w:p>
            <w:pPr>
              <w:spacing w:after="0"/>
              <w:rPr>
                <w:sz w:val="17"/>
                <w:szCs w:val="17"/>
                <w:color w:val="auto"/>
              </w:rPr>
            </w:pPr>
          </w:p>
        </w:tc>
      </w:tr>
    </w:tbl>
    <w:p>
      <w:pPr>
        <w:spacing w:after="0" w:line="101"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454546"/>
        </w:rPr>
        <w:t>As of December 31, 2023, the Company’s operating leases had a weighted average remaining lease term of 5.1 years and a weighted average discount rate of 9.3%. Future minimum lease payments under the Company’s operating leases as of December 31, 2023 were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454546"/>
              </w:rPr>
              <w:t>Amount</w:t>
            </w:r>
          </w:p>
        </w:tc>
      </w:tr>
      <w:tr>
        <w:trPr>
          <w:trHeight w:val="174"/>
        </w:trPr>
        <w:tc>
          <w:tcPr>
            <w:tcW w:w="5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top w:val="single" w:sz="8" w:color="454546"/>
            </w:tcBorders>
          </w:tcPr>
          <w:p>
            <w:pPr>
              <w:spacing w:after="0"/>
              <w:rPr>
                <w:sz w:val="15"/>
                <w:szCs w:val="15"/>
                <w:color w:val="auto"/>
              </w:rPr>
            </w:pPr>
          </w:p>
        </w:tc>
        <w:tc>
          <w:tcPr>
            <w:tcW w:w="1520" w:type="dxa"/>
            <w:vAlign w:val="bottom"/>
            <w:tcBorders>
              <w:top w:val="single" w:sz="8" w:color="454546"/>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100" w:type="dxa"/>
            <w:vAlign w:val="bottom"/>
          </w:tcPr>
          <w:p>
            <w:pPr>
              <w:spacing w:after="0"/>
              <w:rPr>
                <w:sz w:val="15"/>
                <w:szCs w:val="15"/>
                <w:color w:val="auto"/>
              </w:rPr>
            </w:pPr>
          </w:p>
        </w:tc>
      </w:tr>
      <w:tr>
        <w:trPr>
          <w:trHeight w:val="230"/>
        </w:trPr>
        <w:tc>
          <w:tcPr>
            <w:tcW w:w="5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2024</w:t>
            </w:r>
          </w:p>
        </w:tc>
        <w:tc>
          <w:tcPr>
            <w:tcW w:w="18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5,277</w:t>
            </w:r>
          </w:p>
        </w:tc>
        <w:tc>
          <w:tcPr>
            <w:tcW w:w="100" w:type="dxa"/>
            <w:vAlign w:val="bottom"/>
            <w:shd w:val="clear" w:color="auto" w:fill="E5E6E7"/>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454546"/>
              </w:rPr>
              <w:t>2025</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2,445</w:t>
            </w:r>
          </w:p>
        </w:tc>
        <w:tc>
          <w:tcPr>
            <w:tcW w:w="100" w:type="dxa"/>
            <w:vAlign w:val="bottom"/>
          </w:tcPr>
          <w:p>
            <w:pPr>
              <w:spacing w:after="0"/>
              <w:rPr>
                <w:sz w:val="19"/>
                <w:szCs w:val="19"/>
                <w:color w:val="auto"/>
              </w:rPr>
            </w:pPr>
          </w:p>
        </w:tc>
      </w:tr>
      <w:tr>
        <w:trPr>
          <w:trHeight w:val="230"/>
        </w:trPr>
        <w:tc>
          <w:tcPr>
            <w:tcW w:w="5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2026</w:t>
            </w:r>
          </w:p>
        </w:tc>
        <w:tc>
          <w:tcPr>
            <w:tcW w:w="16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1,386</w:t>
            </w:r>
          </w:p>
        </w:tc>
        <w:tc>
          <w:tcPr>
            <w:tcW w:w="100" w:type="dxa"/>
            <w:vAlign w:val="bottom"/>
            <w:shd w:val="clear" w:color="auto" w:fill="E5E6E7"/>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454546"/>
              </w:rPr>
              <w:t>2027</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1,428</w:t>
            </w:r>
          </w:p>
        </w:tc>
        <w:tc>
          <w:tcPr>
            <w:tcW w:w="100" w:type="dxa"/>
            <w:vAlign w:val="bottom"/>
          </w:tcPr>
          <w:p>
            <w:pPr>
              <w:spacing w:after="0"/>
              <w:rPr>
                <w:sz w:val="19"/>
                <w:szCs w:val="19"/>
                <w:color w:val="auto"/>
              </w:rPr>
            </w:pPr>
          </w:p>
        </w:tc>
      </w:tr>
      <w:tr>
        <w:trPr>
          <w:trHeight w:val="230"/>
        </w:trPr>
        <w:tc>
          <w:tcPr>
            <w:tcW w:w="5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2028</w:t>
            </w:r>
          </w:p>
        </w:tc>
        <w:tc>
          <w:tcPr>
            <w:tcW w:w="160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1,471</w:t>
            </w:r>
          </w:p>
        </w:tc>
        <w:tc>
          <w:tcPr>
            <w:tcW w:w="100" w:type="dxa"/>
            <w:vAlign w:val="bottom"/>
            <w:shd w:val="clear" w:color="auto" w:fill="E5E6E7"/>
          </w:tcPr>
          <w:p>
            <w:pPr>
              <w:spacing w:after="0"/>
              <w:rPr>
                <w:sz w:val="19"/>
                <w:szCs w:val="19"/>
                <w:color w:val="auto"/>
              </w:rPr>
            </w:pPr>
          </w:p>
        </w:tc>
      </w:tr>
      <w:tr>
        <w:trPr>
          <w:trHeight w:val="230"/>
        </w:trPr>
        <w:tc>
          <w:tcPr>
            <w:tcW w:w="58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Thereafter</w:t>
            </w:r>
          </w:p>
        </w:tc>
        <w:tc>
          <w:tcPr>
            <w:tcW w:w="160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5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4,006</w:t>
            </w:r>
          </w:p>
        </w:tc>
        <w:tc>
          <w:tcPr>
            <w:tcW w:w="100" w:type="dxa"/>
            <w:vAlign w:val="bottom"/>
            <w:tcBorders>
              <w:bottom w:val="single" w:sz="8" w:color="E5E6E7"/>
            </w:tcBorders>
          </w:tcPr>
          <w:p>
            <w:pPr>
              <w:spacing w:after="0"/>
              <w:rPr>
                <w:sz w:val="19"/>
                <w:szCs w:val="19"/>
                <w:color w:val="auto"/>
              </w:rPr>
            </w:pPr>
          </w:p>
        </w:tc>
      </w:tr>
      <w:tr>
        <w:trPr>
          <w:trHeight w:val="220"/>
        </w:trPr>
        <w:tc>
          <w:tcPr>
            <w:tcW w:w="588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 undiscounted future minimum lease payments</w:t>
            </w:r>
          </w:p>
        </w:tc>
        <w:tc>
          <w:tcPr>
            <w:tcW w:w="1600" w:type="dxa"/>
            <w:vAlign w:val="bottom"/>
            <w:shd w:val="clear" w:color="auto" w:fill="E5E6E7"/>
          </w:tcPr>
          <w:p>
            <w:pPr>
              <w:spacing w:after="0"/>
              <w:rPr>
                <w:sz w:val="19"/>
                <w:szCs w:val="19"/>
                <w:color w:val="auto"/>
              </w:rPr>
            </w:pPr>
          </w:p>
        </w:tc>
        <w:tc>
          <w:tcPr>
            <w:tcW w:w="260" w:type="dxa"/>
            <w:vAlign w:val="bottom"/>
            <w:shd w:val="clear" w:color="auto" w:fill="E5E6E7"/>
          </w:tcPr>
          <w:p>
            <w:pPr>
              <w:jc w:val="right"/>
              <w:ind w:right="6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5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16,013</w:t>
            </w:r>
          </w:p>
        </w:tc>
        <w:tc>
          <w:tcPr>
            <w:tcW w:w="100" w:type="dxa"/>
            <w:vAlign w:val="bottom"/>
            <w:shd w:val="clear" w:color="auto" w:fill="E5E6E7"/>
          </w:tcPr>
          <w:p>
            <w:pPr>
              <w:spacing w:after="0"/>
              <w:rPr>
                <w:sz w:val="19"/>
                <w:szCs w:val="19"/>
                <w:color w:val="auto"/>
              </w:rPr>
            </w:pPr>
          </w:p>
        </w:tc>
      </w:tr>
      <w:tr>
        <w:trPr>
          <w:trHeight w:val="230"/>
        </w:trPr>
        <w:tc>
          <w:tcPr>
            <w:tcW w:w="58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Imputed interest</w:t>
            </w:r>
          </w:p>
        </w:tc>
        <w:tc>
          <w:tcPr>
            <w:tcW w:w="160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5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(3,589)</w:t>
            </w:r>
          </w:p>
        </w:tc>
        <w:tc>
          <w:tcPr>
            <w:tcW w:w="100" w:type="dxa"/>
            <w:vAlign w:val="bottom"/>
            <w:tcBorders>
              <w:bottom w:val="single" w:sz="8" w:color="E5E6E7"/>
            </w:tcBorders>
          </w:tcPr>
          <w:p>
            <w:pPr>
              <w:spacing w:after="0"/>
              <w:rPr>
                <w:sz w:val="19"/>
                <w:szCs w:val="19"/>
                <w:color w:val="auto"/>
              </w:rPr>
            </w:pPr>
          </w:p>
        </w:tc>
      </w:tr>
      <w:tr>
        <w:trPr>
          <w:trHeight w:val="220"/>
        </w:trPr>
        <w:tc>
          <w:tcPr>
            <w:tcW w:w="588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 operating lease liabilities</w:t>
            </w:r>
          </w:p>
        </w:tc>
        <w:tc>
          <w:tcPr>
            <w:tcW w:w="1600" w:type="dxa"/>
            <w:vAlign w:val="bottom"/>
            <w:shd w:val="clear" w:color="auto" w:fill="E5E6E7"/>
          </w:tcPr>
          <w:p>
            <w:pPr>
              <w:spacing w:after="0"/>
              <w:rPr>
                <w:sz w:val="19"/>
                <w:szCs w:val="19"/>
                <w:color w:val="auto"/>
              </w:rPr>
            </w:pPr>
          </w:p>
        </w:tc>
        <w:tc>
          <w:tcPr>
            <w:tcW w:w="260" w:type="dxa"/>
            <w:vAlign w:val="bottom"/>
            <w:tcBorders>
              <w:bottom w:val="single" w:sz="8" w:color="454546"/>
            </w:tcBorders>
            <w:shd w:val="clear" w:color="auto" w:fill="E5E6E7"/>
          </w:tcPr>
          <w:p>
            <w:pPr>
              <w:jc w:val="right"/>
              <w:ind w:right="6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5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12,424</w:t>
            </w:r>
          </w:p>
        </w:tc>
        <w:tc>
          <w:tcPr>
            <w:tcW w:w="100" w:type="dxa"/>
            <w:vAlign w:val="bottom"/>
            <w:shd w:val="clear" w:color="auto" w:fill="E5E6E7"/>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5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Purchase Commitments</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Indemnification</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112</w:t>
      </w:r>
    </w:p>
    <w:p>
      <w:pPr>
        <w:sectPr>
          <w:pgSz w:w="11880" w:h="15480" w:orient="portrait"/>
          <w:cols w:equalWidth="0" w:num="1">
            <w:col w:w="9360"/>
          </w:cols>
          <w:pgMar w:left="1260" w:top="1236" w:right="1260" w:bottom="0" w:gutter="0" w:footer="0" w:header="0"/>
          <w:type w:val="continuous"/>
        </w:sectPr>
      </w:pPr>
    </w:p>
    <w:bookmarkStart w:id="116" w:name="page117"/>
    <w:bookmarkEnd w:id="116"/>
    <w:p>
      <w:pPr>
        <w:ind w:right="260"/>
        <w:spacing w:after="0" w:line="249" w:lineRule="auto"/>
        <w:rPr>
          <w:sz w:val="20"/>
          <w:szCs w:val="20"/>
          <w:color w:val="auto"/>
        </w:rPr>
      </w:pPr>
      <w:r>
        <w:rPr>
          <w:rFonts w:ascii="Times New Roman" w:cs="Times New Roman" w:eastAsia="Times New Roman" w:hAnsi="Times New Roman"/>
          <w:sz w:val="20"/>
          <w:szCs w:val="20"/>
          <w:color w:val="454546"/>
        </w:rPr>
        <w:t>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December 31, 2023 and 2022.</w:t>
      </w:r>
    </w:p>
    <w:p>
      <w:pPr>
        <w:spacing w:after="0" w:line="77"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2023 and 2022, the Company did not have any material indemnification claims that were probable or reasonably possible and, consequently, has not recorded any related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6. Stockholders</w:t>
      </w:r>
      <w:r>
        <w:rPr>
          <w:rFonts w:ascii="Times New Roman" w:cs="Times New Roman" w:eastAsia="Times New Roman" w:hAnsi="Times New Roman"/>
          <w:sz w:val="20"/>
          <w:szCs w:val="20"/>
          <w:color w:val="454546"/>
        </w:rPr>
        <w:t>’</w:t>
      </w:r>
      <w:r>
        <w:rPr>
          <w:rFonts w:ascii="Times New Roman" w:cs="Times New Roman" w:eastAsia="Times New Roman" w:hAnsi="Times New Roman"/>
          <w:sz w:val="20"/>
          <w:szCs w:val="20"/>
          <w:b w:val="1"/>
          <w:bCs w:val="1"/>
          <w:color w:val="454546"/>
        </w:rPr>
        <w:t xml:space="preserve"> Equity</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Common Stock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stockholders’ equity includes shares related to early exercised options and restricted stock that are subject to repurchase. Common stock issued and outstanding is reduced for any repurchases of early exercised stock options and restricted stock.</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“At-the-Market” Equity Offering</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December 31, 2023, the Company may issue and sell up to approximately $71.0 million in additional shares of its common stock under the ATM.</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Follow-On Offerings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On November 21, 2022, the Company completed an underwritten public offering of 22,613,307 shares of its common stock at a price of $2.60 per share and, to certain investors in lieu of common stock, pre-funded warrants to purchase 6,236,693 shares of its common stock at a price of $2.599 per pre-funded warrant. The pre-funded warrants can be exercised at any time after issuance for an exercise price of $0.001 per share, subject to certain ownership limitations. In addition, the Company granted the underwriters a 30-day option to purchase up to an additional 4,327,500 shares of its common stock to cover overallotments, if any, at $2.60 per share. On November 29, 2022, the underwriters partially exercised the option and purchased an additional 2,816,409 shares of Company’s common stock. As of December 31, 2023, pre-funded warrants for 5,934,176 shares of common stock remained outstanding.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t>
      </w:r>
    </w:p>
    <w:p>
      <w:pPr>
        <w:spacing w:after="0" w:line="9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2023, total shares of common stock reserved for issuance, on an as-if converted basis,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 w:type="dxa"/>
            <w:vAlign w:val="bottom"/>
          </w:tcPr>
          <w:p>
            <w:pPr>
              <w:spacing w:after="0"/>
              <w:rPr>
                <w:sz w:val="16"/>
                <w:szCs w:val="16"/>
                <w:color w:val="auto"/>
              </w:rPr>
            </w:pPr>
          </w:p>
        </w:tc>
      </w:tr>
      <w:tr>
        <w:trPr>
          <w:trHeight w:val="203"/>
        </w:trPr>
        <w:tc>
          <w:tcPr>
            <w:tcW w:w="7640" w:type="dxa"/>
            <w:vAlign w:val="bottom"/>
            <w:tcBorders>
              <w:bottom w:val="single" w:sz="8" w:color="E5E6E7"/>
            </w:tcBorders>
          </w:tcPr>
          <w:p>
            <w:pPr>
              <w:spacing w:after="0"/>
              <w:rPr>
                <w:sz w:val="17"/>
                <w:szCs w:val="17"/>
                <w:color w:val="auto"/>
              </w:rPr>
            </w:pPr>
          </w:p>
        </w:tc>
        <w:tc>
          <w:tcPr>
            <w:tcW w:w="1620" w:type="dxa"/>
            <w:vAlign w:val="bottom"/>
            <w:tcBorders>
              <w:bottom w:val="single" w:sz="8" w:color="454546"/>
            </w:tcBorders>
          </w:tcPr>
          <w:p>
            <w:pPr>
              <w:jc w:val="right"/>
              <w:ind w:right="546"/>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100" w:type="dxa"/>
            <w:vAlign w:val="bottom"/>
            <w:tcBorders>
              <w:bottom w:val="single" w:sz="8" w:color="E5E6E7"/>
            </w:tcBorders>
          </w:tcPr>
          <w:p>
            <w:pPr>
              <w:spacing w:after="0"/>
              <w:rPr>
                <w:sz w:val="17"/>
                <w:szCs w:val="17"/>
                <w:color w:val="auto"/>
              </w:rPr>
            </w:pPr>
          </w:p>
        </w:tc>
      </w:tr>
      <w:tr>
        <w:trPr>
          <w:trHeight w:val="220"/>
        </w:trPr>
        <w:tc>
          <w:tcPr>
            <w:tcW w:w="764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stock options and awards</w:t>
            </w:r>
          </w:p>
        </w:tc>
        <w:tc>
          <w:tcPr>
            <w:tcW w:w="16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9,431,710</w:t>
            </w:r>
          </w:p>
        </w:tc>
        <w:tc>
          <w:tcPr>
            <w:tcW w:w="100" w:type="dxa"/>
            <w:vAlign w:val="bottom"/>
            <w:shd w:val="clear" w:color="auto" w:fill="E5E6E7"/>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454546"/>
              </w:rPr>
              <w:t>Outstanding pre-funded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5,934,176</w:t>
            </w:r>
          </w:p>
        </w:tc>
        <w:tc>
          <w:tcPr>
            <w:tcW w:w="100" w:type="dxa"/>
            <w:vAlign w:val="bottom"/>
          </w:tcPr>
          <w:p>
            <w:pPr>
              <w:spacing w:after="0"/>
              <w:rPr>
                <w:sz w:val="19"/>
                <w:szCs w:val="19"/>
                <w:color w:val="auto"/>
              </w:rPr>
            </w:pPr>
          </w:p>
        </w:tc>
      </w:tr>
      <w:tr>
        <w:trPr>
          <w:trHeight w:val="230"/>
        </w:trPr>
        <w:tc>
          <w:tcPr>
            <w:tcW w:w="76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Shares available for further issuance under the 2021 Equity Incentive Plan</w:t>
            </w: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965,665</w:t>
            </w:r>
          </w:p>
        </w:tc>
        <w:tc>
          <w:tcPr>
            <w:tcW w:w="100" w:type="dxa"/>
            <w:vAlign w:val="bottom"/>
            <w:shd w:val="clear" w:color="auto" w:fill="E5E6E7"/>
          </w:tcPr>
          <w:p>
            <w:pPr>
              <w:spacing w:after="0"/>
              <w:rPr>
                <w:sz w:val="19"/>
                <w:szCs w:val="19"/>
                <w:color w:val="auto"/>
              </w:rPr>
            </w:pPr>
          </w:p>
        </w:tc>
      </w:tr>
      <w:tr>
        <w:trPr>
          <w:trHeight w:val="230"/>
        </w:trPr>
        <w:tc>
          <w:tcPr>
            <w:tcW w:w="76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Shares available for further issuance under the 2021 Employee Stock Purchase Plan</w:t>
            </w:r>
          </w:p>
        </w:tc>
        <w:tc>
          <w:tcPr>
            <w:tcW w:w="16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1,405,394</w:t>
            </w:r>
          </w:p>
        </w:tc>
        <w:tc>
          <w:tcPr>
            <w:tcW w:w="100" w:type="dxa"/>
            <w:vAlign w:val="bottom"/>
            <w:tcBorders>
              <w:bottom w:val="single" w:sz="8" w:color="E5E6E7"/>
            </w:tcBorders>
          </w:tcPr>
          <w:p>
            <w:pPr>
              <w:spacing w:after="0"/>
              <w:rPr>
                <w:sz w:val="19"/>
                <w:szCs w:val="19"/>
                <w:color w:val="auto"/>
              </w:rPr>
            </w:pPr>
          </w:p>
        </w:tc>
      </w:tr>
      <w:tr>
        <w:trPr>
          <w:trHeight w:val="220"/>
        </w:trPr>
        <w:tc>
          <w:tcPr>
            <w:tcW w:w="764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w:t>
            </w:r>
          </w:p>
        </w:tc>
        <w:tc>
          <w:tcPr>
            <w:tcW w:w="16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17,736,945</w:t>
            </w:r>
          </w:p>
        </w:tc>
        <w:tc>
          <w:tcPr>
            <w:tcW w:w="100" w:type="dxa"/>
            <w:vAlign w:val="bottom"/>
            <w:shd w:val="clear" w:color="auto" w:fill="E5E6E7"/>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113</w:t>
      </w:r>
    </w:p>
    <w:p>
      <w:pPr>
        <w:sectPr>
          <w:pgSz w:w="11880" w:h="15480" w:orient="portrait"/>
          <w:cols w:equalWidth="0" w:num="1">
            <w:col w:w="9360"/>
          </w:cols>
          <w:pgMar w:left="1260" w:top="1240" w:right="1260" w:bottom="0" w:gutter="0" w:footer="0" w:header="0"/>
          <w:type w:val="continuous"/>
        </w:sectPr>
      </w:pPr>
    </w:p>
    <w:bookmarkStart w:id="117" w:name="page118"/>
    <w:bookmarkEnd w:id="117"/>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7. Stock-Based Compensation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2021 Equity Incentive Plan</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Under the Company's 2021 Equity Incentive Plan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Total shares reserved and available for grant under the 2021 Plan as of December 31, 2023 are 965,665.</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 Option Activity</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stock option activity: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9"/>
              </w:rPr>
              <w:t>Aggregate</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Remaining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rPr>
              <w:t>Exercise</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Contractual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8"/>
              </w:rPr>
              <w:t>Intrinsic</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454546"/>
              </w:rPr>
              <w:t>Price</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4"/>
              </w:rPr>
              <w:t>Life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top w:val="single" w:sz="8" w:color="454546"/>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454546"/>
            </w:tcBorders>
          </w:tcPr>
          <w:p>
            <w:pPr>
              <w:spacing w:after="0"/>
              <w:rPr>
                <w:sz w:val="15"/>
                <w:szCs w:val="15"/>
                <w:color w:val="auto"/>
              </w:rPr>
            </w:pPr>
          </w:p>
        </w:tc>
        <w:tc>
          <w:tcPr>
            <w:tcW w:w="920" w:type="dxa"/>
            <w:vAlign w:val="bottom"/>
            <w:tcBorders>
              <w:top w:val="single" w:sz="8" w:color="454546"/>
            </w:tcBorders>
          </w:tcPr>
          <w:p>
            <w:pPr>
              <w:jc w:val="center"/>
              <w:ind w:right="49"/>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dollars)</w:t>
            </w:r>
          </w:p>
        </w:tc>
        <w:tc>
          <w:tcPr>
            <w:tcW w:w="200" w:type="dxa"/>
            <w:vAlign w:val="bottom"/>
          </w:tcPr>
          <w:p>
            <w:pPr>
              <w:spacing w:after="0"/>
              <w:rPr>
                <w:sz w:val="15"/>
                <w:szCs w:val="15"/>
                <w:color w:val="auto"/>
              </w:rPr>
            </w:pPr>
          </w:p>
        </w:tc>
        <w:tc>
          <w:tcPr>
            <w:tcW w:w="1080" w:type="dxa"/>
            <w:vAlign w:val="bottom"/>
            <w:tcBorders>
              <w:top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(Years)</w:t>
            </w:r>
          </w:p>
        </w:tc>
        <w:tc>
          <w:tcPr>
            <w:tcW w:w="220" w:type="dxa"/>
            <w:vAlign w:val="bottom"/>
          </w:tcPr>
          <w:p>
            <w:pPr>
              <w:spacing w:after="0"/>
              <w:rPr>
                <w:sz w:val="15"/>
                <w:szCs w:val="15"/>
                <w:color w:val="auto"/>
              </w:rPr>
            </w:pPr>
          </w:p>
        </w:tc>
        <w:tc>
          <w:tcPr>
            <w:tcW w:w="1020" w:type="dxa"/>
            <w:vAlign w:val="bottom"/>
            <w:tcBorders>
              <w:top w:val="single" w:sz="8" w:color="454546"/>
            </w:tcBorders>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Outstanding as of December 31, 2022</w:t>
            </w:r>
          </w:p>
        </w:tc>
        <w:tc>
          <w:tcPr>
            <w:tcW w:w="1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5,210,182</w:t>
            </w:r>
          </w:p>
        </w:tc>
        <w:tc>
          <w:tcPr>
            <w:tcW w:w="140" w:type="dxa"/>
            <w:vAlign w:val="bottom"/>
            <w:shd w:val="clear" w:color="auto" w:fill="E5E6E7"/>
          </w:tcPr>
          <w:p>
            <w:pPr>
              <w:spacing w:after="0"/>
              <w:rPr>
                <w:sz w:val="19"/>
                <w:szCs w:val="19"/>
                <w:color w:val="auto"/>
              </w:rPr>
            </w:pPr>
          </w:p>
        </w:tc>
        <w:tc>
          <w:tcPr>
            <w:tcW w:w="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10.01</w:t>
            </w:r>
          </w:p>
        </w:tc>
        <w:tc>
          <w:tcPr>
            <w:tcW w:w="20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3,311,758</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3.36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Exercised</w:t>
            </w:r>
          </w:p>
        </w:tc>
        <w:tc>
          <w:tcPr>
            <w:tcW w:w="152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(10,875)</w:t>
            </w:r>
          </w:p>
        </w:tc>
        <w:tc>
          <w:tcPr>
            <w:tcW w:w="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2.71</w:t>
            </w:r>
          </w:p>
        </w:tc>
        <w:tc>
          <w:tcPr>
            <w:tcW w:w="20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Cancelled</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454546"/>
              </w:rPr>
              <w:t>(167,631)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as of December 31, 2023</w:t>
            </w:r>
          </w:p>
        </w:tc>
        <w:tc>
          <w:tcPr>
            <w:tcW w:w="300" w:type="dxa"/>
            <w:vAlign w:val="bottom"/>
            <w:tcBorders>
              <w:top w:val="single" w:sz="8" w:color="E5E6E7"/>
            </w:tcBorders>
            <w:shd w:val="clear" w:color="auto" w:fill="E5E6E7"/>
          </w:tcPr>
          <w:p>
            <w:pPr>
              <w:spacing w:after="0"/>
              <w:rPr>
                <w:sz w:val="19"/>
                <w:szCs w:val="19"/>
                <w:color w:val="auto"/>
              </w:rPr>
            </w:pPr>
          </w:p>
        </w:tc>
        <w:tc>
          <w:tcPr>
            <w:tcW w:w="10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8,343,434</w:t>
            </w:r>
          </w:p>
        </w:tc>
        <w:tc>
          <w:tcPr>
            <w:tcW w:w="14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E5E6E7"/>
            </w:tcBorders>
            <w:gridSpan w:val="2"/>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92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7.47</w:t>
            </w:r>
          </w:p>
        </w:tc>
        <w:tc>
          <w:tcPr>
            <w:tcW w:w="1280" w:type="dxa"/>
            <w:vAlign w:val="bottom"/>
            <w:tcBorders>
              <w:top w:val="single" w:sz="8" w:color="E5E6E7"/>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8.12</w:t>
            </w:r>
          </w:p>
        </w:tc>
        <w:tc>
          <w:tcPr>
            <w:tcW w:w="340" w:type="dxa"/>
            <w:vAlign w:val="bottom"/>
            <w:tcBorders>
              <w:top w:val="single" w:sz="8" w:color="E5E6E7"/>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90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2,380</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Exercisable as of December 31, 2023</w:t>
            </w:r>
          </w:p>
        </w:tc>
        <w:tc>
          <w:tcPr>
            <w:tcW w:w="300" w:type="dxa"/>
            <w:vAlign w:val="bottom"/>
            <w:vMerge w:val="restart"/>
          </w:tcPr>
          <w:p>
            <w:pPr>
              <w:spacing w:after="0" w:line="20" w:lineRule="exact"/>
              <w:rPr>
                <w:sz w:val="1"/>
                <w:szCs w:val="1"/>
                <w:color w:val="auto"/>
              </w:rPr>
            </w:pPr>
          </w:p>
        </w:tc>
        <w:tc>
          <w:tcPr>
            <w:tcW w:w="10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7.81</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7.43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1,700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8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3,821,798</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2023 and 2022, was $36.7 thousand and $0.2 million.</w:t>
      </w:r>
    </w:p>
    <w:p>
      <w:pPr>
        <w:spacing w:after="0" w:line="7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The weighted-average grant-date fair value of options granted during the years ended December 31, 2023 and 2022 was $2.62 and $9.80 per share.</w:t>
      </w:r>
    </w:p>
    <w:p>
      <w:pPr>
        <w:spacing w:after="0" w:line="49"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2023, there was $25.0 million of unrecognized stock-based compensation cost related to stock options, which is expected to be recognized over an estimated weighted-average period of 2.5 years.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 Option Valuation</w:t>
      </w:r>
    </w:p>
    <w:p>
      <w:pPr>
        <w:spacing w:after="0" w:line="12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fair value of the Company’s stock option awards is estimated on the date of grant using the Black-Scholes option pricing model using the following assumptions:</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454546"/>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454546"/>
                <w:w w:val="99"/>
              </w:rPr>
              <w:t>Year Ended</w:t>
            </w:r>
          </w:p>
        </w:tc>
        <w:tc>
          <w:tcPr>
            <w:tcW w:w="860" w:type="dxa"/>
            <w:vAlign w:val="bottom"/>
          </w:tcPr>
          <w:p>
            <w:pPr>
              <w:spacing w:after="0"/>
              <w:rPr>
                <w:sz w:val="18"/>
                <w:szCs w:val="18"/>
                <w:color w:val="auto"/>
              </w:rPr>
            </w:pPr>
          </w:p>
        </w:tc>
      </w:tr>
      <w:tr>
        <w:trPr>
          <w:trHeight w:val="227"/>
        </w:trPr>
        <w:tc>
          <w:tcPr>
            <w:tcW w:w="6060" w:type="dxa"/>
            <w:vAlign w:val="bottom"/>
          </w:tcPr>
          <w:p>
            <w:pPr>
              <w:spacing w:after="0"/>
              <w:rPr>
                <w:sz w:val="19"/>
                <w:szCs w:val="19"/>
                <w:color w:val="auto"/>
              </w:rPr>
            </w:pPr>
          </w:p>
        </w:tc>
        <w:tc>
          <w:tcPr>
            <w:tcW w:w="700" w:type="dxa"/>
            <w:vAlign w:val="bottom"/>
            <w:tcBorders>
              <w:bottom w:val="single" w:sz="8" w:color="454546"/>
            </w:tcBorders>
          </w:tcPr>
          <w:p>
            <w:pPr>
              <w:spacing w:after="0"/>
              <w:rPr>
                <w:sz w:val="19"/>
                <w:szCs w:val="19"/>
                <w:color w:val="auto"/>
              </w:rPr>
            </w:pPr>
          </w:p>
        </w:tc>
        <w:tc>
          <w:tcPr>
            <w:tcW w:w="1740" w:type="dxa"/>
            <w:vAlign w:val="bottom"/>
            <w:tcBorders>
              <w:bottom w:val="single" w:sz="8" w:color="454546"/>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860" w:type="dxa"/>
            <w:vAlign w:val="bottom"/>
            <w:tcBorders>
              <w:bottom w:val="single" w:sz="8" w:color="454546"/>
            </w:tcBorders>
          </w:tcPr>
          <w:p>
            <w:pPr>
              <w:spacing w:after="0"/>
              <w:rPr>
                <w:sz w:val="19"/>
                <w:szCs w:val="19"/>
                <w:color w:val="auto"/>
              </w:rPr>
            </w:pPr>
          </w:p>
        </w:tc>
      </w:tr>
      <w:tr>
        <w:trPr>
          <w:trHeight w:val="197"/>
        </w:trPr>
        <w:tc>
          <w:tcPr>
            <w:tcW w:w="6060" w:type="dxa"/>
            <w:vAlign w:val="bottom"/>
          </w:tcPr>
          <w:p>
            <w:pPr>
              <w:spacing w:after="0"/>
              <w:rPr>
                <w:sz w:val="17"/>
                <w:szCs w:val="17"/>
                <w:color w:val="auto"/>
              </w:rPr>
            </w:pPr>
          </w:p>
        </w:tc>
        <w:tc>
          <w:tcPr>
            <w:tcW w:w="1540" w:type="dxa"/>
            <w:vAlign w:val="bottom"/>
            <w:gridSpan w:val="2"/>
          </w:tcPr>
          <w:p>
            <w:pPr>
              <w:jc w:val="right"/>
              <w:ind w:right="510"/>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1760" w:type="dxa"/>
            <w:vAlign w:val="bottom"/>
            <w:gridSpan w:val="3"/>
          </w:tcPr>
          <w:p>
            <w:pPr>
              <w:jc w:val="right"/>
              <w:ind w:right="530"/>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r>
      <w:tr>
        <w:trPr>
          <w:trHeight w:val="197"/>
        </w:trPr>
        <w:tc>
          <w:tcPr>
            <w:tcW w:w="606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Expected term (in years)</w:t>
            </w:r>
          </w:p>
        </w:tc>
        <w:tc>
          <w:tcPr>
            <w:tcW w:w="70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5.5</w:t>
            </w:r>
          </w:p>
        </w:tc>
        <w:tc>
          <w:tcPr>
            <w:tcW w:w="840" w:type="dxa"/>
            <w:vAlign w:val="bottom"/>
            <w:tcBorders>
              <w:top w:val="single" w:sz="8" w:color="454546"/>
            </w:tcBorders>
            <w:shd w:val="clear" w:color="auto" w:fill="E5E6E7"/>
          </w:tcPr>
          <w:p>
            <w:pPr>
              <w:ind w:left="20"/>
              <w:spacing w:after="0" w:line="197" w:lineRule="exact"/>
              <w:rPr>
                <w:sz w:val="20"/>
                <w:szCs w:val="20"/>
                <w:color w:val="auto"/>
              </w:rPr>
            </w:pPr>
            <w:r>
              <w:rPr>
                <w:rFonts w:ascii="Times New Roman" w:cs="Times New Roman" w:eastAsia="Times New Roman" w:hAnsi="Times New Roman"/>
                <w:sz w:val="18"/>
                <w:szCs w:val="18"/>
                <w:color w:val="454546"/>
              </w:rPr>
              <w:t>– 6.1</w:t>
            </w:r>
          </w:p>
        </w:tc>
        <w:tc>
          <w:tcPr>
            <w:tcW w:w="160" w:type="dxa"/>
            <w:vAlign w:val="bottom"/>
            <w:tcBorders>
              <w:top w:val="single" w:sz="8" w:color="E5E6E7"/>
            </w:tcBorders>
            <w:shd w:val="clear" w:color="auto" w:fill="E5E6E7"/>
          </w:tcPr>
          <w:p>
            <w:pPr>
              <w:spacing w:after="0"/>
              <w:rPr>
                <w:sz w:val="17"/>
                <w:szCs w:val="17"/>
                <w:color w:val="auto"/>
              </w:rPr>
            </w:pPr>
          </w:p>
        </w:tc>
        <w:tc>
          <w:tcPr>
            <w:tcW w:w="740" w:type="dxa"/>
            <w:vAlign w:val="bottom"/>
            <w:tcBorders>
              <w:top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5.5</w:t>
            </w:r>
          </w:p>
        </w:tc>
        <w:tc>
          <w:tcPr>
            <w:tcW w:w="860" w:type="dxa"/>
            <w:vAlign w:val="bottom"/>
            <w:tcBorders>
              <w:top w:val="single" w:sz="8" w:color="454546"/>
            </w:tcBorders>
            <w:shd w:val="clear" w:color="auto" w:fill="E5E6E7"/>
          </w:tcPr>
          <w:p>
            <w:pPr>
              <w:ind w:left="20"/>
              <w:spacing w:after="0" w:line="197" w:lineRule="exact"/>
              <w:rPr>
                <w:sz w:val="20"/>
                <w:szCs w:val="20"/>
                <w:color w:val="auto"/>
              </w:rPr>
            </w:pPr>
            <w:r>
              <w:rPr>
                <w:rFonts w:ascii="Times New Roman" w:cs="Times New Roman" w:eastAsia="Times New Roman" w:hAnsi="Times New Roman"/>
                <w:sz w:val="18"/>
                <w:szCs w:val="18"/>
                <w:color w:val="454546"/>
              </w:rPr>
              <w:t>– 6.1</w:t>
            </w: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454546"/>
              </w:rPr>
              <w:t>Expected volatility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93%</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 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95%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 97%</w:t>
            </w:r>
          </w:p>
        </w:tc>
      </w:tr>
      <w:tr>
        <w:trPr>
          <w:trHeight w:val="207"/>
        </w:trPr>
        <w:tc>
          <w:tcPr>
            <w:tcW w:w="60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Risk-free interest rate</w:t>
            </w: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3.4%</w:t>
            </w:r>
          </w:p>
        </w:tc>
        <w:tc>
          <w:tcPr>
            <w:tcW w:w="840" w:type="dxa"/>
            <w:vAlign w:val="bottom"/>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4.5%</w:t>
            </w:r>
          </w:p>
        </w:tc>
        <w:tc>
          <w:tcPr>
            <w:tcW w:w="9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1.6%</w:t>
            </w:r>
          </w:p>
        </w:tc>
        <w:tc>
          <w:tcPr>
            <w:tcW w:w="860" w:type="dxa"/>
            <w:vAlign w:val="bottom"/>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4.2%</w:t>
            </w: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454546"/>
              </w:rPr>
              <w:t>Expected dividend yield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454546"/>
                <w:w w:val="96"/>
              </w:rPr>
              <w:t>—%</w:t>
            </w:r>
          </w:p>
        </w:tc>
        <w:tc>
          <w:tcPr>
            <w:tcW w:w="16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454546"/>
                <w:w w:val="96"/>
              </w:rPr>
              <w:t>—%</w:t>
            </w:r>
          </w:p>
        </w:tc>
      </w:tr>
    </w:tbl>
    <w:p>
      <w:pPr>
        <w:spacing w:after="0" w:line="67" w:lineRule="exact"/>
        <w:rPr>
          <w:sz w:val="20"/>
          <w:szCs w:val="20"/>
          <w:color w:val="auto"/>
        </w:rPr>
      </w:pPr>
    </w:p>
    <w:p>
      <w:pPr>
        <w:jc w:val="both"/>
        <w:ind w:left="500" w:right="200"/>
        <w:spacing w:after="0" w:line="278" w:lineRule="auto"/>
        <w:rPr>
          <w:sz w:val="20"/>
          <w:szCs w:val="20"/>
          <w:color w:val="auto"/>
        </w:rPr>
      </w:pPr>
      <w:r>
        <w:rPr>
          <w:rFonts w:ascii="Times New Roman" w:cs="Times New Roman" w:eastAsia="Times New Roman" w:hAnsi="Times New Roman"/>
          <w:sz w:val="19"/>
          <w:szCs w:val="19"/>
          <w:i w:val="1"/>
          <w:iCs w:val="1"/>
          <w:color w:val="454546"/>
        </w:rPr>
        <w:t>Expected Term</w:t>
      </w:r>
      <w:r>
        <w:rPr>
          <w:rFonts w:ascii="Times New Roman" w:cs="Times New Roman" w:eastAsia="Times New Roman" w:hAnsi="Times New Roman"/>
          <w:sz w:val="19"/>
          <w:szCs w:val="19"/>
          <w:color w:val="454546"/>
        </w:rPr>
        <w:t>— The Company determines the expected term, which represents the period that stock-based</w:t>
      </w:r>
      <w:r>
        <w:rPr>
          <w:rFonts w:ascii="Times New Roman" w:cs="Times New Roman" w:eastAsia="Times New Roman" w:hAnsi="Times New Roman"/>
          <w:sz w:val="19"/>
          <w:szCs w:val="19"/>
          <w:i w:val="1"/>
          <w:iCs w:val="1"/>
          <w:color w:val="454546"/>
        </w:rPr>
        <w:t xml:space="preserve"> </w:t>
      </w:r>
      <w:r>
        <w:rPr>
          <w:rFonts w:ascii="Times New Roman" w:cs="Times New Roman" w:eastAsia="Times New Roman" w:hAnsi="Times New Roman"/>
          <w:sz w:val="19"/>
          <w:szCs w:val="19"/>
          <w:color w:val="454546"/>
        </w:rPr>
        <w:t>awards are expected to be outstanding, in accordance with the simplified method due to its limited operating history, which is presumed to be the mid-point between the contractual term and the vesting period.</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114</w:t>
      </w:r>
    </w:p>
    <w:p>
      <w:pPr>
        <w:sectPr>
          <w:pgSz w:w="11880" w:h="15480" w:orient="portrait"/>
          <w:cols w:equalWidth="0" w:num="1">
            <w:col w:w="9360"/>
          </w:cols>
          <w:pgMar w:left="1260" w:top="1440" w:right="1260" w:bottom="0" w:gutter="0" w:footer="0" w:header="0"/>
          <w:type w:val="continuous"/>
        </w:sectPr>
      </w:pPr>
    </w:p>
    <w:bookmarkStart w:id="118" w:name="page119"/>
    <w:bookmarkEnd w:id="118"/>
    <w:p>
      <w:pPr>
        <w:ind w:left="500" w:right="40"/>
        <w:spacing w:after="0" w:line="249" w:lineRule="auto"/>
        <w:rPr>
          <w:sz w:val="20"/>
          <w:szCs w:val="20"/>
          <w:color w:val="auto"/>
        </w:rPr>
      </w:pPr>
      <w:r>
        <w:rPr>
          <w:rFonts w:ascii="Times New Roman" w:cs="Times New Roman" w:eastAsia="Times New Roman" w:hAnsi="Times New Roman"/>
          <w:sz w:val="20"/>
          <w:szCs w:val="20"/>
          <w:i w:val="1"/>
          <w:iCs w:val="1"/>
          <w:color w:val="454546"/>
        </w:rPr>
        <w:t>Expected Volatility</w:t>
      </w:r>
      <w:r>
        <w:rPr>
          <w:rFonts w:ascii="Times New Roman" w:cs="Times New Roman" w:eastAsia="Times New Roman" w:hAnsi="Times New Roman"/>
          <w:sz w:val="20"/>
          <w:szCs w:val="20"/>
          <w:color w:val="454546"/>
        </w:rPr>
        <w:t>— As there is limited trading history for the Company’s common stock, the Company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determines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7" w:lineRule="exact"/>
        <w:rPr>
          <w:sz w:val="20"/>
          <w:szCs w:val="20"/>
          <w:color w:val="auto"/>
        </w:rPr>
      </w:pPr>
    </w:p>
    <w:p>
      <w:pPr>
        <w:ind w:left="500" w:right="140"/>
        <w:spacing w:after="0" w:line="277" w:lineRule="auto"/>
        <w:rPr>
          <w:sz w:val="20"/>
          <w:szCs w:val="20"/>
          <w:color w:val="auto"/>
        </w:rPr>
      </w:pPr>
      <w:r>
        <w:rPr>
          <w:rFonts w:ascii="Times New Roman" w:cs="Times New Roman" w:eastAsia="Times New Roman" w:hAnsi="Times New Roman"/>
          <w:sz w:val="20"/>
          <w:szCs w:val="20"/>
          <w:i w:val="1"/>
          <w:iCs w:val="1"/>
          <w:color w:val="454546"/>
        </w:rPr>
        <w:t>Risk-Free Interest Rate</w:t>
      </w:r>
      <w:r>
        <w:rPr>
          <w:rFonts w:ascii="Times New Roman" w:cs="Times New Roman" w:eastAsia="Times New Roman" w:hAnsi="Times New Roman"/>
          <w:sz w:val="20"/>
          <w:szCs w:val="20"/>
          <w:color w:val="454546"/>
        </w:rPr>
        <w:t>— The Company bases the risk-free interest rate on U.S. Treasury zero coupon issues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 effect at the time of grant for periods corresponding with the expected term assumption.</w:t>
      </w:r>
    </w:p>
    <w:p>
      <w:pPr>
        <w:spacing w:after="0" w:line="49" w:lineRule="exact"/>
        <w:rPr>
          <w:sz w:val="20"/>
          <w:szCs w:val="20"/>
          <w:color w:val="auto"/>
        </w:rPr>
      </w:pPr>
    </w:p>
    <w:p>
      <w:pPr>
        <w:ind w:left="500" w:right="60"/>
        <w:spacing w:after="0" w:line="277" w:lineRule="auto"/>
        <w:rPr>
          <w:sz w:val="20"/>
          <w:szCs w:val="20"/>
          <w:color w:val="auto"/>
        </w:rPr>
      </w:pPr>
      <w:r>
        <w:rPr>
          <w:rFonts w:ascii="Times New Roman" w:cs="Times New Roman" w:eastAsia="Times New Roman" w:hAnsi="Times New Roman"/>
          <w:sz w:val="20"/>
          <w:szCs w:val="20"/>
          <w:i w:val="1"/>
          <w:iCs w:val="1"/>
          <w:color w:val="454546"/>
        </w:rPr>
        <w:t>Expected Dividend Yield</w:t>
      </w:r>
      <w:r>
        <w:rPr>
          <w:rFonts w:ascii="Times New Roman" w:cs="Times New Roman" w:eastAsia="Times New Roman" w:hAnsi="Times New Roman"/>
          <w:sz w:val="20"/>
          <w:szCs w:val="20"/>
          <w:color w:val="454546"/>
        </w:rPr>
        <w:t>— The expected dividend yield is assumed to be zero as the Company has never paid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and has no plans to pay any dividends on its common stock.</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Restricted Stock Units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Restricted stock units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454546"/>
                <w:w w:val="99"/>
              </w:rPr>
              <w:t>Weighted</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Average</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Average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454546"/>
                <w:w w:val="98"/>
              </w:rPr>
              <w:t>Aggregate</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rPr>
              <w:t>Grant Date</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Remaining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454546"/>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454546"/>
                <w:w w:val="99"/>
              </w:rPr>
              <w:t>Fair Value</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rPr>
              <w:t>Contractual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454546"/>
                <w:w w:val="99"/>
              </w:rPr>
              <w:t>Intrinsic</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rPr>
              <w:t>per Share</w:t>
            </w:r>
          </w:p>
        </w:tc>
        <w:tc>
          <w:tcPr>
            <w:tcW w:w="1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6"/>
              </w:rPr>
              <w:t>Life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454546"/>
              </w:rPr>
              <w:t>Value</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top w:val="single" w:sz="8" w:color="454546"/>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454546"/>
            </w:tcBorders>
          </w:tcPr>
          <w:p>
            <w:pPr>
              <w:spacing w:after="0"/>
              <w:rPr>
                <w:sz w:val="17"/>
                <w:szCs w:val="17"/>
                <w:color w:val="auto"/>
              </w:rPr>
            </w:pPr>
          </w:p>
        </w:tc>
        <w:tc>
          <w:tcPr>
            <w:tcW w:w="960" w:type="dxa"/>
            <w:vAlign w:val="bottom"/>
            <w:tcBorders>
              <w:top w:val="single" w:sz="8" w:color="454546"/>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454546"/>
                <w:w w:val="99"/>
              </w:rPr>
              <w:t>(in dollars)</w:t>
            </w:r>
          </w:p>
        </w:tc>
        <w:tc>
          <w:tcPr>
            <w:tcW w:w="180" w:type="dxa"/>
            <w:vAlign w:val="bottom"/>
          </w:tcPr>
          <w:p>
            <w:pPr>
              <w:spacing w:after="0"/>
              <w:rPr>
                <w:sz w:val="17"/>
                <w:szCs w:val="17"/>
                <w:color w:val="auto"/>
              </w:rPr>
            </w:pPr>
          </w:p>
        </w:tc>
        <w:tc>
          <w:tcPr>
            <w:tcW w:w="1080" w:type="dxa"/>
            <w:vAlign w:val="bottom"/>
            <w:tcBorders>
              <w:top w:val="single" w:sz="8" w:color="454546"/>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454546"/>
              </w:rPr>
              <w:t>(Years)</w:t>
            </w:r>
          </w:p>
        </w:tc>
        <w:tc>
          <w:tcPr>
            <w:tcW w:w="200" w:type="dxa"/>
            <w:vAlign w:val="bottom"/>
          </w:tcPr>
          <w:p>
            <w:pPr>
              <w:spacing w:after="0"/>
              <w:rPr>
                <w:sz w:val="17"/>
                <w:szCs w:val="17"/>
                <w:color w:val="auto"/>
              </w:rPr>
            </w:pPr>
          </w:p>
        </w:tc>
        <w:tc>
          <w:tcPr>
            <w:tcW w:w="1120" w:type="dxa"/>
            <w:vAlign w:val="bottom"/>
            <w:tcBorders>
              <w:top w:val="single" w:sz="8" w:color="454546"/>
            </w:tcBorders>
            <w:gridSpan w:val="2"/>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454546"/>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Unvested as of December 31, 2022</w:t>
            </w:r>
          </w:p>
        </w:tc>
        <w:tc>
          <w:tcPr>
            <w:tcW w:w="13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459,192</w:t>
            </w:r>
          </w:p>
        </w:tc>
        <w:tc>
          <w:tcPr>
            <w:tcW w:w="140" w:type="dxa"/>
            <w:vAlign w:val="bottom"/>
            <w:shd w:val="clear" w:color="auto" w:fill="E5E6E7"/>
          </w:tcPr>
          <w:p>
            <w:pPr>
              <w:spacing w:after="0"/>
              <w:rPr>
                <w:sz w:val="17"/>
                <w:szCs w:val="17"/>
                <w:color w:val="auto"/>
              </w:rPr>
            </w:pPr>
          </w:p>
        </w:tc>
        <w:tc>
          <w:tcPr>
            <w:tcW w:w="1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4.07</w:t>
            </w:r>
          </w:p>
        </w:tc>
        <w:tc>
          <w:tcPr>
            <w:tcW w:w="180" w:type="dxa"/>
            <w:vAlign w:val="bottom"/>
            <w:shd w:val="clear" w:color="auto" w:fill="E5E6E7"/>
          </w:tcPr>
          <w:p>
            <w:pPr>
              <w:spacing w:after="0"/>
              <w:rPr>
                <w:sz w:val="17"/>
                <w:szCs w:val="17"/>
                <w:color w:val="auto"/>
              </w:rPr>
            </w:pPr>
          </w:p>
        </w:tc>
        <w:tc>
          <w:tcPr>
            <w:tcW w:w="108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10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Granted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911,813</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3.06</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Vested</w:t>
            </w:r>
          </w:p>
        </w:tc>
        <w:tc>
          <w:tcPr>
            <w:tcW w:w="150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54546"/>
              </w:rPr>
              <w:t>(254,172)</w:t>
            </w:r>
          </w:p>
        </w:tc>
        <w:tc>
          <w:tcPr>
            <w:tcW w:w="1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3.61</w:t>
            </w:r>
          </w:p>
        </w:tc>
        <w:tc>
          <w:tcPr>
            <w:tcW w:w="180" w:type="dxa"/>
            <w:vAlign w:val="bottom"/>
            <w:shd w:val="clear" w:color="auto" w:fill="E5E6E7"/>
          </w:tcPr>
          <w:p>
            <w:pPr>
              <w:spacing w:after="0"/>
              <w:rPr>
                <w:sz w:val="17"/>
                <w:szCs w:val="17"/>
                <w:color w:val="auto"/>
              </w:rPr>
            </w:pPr>
          </w:p>
        </w:tc>
        <w:tc>
          <w:tcPr>
            <w:tcW w:w="108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120" w:type="dxa"/>
            <w:vAlign w:val="bottom"/>
            <w:shd w:val="clear" w:color="auto" w:fill="E5E6E7"/>
          </w:tcPr>
          <w:p>
            <w:pPr>
              <w:spacing w:after="0"/>
              <w:rPr>
                <w:sz w:val="17"/>
                <w:szCs w:val="17"/>
                <w:color w:val="auto"/>
              </w:rPr>
            </w:pPr>
          </w:p>
        </w:tc>
        <w:tc>
          <w:tcPr>
            <w:tcW w:w="100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Forfeited</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454546"/>
              </w:rPr>
              <w:t>(28,557)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3.70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Unvested as of December 31, 2023</w:t>
            </w:r>
          </w:p>
        </w:tc>
        <w:tc>
          <w:tcPr>
            <w:tcW w:w="300" w:type="dxa"/>
            <w:vAlign w:val="bottom"/>
            <w:tcBorders>
              <w:top w:val="single" w:sz="8" w:color="E5E6E7"/>
            </w:tcBorders>
            <w:shd w:val="clear" w:color="auto" w:fill="E5E6E7"/>
          </w:tcPr>
          <w:p>
            <w:pPr>
              <w:spacing w:after="0"/>
              <w:rPr>
                <w:sz w:val="17"/>
                <w:szCs w:val="17"/>
                <w:color w:val="auto"/>
              </w:rPr>
            </w:pPr>
          </w:p>
        </w:tc>
        <w:tc>
          <w:tcPr>
            <w:tcW w:w="1060" w:type="dxa"/>
            <w:vAlign w:val="bottom"/>
            <w:tcBorders>
              <w:top w:val="single" w:sz="8" w:color="454546"/>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1,088,276</w:t>
            </w:r>
          </w:p>
        </w:tc>
        <w:tc>
          <w:tcPr>
            <w:tcW w:w="140" w:type="dxa"/>
            <w:vAlign w:val="bottom"/>
            <w:tcBorders>
              <w:top w:val="single" w:sz="8" w:color="E5E6E7"/>
            </w:tcBorders>
            <w:shd w:val="clear" w:color="auto" w:fill="E5E6E7"/>
          </w:tcPr>
          <w:p>
            <w:pPr>
              <w:spacing w:after="0"/>
              <w:rPr>
                <w:sz w:val="17"/>
                <w:szCs w:val="17"/>
                <w:color w:val="auto"/>
              </w:rPr>
            </w:pPr>
          </w:p>
        </w:tc>
        <w:tc>
          <w:tcPr>
            <w:tcW w:w="160" w:type="dxa"/>
            <w:vAlign w:val="bottom"/>
            <w:tcBorders>
              <w:top w:val="single" w:sz="8" w:color="E5E6E7"/>
            </w:tcBorders>
            <w:gridSpan w:val="2"/>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w:t>
            </w:r>
          </w:p>
        </w:tc>
        <w:tc>
          <w:tcPr>
            <w:tcW w:w="960" w:type="dxa"/>
            <w:vAlign w:val="bottom"/>
            <w:tcBorders>
              <w:top w:val="single" w:sz="8" w:color="E5E6E7"/>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3.34</w:t>
            </w:r>
          </w:p>
        </w:tc>
        <w:tc>
          <w:tcPr>
            <w:tcW w:w="1260" w:type="dxa"/>
            <w:vAlign w:val="bottom"/>
            <w:tcBorders>
              <w:top w:val="single" w:sz="8" w:color="E5E6E7"/>
            </w:tcBorders>
            <w:gridSpan w:val="2"/>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1.19</w:t>
            </w:r>
          </w:p>
        </w:tc>
        <w:tc>
          <w:tcPr>
            <w:tcW w:w="320" w:type="dxa"/>
            <w:vAlign w:val="bottom"/>
            <w:tcBorders>
              <w:top w:val="single" w:sz="8" w:color="E5E6E7"/>
            </w:tcBorders>
            <w:gridSpan w:val="2"/>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w:t>
            </w:r>
          </w:p>
        </w:tc>
        <w:tc>
          <w:tcPr>
            <w:tcW w:w="1000" w:type="dxa"/>
            <w:vAlign w:val="bottom"/>
            <w:tcBorders>
              <w:top w:val="single" w:sz="8" w:color="E5E6E7"/>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3,526</w:t>
            </w:r>
          </w:p>
        </w:tc>
        <w:tc>
          <w:tcPr>
            <w:tcW w:w="80" w:type="dxa"/>
            <w:vAlign w:val="bottom"/>
            <w:tcBorders>
              <w:top w:val="single" w:sz="8" w:color="E5E6E7"/>
            </w:tcBorders>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24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2023, there was $3.0 million of unrecognized stock-based compensation cost related to RSUs, which is expected to be recognized over an estimated weighted-average period of 2.3 years.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2021 Employee Stock Purchase Plan</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Under the Company's 2021 Employee Stock Purchase Plan (ESPP), the Company initially reserved 800,000 shares for future issuance.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December 31, 2023, 1,405,394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years ended December 30, 2023 and 2022, the stock-based compensation expense for ESPP was not material.</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 summarizes stock-based compensation recognized in the Company’s statements of operations and comprehensive loss: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115</w:t>
      </w:r>
    </w:p>
    <w:p>
      <w:pPr>
        <w:sectPr>
          <w:pgSz w:w="11880" w:h="15480" w:orient="portrait"/>
          <w:cols w:equalWidth="0" w:num="1">
            <w:col w:w="9360"/>
          </w:cols>
          <w:pgMar w:left="1260" w:top="1240" w:right="1260"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454546"/>
              </w:rPr>
              <w:t>Year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4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Borders>
              <w:bottom w:val="single" w:sz="8" w:color="454546"/>
            </w:tcBorders>
          </w:tcPr>
          <w:p>
            <w:pPr>
              <w:spacing w:after="0"/>
              <w:rPr>
                <w:sz w:val="19"/>
                <w:szCs w:val="19"/>
                <w:color w:val="auto"/>
              </w:rPr>
            </w:pPr>
          </w:p>
        </w:tc>
        <w:tc>
          <w:tcPr>
            <w:tcW w:w="1260" w:type="dxa"/>
            <w:vAlign w:val="bottom"/>
            <w:tcBorders>
              <w:bottom w:val="single" w:sz="8" w:color="454546"/>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980" w:type="dxa"/>
            <w:vAlign w:val="bottom"/>
            <w:tcBorders>
              <w:bottom w:val="single" w:sz="8" w:color="454546"/>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Borders>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520" w:type="dxa"/>
            <w:vAlign w:val="bottom"/>
            <w:tcBorders>
              <w:bottom w:val="single" w:sz="8" w:color="454546"/>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right"/>
              <w:ind w:right="450"/>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c>
          <w:tcPr>
            <w:tcW w:w="100" w:type="dxa"/>
            <w:vAlign w:val="bottom"/>
          </w:tcPr>
          <w:p>
            <w:pPr>
              <w:spacing w:after="0"/>
              <w:rPr>
                <w:sz w:val="17"/>
                <w:szCs w:val="17"/>
                <w:color w:val="auto"/>
              </w:rPr>
            </w:pPr>
          </w:p>
        </w:tc>
      </w:tr>
      <w:tr>
        <w:trPr>
          <w:trHeight w:val="197"/>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2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Research and development</w:t>
            </w:r>
          </w:p>
        </w:tc>
        <w:tc>
          <w:tcPr>
            <w:tcW w:w="2780" w:type="dxa"/>
            <w:vAlign w:val="bottom"/>
            <w:gridSpan w:val="2"/>
            <w:shd w:val="clear" w:color="auto" w:fill="E5E6E7"/>
          </w:tcPr>
          <w:p>
            <w:pPr>
              <w:jc w:val="right"/>
              <w:ind w:right="750"/>
              <w:spacing w:after="0"/>
              <w:rPr>
                <w:sz w:val="20"/>
                <w:szCs w:val="20"/>
                <w:color w:val="auto"/>
              </w:rPr>
            </w:pPr>
            <w:r>
              <w:rPr>
                <w:rFonts w:ascii="Times New Roman" w:cs="Times New Roman" w:eastAsia="Times New Roman" w:hAnsi="Times New Roman"/>
                <w:sz w:val="18"/>
                <w:szCs w:val="18"/>
                <w:color w:val="454546"/>
              </w:rPr>
              <w:t>$</w:t>
            </w: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7,039</w:t>
            </w:r>
          </w:p>
        </w:tc>
        <w:tc>
          <w:tcPr>
            <w:tcW w:w="740" w:type="dxa"/>
            <w:vAlign w:val="bottom"/>
            <w:gridSpan w:val="2"/>
            <w:shd w:val="clear" w:color="auto" w:fill="E5E6E7"/>
          </w:tcPr>
          <w:p>
            <w:pPr>
              <w:jc w:val="right"/>
              <w:ind w:right="290"/>
              <w:spacing w:after="0"/>
              <w:rPr>
                <w:sz w:val="20"/>
                <w:szCs w:val="20"/>
                <w:color w:val="auto"/>
              </w:rPr>
            </w:pPr>
            <w:r>
              <w:rPr>
                <w:rFonts w:ascii="Times New Roman" w:cs="Times New Roman" w:eastAsia="Times New Roman" w:hAnsi="Times New Roman"/>
                <w:sz w:val="18"/>
                <w:szCs w:val="18"/>
                <w:color w:val="454546"/>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4,914</w:t>
            </w:r>
          </w:p>
        </w:tc>
        <w:tc>
          <w:tcPr>
            <w:tcW w:w="100" w:type="dxa"/>
            <w:vAlign w:val="bottom"/>
            <w:shd w:val="clear" w:color="auto" w:fill="E5E6E7"/>
          </w:tcPr>
          <w:p>
            <w:pPr>
              <w:spacing w:after="0"/>
              <w:rPr>
                <w:sz w:val="17"/>
                <w:szCs w:val="17"/>
                <w:color w:val="auto"/>
              </w:rPr>
            </w:pPr>
          </w:p>
        </w:tc>
      </w:tr>
      <w:tr>
        <w:trPr>
          <w:trHeight w:val="207"/>
        </w:trPr>
        <w:tc>
          <w:tcPr>
            <w:tcW w:w="42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General and administrative</w:t>
            </w:r>
          </w:p>
        </w:tc>
        <w:tc>
          <w:tcPr>
            <w:tcW w:w="1840" w:type="dxa"/>
            <w:vAlign w:val="bottom"/>
            <w:tcBorders>
              <w:bottom w:val="single" w:sz="8" w:color="E5E6E7"/>
            </w:tcBorders>
          </w:tcPr>
          <w:p>
            <w:pPr>
              <w:spacing w:after="0"/>
              <w:rPr>
                <w:sz w:val="17"/>
                <w:szCs w:val="17"/>
                <w:color w:val="auto"/>
              </w:rPr>
            </w:pPr>
          </w:p>
        </w:tc>
        <w:tc>
          <w:tcPr>
            <w:tcW w:w="940" w:type="dxa"/>
            <w:vAlign w:val="bottom"/>
            <w:tcBorders>
              <w:bottom w:val="single" w:sz="8" w:color="454546"/>
            </w:tcBorders>
          </w:tcPr>
          <w:p>
            <w:pPr>
              <w:spacing w:after="0"/>
              <w:rPr>
                <w:sz w:val="17"/>
                <w:szCs w:val="17"/>
                <w:color w:val="auto"/>
              </w:rPr>
            </w:pPr>
          </w:p>
        </w:tc>
        <w:tc>
          <w:tcPr>
            <w:tcW w:w="5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8,270</w:t>
            </w:r>
          </w:p>
        </w:tc>
        <w:tc>
          <w:tcPr>
            <w:tcW w:w="260" w:type="dxa"/>
            <w:vAlign w:val="bottom"/>
            <w:tcBorders>
              <w:bottom w:val="single" w:sz="8" w:color="E5E6E7"/>
            </w:tcBorders>
          </w:tcPr>
          <w:p>
            <w:pPr>
              <w:spacing w:after="0"/>
              <w:rPr>
                <w:sz w:val="17"/>
                <w:szCs w:val="17"/>
                <w:color w:val="auto"/>
              </w:rPr>
            </w:pPr>
          </w:p>
        </w:tc>
        <w:tc>
          <w:tcPr>
            <w:tcW w:w="48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6,553</w:t>
            </w:r>
          </w:p>
        </w:tc>
        <w:tc>
          <w:tcPr>
            <w:tcW w:w="100" w:type="dxa"/>
            <w:vAlign w:val="bottom"/>
            <w:tcBorders>
              <w:bottom w:val="single" w:sz="8" w:color="E5E6E7"/>
            </w:tcBorders>
          </w:tcPr>
          <w:p>
            <w:pPr>
              <w:spacing w:after="0"/>
              <w:rPr>
                <w:sz w:val="17"/>
                <w:szCs w:val="17"/>
                <w:color w:val="auto"/>
              </w:rPr>
            </w:pPr>
          </w:p>
        </w:tc>
      </w:tr>
      <w:tr>
        <w:trPr>
          <w:trHeight w:val="197"/>
        </w:trPr>
        <w:tc>
          <w:tcPr>
            <w:tcW w:w="4240" w:type="dxa"/>
            <w:vAlign w:val="bottom"/>
            <w:shd w:val="clear" w:color="auto" w:fill="E5E6E7"/>
          </w:tcPr>
          <w:p>
            <w:pPr>
              <w:ind w:left="100"/>
              <w:spacing w:after="0" w:line="197" w:lineRule="exact"/>
              <w:rPr>
                <w:sz w:val="20"/>
                <w:szCs w:val="20"/>
                <w:color w:val="auto"/>
              </w:rPr>
            </w:pPr>
            <w:r>
              <w:rPr>
                <w:rFonts w:ascii="Times New Roman" w:cs="Times New Roman" w:eastAsia="Times New Roman" w:hAnsi="Times New Roman"/>
                <w:sz w:val="18"/>
                <w:szCs w:val="18"/>
                <w:color w:val="454546"/>
              </w:rPr>
              <w:t>Total stock-based compensation</w:t>
            </w:r>
          </w:p>
        </w:tc>
        <w:tc>
          <w:tcPr>
            <w:tcW w:w="1840" w:type="dxa"/>
            <w:vAlign w:val="bottom"/>
            <w:shd w:val="clear" w:color="auto" w:fill="E5E6E7"/>
          </w:tcPr>
          <w:p>
            <w:pPr>
              <w:spacing w:after="0"/>
              <w:rPr>
                <w:sz w:val="17"/>
                <w:szCs w:val="17"/>
                <w:color w:val="auto"/>
              </w:rPr>
            </w:pPr>
          </w:p>
        </w:tc>
        <w:tc>
          <w:tcPr>
            <w:tcW w:w="940" w:type="dxa"/>
            <w:vAlign w:val="bottom"/>
            <w:tcBorders>
              <w:bottom w:val="single" w:sz="8" w:color="454546"/>
            </w:tcBorders>
            <w:shd w:val="clear" w:color="auto" w:fill="E5E6E7"/>
          </w:tcPr>
          <w:p>
            <w:pPr>
              <w:jc w:val="right"/>
              <w:ind w:right="75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52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15,309</w:t>
            </w:r>
          </w:p>
        </w:tc>
        <w:tc>
          <w:tcPr>
            <w:tcW w:w="260" w:type="dxa"/>
            <w:vAlign w:val="bottom"/>
            <w:shd w:val="clear" w:color="auto" w:fill="E5E6E7"/>
          </w:tcPr>
          <w:p>
            <w:pPr>
              <w:spacing w:after="0"/>
              <w:rPr>
                <w:sz w:val="17"/>
                <w:szCs w:val="17"/>
                <w:color w:val="auto"/>
              </w:rPr>
            </w:pPr>
          </w:p>
        </w:tc>
        <w:tc>
          <w:tcPr>
            <w:tcW w:w="480" w:type="dxa"/>
            <w:vAlign w:val="bottom"/>
            <w:tcBorders>
              <w:bottom w:val="single" w:sz="8" w:color="454546"/>
            </w:tcBorders>
            <w:shd w:val="clear" w:color="auto" w:fill="E5E6E7"/>
          </w:tcPr>
          <w:p>
            <w:pPr>
              <w:jc w:val="right"/>
              <w:ind w:right="29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980" w:type="dxa"/>
            <w:vAlign w:val="bottom"/>
            <w:tcBorders>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11,467</w:t>
            </w:r>
          </w:p>
        </w:tc>
        <w:tc>
          <w:tcPr>
            <w:tcW w:w="100" w:type="dxa"/>
            <w:vAlign w:val="bottom"/>
            <w:shd w:val="clear" w:color="auto" w:fill="E5E6E7"/>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52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8. Income Taxes</w:t>
      </w:r>
    </w:p>
    <w:p>
      <w:pPr>
        <w:spacing w:after="0" w:line="124"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454546"/>
        </w:rPr>
        <w:t>No provision for or benefit from income taxes was recorded during the years ended December 31, 2023 and 2022.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 and liabilities for financial reporting purposes and the amounts used for income tax purposes, as well as operating losses and tax credit carryforwards.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Effective Tax Rate Reconciliation</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454546"/>
        </w:rPr>
        <w:t>The effective tax rate of the Company’s provision for income taxes differs from the federal statutory rate and the effective tax rate reconciliation is as follows:</w:t>
      </w:r>
    </w:p>
    <w:p>
      <w:pPr>
        <w:spacing w:after="0" w:line="4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454546"/>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Borders>
              <w:bottom w:val="single" w:sz="8" w:color="E5E6E7"/>
            </w:tcBorders>
            <w:gridSpan w:val="2"/>
          </w:tcPr>
          <w:p>
            <w:pPr>
              <w:spacing w:after="0"/>
              <w:rPr>
                <w:sz w:val="17"/>
                <w:szCs w:val="17"/>
                <w:color w:val="auto"/>
              </w:rPr>
            </w:pPr>
          </w:p>
        </w:tc>
        <w:tc>
          <w:tcPr>
            <w:tcW w:w="1420" w:type="dxa"/>
            <w:vAlign w:val="bottom"/>
            <w:tcBorders>
              <w:top w:val="single" w:sz="8" w:color="454546"/>
              <w:bottom w:val="single" w:sz="8" w:color="454546"/>
            </w:tcBorders>
          </w:tcPr>
          <w:p>
            <w:pPr>
              <w:jc w:val="right"/>
              <w:ind w:right="150"/>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600" w:type="dxa"/>
            <w:vAlign w:val="bottom"/>
            <w:tcBorders>
              <w:top w:val="single" w:sz="8" w:color="454546"/>
              <w:bottom w:val="single" w:sz="8" w:color="454546"/>
            </w:tcBorders>
          </w:tcPr>
          <w:p>
            <w:pPr>
              <w:spacing w:after="0"/>
              <w:rPr>
                <w:sz w:val="17"/>
                <w:szCs w:val="17"/>
                <w:color w:val="auto"/>
              </w:rPr>
            </w:pPr>
          </w:p>
        </w:tc>
        <w:tc>
          <w:tcPr>
            <w:tcW w:w="380" w:type="dxa"/>
            <w:vAlign w:val="bottom"/>
            <w:tcBorders>
              <w:top w:val="single" w:sz="8" w:color="454546"/>
            </w:tcBorders>
          </w:tcPr>
          <w:p>
            <w:pPr>
              <w:spacing w:after="0"/>
              <w:rPr>
                <w:sz w:val="17"/>
                <w:szCs w:val="17"/>
                <w:color w:val="auto"/>
              </w:rPr>
            </w:pPr>
          </w:p>
        </w:tc>
        <w:tc>
          <w:tcPr>
            <w:tcW w:w="2040" w:type="dxa"/>
            <w:vAlign w:val="bottom"/>
            <w:tcBorders>
              <w:top w:val="single" w:sz="8" w:color="454546"/>
              <w:bottom w:val="single" w:sz="8" w:color="454546"/>
            </w:tcBorders>
          </w:tcPr>
          <w:p>
            <w:pPr>
              <w:jc w:val="right"/>
              <w:ind w:right="750"/>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c>
          <w:tcPr>
            <w:tcW w:w="140" w:type="dxa"/>
            <w:vAlign w:val="bottom"/>
          </w:tcPr>
          <w:p>
            <w:pPr>
              <w:spacing w:after="0"/>
              <w:rPr>
                <w:sz w:val="17"/>
                <w:szCs w:val="17"/>
                <w:color w:val="auto"/>
              </w:rPr>
            </w:pPr>
          </w:p>
        </w:tc>
      </w:tr>
      <w:tr>
        <w:trPr>
          <w:trHeight w:val="197"/>
        </w:trPr>
        <w:tc>
          <w:tcPr>
            <w:tcW w:w="4560" w:type="dxa"/>
            <w:vAlign w:val="bottom"/>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U.S. federal taxes at statutory rate</w:t>
            </w:r>
          </w:p>
        </w:tc>
        <w:tc>
          <w:tcPr>
            <w:tcW w:w="220" w:type="dxa"/>
            <w:vAlign w:val="bottom"/>
            <w:shd w:val="clear" w:color="auto" w:fill="E5E6E7"/>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454546"/>
              </w:rPr>
              <w:t>21.0%</w:t>
            </w:r>
          </w:p>
        </w:tc>
        <w:tc>
          <w:tcPr>
            <w:tcW w:w="21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454546"/>
              </w:rPr>
              <w:t>21.0%</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State taxes (net of federal benefit)</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1.2</w:t>
            </w:r>
          </w:p>
        </w:tc>
        <w:tc>
          <w:tcPr>
            <w:tcW w:w="3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1.2</w:t>
            </w:r>
          </w:p>
        </w:tc>
        <w:tc>
          <w:tcPr>
            <w:tcW w:w="140" w:type="dxa"/>
            <w:vAlign w:val="bottom"/>
          </w:tcPr>
          <w:p>
            <w:pPr>
              <w:spacing w:after="0"/>
              <w:rPr>
                <w:sz w:val="17"/>
                <w:szCs w:val="17"/>
                <w:color w:val="auto"/>
              </w:rPr>
            </w:pP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Credits</w:t>
            </w:r>
          </w:p>
        </w:tc>
        <w:tc>
          <w:tcPr>
            <w:tcW w:w="1640" w:type="dxa"/>
            <w:vAlign w:val="bottom"/>
            <w:gridSpan w:val="2"/>
            <w:shd w:val="clear" w:color="auto" w:fill="E5E6E7"/>
          </w:tcPr>
          <w:p>
            <w:pPr>
              <w:spacing w:after="0"/>
              <w:rPr>
                <w:sz w:val="17"/>
                <w:szCs w:val="17"/>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3.7</w:t>
            </w:r>
          </w:p>
        </w:tc>
        <w:tc>
          <w:tcPr>
            <w:tcW w:w="380" w:type="dxa"/>
            <w:vAlign w:val="bottom"/>
            <w:shd w:val="clear" w:color="auto" w:fill="E5E6E7"/>
          </w:tcPr>
          <w:p>
            <w:pPr>
              <w:spacing w:after="0"/>
              <w:rPr>
                <w:sz w:val="17"/>
                <w:szCs w:val="17"/>
                <w:color w:val="auto"/>
              </w:rPr>
            </w:pPr>
          </w:p>
        </w:tc>
        <w:tc>
          <w:tcPr>
            <w:tcW w:w="2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2.8</w:t>
            </w:r>
          </w:p>
        </w:tc>
        <w:tc>
          <w:tcPr>
            <w:tcW w:w="140" w:type="dxa"/>
            <w:vAlign w:val="bottom"/>
            <w:shd w:val="clear" w:color="auto" w:fill="E5E6E7"/>
          </w:tcPr>
          <w:p>
            <w:pPr>
              <w:spacing w:after="0"/>
              <w:rPr>
                <w:sz w:val="17"/>
                <w:szCs w:val="17"/>
                <w:color w:val="auto"/>
              </w:rPr>
            </w:pP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Stock-based compensation</w:t>
            </w:r>
          </w:p>
        </w:tc>
        <w:tc>
          <w:tcPr>
            <w:tcW w:w="1640" w:type="dxa"/>
            <w:vAlign w:val="bottom"/>
            <w:gridSpan w:val="2"/>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54546"/>
              </w:rPr>
              <w:t>(0.3)</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54546"/>
              </w:rPr>
              <w:t>(0.3)</w:t>
            </w: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Change in valuation allowance</w:t>
            </w:r>
          </w:p>
        </w:tc>
        <w:tc>
          <w:tcPr>
            <w:tcW w:w="1640" w:type="dxa"/>
            <w:vAlign w:val="bottom"/>
            <w:gridSpan w:val="2"/>
            <w:shd w:val="clear" w:color="auto" w:fill="E5E6E7"/>
          </w:tcPr>
          <w:p>
            <w:pPr>
              <w:spacing w:after="0"/>
              <w:rPr>
                <w:sz w:val="17"/>
                <w:szCs w:val="17"/>
                <w:color w:val="auto"/>
              </w:rPr>
            </w:pPr>
          </w:p>
        </w:tc>
        <w:tc>
          <w:tcPr>
            <w:tcW w:w="980" w:type="dxa"/>
            <w:vAlign w:val="bottom"/>
            <w:gridSpan w:val="2"/>
            <w:shd w:val="clear" w:color="auto" w:fill="E5E6E7"/>
          </w:tcPr>
          <w:p>
            <w:pPr>
              <w:jc w:val="right"/>
              <w:ind w:right="320"/>
              <w:spacing w:after="0"/>
              <w:rPr>
                <w:sz w:val="20"/>
                <w:szCs w:val="20"/>
                <w:color w:val="auto"/>
              </w:rPr>
            </w:pPr>
            <w:r>
              <w:rPr>
                <w:rFonts w:ascii="Times New Roman" w:cs="Times New Roman" w:eastAsia="Times New Roman" w:hAnsi="Times New Roman"/>
                <w:sz w:val="18"/>
                <w:szCs w:val="18"/>
                <w:color w:val="454546"/>
              </w:rPr>
              <w:t>(24.4)</w:t>
            </w:r>
          </w:p>
        </w:tc>
        <w:tc>
          <w:tcPr>
            <w:tcW w:w="21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54546"/>
              </w:rPr>
              <w:t>(24.1)</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Other</w:t>
            </w:r>
          </w:p>
        </w:tc>
        <w:tc>
          <w:tcPr>
            <w:tcW w:w="1640" w:type="dxa"/>
            <w:vAlign w:val="bottom"/>
            <w:gridSpan w:val="2"/>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54546"/>
              </w:rPr>
              <w:t>(1.2)</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54546"/>
              </w:rPr>
              <w:t>(0.6)</w:t>
            </w:r>
          </w:p>
        </w:tc>
      </w:tr>
      <w:tr>
        <w:trPr>
          <w:trHeight w:val="197"/>
        </w:trPr>
        <w:tc>
          <w:tcPr>
            <w:tcW w:w="456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Total</w:t>
            </w:r>
          </w:p>
        </w:tc>
        <w:tc>
          <w:tcPr>
            <w:tcW w:w="220" w:type="dxa"/>
            <w:vAlign w:val="bottom"/>
            <w:tcBorders>
              <w:top w:val="single" w:sz="8" w:color="E5E6E7"/>
            </w:tcBorders>
            <w:shd w:val="clear" w:color="auto" w:fill="E5E6E7"/>
          </w:tcPr>
          <w:p>
            <w:pPr>
              <w:spacing w:after="0"/>
              <w:rPr>
                <w:sz w:val="17"/>
                <w:szCs w:val="17"/>
                <w:color w:val="auto"/>
              </w:rPr>
            </w:pPr>
          </w:p>
        </w:tc>
        <w:tc>
          <w:tcPr>
            <w:tcW w:w="1420" w:type="dxa"/>
            <w:vAlign w:val="bottom"/>
            <w:tcBorders>
              <w:top w:val="single" w:sz="8" w:color="454546"/>
              <w:bottom w:val="single" w:sz="8" w:color="454546"/>
            </w:tcBorders>
            <w:shd w:val="clear" w:color="auto" w:fill="E5E6E7"/>
          </w:tcPr>
          <w:p>
            <w:pPr>
              <w:spacing w:after="0"/>
              <w:rPr>
                <w:sz w:val="17"/>
                <w:szCs w:val="17"/>
                <w:color w:val="auto"/>
              </w:rPr>
            </w:pPr>
          </w:p>
        </w:tc>
        <w:tc>
          <w:tcPr>
            <w:tcW w:w="600" w:type="dxa"/>
            <w:vAlign w:val="bottom"/>
            <w:tcBorders>
              <w:top w:val="single" w:sz="8" w:color="454546"/>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w:t>
            </w:r>
          </w:p>
        </w:tc>
        <w:tc>
          <w:tcPr>
            <w:tcW w:w="380" w:type="dxa"/>
            <w:vAlign w:val="bottom"/>
            <w:tcBorders>
              <w:top w:val="single" w:sz="8" w:color="E5E6E7"/>
            </w:tcBorders>
            <w:shd w:val="clear" w:color="auto" w:fill="E5E6E7"/>
          </w:tcPr>
          <w:p>
            <w:pPr>
              <w:spacing w:after="0"/>
              <w:rPr>
                <w:sz w:val="17"/>
                <w:szCs w:val="17"/>
                <w:color w:val="auto"/>
              </w:rPr>
            </w:pPr>
          </w:p>
        </w:tc>
        <w:tc>
          <w:tcPr>
            <w:tcW w:w="2040" w:type="dxa"/>
            <w:vAlign w:val="bottom"/>
            <w:tcBorders>
              <w:top w:val="single" w:sz="8" w:color="454546"/>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w:t>
            </w:r>
          </w:p>
        </w:tc>
        <w:tc>
          <w:tcPr>
            <w:tcW w:w="140" w:type="dxa"/>
            <w:vAlign w:val="bottom"/>
            <w:tcBorders>
              <w:top w:val="single" w:sz="8" w:color="E5E6E7"/>
            </w:tcBorders>
            <w:shd w:val="clear" w:color="auto" w:fill="E5E6E7"/>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454546"/>
            </w:tcBorders>
          </w:tcPr>
          <w:p>
            <w:pPr>
              <w:spacing w:after="0" w:line="20" w:lineRule="exact"/>
              <w:rPr>
                <w:sz w:val="1"/>
                <w:szCs w:val="1"/>
                <w:color w:val="auto"/>
              </w:rPr>
            </w:pPr>
          </w:p>
        </w:tc>
        <w:tc>
          <w:tcPr>
            <w:tcW w:w="600" w:type="dxa"/>
            <w:vAlign w:val="bottom"/>
            <w:tcBorders>
              <w:bottom w:val="single" w:sz="8" w:color="454546"/>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3030220</wp:posOffset>
                </wp:positionH>
                <wp:positionV relativeFrom="paragraph">
                  <wp:posOffset>-954405</wp:posOffset>
                </wp:positionV>
                <wp:extent cx="1292225" cy="13144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31445"/>
                        </a:xfrm>
                        <a:prstGeom prst="rect">
                          <a:avLst/>
                        </a:prstGeom>
                        <a:solidFill>
                          <a:srgbClr val="E5E6E7"/>
                        </a:solidFill>
                      </wps:spPr>
                      <wps:bodyPr/>
                    </wps:wsp>
                  </a:graphicData>
                </a:graphic>
              </wp:anchor>
            </w:drawing>
          </mc:Choice>
          <mc:Fallback>
            <w:pict>
              <v:rect id="Shape 11" o:spid="_x0000_s1036" style="position:absolute;margin-left:238.6pt;margin-top:-75.1499pt;width:101.7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4322445</wp:posOffset>
                </wp:positionH>
                <wp:positionV relativeFrom="paragraph">
                  <wp:posOffset>-960755</wp:posOffset>
                </wp:positionV>
                <wp:extent cx="233680" cy="13779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680" cy="137795"/>
                        </a:xfrm>
                        <a:prstGeom prst="rect">
                          <a:avLst/>
                        </a:prstGeom>
                        <a:solidFill>
                          <a:srgbClr val="E5E6E7"/>
                        </a:solidFill>
                      </wps:spPr>
                      <wps:bodyPr/>
                    </wps:wsp>
                  </a:graphicData>
                </a:graphic>
              </wp:anchor>
            </w:drawing>
          </mc:Choice>
          <mc:Fallback>
            <w:pict>
              <v:rect id="Shape 12" o:spid="_x0000_s1037" style="position:absolute;margin-left:340.35pt;margin-top:-75.6499pt;width:18.4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4556125</wp:posOffset>
                </wp:positionH>
                <wp:positionV relativeFrom="paragraph">
                  <wp:posOffset>-954405</wp:posOffset>
                </wp:positionV>
                <wp:extent cx="1292225" cy="13144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31445"/>
                        </a:xfrm>
                        <a:prstGeom prst="rect">
                          <a:avLst/>
                        </a:prstGeom>
                        <a:solidFill>
                          <a:srgbClr val="E5E6E7"/>
                        </a:solidFill>
                      </wps:spPr>
                      <wps:bodyPr/>
                    </wps:wsp>
                  </a:graphicData>
                </a:graphic>
              </wp:anchor>
            </w:drawing>
          </mc:Choice>
          <mc:Fallback>
            <w:pict>
              <v:rect id="Shape 13" o:spid="_x0000_s1038" style="position:absolute;margin-left:358.75pt;margin-top:-75.1499pt;width:101.7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A reconciliation of the beginning and ending amount of unrecognized tax benefits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Borders>
              <w:bottom w:val="single" w:sz="8" w:color="454546"/>
            </w:tcBorders>
          </w:tcPr>
          <w:p>
            <w:pPr>
              <w:spacing w:after="0"/>
              <w:rPr>
                <w:sz w:val="19"/>
                <w:szCs w:val="19"/>
                <w:color w:val="auto"/>
              </w:rPr>
            </w:pPr>
          </w:p>
        </w:tc>
        <w:tc>
          <w:tcPr>
            <w:tcW w:w="1600" w:type="dxa"/>
            <w:vAlign w:val="bottom"/>
            <w:tcBorders>
              <w:bottom w:val="single" w:sz="8" w:color="454546"/>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1420" w:type="dxa"/>
            <w:vAlign w:val="bottom"/>
            <w:tcBorders>
              <w:bottom w:val="single" w:sz="8" w:color="454546"/>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Borders>
              <w:bottom w:val="single" w:sz="8" w:color="454546"/>
            </w:tcBorders>
          </w:tcPr>
          <w:p>
            <w:pPr>
              <w:jc w:val="right"/>
              <w:ind w:right="133"/>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620" w:type="dxa"/>
            <w:vAlign w:val="bottom"/>
            <w:tcBorders>
              <w:bottom w:val="single" w:sz="8" w:color="454546"/>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454546"/>
            </w:tcBorders>
          </w:tcPr>
          <w:p>
            <w:pPr>
              <w:spacing w:after="0"/>
              <w:rPr>
                <w:sz w:val="17"/>
                <w:szCs w:val="17"/>
                <w:color w:val="auto"/>
              </w:rPr>
            </w:pPr>
          </w:p>
        </w:tc>
        <w:tc>
          <w:tcPr>
            <w:tcW w:w="1420" w:type="dxa"/>
            <w:vAlign w:val="bottom"/>
            <w:tcBorders>
              <w:bottom w:val="single" w:sz="8" w:color="454546"/>
            </w:tcBorders>
          </w:tcPr>
          <w:p>
            <w:pPr>
              <w:jc w:val="right"/>
              <w:ind w:right="750"/>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c>
          <w:tcPr>
            <w:tcW w:w="100" w:type="dxa"/>
            <w:vAlign w:val="bottom"/>
          </w:tcPr>
          <w:p>
            <w:pPr>
              <w:spacing w:after="0"/>
              <w:rPr>
                <w:sz w:val="17"/>
                <w:szCs w:val="17"/>
                <w:color w:val="auto"/>
              </w:rPr>
            </w:pPr>
          </w:p>
        </w:tc>
      </w:tr>
      <w:tr>
        <w:trPr>
          <w:trHeight w:val="197"/>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jc w:val="right"/>
              <w:ind w:right="50"/>
              <w:spacing w:after="0" w:line="197" w:lineRule="exact"/>
              <w:rPr>
                <w:sz w:val="20"/>
                <w:szCs w:val="20"/>
                <w:color w:val="auto"/>
              </w:rPr>
            </w:pPr>
            <w:r>
              <w:rPr>
                <w:rFonts w:ascii="Times New Roman" w:cs="Times New Roman" w:eastAsia="Times New Roman" w:hAnsi="Times New Roman"/>
                <w:sz w:val="18"/>
                <w:szCs w:val="18"/>
                <w:b w:val="1"/>
                <w:bCs w:val="1"/>
                <w:color w:val="454546"/>
              </w:rPr>
              <w:t>(In</w:t>
            </w:r>
          </w:p>
        </w:tc>
        <w:tc>
          <w:tcPr>
            <w:tcW w:w="980" w:type="dxa"/>
            <w:vAlign w:val="bottom"/>
            <w:gridSpan w:val="3"/>
          </w:tcPr>
          <w:p>
            <w:pPr>
              <w:jc w:val="right"/>
              <w:ind w:right="150"/>
              <w:spacing w:after="0" w:line="197" w:lineRule="exact"/>
              <w:rPr>
                <w:sz w:val="20"/>
                <w:szCs w:val="20"/>
                <w:color w:val="auto"/>
              </w:rPr>
            </w:pPr>
            <w:r>
              <w:rPr>
                <w:rFonts w:ascii="Times New Roman" w:cs="Times New Roman" w:eastAsia="Times New Roman" w:hAnsi="Times New Roman"/>
                <w:sz w:val="18"/>
                <w:szCs w:val="18"/>
                <w:b w:val="1"/>
                <w:bCs w:val="1"/>
                <w:color w:val="454546"/>
                <w:w w:val="85"/>
              </w:rPr>
              <w:t>thousands)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Balance at beginning of year</w:t>
            </w:r>
          </w:p>
        </w:tc>
        <w:tc>
          <w:tcPr>
            <w:tcW w:w="1680" w:type="dxa"/>
            <w:vAlign w:val="bottom"/>
            <w:gridSpan w:val="2"/>
            <w:shd w:val="clear" w:color="auto" w:fill="E5E6E7"/>
          </w:tcPr>
          <w:p>
            <w:pPr>
              <w:jc w:val="right"/>
              <w:ind w:right="1253"/>
              <w:spacing w:after="0"/>
              <w:rPr>
                <w:sz w:val="20"/>
                <w:szCs w:val="20"/>
                <w:color w:val="auto"/>
              </w:rPr>
            </w:pPr>
            <w:r>
              <w:rPr>
                <w:rFonts w:ascii="Times New Roman" w:cs="Times New Roman" w:eastAsia="Times New Roman" w:hAnsi="Times New Roman"/>
                <w:sz w:val="18"/>
                <w:szCs w:val="18"/>
                <w:color w:val="454546"/>
              </w:rPr>
              <w:t>$</w:t>
            </w:r>
          </w:p>
        </w:tc>
        <w:tc>
          <w:tcPr>
            <w:tcW w:w="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3,141</w:t>
            </w:r>
          </w:p>
        </w:tc>
        <w:tc>
          <w:tcPr>
            <w:tcW w:w="220" w:type="dxa"/>
            <w:vAlign w:val="bottom"/>
            <w:shd w:val="clear" w:color="auto" w:fill="E5E6E7"/>
          </w:tcPr>
          <w:p>
            <w:pPr>
              <w:spacing w:after="0"/>
              <w:rPr>
                <w:sz w:val="17"/>
                <w:szCs w:val="17"/>
                <w:color w:val="auto"/>
              </w:rPr>
            </w:pPr>
          </w:p>
        </w:tc>
        <w:tc>
          <w:tcPr>
            <w:tcW w:w="760" w:type="dxa"/>
            <w:vAlign w:val="bottom"/>
            <w:gridSpan w:val="2"/>
            <w:shd w:val="clear" w:color="auto" w:fill="E5E6E7"/>
          </w:tcPr>
          <w:p>
            <w:pPr>
              <w:jc w:val="right"/>
              <w:ind w:right="430"/>
              <w:spacing w:after="0"/>
              <w:rPr>
                <w:sz w:val="20"/>
                <w:szCs w:val="20"/>
                <w:color w:val="auto"/>
              </w:rPr>
            </w:pPr>
            <w:r>
              <w:rPr>
                <w:rFonts w:ascii="Times New Roman" w:cs="Times New Roman" w:eastAsia="Times New Roman" w:hAnsi="Times New Roman"/>
                <w:sz w:val="18"/>
                <w:szCs w:val="18"/>
                <w:color w:val="454546"/>
              </w:rPr>
              <w:t>$</w:t>
            </w:r>
          </w:p>
        </w:tc>
        <w:tc>
          <w:tcPr>
            <w:tcW w:w="1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1,470</w:t>
            </w: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Additions based on tax positions related to current year</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1,588</w:t>
            </w: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Additions based on tax positions related to prior years</w:t>
            </w:r>
          </w:p>
        </w:tc>
        <w:tc>
          <w:tcPr>
            <w:tcW w:w="260" w:type="dxa"/>
            <w:vAlign w:val="bottom"/>
            <w:shd w:val="clear" w:color="auto" w:fill="E5E6E7"/>
          </w:tcPr>
          <w:p>
            <w:pPr>
              <w:spacing w:after="0"/>
              <w:rPr>
                <w:sz w:val="17"/>
                <w:szCs w:val="17"/>
                <w:color w:val="auto"/>
              </w:rPr>
            </w:pPr>
          </w:p>
        </w:tc>
        <w:tc>
          <w:tcPr>
            <w:tcW w:w="1420" w:type="dxa"/>
            <w:vAlign w:val="bottom"/>
            <w:shd w:val="clear" w:color="auto" w:fill="E5E6E7"/>
          </w:tcPr>
          <w:p>
            <w:pPr>
              <w:spacing w:after="0"/>
              <w:rPr>
                <w:sz w:val="17"/>
                <w:szCs w:val="17"/>
                <w:color w:val="auto"/>
              </w:rPr>
            </w:pPr>
          </w:p>
        </w:tc>
        <w:tc>
          <w:tcPr>
            <w:tcW w:w="840" w:type="dxa"/>
            <w:vAlign w:val="bottom"/>
            <w:gridSpan w:val="2"/>
            <w:shd w:val="clear" w:color="auto" w:fill="E5E6E7"/>
          </w:tcPr>
          <w:p>
            <w:pPr>
              <w:jc w:val="right"/>
              <w:ind w:right="130"/>
              <w:spacing w:after="0"/>
              <w:rPr>
                <w:sz w:val="20"/>
                <w:szCs w:val="20"/>
                <w:color w:val="auto"/>
              </w:rPr>
            </w:pPr>
            <w:r>
              <w:rPr>
                <w:rFonts w:ascii="Times New Roman" w:cs="Times New Roman" w:eastAsia="Times New Roman" w:hAnsi="Times New Roman"/>
                <w:sz w:val="18"/>
                <w:szCs w:val="18"/>
                <w:color w:val="454546"/>
              </w:rPr>
              <w:t>—</w:t>
            </w: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83</w:t>
            </w: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Reductions for tax positions related to prior years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454546"/>
              </w:rPr>
              <w:t>(43)</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54546"/>
              </w:rPr>
              <w:t>—</w:t>
            </w:r>
          </w:p>
        </w:tc>
      </w:tr>
      <w:tr>
        <w:trPr>
          <w:trHeight w:val="197"/>
        </w:trPr>
        <w:tc>
          <w:tcPr>
            <w:tcW w:w="4560" w:type="dxa"/>
            <w:vAlign w:val="bottom"/>
            <w:tcBorders>
              <w:top w:val="single" w:sz="8" w:color="E5E6E7"/>
            </w:tcBorders>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Balance at end of year</w:t>
            </w:r>
          </w:p>
        </w:tc>
        <w:tc>
          <w:tcPr>
            <w:tcW w:w="260" w:type="dxa"/>
            <w:vAlign w:val="bottom"/>
            <w:tcBorders>
              <w:top w:val="single" w:sz="8" w:color="E5E6E7"/>
            </w:tcBorders>
            <w:shd w:val="clear" w:color="auto" w:fill="E5E6E7"/>
          </w:tcPr>
          <w:p>
            <w:pPr>
              <w:spacing w:after="0"/>
              <w:rPr>
                <w:sz w:val="17"/>
                <w:szCs w:val="17"/>
                <w:color w:val="auto"/>
              </w:rPr>
            </w:pPr>
          </w:p>
        </w:tc>
        <w:tc>
          <w:tcPr>
            <w:tcW w:w="1420" w:type="dxa"/>
            <w:vAlign w:val="bottom"/>
            <w:tcBorders>
              <w:top w:val="single" w:sz="8" w:color="454546"/>
              <w:bottom w:val="single" w:sz="8" w:color="454546"/>
            </w:tcBorders>
            <w:shd w:val="clear" w:color="auto" w:fill="E5E6E7"/>
          </w:tcPr>
          <w:p>
            <w:pPr>
              <w:jc w:val="right"/>
              <w:ind w:right="1253"/>
              <w:spacing w:after="0"/>
              <w:rPr>
                <w:sz w:val="20"/>
                <w:szCs w:val="20"/>
                <w:color w:val="auto"/>
              </w:rPr>
            </w:pPr>
            <w:r>
              <w:rPr>
                <w:rFonts w:ascii="Times New Roman" w:cs="Times New Roman" w:eastAsia="Times New Roman" w:hAnsi="Times New Roman"/>
                <w:sz w:val="17"/>
                <w:szCs w:val="17"/>
                <w:color w:val="454546"/>
                <w:w w:val="70"/>
              </w:rPr>
              <w:t>$</w:t>
            </w:r>
          </w:p>
        </w:tc>
        <w:tc>
          <w:tcPr>
            <w:tcW w:w="620" w:type="dxa"/>
            <w:vAlign w:val="bottom"/>
            <w:tcBorders>
              <w:top w:val="single" w:sz="8" w:color="454546"/>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4,521</w:t>
            </w:r>
          </w:p>
        </w:tc>
        <w:tc>
          <w:tcPr>
            <w:tcW w:w="220" w:type="dxa"/>
            <w:vAlign w:val="bottom"/>
            <w:tcBorders>
              <w:top w:val="single" w:sz="8" w:color="E5E6E7"/>
            </w:tcBorders>
            <w:shd w:val="clear" w:color="auto" w:fill="E5E6E7"/>
          </w:tcPr>
          <w:p>
            <w:pPr>
              <w:spacing w:after="0"/>
              <w:rPr>
                <w:sz w:val="17"/>
                <w:szCs w:val="17"/>
                <w:color w:val="auto"/>
              </w:rPr>
            </w:pPr>
          </w:p>
        </w:tc>
        <w:tc>
          <w:tcPr>
            <w:tcW w:w="140" w:type="dxa"/>
            <w:vAlign w:val="bottom"/>
            <w:tcBorders>
              <w:top w:val="single" w:sz="8" w:color="E5E6E7"/>
            </w:tcBorders>
            <w:shd w:val="clear" w:color="auto" w:fill="E5E6E7"/>
          </w:tcPr>
          <w:p>
            <w:pPr>
              <w:spacing w:after="0"/>
              <w:rPr>
                <w:sz w:val="17"/>
                <w:szCs w:val="17"/>
                <w:color w:val="auto"/>
              </w:rPr>
            </w:pPr>
          </w:p>
        </w:tc>
        <w:tc>
          <w:tcPr>
            <w:tcW w:w="620" w:type="dxa"/>
            <w:vAlign w:val="bottom"/>
            <w:tcBorders>
              <w:top w:val="single" w:sz="8" w:color="454546"/>
              <w:bottom w:val="single" w:sz="8" w:color="454546"/>
            </w:tcBorders>
            <w:shd w:val="clear" w:color="auto" w:fill="E5E6E7"/>
          </w:tcPr>
          <w:p>
            <w:pPr>
              <w:jc w:val="right"/>
              <w:ind w:right="430"/>
              <w:spacing w:after="0" w:line="197" w:lineRule="exact"/>
              <w:rPr>
                <w:sz w:val="20"/>
                <w:szCs w:val="20"/>
                <w:color w:val="auto"/>
              </w:rPr>
            </w:pPr>
            <w:r>
              <w:rPr>
                <w:rFonts w:ascii="Times New Roman" w:cs="Times New Roman" w:eastAsia="Times New Roman" w:hAnsi="Times New Roman"/>
                <w:sz w:val="18"/>
                <w:szCs w:val="18"/>
                <w:color w:val="454546"/>
                <w:w w:val="88"/>
              </w:rPr>
              <w:t>$</w:t>
            </w:r>
          </w:p>
        </w:tc>
        <w:tc>
          <w:tcPr>
            <w:tcW w:w="1420" w:type="dxa"/>
            <w:vAlign w:val="bottom"/>
            <w:tcBorders>
              <w:top w:val="single" w:sz="8" w:color="454546"/>
              <w:bottom w:val="single" w:sz="8" w:color="454546"/>
            </w:tcBorders>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3,141</w:t>
            </w:r>
          </w:p>
        </w:tc>
        <w:tc>
          <w:tcPr>
            <w:tcW w:w="100" w:type="dxa"/>
            <w:vAlign w:val="bottom"/>
            <w:tcBorders>
              <w:top w:val="single" w:sz="8" w:color="E5E6E7"/>
            </w:tcBorders>
            <w:shd w:val="clear" w:color="auto" w:fill="E5E6E7"/>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454546"/>
            </w:tcBorders>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14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680" w:firstLine="490"/>
        <w:spacing w:after="0" w:line="258" w:lineRule="auto"/>
        <w:rPr>
          <w:sz w:val="20"/>
          <w:szCs w:val="20"/>
          <w:color w:val="auto"/>
        </w:rPr>
      </w:pPr>
      <w:r>
        <w:rPr>
          <w:rFonts w:ascii="Times New Roman" w:cs="Times New Roman" w:eastAsia="Times New Roman" w:hAnsi="Times New Roman"/>
          <w:sz w:val="20"/>
          <w:szCs w:val="20"/>
          <w:color w:val="454546"/>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The Company files tax returns in U.S. federal and state jurisdictions with varying statutes of limitations. Due to net operating loss and credit carryforwards, all of the tax years since inception through the 2023 tax year remain subject to examination by the U.S. federal and state authorities. The Company is currently not subject to any income tax audits by federal or state taxing authorities.</w:t>
      </w:r>
    </w:p>
    <w:p>
      <w:pPr>
        <w:sectPr>
          <w:pgSz w:w="11880" w:h="15480" w:orient="portrait"/>
          <w:cols w:equalWidth="0" w:num="1">
            <w:col w:w="9360"/>
          </w:cols>
          <w:pgMar w:left="1260" w:top="1239"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116</w:t>
      </w:r>
    </w:p>
    <w:p>
      <w:pPr>
        <w:sectPr>
          <w:pgSz w:w="11880" w:h="15480" w:orient="portrait"/>
          <w:cols w:equalWidth="0" w:num="1">
            <w:col w:w="9360"/>
          </w:cols>
          <w:pgMar w:left="1260" w:top="1239" w:right="1260" w:bottom="0" w:gutter="0" w:footer="0" w:header="0"/>
          <w:type w:val="continuous"/>
        </w:sectPr>
      </w:pPr>
    </w:p>
    <w:bookmarkStart w:id="120" w:name="page121"/>
    <w:bookmarkEnd w:id="120"/>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Deferred Income Taxes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tax effects of significant items comprising the Company’s deferred income taxes are as follows</w:t>
      </w:r>
      <w:r>
        <w:rPr>
          <w:rFonts w:ascii="Times New Roman" w:cs="Times New Roman" w:eastAsia="Times New Roman" w:hAnsi="Times New Roman"/>
          <w:sz w:val="20"/>
          <w:szCs w:val="20"/>
          <w:b w:val="1"/>
          <w:bCs w:val="1"/>
          <w:color w:val="454546"/>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454546"/>
            </w:tcBorders>
          </w:tcPr>
          <w:p>
            <w:pPr>
              <w:spacing w:after="0"/>
              <w:rPr>
                <w:sz w:val="19"/>
                <w:szCs w:val="19"/>
                <w:color w:val="auto"/>
              </w:rPr>
            </w:pPr>
          </w:p>
        </w:tc>
        <w:tc>
          <w:tcPr>
            <w:tcW w:w="1720" w:type="dxa"/>
            <w:vAlign w:val="bottom"/>
            <w:tcBorders>
              <w:bottom w:val="single" w:sz="8" w:color="454546"/>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1420" w:type="dxa"/>
            <w:vAlign w:val="bottom"/>
            <w:tcBorders>
              <w:bottom w:val="single" w:sz="8" w:color="454546"/>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454546"/>
            </w:tcBorders>
          </w:tcPr>
          <w:p>
            <w:pPr>
              <w:jc w:val="right"/>
              <w:ind w:right="28"/>
              <w:spacing w:after="0" w:line="197" w:lineRule="exact"/>
              <w:rPr>
                <w:sz w:val="20"/>
                <w:szCs w:val="20"/>
                <w:color w:val="auto"/>
              </w:rPr>
            </w:pPr>
            <w:r>
              <w:rPr>
                <w:rFonts w:ascii="Times New Roman" w:cs="Times New Roman" w:eastAsia="Times New Roman" w:hAnsi="Times New Roman"/>
                <w:sz w:val="18"/>
                <w:szCs w:val="18"/>
                <w:b w:val="1"/>
                <w:bCs w:val="1"/>
                <w:color w:val="454546"/>
              </w:rPr>
              <w:t>2023</w:t>
            </w:r>
          </w:p>
        </w:tc>
        <w:tc>
          <w:tcPr>
            <w:tcW w:w="740" w:type="dxa"/>
            <w:vAlign w:val="bottom"/>
            <w:tcBorders>
              <w:bottom w:val="single" w:sz="8" w:color="454546"/>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454546"/>
            </w:tcBorders>
          </w:tcPr>
          <w:p>
            <w:pPr>
              <w:spacing w:after="0"/>
              <w:rPr>
                <w:sz w:val="17"/>
                <w:szCs w:val="17"/>
                <w:color w:val="auto"/>
              </w:rPr>
            </w:pPr>
          </w:p>
        </w:tc>
        <w:tc>
          <w:tcPr>
            <w:tcW w:w="1420" w:type="dxa"/>
            <w:vAlign w:val="bottom"/>
            <w:tcBorders>
              <w:bottom w:val="single" w:sz="8" w:color="454546"/>
            </w:tcBorders>
          </w:tcPr>
          <w:p>
            <w:pPr>
              <w:jc w:val="right"/>
              <w:ind w:right="750"/>
              <w:spacing w:after="0" w:line="197" w:lineRule="exact"/>
              <w:rPr>
                <w:sz w:val="20"/>
                <w:szCs w:val="20"/>
                <w:color w:val="auto"/>
              </w:rPr>
            </w:pPr>
            <w:r>
              <w:rPr>
                <w:rFonts w:ascii="Times New Roman" w:cs="Times New Roman" w:eastAsia="Times New Roman" w:hAnsi="Times New Roman"/>
                <w:sz w:val="18"/>
                <w:szCs w:val="18"/>
                <w:b w:val="1"/>
                <w:bCs w:val="1"/>
                <w:color w:val="454546"/>
              </w:rPr>
              <w:t>2022</w:t>
            </w:r>
          </w:p>
        </w:tc>
        <w:tc>
          <w:tcPr>
            <w:tcW w:w="100" w:type="dxa"/>
            <w:vAlign w:val="bottom"/>
          </w:tcPr>
          <w:p>
            <w:pPr>
              <w:spacing w:after="0"/>
              <w:rPr>
                <w:sz w:val="17"/>
                <w:szCs w:val="17"/>
                <w:color w:val="auto"/>
              </w:rPr>
            </w:pPr>
          </w:p>
        </w:tc>
      </w:tr>
      <w:tr>
        <w:trPr>
          <w:trHeight w:val="197"/>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ind w:right="50"/>
              <w:spacing w:after="0" w:line="197" w:lineRule="exact"/>
              <w:rPr>
                <w:sz w:val="20"/>
                <w:szCs w:val="20"/>
                <w:color w:val="auto"/>
              </w:rPr>
            </w:pPr>
            <w:r>
              <w:rPr>
                <w:rFonts w:ascii="Times New Roman" w:cs="Times New Roman" w:eastAsia="Times New Roman" w:hAnsi="Times New Roman"/>
                <w:sz w:val="18"/>
                <w:szCs w:val="18"/>
                <w:b w:val="1"/>
                <w:bCs w:val="1"/>
                <w:color w:val="454546"/>
              </w:rPr>
              <w:t>(In</w:t>
            </w:r>
          </w:p>
        </w:tc>
        <w:tc>
          <w:tcPr>
            <w:tcW w:w="980" w:type="dxa"/>
            <w:vAlign w:val="bottom"/>
            <w:gridSpan w:val="3"/>
          </w:tcPr>
          <w:p>
            <w:pPr>
              <w:jc w:val="right"/>
              <w:ind w:right="150"/>
              <w:spacing w:after="0" w:line="197" w:lineRule="exact"/>
              <w:rPr>
                <w:sz w:val="20"/>
                <w:szCs w:val="20"/>
                <w:color w:val="auto"/>
              </w:rPr>
            </w:pPr>
            <w:r>
              <w:rPr>
                <w:rFonts w:ascii="Times New Roman" w:cs="Times New Roman" w:eastAsia="Times New Roman" w:hAnsi="Times New Roman"/>
                <w:sz w:val="18"/>
                <w:szCs w:val="18"/>
                <w:b w:val="1"/>
                <w:bCs w:val="1"/>
                <w:color w:val="454546"/>
                <w:w w:val="85"/>
              </w:rPr>
              <w:t>thousands)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Deferred tax assets:</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shd w:val="clear" w:color="auto" w:fill="E5E6E7"/>
          </w:tcPr>
          <w:p>
            <w:pPr>
              <w:spacing w:after="0"/>
              <w:rPr>
                <w:sz w:val="17"/>
                <w:szCs w:val="17"/>
                <w:color w:val="auto"/>
              </w:rPr>
            </w:pPr>
          </w:p>
        </w:tc>
        <w:tc>
          <w:tcPr>
            <w:tcW w:w="74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Net operating losses</w:t>
            </w:r>
          </w:p>
        </w:tc>
        <w:tc>
          <w:tcPr>
            <w:tcW w:w="1560" w:type="dxa"/>
            <w:vAlign w:val="bottom"/>
            <w:gridSpan w:val="3"/>
          </w:tcPr>
          <w:p>
            <w:pPr>
              <w:jc w:val="right"/>
              <w:ind w:right="1148"/>
              <w:spacing w:after="0"/>
              <w:rPr>
                <w:sz w:val="20"/>
                <w:szCs w:val="20"/>
                <w:color w:val="auto"/>
              </w:rPr>
            </w:pPr>
            <w:r>
              <w:rPr>
                <w:rFonts w:ascii="Times New Roman" w:cs="Times New Roman" w:eastAsia="Times New Roman" w:hAnsi="Times New Roman"/>
                <w:sz w:val="18"/>
                <w:szCs w:val="18"/>
                <w:color w:val="45454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52,757</w:t>
            </w:r>
          </w:p>
        </w:tc>
        <w:tc>
          <w:tcPr>
            <w:tcW w:w="220" w:type="dxa"/>
            <w:vAlign w:val="bottom"/>
          </w:tcPr>
          <w:p>
            <w:pPr>
              <w:spacing w:after="0"/>
              <w:rPr>
                <w:sz w:val="17"/>
                <w:szCs w:val="17"/>
                <w:color w:val="auto"/>
              </w:rPr>
            </w:pPr>
          </w:p>
        </w:tc>
        <w:tc>
          <w:tcPr>
            <w:tcW w:w="7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454546"/>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41,256</w:t>
            </w: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Capitalized research and development expenditure</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29,318</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17,045</w:t>
            </w: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Tax credits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15,047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9,347</w:t>
            </w: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Lease liability</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shd w:val="clear" w:color="auto" w:fill="E5E6E7"/>
          </w:tcPr>
          <w:p>
            <w:pPr>
              <w:spacing w:after="0"/>
              <w:rPr>
                <w:sz w:val="17"/>
                <w:szCs w:val="17"/>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2,613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3,176</w:t>
            </w: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Stock-based compensation</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2,880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1,631</w:t>
            </w: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Accrued expenses and other</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tcBorders>
              <w:bottom w:val="single" w:sz="8" w:color="454546"/>
            </w:tcBorders>
            <w:shd w:val="clear" w:color="auto" w:fill="E5E6E7"/>
          </w:tcPr>
          <w:p>
            <w:pPr>
              <w:spacing w:after="0"/>
              <w:rPr>
                <w:sz w:val="17"/>
                <w:szCs w:val="17"/>
                <w:color w:val="auto"/>
              </w:rPr>
            </w:pPr>
          </w:p>
        </w:tc>
        <w:tc>
          <w:tcPr>
            <w:tcW w:w="7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1,713</w:t>
            </w: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20" w:type="dxa"/>
            <w:vAlign w:val="bottom"/>
            <w:tcBorders>
              <w:bottom w:val="single" w:sz="8" w:color="454546"/>
            </w:tcBorders>
            <w:shd w:val="clear" w:color="auto" w:fill="E5E6E7"/>
          </w:tcPr>
          <w:p>
            <w:pPr>
              <w:spacing w:after="0"/>
              <w:rPr>
                <w:sz w:val="17"/>
                <w:szCs w:val="17"/>
                <w:color w:val="auto"/>
              </w:rPr>
            </w:pPr>
          </w:p>
        </w:tc>
        <w:tc>
          <w:tcPr>
            <w:tcW w:w="14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1,368</w:t>
            </w:r>
          </w:p>
        </w:tc>
        <w:tc>
          <w:tcPr>
            <w:tcW w:w="100" w:type="dxa"/>
            <w:vAlign w:val="bottom"/>
            <w:shd w:val="clear" w:color="auto" w:fill="E5E6E7"/>
          </w:tcPr>
          <w:p>
            <w:pPr>
              <w:spacing w:after="0"/>
              <w:rPr>
                <w:sz w:val="17"/>
                <w:szCs w:val="17"/>
                <w:color w:val="auto"/>
              </w:rPr>
            </w:pPr>
          </w:p>
        </w:tc>
      </w:tr>
      <w:tr>
        <w:trPr>
          <w:trHeight w:val="197"/>
        </w:trPr>
        <w:tc>
          <w:tcPr>
            <w:tcW w:w="4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454546"/>
              </w:rPr>
              <w:t>Total deferred tax assets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454546"/>
              </w:rPr>
              <w:t>104,328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454546"/>
              </w:rPr>
              <w:t>73,823</w:t>
            </w:r>
          </w:p>
        </w:tc>
        <w:tc>
          <w:tcPr>
            <w:tcW w:w="100" w:type="dxa"/>
            <w:vAlign w:val="bottom"/>
          </w:tcPr>
          <w:p>
            <w:pPr>
              <w:spacing w:after="0"/>
              <w:rPr>
                <w:sz w:val="17"/>
                <w:szCs w:val="17"/>
                <w:color w:val="auto"/>
              </w:rPr>
            </w:pPr>
          </w:p>
        </w:tc>
      </w:tr>
      <w:tr>
        <w:trPr>
          <w:trHeight w:val="207"/>
        </w:trPr>
        <w:tc>
          <w:tcPr>
            <w:tcW w:w="45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Valuation allowance</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shd w:val="clear" w:color="auto" w:fill="E5E6E7"/>
          </w:tcPr>
          <w:p>
            <w:pPr>
              <w:spacing w:after="0"/>
              <w:rPr>
                <w:sz w:val="17"/>
                <w:szCs w:val="17"/>
                <w:color w:val="auto"/>
              </w:rPr>
            </w:pPr>
          </w:p>
        </w:tc>
        <w:tc>
          <w:tcPr>
            <w:tcW w:w="960" w:type="dxa"/>
            <w:vAlign w:val="bottom"/>
            <w:gridSpan w:val="2"/>
            <w:shd w:val="clear" w:color="auto" w:fill="E5E6E7"/>
          </w:tcPr>
          <w:p>
            <w:pPr>
              <w:jc w:val="right"/>
              <w:ind w:right="70"/>
              <w:spacing w:after="0"/>
              <w:rPr>
                <w:sz w:val="20"/>
                <w:szCs w:val="20"/>
                <w:color w:val="auto"/>
              </w:rPr>
            </w:pPr>
            <w:r>
              <w:rPr>
                <w:rFonts w:ascii="Times New Roman" w:cs="Times New Roman" w:eastAsia="Times New Roman" w:hAnsi="Times New Roman"/>
                <w:sz w:val="18"/>
                <w:szCs w:val="18"/>
                <w:color w:val="454546"/>
              </w:rPr>
              <w:t>(101,290)</w:t>
            </w: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5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54546"/>
              </w:rPr>
              <w:t>(71,129)</w:t>
            </w:r>
          </w:p>
        </w:tc>
      </w:tr>
      <w:tr>
        <w:trPr>
          <w:trHeight w:val="197"/>
        </w:trPr>
        <w:tc>
          <w:tcPr>
            <w:tcW w:w="4560" w:type="dxa"/>
            <w:vAlign w:val="bottom"/>
            <w:tcBorders>
              <w:bottom w:val="single" w:sz="8" w:color="E5E6E7"/>
            </w:tcBorders>
          </w:tcPr>
          <w:p>
            <w:pPr>
              <w:spacing w:after="0" w:line="197" w:lineRule="exact"/>
              <w:rPr>
                <w:sz w:val="20"/>
                <w:szCs w:val="20"/>
                <w:color w:val="auto"/>
              </w:rPr>
            </w:pPr>
            <w:r>
              <w:rPr>
                <w:rFonts w:ascii="Times New Roman" w:cs="Times New Roman" w:eastAsia="Times New Roman" w:hAnsi="Times New Roman"/>
                <w:sz w:val="18"/>
                <w:szCs w:val="18"/>
                <w:color w:val="454546"/>
              </w:rPr>
              <w:t>Deferred tax assets, net of valuation allowance</w:t>
            </w:r>
          </w:p>
        </w:tc>
        <w:tc>
          <w:tcPr>
            <w:tcW w:w="26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280" w:type="dxa"/>
            <w:vAlign w:val="bottom"/>
            <w:tcBorders>
              <w:top w:val="single" w:sz="8" w:color="454546"/>
              <w:bottom w:val="single" w:sz="8" w:color="454546"/>
            </w:tcBorders>
          </w:tcPr>
          <w:p>
            <w:pPr>
              <w:spacing w:after="0"/>
              <w:rPr>
                <w:sz w:val="17"/>
                <w:szCs w:val="17"/>
                <w:color w:val="auto"/>
              </w:rPr>
            </w:pPr>
          </w:p>
        </w:tc>
        <w:tc>
          <w:tcPr>
            <w:tcW w:w="740" w:type="dxa"/>
            <w:vAlign w:val="bottom"/>
            <w:tcBorders>
              <w:top w:val="single" w:sz="8" w:color="454546"/>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3,038</w:t>
            </w:r>
          </w:p>
        </w:tc>
        <w:tc>
          <w:tcPr>
            <w:tcW w:w="220" w:type="dxa"/>
            <w:vAlign w:val="bottom"/>
            <w:tcBorders>
              <w:bottom w:val="single" w:sz="8" w:color="E5E6E7"/>
            </w:tcBorders>
          </w:tcPr>
          <w:p>
            <w:pPr>
              <w:spacing w:after="0"/>
              <w:rPr>
                <w:sz w:val="17"/>
                <w:szCs w:val="17"/>
                <w:color w:val="auto"/>
              </w:rPr>
            </w:pPr>
          </w:p>
        </w:tc>
        <w:tc>
          <w:tcPr>
            <w:tcW w:w="140" w:type="dxa"/>
            <w:vAlign w:val="bottom"/>
            <w:tcBorders>
              <w:bottom w:val="single" w:sz="8" w:color="E5E6E7"/>
            </w:tcBorders>
          </w:tcPr>
          <w:p>
            <w:pPr>
              <w:spacing w:after="0"/>
              <w:rPr>
                <w:sz w:val="17"/>
                <w:szCs w:val="17"/>
                <w:color w:val="auto"/>
              </w:rPr>
            </w:pPr>
          </w:p>
        </w:tc>
        <w:tc>
          <w:tcPr>
            <w:tcW w:w="620" w:type="dxa"/>
            <w:vAlign w:val="bottom"/>
            <w:tcBorders>
              <w:top w:val="single" w:sz="8" w:color="454546"/>
              <w:bottom w:val="single" w:sz="8" w:color="454546"/>
            </w:tcBorders>
          </w:tcPr>
          <w:p>
            <w:pPr>
              <w:spacing w:after="0"/>
              <w:rPr>
                <w:sz w:val="17"/>
                <w:szCs w:val="17"/>
                <w:color w:val="auto"/>
              </w:rPr>
            </w:pPr>
          </w:p>
        </w:tc>
        <w:tc>
          <w:tcPr>
            <w:tcW w:w="1420" w:type="dxa"/>
            <w:vAlign w:val="bottom"/>
            <w:tcBorders>
              <w:top w:val="single" w:sz="8" w:color="454546"/>
              <w:bottom w:val="single" w:sz="8" w:color="454546"/>
            </w:tcBorders>
          </w:tcPr>
          <w:p>
            <w:pPr>
              <w:jc w:val="right"/>
              <w:spacing w:after="0" w:line="197" w:lineRule="exact"/>
              <w:rPr>
                <w:sz w:val="20"/>
                <w:szCs w:val="20"/>
                <w:color w:val="auto"/>
              </w:rPr>
            </w:pPr>
            <w:r>
              <w:rPr>
                <w:rFonts w:ascii="Times New Roman" w:cs="Times New Roman" w:eastAsia="Times New Roman" w:hAnsi="Times New Roman"/>
                <w:sz w:val="18"/>
                <w:szCs w:val="18"/>
                <w:color w:val="454546"/>
              </w:rPr>
              <w:t>2,694</w:t>
            </w:r>
          </w:p>
        </w:tc>
        <w:tc>
          <w:tcPr>
            <w:tcW w:w="100" w:type="dxa"/>
            <w:vAlign w:val="bottom"/>
            <w:tcBorders>
              <w:bottom w:val="single" w:sz="8" w:color="E5E6E7"/>
            </w:tcBorders>
          </w:tcPr>
          <w:p>
            <w:pPr>
              <w:spacing w:after="0"/>
              <w:rPr>
                <w:sz w:val="17"/>
                <w:szCs w:val="17"/>
                <w:color w:val="auto"/>
              </w:rPr>
            </w:pPr>
          </w:p>
        </w:tc>
      </w:tr>
      <w:tr>
        <w:trPr>
          <w:trHeight w:val="197"/>
        </w:trPr>
        <w:tc>
          <w:tcPr>
            <w:tcW w:w="4560" w:type="dxa"/>
            <w:vAlign w:val="bottom"/>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Deferred tax liabilities:</w:t>
            </w:r>
          </w:p>
        </w:tc>
        <w:tc>
          <w:tcPr>
            <w:tcW w:w="26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280" w:type="dxa"/>
            <w:vAlign w:val="bottom"/>
            <w:shd w:val="clear" w:color="auto" w:fill="E5E6E7"/>
          </w:tcPr>
          <w:p>
            <w:pPr>
              <w:spacing w:after="0"/>
              <w:rPr>
                <w:sz w:val="17"/>
                <w:szCs w:val="17"/>
                <w:color w:val="auto"/>
              </w:rPr>
            </w:pPr>
          </w:p>
        </w:tc>
        <w:tc>
          <w:tcPr>
            <w:tcW w:w="74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r>
      <w:tr>
        <w:trPr>
          <w:trHeight w:val="20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Right-of-use asset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(2,098)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(2,453)</w:t>
            </w:r>
          </w:p>
        </w:tc>
        <w:tc>
          <w:tcPr>
            <w:tcW w:w="100" w:type="dxa"/>
            <w:vAlign w:val="bottom"/>
          </w:tcPr>
          <w:p>
            <w:pPr>
              <w:spacing w:after="0"/>
              <w:rPr>
                <w:sz w:val="17"/>
                <w:szCs w:val="17"/>
                <w:color w:val="auto"/>
              </w:rPr>
            </w:pPr>
          </w:p>
        </w:tc>
      </w:tr>
      <w:tr>
        <w:trPr>
          <w:trHeight w:val="227"/>
        </w:trPr>
        <w:tc>
          <w:tcPr>
            <w:tcW w:w="45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Property and equipment</w:t>
            </w:r>
          </w:p>
        </w:tc>
        <w:tc>
          <w:tcPr>
            <w:tcW w:w="2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ind w:right="70"/>
              <w:spacing w:after="0"/>
              <w:rPr>
                <w:sz w:val="20"/>
                <w:szCs w:val="20"/>
                <w:color w:val="auto"/>
              </w:rPr>
            </w:pPr>
            <w:r>
              <w:rPr>
                <w:rFonts w:ascii="Times New Roman" w:cs="Times New Roman" w:eastAsia="Times New Roman" w:hAnsi="Times New Roman"/>
                <w:sz w:val="18"/>
                <w:szCs w:val="18"/>
                <w:color w:val="454546"/>
              </w:rPr>
              <w:t>(940)</w:t>
            </w:r>
          </w:p>
        </w:tc>
        <w:tc>
          <w:tcPr>
            <w:tcW w:w="140" w:type="dxa"/>
            <w:vAlign w:val="bottom"/>
            <w:shd w:val="clear" w:color="auto" w:fill="E5E6E7"/>
          </w:tcPr>
          <w:p>
            <w:pPr>
              <w:spacing w:after="0"/>
              <w:rPr>
                <w:sz w:val="19"/>
                <w:szCs w:val="19"/>
                <w:color w:val="auto"/>
              </w:rPr>
            </w:pPr>
          </w:p>
        </w:tc>
        <w:tc>
          <w:tcPr>
            <w:tcW w:w="620" w:type="dxa"/>
            <w:vAlign w:val="bottom"/>
            <w:shd w:val="clear" w:color="auto" w:fill="E5E6E7"/>
          </w:tcPr>
          <w:p>
            <w:pPr>
              <w:spacing w:after="0"/>
              <w:rPr>
                <w:sz w:val="19"/>
                <w:szCs w:val="19"/>
                <w:color w:val="auto"/>
              </w:rPr>
            </w:pPr>
          </w:p>
        </w:tc>
        <w:tc>
          <w:tcPr>
            <w:tcW w:w="15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54546"/>
              </w:rPr>
              <w:t>(241)</w:t>
            </w:r>
          </w:p>
        </w:tc>
      </w:tr>
      <w:tr>
        <w:trPr>
          <w:trHeight w:val="177"/>
        </w:trPr>
        <w:tc>
          <w:tcPr>
            <w:tcW w:w="4560" w:type="dxa"/>
            <w:vAlign w:val="bottom"/>
            <w:tcBorders>
              <w:top w:val="single" w:sz="8" w:color="E5E6E7"/>
            </w:tcBorders>
          </w:tcPr>
          <w:p>
            <w:pPr>
              <w:spacing w:after="0" w:line="177" w:lineRule="exact"/>
              <w:rPr>
                <w:sz w:val="20"/>
                <w:szCs w:val="20"/>
                <w:color w:val="auto"/>
              </w:rPr>
            </w:pPr>
            <w:r>
              <w:rPr>
                <w:rFonts w:ascii="Times New Roman" w:cs="Times New Roman" w:eastAsia="Times New Roman" w:hAnsi="Times New Roman"/>
                <w:sz w:val="18"/>
                <w:szCs w:val="18"/>
                <w:color w:val="454546"/>
              </w:rPr>
              <w:t>Net deferred tax assets</w:t>
            </w:r>
          </w:p>
        </w:tc>
        <w:tc>
          <w:tcPr>
            <w:tcW w:w="260" w:type="dxa"/>
            <w:vAlign w:val="bottom"/>
            <w:tcBorders>
              <w:top w:val="single" w:sz="8" w:color="E5E6E7"/>
            </w:tcBorders>
          </w:tcPr>
          <w:p>
            <w:pPr>
              <w:spacing w:after="0"/>
              <w:rPr>
                <w:sz w:val="15"/>
                <w:szCs w:val="15"/>
                <w:color w:val="auto"/>
              </w:rPr>
            </w:pPr>
          </w:p>
        </w:tc>
        <w:tc>
          <w:tcPr>
            <w:tcW w:w="20" w:type="dxa"/>
            <w:vAlign w:val="bottom"/>
            <w:tcBorders>
              <w:top w:val="single" w:sz="8" w:color="E5E6E7"/>
            </w:tcBorders>
          </w:tcPr>
          <w:p>
            <w:pPr>
              <w:spacing w:after="0"/>
              <w:rPr>
                <w:sz w:val="15"/>
                <w:szCs w:val="15"/>
                <w:color w:val="auto"/>
              </w:rPr>
            </w:pPr>
          </w:p>
        </w:tc>
        <w:tc>
          <w:tcPr>
            <w:tcW w:w="1280" w:type="dxa"/>
            <w:vAlign w:val="bottom"/>
            <w:tcBorders>
              <w:top w:val="single" w:sz="8" w:color="454546"/>
              <w:bottom w:val="single" w:sz="8" w:color="454546"/>
            </w:tcBorders>
          </w:tcPr>
          <w:p>
            <w:pPr>
              <w:jc w:val="right"/>
              <w:ind w:right="1148"/>
              <w:spacing w:after="0"/>
              <w:rPr>
                <w:sz w:val="20"/>
                <w:szCs w:val="20"/>
                <w:color w:val="auto"/>
              </w:rPr>
            </w:pPr>
            <w:r>
              <w:rPr>
                <w:rFonts w:ascii="Times New Roman" w:cs="Times New Roman" w:eastAsia="Times New Roman" w:hAnsi="Times New Roman"/>
                <w:sz w:val="11"/>
                <w:szCs w:val="11"/>
                <w:color w:val="454546"/>
                <w:w w:val="71"/>
              </w:rPr>
              <w:t>$</w:t>
            </w:r>
          </w:p>
        </w:tc>
        <w:tc>
          <w:tcPr>
            <w:tcW w:w="740" w:type="dxa"/>
            <w:vAlign w:val="bottom"/>
            <w:tcBorders>
              <w:top w:val="single" w:sz="8" w:color="454546"/>
              <w:bottom w:val="single" w:sz="8" w:color="454546"/>
            </w:tcBorders>
          </w:tcPr>
          <w:p>
            <w:pPr>
              <w:jc w:val="right"/>
              <w:spacing w:after="0" w:line="177" w:lineRule="exact"/>
              <w:rPr>
                <w:sz w:val="20"/>
                <w:szCs w:val="20"/>
                <w:color w:val="auto"/>
              </w:rPr>
            </w:pPr>
            <w:r>
              <w:rPr>
                <w:rFonts w:ascii="Times New Roman" w:cs="Times New Roman" w:eastAsia="Times New Roman" w:hAnsi="Times New Roman"/>
                <w:sz w:val="18"/>
                <w:szCs w:val="18"/>
                <w:color w:val="454546"/>
              </w:rPr>
              <w:t>—</w:t>
            </w:r>
          </w:p>
        </w:tc>
        <w:tc>
          <w:tcPr>
            <w:tcW w:w="220" w:type="dxa"/>
            <w:vAlign w:val="bottom"/>
            <w:tcBorders>
              <w:top w:val="single" w:sz="8" w:color="E5E6E7"/>
            </w:tcBorders>
          </w:tcPr>
          <w:p>
            <w:pPr>
              <w:spacing w:after="0"/>
              <w:rPr>
                <w:sz w:val="15"/>
                <w:szCs w:val="15"/>
                <w:color w:val="auto"/>
              </w:rPr>
            </w:pPr>
          </w:p>
        </w:tc>
        <w:tc>
          <w:tcPr>
            <w:tcW w:w="140" w:type="dxa"/>
            <w:vAlign w:val="bottom"/>
            <w:tcBorders>
              <w:top w:val="single" w:sz="8" w:color="E5E6E7"/>
            </w:tcBorders>
          </w:tcPr>
          <w:p>
            <w:pPr>
              <w:spacing w:after="0"/>
              <w:rPr>
                <w:sz w:val="15"/>
                <w:szCs w:val="15"/>
                <w:color w:val="auto"/>
              </w:rPr>
            </w:pPr>
          </w:p>
        </w:tc>
        <w:tc>
          <w:tcPr>
            <w:tcW w:w="620" w:type="dxa"/>
            <w:vAlign w:val="bottom"/>
            <w:tcBorders>
              <w:top w:val="single" w:sz="8" w:color="454546"/>
              <w:bottom w:val="single" w:sz="8" w:color="454546"/>
            </w:tcBorders>
          </w:tcPr>
          <w:p>
            <w:pPr>
              <w:jc w:val="right"/>
              <w:ind w:right="430"/>
              <w:spacing w:after="0" w:line="177" w:lineRule="exact"/>
              <w:rPr>
                <w:sz w:val="20"/>
                <w:szCs w:val="20"/>
                <w:color w:val="auto"/>
              </w:rPr>
            </w:pPr>
            <w:r>
              <w:rPr>
                <w:rFonts w:ascii="Times New Roman" w:cs="Times New Roman" w:eastAsia="Times New Roman" w:hAnsi="Times New Roman"/>
                <w:sz w:val="18"/>
                <w:szCs w:val="18"/>
                <w:color w:val="454546"/>
                <w:w w:val="88"/>
              </w:rPr>
              <w:t>$</w:t>
            </w:r>
          </w:p>
        </w:tc>
        <w:tc>
          <w:tcPr>
            <w:tcW w:w="1420" w:type="dxa"/>
            <w:vAlign w:val="bottom"/>
            <w:tcBorders>
              <w:top w:val="single" w:sz="8" w:color="454546"/>
              <w:bottom w:val="single" w:sz="8" w:color="454546"/>
            </w:tcBorders>
          </w:tcPr>
          <w:p>
            <w:pPr>
              <w:jc w:val="right"/>
              <w:spacing w:after="0" w:line="177" w:lineRule="exact"/>
              <w:rPr>
                <w:sz w:val="20"/>
                <w:szCs w:val="20"/>
                <w:color w:val="auto"/>
              </w:rPr>
            </w:pPr>
            <w:r>
              <w:rPr>
                <w:rFonts w:ascii="Times New Roman" w:cs="Times New Roman" w:eastAsia="Times New Roman" w:hAnsi="Times New Roman"/>
                <w:sz w:val="18"/>
                <w:szCs w:val="18"/>
                <w:color w:val="454546"/>
              </w:rPr>
              <w:t>—</w:t>
            </w:r>
          </w:p>
        </w:tc>
        <w:tc>
          <w:tcPr>
            <w:tcW w:w="100" w:type="dxa"/>
            <w:vAlign w:val="bottom"/>
            <w:tcBorders>
              <w:top w:val="single" w:sz="8" w:color="E5E6E7"/>
            </w:tcBorders>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28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14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Beginning January 1, 2022, the Tax Cuts and Jobs Act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$30.2 million and $29.8 million during the years ended December 31, 2023 and 2022. The increase in valuation allowance during the year ended December 31, 2023, was primarily due to the increase in deferred tax assets from 2023 federal net operating losses and the IRC Section 174 capitalized expenses.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Net Operating Loss and Tax Credit Carryforwards</w:t>
      </w:r>
    </w:p>
    <w:p>
      <w:pPr>
        <w:spacing w:after="0" w:line="120"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2023, the Company’s net operating loss and tax carryforwards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b w:val="1"/>
                <w:bCs w:val="1"/>
                <w:color w:val="454546"/>
              </w:rPr>
              <w:t>(In thousands)</w:t>
            </w:r>
          </w:p>
        </w:tc>
        <w:tc>
          <w:tcPr>
            <w:tcW w:w="260" w:type="dxa"/>
            <w:vAlign w:val="bottom"/>
            <w:tcBorders>
              <w:bottom w:val="single" w:sz="8" w:color="E5E6E7"/>
            </w:tcBorders>
          </w:tcPr>
          <w:p>
            <w:pPr>
              <w:spacing w:after="0"/>
              <w:rPr>
                <w:sz w:val="19"/>
                <w:szCs w:val="19"/>
                <w:color w:val="auto"/>
              </w:rPr>
            </w:pPr>
          </w:p>
        </w:tc>
        <w:tc>
          <w:tcPr>
            <w:tcW w:w="14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b w:val="1"/>
                <w:bCs w:val="1"/>
                <w:color w:val="454546"/>
              </w:rPr>
              <w:t>Amount</w:t>
            </w:r>
          </w:p>
        </w:tc>
        <w:tc>
          <w:tcPr>
            <w:tcW w:w="640" w:type="dxa"/>
            <w:vAlign w:val="bottom"/>
            <w:tcBorders>
              <w:bottom w:val="single" w:sz="8" w:color="454546"/>
            </w:tcBorders>
          </w:tcPr>
          <w:p>
            <w:pPr>
              <w:spacing w:after="0"/>
              <w:rPr>
                <w:sz w:val="19"/>
                <w:szCs w:val="19"/>
                <w:color w:val="auto"/>
              </w:rPr>
            </w:pPr>
          </w:p>
        </w:tc>
        <w:tc>
          <w:tcPr>
            <w:tcW w:w="360" w:type="dxa"/>
            <w:vAlign w:val="bottom"/>
            <w:tcBorders>
              <w:bottom w:val="single" w:sz="8" w:color="E5E6E7"/>
            </w:tcBorders>
          </w:tcPr>
          <w:p>
            <w:pPr>
              <w:spacing w:after="0"/>
              <w:rPr>
                <w:sz w:val="19"/>
                <w:szCs w:val="19"/>
                <w:color w:val="auto"/>
              </w:rPr>
            </w:pPr>
          </w:p>
        </w:tc>
        <w:tc>
          <w:tcPr>
            <w:tcW w:w="2140" w:type="dxa"/>
            <w:vAlign w:val="bottom"/>
            <w:tcBorders>
              <w:bottom w:val="single" w:sz="8" w:color="454546"/>
            </w:tcBorders>
          </w:tcPr>
          <w:p>
            <w:pPr>
              <w:ind w:left="340"/>
              <w:spacing w:after="0"/>
              <w:rPr>
                <w:sz w:val="20"/>
                <w:szCs w:val="20"/>
                <w:color w:val="auto"/>
              </w:rPr>
            </w:pPr>
            <w:r>
              <w:rPr>
                <w:rFonts w:ascii="Times New Roman" w:cs="Times New Roman" w:eastAsia="Times New Roman" w:hAnsi="Times New Roman"/>
                <w:sz w:val="18"/>
                <w:szCs w:val="18"/>
                <w:b w:val="1"/>
                <w:bCs w:val="1"/>
                <w:color w:val="454546"/>
              </w:rPr>
              <w:t>Expiration in years</w:t>
            </w:r>
          </w:p>
        </w:tc>
      </w:tr>
      <w:tr>
        <w:trPr>
          <w:trHeight w:val="197"/>
        </w:trPr>
        <w:tc>
          <w:tcPr>
            <w:tcW w:w="4560" w:type="dxa"/>
            <w:vAlign w:val="bottom"/>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Net operating losses, federal (post-December 31, 2017)</w:t>
            </w:r>
          </w:p>
        </w:tc>
        <w:tc>
          <w:tcPr>
            <w:tcW w:w="260" w:type="dxa"/>
            <w:vAlign w:val="bottom"/>
            <w:shd w:val="clear" w:color="auto" w:fill="E5E6E7"/>
          </w:tcPr>
          <w:p>
            <w:pPr>
              <w:spacing w:after="0"/>
              <w:rPr>
                <w:sz w:val="17"/>
                <w:szCs w:val="17"/>
                <w:color w:val="auto"/>
              </w:rPr>
            </w:pPr>
          </w:p>
        </w:tc>
        <w:tc>
          <w:tcPr>
            <w:tcW w:w="1400" w:type="dxa"/>
            <w:vAlign w:val="bottom"/>
            <w:shd w:val="clear" w:color="auto" w:fill="E5E6E7"/>
          </w:tcPr>
          <w:p>
            <w:pPr>
              <w:jc w:val="right"/>
              <w:ind w:right="1233"/>
              <w:spacing w:after="0"/>
              <w:rPr>
                <w:sz w:val="20"/>
                <w:szCs w:val="20"/>
                <w:color w:val="auto"/>
              </w:rPr>
            </w:pPr>
            <w:r>
              <w:rPr>
                <w:rFonts w:ascii="Times New Roman" w:cs="Times New Roman" w:eastAsia="Times New Roman" w:hAnsi="Times New Roman"/>
                <w:sz w:val="17"/>
                <w:szCs w:val="17"/>
                <w:color w:val="454546"/>
                <w:w w:val="70"/>
              </w:rPr>
              <w:t>$</w:t>
            </w:r>
          </w:p>
        </w:tc>
        <w:tc>
          <w:tcPr>
            <w:tcW w:w="640" w:type="dxa"/>
            <w:vAlign w:val="bottom"/>
            <w:shd w:val="clear" w:color="auto" w:fill="E5E6E7"/>
          </w:tcPr>
          <w:p>
            <w:pPr>
              <w:jc w:val="right"/>
              <w:spacing w:after="0" w:line="197" w:lineRule="exact"/>
              <w:rPr>
                <w:sz w:val="20"/>
                <w:szCs w:val="20"/>
                <w:color w:val="auto"/>
              </w:rPr>
            </w:pPr>
            <w:r>
              <w:rPr>
                <w:rFonts w:ascii="Times New Roman" w:cs="Times New Roman" w:eastAsia="Times New Roman" w:hAnsi="Times New Roman"/>
                <w:sz w:val="18"/>
                <w:szCs w:val="18"/>
                <w:color w:val="454546"/>
              </w:rPr>
              <w:t>224,796</w:t>
            </w:r>
          </w:p>
        </w:tc>
        <w:tc>
          <w:tcPr>
            <w:tcW w:w="360" w:type="dxa"/>
            <w:vAlign w:val="bottom"/>
            <w:shd w:val="clear" w:color="auto" w:fill="E5E6E7"/>
          </w:tcPr>
          <w:p>
            <w:pPr>
              <w:spacing w:after="0"/>
              <w:rPr>
                <w:sz w:val="17"/>
                <w:szCs w:val="17"/>
                <w:color w:val="auto"/>
              </w:rPr>
            </w:pPr>
          </w:p>
        </w:tc>
        <w:tc>
          <w:tcPr>
            <w:tcW w:w="2140" w:type="dxa"/>
            <w:vAlign w:val="bottom"/>
            <w:shd w:val="clear" w:color="auto" w:fill="E5E6E7"/>
          </w:tcPr>
          <w:p>
            <w:pPr>
              <w:spacing w:after="0" w:line="197" w:lineRule="exact"/>
              <w:rPr>
                <w:sz w:val="20"/>
                <w:szCs w:val="20"/>
                <w:color w:val="auto"/>
              </w:rPr>
            </w:pPr>
            <w:r>
              <w:rPr>
                <w:rFonts w:ascii="Times New Roman" w:cs="Times New Roman" w:eastAsia="Times New Roman" w:hAnsi="Times New Roman"/>
                <w:sz w:val="18"/>
                <w:szCs w:val="18"/>
                <w:color w:val="454546"/>
              </w:rPr>
              <w:t>Do Not Expire</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Net operating losses, federal (pre-January 1, 2018)</w:t>
            </w:r>
          </w:p>
        </w:tc>
        <w:tc>
          <w:tcPr>
            <w:tcW w:w="260" w:type="dxa"/>
            <w:vAlign w:val="bottom"/>
          </w:tcPr>
          <w:p>
            <w:pPr>
              <w:spacing w:after="0"/>
              <w:rPr>
                <w:sz w:val="17"/>
                <w:szCs w:val="17"/>
                <w:color w:val="auto"/>
              </w:rPr>
            </w:pPr>
          </w:p>
        </w:tc>
        <w:tc>
          <w:tcPr>
            <w:tcW w:w="140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454546"/>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3,093</w:t>
            </w:r>
          </w:p>
        </w:tc>
        <w:tc>
          <w:tcPr>
            <w:tcW w:w="36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454546"/>
              </w:rPr>
              <w:t>Begins to Expire 2036</w:t>
            </w: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Net operating losses, state</w:t>
            </w:r>
          </w:p>
        </w:tc>
        <w:tc>
          <w:tcPr>
            <w:tcW w:w="1660" w:type="dxa"/>
            <w:vAlign w:val="bottom"/>
            <w:gridSpan w:val="2"/>
            <w:shd w:val="clear" w:color="auto" w:fill="E5E6E7"/>
          </w:tcPr>
          <w:p>
            <w:pPr>
              <w:jc w:val="right"/>
              <w:ind w:right="1233"/>
              <w:spacing w:after="0"/>
              <w:rPr>
                <w:sz w:val="20"/>
                <w:szCs w:val="20"/>
                <w:color w:val="auto"/>
              </w:rPr>
            </w:pPr>
            <w:r>
              <w:rPr>
                <w:rFonts w:ascii="Times New Roman" w:cs="Times New Roman" w:eastAsia="Times New Roman" w:hAnsi="Times New Roman"/>
                <w:sz w:val="18"/>
                <w:szCs w:val="18"/>
                <w:color w:val="454546"/>
              </w:rPr>
              <w:t>$</w:t>
            </w: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63,212</w:t>
            </w:r>
          </w:p>
        </w:tc>
        <w:tc>
          <w:tcPr>
            <w:tcW w:w="2500" w:type="dxa"/>
            <w:vAlign w:val="bottom"/>
            <w:gridSpan w:val="2"/>
            <w:shd w:val="clear" w:color="auto" w:fill="E5E6E7"/>
          </w:tcPr>
          <w:p>
            <w:pPr>
              <w:ind w:left="360"/>
              <w:spacing w:after="0"/>
              <w:rPr>
                <w:sz w:val="20"/>
                <w:szCs w:val="20"/>
                <w:color w:val="auto"/>
              </w:rPr>
            </w:pPr>
            <w:r>
              <w:rPr>
                <w:rFonts w:ascii="Times New Roman" w:cs="Times New Roman" w:eastAsia="Times New Roman" w:hAnsi="Times New Roman"/>
                <w:sz w:val="18"/>
                <w:szCs w:val="18"/>
                <w:color w:val="454546"/>
              </w:rPr>
              <w:t>Begins to Expire 2036</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454546"/>
              </w:rPr>
              <w:t>Tax credits, federal</w:t>
            </w:r>
          </w:p>
        </w:tc>
        <w:tc>
          <w:tcPr>
            <w:tcW w:w="1660" w:type="dxa"/>
            <w:vAlign w:val="bottom"/>
            <w:gridSpan w:val="2"/>
          </w:tcPr>
          <w:p>
            <w:pPr>
              <w:jc w:val="right"/>
              <w:ind w:right="1233"/>
              <w:spacing w:after="0"/>
              <w:rPr>
                <w:sz w:val="20"/>
                <w:szCs w:val="20"/>
                <w:color w:val="auto"/>
              </w:rPr>
            </w:pPr>
            <w:r>
              <w:rPr>
                <w:rFonts w:ascii="Times New Roman" w:cs="Times New Roman" w:eastAsia="Times New Roman" w:hAnsi="Times New Roman"/>
                <w:sz w:val="18"/>
                <w:szCs w:val="18"/>
                <w:color w:val="45454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14,730</w:t>
            </w:r>
          </w:p>
        </w:tc>
        <w:tc>
          <w:tcPr>
            <w:tcW w:w="2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54546"/>
              </w:rPr>
              <w:t>Begins to Expire 2036</w:t>
            </w:r>
          </w:p>
        </w:tc>
      </w:tr>
      <w:tr>
        <w:trPr>
          <w:trHeight w:val="207"/>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Tax credits, state</w:t>
            </w:r>
          </w:p>
        </w:tc>
        <w:tc>
          <w:tcPr>
            <w:tcW w:w="1660" w:type="dxa"/>
            <w:vAlign w:val="bottom"/>
            <w:gridSpan w:val="2"/>
            <w:shd w:val="clear" w:color="auto" w:fill="E5E6E7"/>
          </w:tcPr>
          <w:p>
            <w:pPr>
              <w:jc w:val="right"/>
              <w:ind w:right="1233"/>
              <w:spacing w:after="0"/>
              <w:rPr>
                <w:sz w:val="20"/>
                <w:szCs w:val="20"/>
                <w:color w:val="auto"/>
              </w:rPr>
            </w:pPr>
            <w:r>
              <w:rPr>
                <w:rFonts w:ascii="Times New Roman" w:cs="Times New Roman" w:eastAsia="Times New Roman" w:hAnsi="Times New Roman"/>
                <w:sz w:val="18"/>
                <w:szCs w:val="18"/>
                <w:color w:val="454546"/>
              </w:rPr>
              <w:t>$</w:t>
            </w: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6,856</w:t>
            </w:r>
          </w:p>
        </w:tc>
        <w:tc>
          <w:tcPr>
            <w:tcW w:w="2500" w:type="dxa"/>
            <w:vAlign w:val="bottom"/>
            <w:gridSpan w:val="2"/>
            <w:shd w:val="clear" w:color="auto" w:fill="E5E6E7"/>
          </w:tcPr>
          <w:p>
            <w:pPr>
              <w:ind w:left="360"/>
              <w:spacing w:after="0"/>
              <w:rPr>
                <w:sz w:val="20"/>
                <w:szCs w:val="20"/>
                <w:color w:val="auto"/>
              </w:rPr>
            </w:pPr>
            <w:r>
              <w:rPr>
                <w:rFonts w:ascii="Times New Roman" w:cs="Times New Roman" w:eastAsia="Times New Roman" w:hAnsi="Times New Roman"/>
                <w:sz w:val="18"/>
                <w:szCs w:val="18"/>
                <w:color w:val="454546"/>
              </w:rPr>
              <w:t>Do Not Expire</w:t>
            </w:r>
          </w:p>
        </w:tc>
      </w:tr>
    </w:tbl>
    <w:p>
      <w:pPr>
        <w:spacing w:after="0" w:line="101"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2023, the Company concluded that there were no ownership changes during 2023. The Company’s ability to use its remaining net operating loss carryforwards may be further limited if the Company experiences a Section 382 ownership change as a result of future changes in its stock ownership.</w:t>
      </w:r>
    </w:p>
    <w:p>
      <w:pPr>
        <w:spacing w:after="0" w:line="8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454546"/>
        </w:rPr>
        <w:t>The Company recognizes interest and penalties related to taxes and uncertain tax positions as a component of income tax expense. During the years ended December 31, 2023 and 2022, no interest and penalties were accrued by the Company.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117</w:t>
      </w:r>
    </w:p>
    <w:p>
      <w:pPr>
        <w:sectPr>
          <w:pgSz w:w="11880" w:h="15480" w:orient="portrait"/>
          <w:cols w:equalWidth="0" w:num="1">
            <w:col w:w="9360"/>
          </w:cols>
          <w:pgMar w:left="1260" w:top="1240" w:right="126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454546"/>
        </w:rPr>
        <w:t>Note 9. Net Loss Per Share</w:t>
      </w:r>
    </w:p>
    <w:p>
      <w:pPr>
        <w:spacing w:after="0" w:line="124" w:lineRule="exact"/>
        <w:rPr>
          <w:sz w:val="20"/>
          <w:szCs w:val="20"/>
          <w:color w:val="auto"/>
        </w:rPr>
      </w:pPr>
    </w:p>
    <w:p>
      <w:pPr>
        <w:ind w:right="700" w:firstLine="490"/>
        <w:spacing w:after="0" w:line="258" w:lineRule="auto"/>
        <w:rPr>
          <w:sz w:val="20"/>
          <w:szCs w:val="20"/>
          <w:color w:val="auto"/>
        </w:rPr>
      </w:pPr>
      <w:r>
        <w:rPr>
          <w:rFonts w:ascii="Times New Roman" w:cs="Times New Roman" w:eastAsia="Times New Roman" w:hAnsi="Times New Roman"/>
          <w:sz w:val="20"/>
          <w:szCs w:val="20"/>
          <w:color w:val="454546"/>
        </w:rPr>
        <w:t>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w:t>
      </w:r>
    </w:p>
    <w:p>
      <w:pPr>
        <w:spacing w:after="0" w:line="68"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The following potentially dilutive securities were excluded from the calculation of diluted net loss per share for the periods presented because the effect would have been anti-dilutive: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Borders>
              <w:bottom w:val="single" w:sz="8" w:color="454546"/>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2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100" w:type="dxa"/>
            <w:vAlign w:val="bottom"/>
            <w:tcBorders>
              <w:bottom w:val="single" w:sz="8" w:color="E5E6E7"/>
            </w:tcBorders>
          </w:tcPr>
          <w:p>
            <w:pPr>
              <w:spacing w:after="0"/>
              <w:rPr>
                <w:sz w:val="15"/>
                <w:szCs w:val="15"/>
                <w:color w:val="auto"/>
              </w:rPr>
            </w:pPr>
          </w:p>
        </w:tc>
        <w:tc>
          <w:tcPr>
            <w:tcW w:w="1460" w:type="dxa"/>
            <w:vAlign w:val="bottom"/>
            <w:tcBorders>
              <w:bottom w:val="single" w:sz="8" w:color="454546"/>
            </w:tcBorders>
          </w:tcPr>
          <w:p>
            <w:pPr>
              <w:jc w:val="right"/>
              <w:ind w:right="468"/>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00" w:type="dxa"/>
            <w:vAlign w:val="bottom"/>
            <w:tcBorders>
              <w:bottom w:val="single" w:sz="8" w:color="E5E6E7"/>
            </w:tcBorders>
          </w:tcPr>
          <w:p>
            <w:pPr>
              <w:spacing w:after="0"/>
              <w:rPr>
                <w:sz w:val="15"/>
                <w:szCs w:val="15"/>
                <w:color w:val="auto"/>
              </w:rPr>
            </w:pPr>
          </w:p>
        </w:tc>
        <w:tc>
          <w:tcPr>
            <w:tcW w:w="480" w:type="dxa"/>
            <w:vAlign w:val="bottom"/>
            <w:tcBorders>
              <w:bottom w:val="single" w:sz="8" w:color="454546"/>
            </w:tcBorders>
          </w:tcPr>
          <w:p>
            <w:pPr>
              <w:spacing w:after="0"/>
              <w:rPr>
                <w:sz w:val="15"/>
                <w:szCs w:val="15"/>
                <w:color w:val="auto"/>
              </w:rPr>
            </w:pPr>
          </w:p>
        </w:tc>
        <w:tc>
          <w:tcPr>
            <w:tcW w:w="1020" w:type="dxa"/>
            <w:vAlign w:val="bottom"/>
            <w:tcBorders>
              <w:bottom w:val="single" w:sz="8" w:color="454546"/>
            </w:tcBorders>
          </w:tcPr>
          <w:p>
            <w:pPr>
              <w:jc w:val="right"/>
              <w:ind w:right="505"/>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r>
      <w:tr>
        <w:trPr>
          <w:trHeight w:val="220"/>
        </w:trPr>
        <w:tc>
          <w:tcPr>
            <w:tcW w:w="61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stock options and restricted stock units</w:t>
            </w:r>
          </w:p>
        </w:tc>
        <w:tc>
          <w:tcPr>
            <w:tcW w:w="146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9,431,710</w:t>
            </w:r>
          </w:p>
        </w:tc>
        <w:tc>
          <w:tcPr>
            <w:tcW w:w="200" w:type="dxa"/>
            <w:vAlign w:val="bottom"/>
            <w:shd w:val="clear" w:color="auto" w:fill="E5E6E7"/>
          </w:tcPr>
          <w:p>
            <w:pPr>
              <w:spacing w:after="0"/>
              <w:rPr>
                <w:sz w:val="19"/>
                <w:szCs w:val="19"/>
                <w:color w:val="auto"/>
              </w:rPr>
            </w:pPr>
          </w:p>
        </w:tc>
        <w:tc>
          <w:tcPr>
            <w:tcW w:w="480" w:type="dxa"/>
            <w:vAlign w:val="bottom"/>
            <w:shd w:val="clear" w:color="auto" w:fill="E5E6E7"/>
          </w:tcPr>
          <w:p>
            <w:pPr>
              <w:spacing w:after="0"/>
              <w:rPr>
                <w:sz w:val="19"/>
                <w:szCs w:val="19"/>
                <w:color w:val="auto"/>
              </w:rPr>
            </w:pPr>
          </w:p>
        </w:tc>
        <w:tc>
          <w:tcPr>
            <w:tcW w:w="10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5,669,374</w:t>
            </w:r>
          </w:p>
        </w:tc>
        <w:tc>
          <w:tcPr>
            <w:tcW w:w="100" w:type="dxa"/>
            <w:vAlign w:val="bottom"/>
            <w:shd w:val="clear" w:color="auto" w:fill="E5E6E7"/>
          </w:tcPr>
          <w:p>
            <w:pPr>
              <w:spacing w:after="0"/>
              <w:rPr>
                <w:sz w:val="19"/>
                <w:szCs w:val="19"/>
                <w:color w:val="auto"/>
              </w:rPr>
            </w:pPr>
          </w:p>
        </w:tc>
      </w:tr>
      <w:tr>
        <w:trPr>
          <w:trHeight w:val="230"/>
        </w:trPr>
        <w:tc>
          <w:tcPr>
            <w:tcW w:w="61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Restricted stock subject to future vesting</w:t>
            </w:r>
          </w:p>
        </w:tc>
        <w:tc>
          <w:tcPr>
            <w:tcW w:w="14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Borders>
              <w:bottom w:val="single" w:sz="8" w:color="E5E6E7"/>
            </w:tcBorders>
          </w:tcPr>
          <w:p>
            <w:pPr>
              <w:spacing w:after="0"/>
              <w:rPr>
                <w:sz w:val="19"/>
                <w:szCs w:val="19"/>
                <w:color w:val="auto"/>
              </w:rPr>
            </w:pPr>
          </w:p>
        </w:tc>
        <w:tc>
          <w:tcPr>
            <w:tcW w:w="480" w:type="dxa"/>
            <w:vAlign w:val="bottom"/>
            <w:tcBorders>
              <w:bottom w:val="single" w:sz="8" w:color="454546"/>
            </w:tcBorders>
          </w:tcPr>
          <w:p>
            <w:pPr>
              <w:spacing w:after="0"/>
              <w:rPr>
                <w:sz w:val="19"/>
                <w:szCs w:val="19"/>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853</w:t>
            </w:r>
          </w:p>
        </w:tc>
        <w:tc>
          <w:tcPr>
            <w:tcW w:w="100" w:type="dxa"/>
            <w:vAlign w:val="bottom"/>
            <w:tcBorders>
              <w:bottom w:val="single" w:sz="8" w:color="E5E6E7"/>
            </w:tcBorders>
          </w:tcPr>
          <w:p>
            <w:pPr>
              <w:spacing w:after="0"/>
              <w:rPr>
                <w:sz w:val="19"/>
                <w:szCs w:val="19"/>
                <w:color w:val="auto"/>
              </w:rPr>
            </w:pPr>
          </w:p>
        </w:tc>
      </w:tr>
      <w:tr>
        <w:trPr>
          <w:trHeight w:val="220"/>
        </w:trPr>
        <w:tc>
          <w:tcPr>
            <w:tcW w:w="6100" w:type="dxa"/>
            <w:vAlign w:val="bottom"/>
            <w:shd w:val="clear" w:color="auto" w:fill="E5E6E7"/>
          </w:tcPr>
          <w:p>
            <w:pPr>
              <w:ind w:left="100"/>
              <w:spacing w:after="0" w:line="220" w:lineRule="exact"/>
              <w:rPr>
                <w:sz w:val="20"/>
                <w:szCs w:val="20"/>
                <w:color w:val="auto"/>
              </w:rPr>
            </w:pPr>
            <w:r>
              <w:rPr>
                <w:rFonts w:ascii="Times New Roman" w:cs="Times New Roman" w:eastAsia="Times New Roman" w:hAnsi="Times New Roman"/>
                <w:sz w:val="20"/>
                <w:szCs w:val="20"/>
                <w:color w:val="454546"/>
              </w:rPr>
              <w:t>Total</w:t>
            </w:r>
          </w:p>
        </w:tc>
        <w:tc>
          <w:tcPr>
            <w:tcW w:w="146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9,431,710</w:t>
            </w:r>
          </w:p>
        </w:tc>
        <w:tc>
          <w:tcPr>
            <w:tcW w:w="200" w:type="dxa"/>
            <w:vAlign w:val="bottom"/>
            <w:shd w:val="clear" w:color="auto" w:fill="E5E6E7"/>
          </w:tcPr>
          <w:p>
            <w:pPr>
              <w:spacing w:after="0"/>
              <w:rPr>
                <w:sz w:val="19"/>
                <w:szCs w:val="19"/>
                <w:color w:val="auto"/>
              </w:rPr>
            </w:pPr>
          </w:p>
        </w:tc>
        <w:tc>
          <w:tcPr>
            <w:tcW w:w="480" w:type="dxa"/>
            <w:vAlign w:val="bottom"/>
            <w:tcBorders>
              <w:bottom w:val="single" w:sz="8" w:color="454546"/>
            </w:tcBorders>
            <w:shd w:val="clear" w:color="auto" w:fill="E5E6E7"/>
          </w:tcPr>
          <w:p>
            <w:pPr>
              <w:spacing w:after="0"/>
              <w:rPr>
                <w:sz w:val="19"/>
                <w:szCs w:val="19"/>
                <w:color w:val="auto"/>
              </w:rPr>
            </w:pPr>
          </w:p>
        </w:tc>
        <w:tc>
          <w:tcPr>
            <w:tcW w:w="10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5,670,227</w:t>
            </w:r>
          </w:p>
        </w:tc>
        <w:tc>
          <w:tcPr>
            <w:tcW w:w="100" w:type="dxa"/>
            <w:vAlign w:val="bottom"/>
            <w:shd w:val="clear" w:color="auto" w:fill="E5E6E7"/>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454546"/>
            </w:tcBorders>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10. Subsequent Events</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On February 12, 2024, the Company completed an underwritten offering of 8,888,890 shares of its common stock at a price of $4.50 per share and, to an investor in lieu of common stock, pre-funded warrants to purchase 2,222,271 shares of its common stock at a price of $4.499 per each pre-funded warrant. The pre-funded warrants can be exercised at any time after issuance for an exercise price of $0.001 per share, subject to certain ownership limitations. The Company received net proceeds of approximately $46.5 million, after deducting underwriting discounts and commissions of approximately $3.0 million and offering expenses of approximately $0.5 million.</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118</w:t>
      </w:r>
    </w:p>
    <w:p>
      <w:pPr>
        <w:sectPr>
          <w:pgSz w:w="11880" w:h="15480" w:orient="portrait"/>
          <w:cols w:equalWidth="0" w:num="1">
            <w:col w:w="9360"/>
          </w:cols>
          <w:pgMar w:left="1260" w:top="1236" w:right="1260" w:bottom="0" w:gutter="0" w:footer="0" w:header="0"/>
          <w:type w:val="continuous"/>
        </w:sectPr>
      </w:pPr>
    </w:p>
    <w:bookmarkStart w:id="122" w:name="page123"/>
    <w:bookmarkEnd w:id="122"/>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9A. Controls and Procedures.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454546"/>
        </w:rPr>
        <w:t>Evaluation of Disclosure Controls and Procedures</w:t>
      </w:r>
    </w:p>
    <w:p>
      <w:pPr>
        <w:spacing w:after="0" w:line="12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454546"/>
        </w:rPr>
        <w:t>Management’s Annual Report on Internal Control over Financial Reporting</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454546"/>
        </w:rPr>
        <w:t>Changes in Internal Control over Financial Reporting</w:t>
      </w:r>
    </w:p>
    <w:p>
      <w:pPr>
        <w:spacing w:after="0" w:line="12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There were no changes in our internal control over financial reporting (as defined in Exchange Act Rules 13a-15(f) and 15d-15(f)) during the quarter ended December 31, 2023 that have materially affected, or are reasonably likely to materially affect, our internal control over financial reporting.</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454546"/>
        </w:rPr>
        <w:t>Inherent Limitations on Effectiveness of Controls</w:t>
      </w:r>
    </w:p>
    <w:p>
      <w:pPr>
        <w:spacing w:after="0" w:line="12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454546"/>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119</w:t>
      </w:r>
    </w:p>
    <w:p>
      <w:pPr>
        <w:sectPr>
          <w:pgSz w:w="11880" w:h="15480" w:orient="portrait"/>
          <w:cols w:equalWidth="0" w:num="1">
            <w:col w:w="9360"/>
          </w:cols>
          <w:pgMar w:left="1260" w:top="1440" w:right="12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454546"/>
        </w:rPr>
        <w:t>Item 9B. Other Information.</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During our last fiscal quarter, no director or officer, as defined in Rule 16a-1(f), adopted or terminated a “Rule 10b5-1 trading arrangement” or a “non-Rule 10b5-1 trading arrangement,” each as defined in Regulation S-K Item 408.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120</w:t>
      </w:r>
    </w:p>
    <w:p>
      <w:pPr>
        <w:sectPr>
          <w:pgSz w:w="11880" w:h="15480" w:orient="portrait"/>
          <w:cols w:equalWidth="0" w:num="1">
            <w:col w:w="9340"/>
          </w:cols>
          <w:pgMar w:left="1260" w:top="1236" w:right="1280" w:bottom="0" w:gutter="0" w:footer="0" w:header="0"/>
          <w:type w:val="continuous"/>
        </w:sectPr>
      </w:pPr>
    </w:p>
    <w:bookmarkStart w:id="124" w:name="page125"/>
    <w:bookmarkEnd w:id="124"/>
    <w:p>
      <w:pPr>
        <w:ind w:left="4520"/>
        <w:spacing w:after="0"/>
        <w:rPr>
          <w:sz w:val="20"/>
          <w:szCs w:val="20"/>
          <w:color w:val="auto"/>
        </w:rPr>
      </w:pPr>
      <w:r>
        <w:rPr>
          <w:rFonts w:ascii="Times New Roman" w:cs="Times New Roman" w:eastAsia="Times New Roman" w:hAnsi="Times New Roman"/>
          <w:sz w:val="20"/>
          <w:szCs w:val="20"/>
          <w:b w:val="1"/>
          <w:bCs w:val="1"/>
          <w:color w:val="454546"/>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10. Directors, Executive Officers and Corporate Governance.</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2023, and is incorporated herein by reference.</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Code of Ethics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74"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454546"/>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11. Executive Compensation.</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2023, and is incorporated herein by reference.</w:t>
      </w:r>
    </w:p>
    <w:p>
      <w:pPr>
        <w:spacing w:after="0" w:line="16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454546"/>
        </w:rPr>
        <w:t>Item 12. Security Ownership of Certain Beneficial Owners and Management and Related Stockholder Matters.</w:t>
      </w:r>
    </w:p>
    <w:p>
      <w:pPr>
        <w:spacing w:after="0" w:line="36"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2023,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13. Certain Relationships and Related Transactions, and Director Independence.</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2023,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14. Principal Accounting Fees and Services.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2023, and is incorporated herein by reference.</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121</w:t>
      </w:r>
    </w:p>
    <w:p>
      <w:pPr>
        <w:sectPr>
          <w:pgSz w:w="11880" w:h="15480" w:orient="portrait"/>
          <w:cols w:equalWidth="0" w:num="1">
            <w:col w:w="9360"/>
          </w:cols>
          <w:pgMar w:left="1260" w:top="1236" w:right="1260" w:bottom="0" w:gutter="0" w:footer="0" w:header="0"/>
          <w:type w:val="continuous"/>
        </w:sectPr>
      </w:pPr>
    </w:p>
    <w:bookmarkStart w:id="125" w:name="page126"/>
    <w:bookmarkEnd w:id="125"/>
    <w:p>
      <w:pPr>
        <w:jc w:val="center"/>
        <w:ind w:right="-159"/>
        <w:spacing w:after="0"/>
        <w:rPr>
          <w:sz w:val="20"/>
          <w:szCs w:val="20"/>
          <w:color w:val="auto"/>
        </w:rPr>
      </w:pPr>
      <w:r>
        <w:rPr>
          <w:rFonts w:ascii="Times New Roman" w:cs="Times New Roman" w:eastAsia="Times New Roman" w:hAnsi="Times New Roman"/>
          <w:sz w:val="20"/>
          <w:szCs w:val="20"/>
          <w:b w:val="1"/>
          <w:bCs w:val="1"/>
          <w:color w:val="454546"/>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15. Exhibits, Financial Statement Schedules.</w:t>
      </w:r>
    </w:p>
    <w:p>
      <w:pPr>
        <w:spacing w:after="0" w:line="124" w:lineRule="exact"/>
        <w:rPr>
          <w:sz w:val="20"/>
          <w:szCs w:val="20"/>
          <w:color w:val="auto"/>
        </w:rPr>
      </w:pPr>
    </w:p>
    <w:p>
      <w:pPr>
        <w:ind w:left="980" w:hanging="491"/>
        <w:spacing w:after="0"/>
        <w:tabs>
          <w:tab w:leader="none" w:pos="980" w:val="left"/>
        </w:tabs>
        <w:numPr>
          <w:ilvl w:val="0"/>
          <w:numId w:val="5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following documents are filed as a part of the report:</w:t>
      </w:r>
    </w:p>
    <w:p>
      <w:pPr>
        <w:spacing w:after="0" w:line="120" w:lineRule="exact"/>
        <w:rPr>
          <w:rFonts w:ascii="Times New Roman" w:cs="Times New Roman" w:eastAsia="Times New Roman" w:hAnsi="Times New Roman"/>
          <w:sz w:val="20"/>
          <w:szCs w:val="20"/>
          <w:color w:val="454546"/>
        </w:rPr>
      </w:pPr>
    </w:p>
    <w:p>
      <w:pPr>
        <w:ind w:left="1440" w:hanging="490"/>
        <w:spacing w:after="0" w:line="277" w:lineRule="auto"/>
        <w:tabs>
          <w:tab w:leader="none" w:pos="1440" w:val="left"/>
        </w:tabs>
        <w:numPr>
          <w:ilvl w:val="1"/>
          <w:numId w:val="5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Financial Statements: The financial statements filed as part of this Annual Report are included in Part II, Item 8 of this Annual Report.</w:t>
      </w:r>
    </w:p>
    <w:p>
      <w:pPr>
        <w:spacing w:after="0" w:line="49" w:lineRule="exact"/>
        <w:rPr>
          <w:rFonts w:ascii="Times New Roman" w:cs="Times New Roman" w:eastAsia="Times New Roman" w:hAnsi="Times New Roman"/>
          <w:sz w:val="20"/>
          <w:szCs w:val="20"/>
          <w:color w:val="454546"/>
        </w:rPr>
      </w:pPr>
    </w:p>
    <w:p>
      <w:pPr>
        <w:ind w:left="1440" w:right="100" w:hanging="490"/>
        <w:spacing w:after="0" w:line="258" w:lineRule="auto"/>
        <w:tabs>
          <w:tab w:leader="none" w:pos="1440" w:val="left"/>
        </w:tabs>
        <w:numPr>
          <w:ilvl w:val="1"/>
          <w:numId w:val="5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8" w:lineRule="exact"/>
        <w:rPr>
          <w:rFonts w:ascii="Times New Roman" w:cs="Times New Roman" w:eastAsia="Times New Roman" w:hAnsi="Times New Roman"/>
          <w:sz w:val="20"/>
          <w:szCs w:val="20"/>
          <w:color w:val="454546"/>
        </w:rPr>
      </w:pPr>
    </w:p>
    <w:p>
      <w:pPr>
        <w:ind w:left="1440" w:right="180" w:hanging="490"/>
        <w:spacing w:after="0" w:line="277" w:lineRule="auto"/>
        <w:tabs>
          <w:tab w:leader="none" w:pos="1440" w:val="left"/>
        </w:tabs>
        <w:numPr>
          <w:ilvl w:val="1"/>
          <w:numId w:val="5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Exhibits: The exhibits listed in the accompanying index to exhibits are filed or incorporated by reference as part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ectPr>
          <w:pgSz w:w="11880" w:h="15480" w:orient="portrait"/>
          <w:cols w:equalWidth="0" w:num="1">
            <w:col w:w="9200"/>
          </w:cols>
          <w:pgMar w:left="1260" w:top="1236"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54546"/>
        </w:rPr>
        <w:t>122</w:t>
      </w:r>
    </w:p>
    <w:p>
      <w:pPr>
        <w:sectPr>
          <w:pgSz w:w="11880" w:h="15480" w:orient="portrait"/>
          <w:cols w:equalWidth="0" w:num="1">
            <w:col w:w="9200"/>
          </w:cols>
          <w:pgMar w:left="1260" w:top="1236" w:right="1420" w:bottom="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454546"/>
        </w:rPr>
        <w:t>Exhibit Index</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80" w:type="dxa"/>
            <w:vAlign w:val="bottom"/>
          </w:tcPr>
          <w:p>
            <w:pPr>
              <w:spacing w:after="0"/>
              <w:rPr>
                <w:sz w:val="16"/>
                <w:szCs w:val="16"/>
                <w:color w:val="auto"/>
              </w:rPr>
            </w:pPr>
          </w:p>
        </w:tc>
        <w:tc>
          <w:tcPr>
            <w:tcW w:w="4620" w:type="dxa"/>
            <w:vAlign w:val="bottom"/>
            <w:vMerge w:val="restart"/>
          </w:tcPr>
          <w:p>
            <w:pPr>
              <w:ind w:left="1900"/>
              <w:spacing w:after="0"/>
              <w:rPr>
                <w:sz w:val="20"/>
                <w:szCs w:val="20"/>
                <w:color w:val="auto"/>
              </w:rPr>
            </w:pPr>
            <w:r>
              <w:rPr>
                <w:rFonts w:ascii="Times New Roman" w:cs="Times New Roman" w:eastAsia="Times New Roman" w:hAnsi="Times New Roman"/>
                <w:sz w:val="16"/>
                <w:szCs w:val="16"/>
                <w:b w:val="1"/>
                <w:bCs w:val="1"/>
                <w:color w:val="454546"/>
              </w:rPr>
              <w:t>Description</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454546"/>
              </w:rPr>
              <w:t>Form</w:t>
            </w: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454546"/>
              </w:rPr>
              <w:t>File No.</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454546"/>
              </w:rPr>
              <w:t>Filing Date</w:t>
            </w:r>
          </w:p>
        </w:tc>
        <w:tc>
          <w:tcPr>
            <w:tcW w:w="0" w:type="dxa"/>
            <w:vAlign w:val="bottom"/>
          </w:tcPr>
          <w:p>
            <w:pPr>
              <w:spacing w:after="0"/>
              <w:rPr>
                <w:sz w:val="1"/>
                <w:szCs w:val="1"/>
                <w:color w:val="auto"/>
              </w:rPr>
            </w:pPr>
          </w:p>
        </w:tc>
      </w:tr>
      <w:tr>
        <w:trPr>
          <w:trHeight w:val="203"/>
        </w:trPr>
        <w:tc>
          <w:tcPr>
            <w:tcW w:w="940" w:type="dxa"/>
            <w:vAlign w:val="bottom"/>
            <w:tcBorders>
              <w:bottom w:val="single" w:sz="8" w:color="454546"/>
            </w:tcBorders>
          </w:tcPr>
          <w:p>
            <w:pPr>
              <w:ind w:left="180"/>
              <w:spacing w:after="0"/>
              <w:rPr>
                <w:sz w:val="20"/>
                <w:szCs w:val="20"/>
                <w:color w:val="auto"/>
              </w:rPr>
            </w:pPr>
            <w:r>
              <w:rPr>
                <w:rFonts w:ascii="Times New Roman" w:cs="Times New Roman" w:eastAsia="Times New Roman" w:hAnsi="Times New Roman"/>
                <w:sz w:val="16"/>
                <w:szCs w:val="16"/>
                <w:b w:val="1"/>
                <w:bCs w:val="1"/>
                <w:color w:val="454546"/>
              </w:rPr>
              <w:t>Number</w:t>
            </w:r>
          </w:p>
        </w:tc>
        <w:tc>
          <w:tcPr>
            <w:tcW w:w="80" w:type="dxa"/>
            <w:vAlign w:val="bottom"/>
          </w:tcPr>
          <w:p>
            <w:pPr>
              <w:spacing w:after="0"/>
              <w:rPr>
                <w:sz w:val="17"/>
                <w:szCs w:val="17"/>
                <w:color w:val="auto"/>
              </w:rPr>
            </w:pPr>
          </w:p>
        </w:tc>
        <w:tc>
          <w:tcPr>
            <w:tcW w:w="4620" w:type="dxa"/>
            <w:vAlign w:val="bottom"/>
            <w:tcBorders>
              <w:bottom w:val="single" w:sz="8" w:color="454546"/>
            </w:tcBorders>
            <w:vMerge w:val="continue"/>
          </w:tcPr>
          <w:p>
            <w:pPr>
              <w:spacing w:after="0"/>
              <w:rPr>
                <w:sz w:val="17"/>
                <w:szCs w:val="17"/>
                <w:color w:val="auto"/>
              </w:rPr>
            </w:pPr>
          </w:p>
        </w:tc>
        <w:tc>
          <w:tcPr>
            <w:tcW w:w="620" w:type="dxa"/>
            <w:vAlign w:val="bottom"/>
            <w:tcBorders>
              <w:bottom w:val="single" w:sz="8" w:color="454546"/>
            </w:tcBorders>
            <w:vMerge w:val="continue"/>
          </w:tcPr>
          <w:p>
            <w:pPr>
              <w:spacing w:after="0"/>
              <w:rPr>
                <w:sz w:val="17"/>
                <w:szCs w:val="17"/>
                <w:color w:val="auto"/>
              </w:rPr>
            </w:pPr>
          </w:p>
        </w:tc>
        <w:tc>
          <w:tcPr>
            <w:tcW w:w="1200" w:type="dxa"/>
            <w:vAlign w:val="bottom"/>
            <w:tcBorders>
              <w:bottom w:val="single" w:sz="8" w:color="454546"/>
            </w:tcBorders>
            <w:vMerge w:val="continue"/>
          </w:tcPr>
          <w:p>
            <w:pPr>
              <w:spacing w:after="0"/>
              <w:rPr>
                <w:sz w:val="17"/>
                <w:szCs w:val="17"/>
                <w:color w:val="auto"/>
              </w:rPr>
            </w:pPr>
          </w:p>
        </w:tc>
        <w:tc>
          <w:tcPr>
            <w:tcW w:w="800" w:type="dxa"/>
            <w:vAlign w:val="bottom"/>
            <w:tcBorders>
              <w:bottom w:val="single" w:sz="8" w:color="454546"/>
            </w:tcBorders>
            <w:vMerge w:val="continue"/>
          </w:tcPr>
          <w:p>
            <w:pPr>
              <w:spacing w:after="0"/>
              <w:rPr>
                <w:sz w:val="17"/>
                <w:szCs w:val="17"/>
                <w:color w:val="auto"/>
              </w:rPr>
            </w:pPr>
          </w:p>
        </w:tc>
        <w:tc>
          <w:tcPr>
            <w:tcW w:w="1100" w:type="dxa"/>
            <w:vAlign w:val="bottom"/>
            <w:tcBorders>
              <w:bottom w:val="single" w:sz="8" w:color="45454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454546"/>
              </w:rPr>
              <w:t>3.1</w:t>
            </w:r>
          </w:p>
        </w:tc>
        <w:tc>
          <w:tcPr>
            <w:tcW w:w="80" w:type="dxa"/>
            <w:vAlign w:val="bottom"/>
          </w:tcPr>
          <w:p>
            <w:pPr>
              <w:spacing w:after="0"/>
              <w:rPr>
                <w:sz w:val="17"/>
                <w:szCs w:val="17"/>
                <w:color w:val="auto"/>
              </w:rPr>
            </w:pPr>
          </w:p>
        </w:tc>
        <w:tc>
          <w:tcPr>
            <w:tcW w:w="46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454546"/>
              </w:rPr>
              <w:t>Composite Amended and Restated Certificate of</w:t>
            </w:r>
          </w:p>
        </w:tc>
        <w:tc>
          <w:tcPr>
            <w:tcW w:w="62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454546"/>
              </w:rPr>
              <w:t>10-Q</w:t>
            </w:r>
          </w:p>
        </w:tc>
        <w:tc>
          <w:tcPr>
            <w:tcW w:w="1200" w:type="dxa"/>
            <w:vAlign w:val="bottom"/>
          </w:tcPr>
          <w:p>
            <w:pPr>
              <w:ind w:left="100"/>
              <w:spacing w:after="0" w:line="206" w:lineRule="exact"/>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line="206" w:lineRule="exact"/>
              <w:rPr>
                <w:sz w:val="20"/>
                <w:szCs w:val="20"/>
                <w:color w:val="auto"/>
              </w:rPr>
            </w:pPr>
            <w:r>
              <w:rPr>
                <w:rFonts w:ascii="Times New Roman" w:cs="Times New Roman" w:eastAsia="Times New Roman" w:hAnsi="Times New Roman"/>
                <w:sz w:val="20"/>
                <w:szCs w:val="20"/>
                <w:color w:val="454546"/>
              </w:rPr>
              <w:t>3.1</w:t>
            </w:r>
          </w:p>
        </w:tc>
        <w:tc>
          <w:tcPr>
            <w:tcW w:w="1100" w:type="dxa"/>
            <w:vAlign w:val="bottom"/>
          </w:tcPr>
          <w:p>
            <w:pPr>
              <w:ind w:left="80"/>
              <w:spacing w:after="0" w:line="206" w:lineRule="exact"/>
              <w:rPr>
                <w:sz w:val="20"/>
                <w:szCs w:val="20"/>
                <w:color w:val="auto"/>
              </w:rPr>
            </w:pPr>
            <w:r>
              <w:rPr>
                <w:rFonts w:ascii="Times New Roman" w:cs="Times New Roman" w:eastAsia="Times New Roman" w:hAnsi="Times New Roman"/>
                <w:sz w:val="20"/>
                <w:szCs w:val="20"/>
                <w:color w:val="454546"/>
              </w:rPr>
              <w:t>8-9-2023</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Incorporation of the Tenaya Therapeutics, Inc.</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3.2</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Amended and Restated Bylaws of Tenaya Therapeutics,</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3.1</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3-21-2023</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Inc.</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4.1</w:t>
            </w: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Specimen common stock certificate of the Registrant.</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4.2</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4.2</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Amended and Restated Investors’ Rights Agreement by</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4.1</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and among the Registrant and certain of its stockholders,</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dated December 17, 2020.</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4.3</w:t>
            </w: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Description of Securities of the Registrant.</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10-K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4.3</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3-23-2022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Form of Indemnification Agreement between the</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Registrant and each of its directors and executive</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officers.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10.2</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2021 Equity Incentive Plan and forms of agreements</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10-K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10.2</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3-23-2022</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thereunder.</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10.3</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2021 Employee Stock Purchase Plan and forms of</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10.4</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agreements thereunder.</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10.4</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Employment Letter between the Registrant and Faraz</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10.5</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Ali, M.B.A.</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10.5</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Employment Letter between the Registrant and Timothy</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10.6</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Hoey, Ph.D.</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10.6</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Employment Letter between the Registrant and Leone</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10.7</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D. Patterson, M.B.A.</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10.7</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Employment Letter between the Registrant and</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10.8</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Whittemore (Whit) Tingley, M.D., Ph.D.</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10.8</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Executive Change in Control and Severance Plan.</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6-12-2023</w:t>
            </w: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10.9</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Executive Incentive Compensation Plan.</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10.13</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10.10</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w:t>
            </w: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Outside Director Compensation Policy.</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10.11</w:t>
            </w:r>
            <w:r>
              <w:rPr>
                <w:rFonts w:ascii="Times New Roman" w:cs="Times New Roman" w:eastAsia="Times New Roman" w:hAnsi="Times New Roman"/>
                <w:sz w:val="26"/>
                <w:szCs w:val="26"/>
                <w:color w:val="454546"/>
                <w:vertAlign w:val="superscript"/>
              </w:rPr>
              <w:t>+</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Amended and Restated 2016 Equity Incentive Plan and</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10.2</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forms of agreement thereunder.</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10.12</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Lease between HCP Oyster Point III LLC and the</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10.10</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Registrant dated as of September 6, 2016.</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10.13</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Lease between Terreno Park Union City LLC and the</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10.11</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Registrant dated as of February 12, 2021.</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23.1*</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Consent of Deloitte &amp; Touche LLP, Independent</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Registered Public Accounting Firm.</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24.1*</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Power of Attorney (included on the signature page to</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this Annual Report on Form 10-K).</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31.1*</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Certification of Principal Executive Officer Pursuant to</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Rules 13a-14(a) and 15d-14(a) under the Securities</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Exchange Act of 1934, as Adopted Pursuant to Section</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302 of the Sarbanes-Oxley Act of 2002.</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31.2*</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Certification of Principal Financial Officer Pursuant to</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Rules 13a-14(a) and 15d-14(a) under the Securities</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Exchange Act of 1934, as Adopted Pursuant to Section</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302 of the Sarbanes-Oxley Act of 2002.</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32.1†</w:t>
            </w: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Certification of Principal Executive Officer and</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Principal Financial Officer Pursuant to 18 U.S.C.</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Section 1350, as Adopted Pursuant to Section 906 of the</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Sarbanes-Oxley Act of 2002.</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97*</w:t>
            </w:r>
          </w:p>
        </w:tc>
        <w:tc>
          <w:tcPr>
            <w:tcW w:w="8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0"/>
                <w:szCs w:val="20"/>
                <w:color w:val="454546"/>
              </w:rPr>
              <w:t>Compensation Recovery Policy.</w:t>
            </w: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36" w:right="126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123</w:t>
      </w:r>
    </w:p>
    <w:p>
      <w:pPr>
        <w:sectPr>
          <w:pgSz w:w="11880" w:h="15480" w:orient="portrait"/>
          <w:cols w:equalWidth="0" w:num="1">
            <w:col w:w="9360"/>
          </w:cols>
          <w:pgMar w:left="1260" w:top="1236" w:right="1260" w:bottom="0" w:gutter="0" w:footer="0" w:header="0"/>
          <w:type w:val="continuous"/>
        </w:sectPr>
      </w:pPr>
    </w:p>
    <w:bookmarkStart w:id="127" w:name="page128"/>
    <w:bookmarkEnd w:id="127"/>
    <w:p>
      <w:pPr>
        <w:spacing w:after="0"/>
        <w:tabs>
          <w:tab w:leader="none" w:pos="1000" w:val="left"/>
        </w:tabs>
        <w:rPr>
          <w:sz w:val="20"/>
          <w:szCs w:val="20"/>
          <w:color w:val="auto"/>
        </w:rPr>
      </w:pPr>
      <w:r>
        <w:rPr>
          <w:rFonts w:ascii="Times New Roman" w:cs="Times New Roman" w:eastAsia="Times New Roman" w:hAnsi="Times New Roman"/>
          <w:sz w:val="20"/>
          <w:szCs w:val="20"/>
          <w:color w:val="454546"/>
        </w:rPr>
        <w:t>101.INS*</w:t>
        <w:tab/>
        <w:t>Inline XBRL Instance Document–the instance document</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454546"/>
        </w:rPr>
        <w:t>does not appear in the Interactive Data File as its XBRL</w:t>
      </w:r>
    </w:p>
    <w:p>
      <w:pPr>
        <w:ind w:left="1020"/>
        <w:spacing w:after="0"/>
        <w:rPr>
          <w:sz w:val="20"/>
          <w:szCs w:val="20"/>
          <w:color w:val="auto"/>
        </w:rPr>
      </w:pPr>
      <w:r>
        <w:rPr>
          <w:rFonts w:ascii="Times New Roman" w:cs="Times New Roman" w:eastAsia="Times New Roman" w:hAnsi="Times New Roman"/>
          <w:sz w:val="20"/>
          <w:szCs w:val="20"/>
          <w:color w:val="454546"/>
        </w:rPr>
        <w:t>tags are embedded within the Inline XBRL document.</w:t>
      </w:r>
    </w:p>
    <w:p>
      <w:pPr>
        <w:spacing w:after="0" w:line="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454546"/>
        </w:rPr>
        <w:t>101.SCH*</w:t>
        <w:tab/>
        <w:t>Inline XBRL Taxonomy Extension Schema With</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454546"/>
        </w:rPr>
        <w:t>Embedded Linkbase Documents</w:t>
      </w:r>
    </w:p>
    <w:p>
      <w:pPr>
        <w:spacing w:after="0" w:line="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454546"/>
        </w:rPr>
        <w:t>104*</w:t>
      </w:r>
      <w:r>
        <w:rPr>
          <w:sz w:val="20"/>
          <w:szCs w:val="20"/>
          <w:color w:val="auto"/>
        </w:rPr>
        <w:tab/>
      </w:r>
      <w:r>
        <w:rPr>
          <w:rFonts w:ascii="Times New Roman" w:cs="Times New Roman" w:eastAsia="Times New Roman" w:hAnsi="Times New Roman"/>
          <w:sz w:val="20"/>
          <w:szCs w:val="20"/>
          <w:color w:val="454546"/>
        </w:rPr>
        <w:t>Cover page formatted as Inline XBRL and contained in</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454546"/>
        </w:rPr>
        <w:t>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97790</wp:posOffset>
                </wp:positionV>
                <wp:extent cx="3619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7pt" to="1.4pt,7.7pt" o:allowincell="f" strokecolor="#454546" strokeweight="0.5pt"/>
            </w:pict>
          </mc:Fallback>
        </mc:AlternateContent>
      </w:r>
    </w:p>
    <w:p>
      <w:pPr>
        <w:spacing w:after="0" w:line="236" w:lineRule="exact"/>
        <w:rPr>
          <w:sz w:val="20"/>
          <w:szCs w:val="20"/>
          <w:color w:val="auto"/>
        </w:rPr>
      </w:pPr>
    </w:p>
    <w:p>
      <w:pPr>
        <w:ind w:left="500" w:hanging="500"/>
        <w:spacing w:after="0"/>
        <w:tabs>
          <w:tab w:leader="none" w:pos="500" w:val="left"/>
        </w:tabs>
        <w:numPr>
          <w:ilvl w:val="0"/>
          <w:numId w:val="51"/>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color w:val="454546"/>
        </w:rPr>
        <w:t>Filed herewith</w:t>
      </w:r>
      <w:r>
        <w:rPr>
          <w:rFonts w:ascii="Times New Roman" w:cs="Times New Roman" w:eastAsia="Times New Roman" w:hAnsi="Times New Roman"/>
          <w:sz w:val="20"/>
          <w:szCs w:val="20"/>
          <w:b w:val="1"/>
          <w:bCs w:val="1"/>
          <w:color w:val="454546"/>
        </w:rPr>
        <w:t>.</w:t>
      </w:r>
    </w:p>
    <w:p>
      <w:pPr>
        <w:spacing w:after="0" w:line="124" w:lineRule="exact"/>
        <w:rPr>
          <w:sz w:val="20"/>
          <w:szCs w:val="20"/>
          <w:color w:val="auto"/>
        </w:rPr>
      </w:pPr>
    </w:p>
    <w:p>
      <w:pPr>
        <w:ind w:left="500" w:hanging="500"/>
        <w:spacing w:after="0"/>
        <w:tabs>
          <w:tab w:leader="none" w:pos="500" w:val="left"/>
        </w:tabs>
        <w:numPr>
          <w:ilvl w:val="0"/>
          <w:numId w:val="5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Management contract, compensatory plan or agreement.</w:t>
      </w:r>
    </w:p>
    <w:p>
      <w:pPr>
        <w:spacing w:after="0" w:line="120" w:lineRule="exact"/>
        <w:rPr>
          <w:sz w:val="20"/>
          <w:szCs w:val="20"/>
          <w:color w:val="auto"/>
        </w:rPr>
      </w:pPr>
    </w:p>
    <w:p>
      <w:pPr>
        <w:spacing w:after="0" w:line="252" w:lineRule="auto"/>
        <w:tabs>
          <w:tab w:leader="none" w:pos="490" w:val="left"/>
        </w:tabs>
        <w:numPr>
          <w:ilvl w:val="0"/>
          <w:numId w:val="53"/>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color w:val="454546"/>
        </w:rPr>
        <w:t>The certifications attached as Exhibit 32.1 that accompany this Annual Report on Form 10-K are not deemed filed with the Securities and Exchange Commission and are not to be incorporated by reference into any filing of the Registrant under the Securities Act or the Exchange Act, whether made before or after the date of this Annual Report on Form 10-K, irrespective of any general incorporation language contained in such filing.</w:t>
      </w:r>
    </w:p>
    <w:p>
      <w:pPr>
        <w:sectPr>
          <w:pgSz w:w="11880" w:h="15480" w:orient="portrait"/>
          <w:cols w:equalWidth="0" w:num="1">
            <w:col w:w="9320"/>
          </w:cols>
          <w:pgMar w:left="1260" w:top="12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124</w:t>
      </w:r>
    </w:p>
    <w:p>
      <w:pPr>
        <w:sectPr>
          <w:pgSz w:w="11880" w:h="15480" w:orient="portrait"/>
          <w:cols w:equalWidth="0" w:num="1">
            <w:col w:w="9320"/>
          </w:cols>
          <w:pgMar w:left="1260" w:top="1255" w:right="130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454546"/>
        </w:rPr>
        <w:t>SIGNATURES</w:t>
      </w:r>
    </w:p>
    <w:p>
      <w:pPr>
        <w:spacing w:after="0" w:line="244"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454546"/>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454546"/>
        </w:rPr>
        <w:t>.</w:t>
      </w:r>
    </w:p>
    <w:p>
      <w:pPr>
        <w:spacing w:after="0" w:line="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454546"/>
        </w:rPr>
        <w:t>TENAYA THERAPEUTICS, INC.</w:t>
      </w:r>
    </w:p>
    <w:p>
      <w:pPr>
        <w:spacing w:after="0" w:line="26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20"/>
          <w:szCs w:val="20"/>
          <w:color w:val="454546"/>
        </w:rPr>
        <w:t>Date: March 18, 2024</w:t>
      </w:r>
      <w:r>
        <w:rPr>
          <w:sz w:val="20"/>
          <w:szCs w:val="20"/>
          <w:color w:val="auto"/>
        </w:rPr>
        <w:tab/>
      </w:r>
      <w:r>
        <w:rPr>
          <w:rFonts w:ascii="Times New Roman" w:cs="Times New Roman" w:eastAsia="Times New Roman" w:hAnsi="Times New Roman"/>
          <w:sz w:val="20"/>
          <w:szCs w:val="20"/>
          <w:color w:val="454546"/>
        </w:rPr>
        <w:t>By: /s/ Faraz Ali,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3181985</wp:posOffset>
                </wp:positionH>
                <wp:positionV relativeFrom="paragraph">
                  <wp:posOffset>13335</wp:posOffset>
                </wp:positionV>
                <wp:extent cx="27616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55pt,1.05pt" to="468pt,1.05pt" o:allowincell="f" strokecolor="#454546" strokeweight="0.25pt"/>
            </w:pict>
          </mc:Fallback>
        </mc:AlternateContent>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454546"/>
        </w:rPr>
        <w:t>Faraz Ali, M.B.A.</w:t>
      </w:r>
    </w:p>
    <w:p>
      <w:pPr>
        <w:spacing w:after="0" w:line="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454546"/>
        </w:rPr>
        <w:t>Chief Executive Officer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POWER OF ATTORNEY</w:t>
      </w:r>
    </w:p>
    <w:p>
      <w:pPr>
        <w:spacing w:after="0" w:line="24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KNOW ALL PERSONS BY THESE PRESENTS, that each person whose signature appears below constitutes and appoints Faraz Ali and Leone Patterson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Pursuant to the requirements of the Securities Exchange Act of 1934, as amended, this Report has been signed below by the following persons on behalf of the Registrant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Borders>
              <w:bottom w:val="single" w:sz="8" w:color="454546"/>
            </w:tcBorders>
            <w:gridSpan w:val="2"/>
          </w:tcPr>
          <w:p>
            <w:pPr>
              <w:ind w:left="1440"/>
              <w:spacing w:after="0"/>
              <w:rPr>
                <w:sz w:val="20"/>
                <w:szCs w:val="20"/>
                <w:color w:val="auto"/>
              </w:rPr>
            </w:pPr>
            <w:r>
              <w:rPr>
                <w:rFonts w:ascii="Times New Roman" w:cs="Times New Roman" w:eastAsia="Times New Roman" w:hAnsi="Times New Roman"/>
                <w:sz w:val="16"/>
                <w:szCs w:val="16"/>
                <w:b w:val="1"/>
                <w:bCs w:val="1"/>
                <w:color w:val="454546"/>
              </w:rPr>
              <w:t>Name</w:t>
            </w:r>
          </w:p>
        </w:tc>
        <w:tc>
          <w:tcPr>
            <w:tcW w:w="80" w:type="dxa"/>
            <w:vAlign w:val="bottom"/>
          </w:tcPr>
          <w:p>
            <w:pPr>
              <w:spacing w:after="0"/>
              <w:rPr>
                <w:sz w:val="17"/>
                <w:szCs w:val="17"/>
                <w:color w:val="auto"/>
              </w:rPr>
            </w:pPr>
          </w:p>
        </w:tc>
        <w:tc>
          <w:tcPr>
            <w:tcW w:w="3860" w:type="dxa"/>
            <w:vAlign w:val="bottom"/>
            <w:tcBorders>
              <w:bottom w:val="single" w:sz="8" w:color="454546"/>
            </w:tcBorders>
          </w:tcPr>
          <w:p>
            <w:pPr>
              <w:ind w:left="1760"/>
              <w:spacing w:after="0"/>
              <w:rPr>
                <w:sz w:val="20"/>
                <w:szCs w:val="20"/>
                <w:color w:val="auto"/>
              </w:rPr>
            </w:pPr>
            <w:r>
              <w:rPr>
                <w:rFonts w:ascii="Times New Roman" w:cs="Times New Roman" w:eastAsia="Times New Roman" w:hAnsi="Times New Roman"/>
                <w:sz w:val="16"/>
                <w:szCs w:val="16"/>
                <w:b w:val="1"/>
                <w:bCs w:val="1"/>
                <w:color w:val="454546"/>
              </w:rPr>
              <w:t>Title</w:t>
            </w:r>
          </w:p>
        </w:tc>
        <w:tc>
          <w:tcPr>
            <w:tcW w:w="100" w:type="dxa"/>
            <w:vAlign w:val="bottom"/>
          </w:tcPr>
          <w:p>
            <w:pPr>
              <w:spacing w:after="0"/>
              <w:rPr>
                <w:sz w:val="17"/>
                <w:szCs w:val="17"/>
                <w:color w:val="auto"/>
              </w:rPr>
            </w:pPr>
          </w:p>
        </w:tc>
        <w:tc>
          <w:tcPr>
            <w:tcW w:w="2020" w:type="dxa"/>
            <w:vAlign w:val="bottom"/>
            <w:tcBorders>
              <w:bottom w:val="single" w:sz="8" w:color="454546"/>
            </w:tcBorders>
          </w:tcPr>
          <w:p>
            <w:pPr>
              <w:ind w:left="840"/>
              <w:spacing w:after="0"/>
              <w:rPr>
                <w:sz w:val="20"/>
                <w:szCs w:val="20"/>
                <w:color w:val="auto"/>
              </w:rPr>
            </w:pPr>
            <w:r>
              <w:rPr>
                <w:rFonts w:ascii="Times New Roman" w:cs="Times New Roman" w:eastAsia="Times New Roman" w:hAnsi="Times New Roman"/>
                <w:sz w:val="16"/>
                <w:szCs w:val="16"/>
                <w:b w:val="1"/>
                <w:bCs w:val="1"/>
                <w:color w:val="454546"/>
              </w:rPr>
              <w:t>Date</w:t>
            </w:r>
          </w:p>
        </w:tc>
      </w:tr>
      <w:tr>
        <w:trPr>
          <w:trHeight w:val="335"/>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Faraz Ali, M.B.A.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Chief Executive Officer and 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44"/>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54546"/>
              </w:rPr>
              <w:t>Faraz Ali, M.B.A.</w:t>
            </w:r>
          </w:p>
        </w:tc>
        <w:tc>
          <w:tcPr>
            <w:tcW w:w="8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(Principal Executive Officer)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316"/>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Leone D. Patterson, M.B.A.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Chief Financial and Business Officer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44"/>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54546"/>
              </w:rPr>
              <w:t>Leone D. Patterson, M.B.A.</w:t>
            </w:r>
          </w:p>
        </w:tc>
        <w:tc>
          <w:tcPr>
            <w:tcW w:w="8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(Principal Financial and Accounting Officer)</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316"/>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Amy L. Burroughs</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Amy L. Burroughs, M.B.A.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Jin-Long Chen, Ph.D.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Jin-Long Chen, Ph.D.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David V. Goeddel, Ph.D.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David V. Goeddel, Ph.D.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June Lee, M.D.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June Lee, M.D.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Karah Parschauer</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Karah Parschauer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Deepak Srivastava, M.D.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Deepak Srivastava, M.D.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Catherine Stehman-Breen, M.D.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Catherine Stehman-Breen, M.D.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Jeffrey T. Walsh, M.B.A.</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Jeffrey T. Walsh, M.B.A.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27"/>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/s/ R. Sanders (Sandy) Williams, M.D.</w:t>
            </w:r>
          </w:p>
        </w:tc>
        <w:tc>
          <w:tcPr>
            <w:tcW w:w="8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18, 2024</w:t>
            </w:r>
          </w:p>
        </w:tc>
      </w:tr>
      <w:tr>
        <w:trPr>
          <w:trHeight w:val="206"/>
        </w:trPr>
        <w:tc>
          <w:tcPr>
            <w:tcW w:w="3280" w:type="dxa"/>
            <w:vAlign w:val="bottom"/>
            <w:tcBorders>
              <w:top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R. Sanders (Sandy) Williams, M.D.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125</w:t>
      </w:r>
    </w:p>
    <w:p>
      <w:pPr>
        <w:sectPr>
          <w:pgSz w:w="11880" w:h="15480" w:orient="portrait"/>
          <w:cols w:equalWidth="0" w:num="1">
            <w:col w:w="9360"/>
          </w:cols>
          <w:pgMar w:left="1260" w:top="1236" w:right="1260" w:bottom="0"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[THIS PAGE INTENTIONALLY LEFT BLANK]</w:t>
      </w:r>
    </w:p>
    <w:p>
      <w:pPr>
        <w:sectPr>
          <w:pgSz w:w="11880" w:h="15480" w:orient="portrait"/>
          <w:cols w:equalWidth="0" w:num="1">
            <w:col w:w="9000"/>
          </w:cols>
          <w:pgMar w:left="1440" w:top="1440" w:right="1440" w:bottom="1440" w:gutter="0" w:footer="0" w:header="0"/>
        </w:sectPr>
      </w:pPr>
    </w:p>
    <w:bookmarkStart w:id="130" w:name="page131"/>
    <w:bookmarkEnd w:id="13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1" w:name="page132"/>
    <w:bookmarkEnd w:id="131"/>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20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amp;"/>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lowerLetter"/>
      <w:start w:val="1"/>
    </w:lvl>
    <w:lvl w:ilvl="1">
      <w:lvlJc w:val="left"/>
      <w:lvlText w:val="(%2)"/>
      <w:numFmt w:val="decimal"/>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2024-04-17T16:07:13Z</dcterms:created>
  <dcterms:modified xsi:type="dcterms:W3CDTF">2024-04-17T16:07:13Z</dcterms:modified>
</cp:coreProperties>
</file>