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June 9, 2022</w:t>
      </w:r>
    </w:p>
    <w:p>
      <w:pPr>
        <w:spacing w:after="0" w:line="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484" w:right="499" w:bottom="1440" w:gutter="0" w:footer="0" w:header="0"/>
        </w:sectPr>
      </w:pPr>
    </w:p>
    <w:p>
      <w:pPr>
        <w:spacing w:after="0" w:line="16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 w:lineRule="exact"/>
        <w:rPr>
          <w:sz w:val="24"/>
          <w:szCs w:val="24"/>
          <w:color w:val="auto"/>
        </w:rPr>
      </w:pPr>
    </w:p>
    <w:p>
      <w:pPr>
        <w:sectPr>
          <w:pgSz w:w="11900" w:h="16838" w:orient="portrait"/>
          <w:cols w:equalWidth="0" w:num="3">
            <w:col w:w="4760" w:space="720"/>
            <w:col w:w="2580" w:space="720"/>
            <w:col w:w="2300"/>
          </w:cols>
          <w:pgMar w:left="320" w:top="484" w:right="499" w:bottom="1440" w:gutter="0" w:footer="0" w:header="0"/>
          <w:type w:val="continuous"/>
        </w:sectPr>
      </w:pPr>
    </w:p>
    <w:p>
      <w:pPr>
        <w:jc w:val="center"/>
        <w:ind w:right="200"/>
        <w:spacing w:after="0" w:line="237" w:lineRule="auto"/>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line="237" w:lineRule="auto"/>
        <w:rPr>
          <w:sz w:val="20"/>
          <w:szCs w:val="20"/>
          <w:color w:val="auto"/>
        </w:rPr>
      </w:pPr>
      <w:r>
        <w:rPr>
          <w:rFonts w:ascii="Times New Roman" w:cs="Times New Roman" w:eastAsia="Times New Roman" w:hAnsi="Times New Roman"/>
          <w:sz w:val="14"/>
          <w:szCs w:val="14"/>
          <w:b w:val="1"/>
          <w:bCs w:val="1"/>
          <w:color w:val="auto"/>
        </w:rPr>
        <w:t>(Commission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line="237" w:lineRule="auto"/>
        <w:rPr>
          <w:sz w:val="20"/>
          <w:szCs w:val="20"/>
          <w:color w:val="auto"/>
        </w:rPr>
      </w:pPr>
      <w:r>
        <w:rPr>
          <w:rFonts w:ascii="Times New Roman" w:cs="Times New Roman" w:eastAsia="Times New Roman" w:hAnsi="Times New Roman"/>
          <w:sz w:val="14"/>
          <w:szCs w:val="14"/>
          <w:b w:val="1"/>
          <w:bCs w:val="1"/>
          <w:color w:val="auto"/>
        </w:rPr>
        <w:t>(IRS Employer</w:t>
      </w:r>
    </w:p>
    <w:p>
      <w:pPr>
        <w:spacing w:after="0" w:line="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420"/>
          </w:cols>
          <w:pgMar w:left="320" w:top="484" w:right="499" w:bottom="1440" w:gutter="0" w:footer="0" w:header="0"/>
          <w:type w:val="continuous"/>
        </w:sectPr>
      </w:pP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171 Oyster Point Boulevard, 5th Floor</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(650) 825-6900</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484" w:right="499" w:bottom="1440" w:gutter="0" w:footer="0" w:header="0"/>
          <w:type w:val="continuous"/>
        </w:sectPr>
      </w:pPr>
    </w:p>
    <w:p>
      <w:pPr>
        <w:spacing w:after="0" w:line="97" w:lineRule="exact"/>
        <w:rPr>
          <w:sz w:val="24"/>
          <w:szCs w:val="24"/>
          <w:color w:val="auto"/>
        </w:rPr>
      </w:pPr>
    </w:p>
    <w:p>
      <w:pPr>
        <w:ind w:right="52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80" w:firstLine="16"/>
        <w:spacing w:after="0" w:line="391"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5"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4160" w:type="dxa"/>
            <w:vAlign w:val="bottom"/>
            <w:vMerge w:val="restart"/>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tcPr>
          <w:p>
            <w:pPr>
              <w:jc w:val="center"/>
              <w:ind w:left="762"/>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46"/>
        </w:trPr>
        <w:tc>
          <w:tcPr>
            <w:tcW w:w="4160" w:type="dxa"/>
            <w:vAlign w:val="bottom"/>
            <w:vMerge w:val="continue"/>
          </w:tcPr>
          <w:p>
            <w:pPr>
              <w:spacing w:after="0"/>
              <w:rPr>
                <w:sz w:val="12"/>
                <w:szCs w:val="12"/>
                <w:color w:val="auto"/>
              </w:rPr>
            </w:pPr>
          </w:p>
        </w:tc>
        <w:tc>
          <w:tcPr>
            <w:tcW w:w="2240" w:type="dxa"/>
            <w:vAlign w:val="bottom"/>
          </w:tcPr>
          <w:p>
            <w:pPr>
              <w:jc w:val="center"/>
              <w:ind w:right="2"/>
              <w:spacing w:after="0" w:line="146"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46"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60" w:type="dxa"/>
            <w:vAlign w:val="bottom"/>
          </w:tcPr>
          <w:p>
            <w:pPr>
              <w:jc w:val="center"/>
              <w:ind w:right="67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4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4"/>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54"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8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Tenaya Therapeutics, Inc. (the “Company”) held its annual meeting of stockholders (the “Annual Meeting”) on June 9, 2022. The matters voted upon at the Annual Meeting and the voting results for each proposal are set forth below. Voting results are, when applicable, reported by rounding fractional share voting down to the nearest round number.</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Class I Directors</w:t>
            </w:r>
          </w:p>
        </w:tc>
        <w:tc>
          <w:tcPr>
            <w:tcW w:w="2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26"/>
        </w:trPr>
        <w:tc>
          <w:tcPr>
            <w:tcW w:w="2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163"/>
        </w:trPr>
        <w:tc>
          <w:tcPr>
            <w:tcW w:w="2860" w:type="dxa"/>
            <w:vAlign w:val="bottom"/>
            <w:tcBorders>
              <w:left w:val="single" w:sz="8" w:color="auto"/>
              <w:bottom w:val="single" w:sz="8" w:color="auto"/>
              <w:right w:val="single" w:sz="8" w:color="auto"/>
            </w:tcBorders>
          </w:tcPr>
          <w:p>
            <w:pPr>
              <w:ind w:left="380"/>
              <w:spacing w:after="0" w:line="142" w:lineRule="exact"/>
              <w:rPr>
                <w:sz w:val="20"/>
                <w:szCs w:val="20"/>
                <w:color w:val="auto"/>
              </w:rPr>
            </w:pPr>
            <w:r>
              <w:rPr>
                <w:rFonts w:ascii="Times New Roman" w:cs="Times New Roman" w:eastAsia="Times New Roman" w:hAnsi="Times New Roman"/>
                <w:sz w:val="16"/>
                <w:szCs w:val="16"/>
                <w:b w:val="1"/>
                <w:bCs w:val="1"/>
                <w:color w:val="auto"/>
              </w:rPr>
              <w:t>Name of Director Nominee</w:t>
            </w:r>
          </w:p>
        </w:tc>
        <w:tc>
          <w:tcPr>
            <w:tcW w:w="58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jc w:val="center"/>
              <w:ind w:right="552"/>
              <w:spacing w:after="0" w:line="142" w:lineRule="exact"/>
              <w:rPr>
                <w:sz w:val="20"/>
                <w:szCs w:val="20"/>
                <w:color w:val="auto"/>
              </w:rPr>
            </w:pPr>
            <w:r>
              <w:rPr>
                <w:rFonts w:ascii="Times New Roman" w:cs="Times New Roman" w:eastAsia="Times New Roman" w:hAnsi="Times New Roman"/>
                <w:sz w:val="16"/>
                <w:szCs w:val="16"/>
                <w:b w:val="1"/>
                <w:bCs w:val="1"/>
                <w:color w:val="auto"/>
              </w:rPr>
              <w:t>For</w:t>
            </w:r>
          </w:p>
        </w:tc>
        <w:tc>
          <w:tcPr>
            <w:tcW w:w="2800" w:type="dxa"/>
            <w:vAlign w:val="bottom"/>
            <w:tcBorders>
              <w:bottom w:val="single" w:sz="8" w:color="auto"/>
              <w:right w:val="single" w:sz="8" w:color="auto"/>
            </w:tcBorders>
          </w:tcPr>
          <w:p>
            <w:pPr>
              <w:ind w:left="1020"/>
              <w:spacing w:after="0" w:line="142" w:lineRule="exact"/>
              <w:rPr>
                <w:sz w:val="20"/>
                <w:szCs w:val="20"/>
                <w:color w:val="auto"/>
              </w:rPr>
            </w:pPr>
            <w:r>
              <w:rPr>
                <w:rFonts w:ascii="Times New Roman" w:cs="Times New Roman" w:eastAsia="Times New Roman" w:hAnsi="Times New Roman"/>
                <w:sz w:val="16"/>
                <w:szCs w:val="16"/>
                <w:b w:val="1"/>
                <w:bCs w:val="1"/>
                <w:color w:val="auto"/>
              </w:rPr>
              <w:t>Withheld</w:t>
            </w:r>
          </w:p>
        </w:tc>
        <w:tc>
          <w:tcPr>
            <w:tcW w:w="2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166"/>
        </w:trPr>
        <w:tc>
          <w:tcPr>
            <w:tcW w:w="2860" w:type="dxa"/>
            <w:vAlign w:val="bottom"/>
            <w:tcBorders>
              <w:left w:val="single" w:sz="8" w:color="auto"/>
              <w:bottom w:val="single" w:sz="8" w:color="auto"/>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8"/>
                <w:szCs w:val="18"/>
                <w:color w:val="auto"/>
              </w:rPr>
              <w:t>David Goeddel, Ph.D.</w:t>
            </w:r>
          </w:p>
        </w:tc>
        <w:tc>
          <w:tcPr>
            <w:tcW w:w="58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jc w:val="center"/>
              <w:ind w:right="572"/>
              <w:spacing w:after="0" w:line="166" w:lineRule="exact"/>
              <w:rPr>
                <w:sz w:val="20"/>
                <w:szCs w:val="20"/>
                <w:color w:val="auto"/>
              </w:rPr>
            </w:pPr>
            <w:r>
              <w:rPr>
                <w:rFonts w:ascii="Times New Roman" w:cs="Times New Roman" w:eastAsia="Times New Roman" w:hAnsi="Times New Roman"/>
                <w:sz w:val="18"/>
                <w:szCs w:val="18"/>
                <w:color w:val="auto"/>
              </w:rPr>
              <w:t>34,063,079</w:t>
            </w:r>
          </w:p>
        </w:tc>
        <w:tc>
          <w:tcPr>
            <w:tcW w:w="280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9"/>
              </w:rPr>
              <w:t>1,091,879</w:t>
            </w:r>
          </w:p>
        </w:tc>
        <w:tc>
          <w:tcPr>
            <w:tcW w:w="280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9"/>
              </w:rPr>
              <w:t>829,857</w:t>
            </w:r>
          </w:p>
        </w:tc>
      </w:tr>
      <w:tr>
        <w:trPr>
          <w:trHeight w:val="183"/>
        </w:trPr>
        <w:tc>
          <w:tcPr>
            <w:tcW w:w="286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Karah Parschauer, J.D.</w:t>
            </w:r>
          </w:p>
        </w:tc>
        <w:tc>
          <w:tcPr>
            <w:tcW w:w="580" w:type="dxa"/>
            <w:vAlign w:val="bottom"/>
            <w:tcBorders>
              <w:bottom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jc w:val="center"/>
              <w:ind w:right="572"/>
              <w:spacing w:after="0" w:line="182" w:lineRule="exact"/>
              <w:rPr>
                <w:sz w:val="20"/>
                <w:szCs w:val="20"/>
                <w:color w:val="auto"/>
              </w:rPr>
            </w:pPr>
            <w:r>
              <w:rPr>
                <w:rFonts w:ascii="Times New Roman" w:cs="Times New Roman" w:eastAsia="Times New Roman" w:hAnsi="Times New Roman"/>
                <w:sz w:val="18"/>
                <w:szCs w:val="18"/>
                <w:color w:val="auto"/>
              </w:rPr>
              <w:t>34,833,578</w:t>
            </w:r>
          </w:p>
        </w:tc>
        <w:tc>
          <w:tcPr>
            <w:tcW w:w="2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321,380</w:t>
            </w:r>
          </w:p>
        </w:tc>
        <w:tc>
          <w:tcPr>
            <w:tcW w:w="2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829,857</w:t>
            </w:r>
          </w:p>
        </w:tc>
      </w:tr>
      <w:tr>
        <w:trPr>
          <w:trHeight w:val="183"/>
        </w:trPr>
        <w:tc>
          <w:tcPr>
            <w:tcW w:w="286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Jeffrey T. Walsh, M.B.A.</w:t>
            </w:r>
          </w:p>
        </w:tc>
        <w:tc>
          <w:tcPr>
            <w:tcW w:w="580" w:type="dxa"/>
            <w:vAlign w:val="bottom"/>
            <w:tcBorders>
              <w:bottom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jc w:val="center"/>
              <w:ind w:right="552"/>
              <w:spacing w:after="0" w:line="182" w:lineRule="exact"/>
              <w:rPr>
                <w:sz w:val="20"/>
                <w:szCs w:val="20"/>
                <w:color w:val="auto"/>
              </w:rPr>
            </w:pPr>
            <w:r>
              <w:rPr>
                <w:rFonts w:ascii="Times New Roman" w:cs="Times New Roman" w:eastAsia="Times New Roman" w:hAnsi="Times New Roman"/>
                <w:sz w:val="18"/>
                <w:szCs w:val="18"/>
                <w:color w:val="auto"/>
                <w:w w:val="98"/>
              </w:rPr>
              <w:t>34,112,810</w:t>
            </w:r>
          </w:p>
        </w:tc>
        <w:tc>
          <w:tcPr>
            <w:tcW w:w="2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1,042,149</w:t>
            </w:r>
          </w:p>
        </w:tc>
        <w:tc>
          <w:tcPr>
            <w:tcW w:w="2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829,857</w:t>
            </w:r>
          </w:p>
        </w:tc>
      </w:tr>
      <w:tr>
        <w:trPr>
          <w:trHeight w:val="183"/>
        </w:trPr>
        <w:tc>
          <w:tcPr>
            <w:tcW w:w="286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R. Sanders Williams, M.D.</w:t>
            </w:r>
          </w:p>
        </w:tc>
        <w:tc>
          <w:tcPr>
            <w:tcW w:w="580" w:type="dxa"/>
            <w:vAlign w:val="bottom"/>
            <w:tcBorders>
              <w:bottom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jc w:val="center"/>
              <w:ind w:right="572"/>
              <w:spacing w:after="0" w:line="182" w:lineRule="exact"/>
              <w:rPr>
                <w:sz w:val="20"/>
                <w:szCs w:val="20"/>
                <w:color w:val="auto"/>
              </w:rPr>
            </w:pPr>
            <w:r>
              <w:rPr>
                <w:rFonts w:ascii="Times New Roman" w:cs="Times New Roman" w:eastAsia="Times New Roman" w:hAnsi="Times New Roman"/>
                <w:sz w:val="18"/>
                <w:szCs w:val="18"/>
                <w:color w:val="auto"/>
              </w:rPr>
              <w:t>34,135,556</w:t>
            </w:r>
          </w:p>
        </w:tc>
        <w:tc>
          <w:tcPr>
            <w:tcW w:w="2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1,019,403</w:t>
            </w:r>
          </w:p>
        </w:tc>
        <w:tc>
          <w:tcPr>
            <w:tcW w:w="2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829,857</w:t>
            </w:r>
          </w:p>
        </w:tc>
      </w:tr>
    </w:tbl>
    <w:p>
      <w:pPr>
        <w:spacing w:after="0" w:line="3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until the 2025 annual meeting of stockholders and until their successor is duly elected and qualified, subject to earlier resignation or removal.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198"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184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18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35,984,423</w:t>
            </w:r>
          </w:p>
        </w:tc>
        <w:tc>
          <w:tcPr>
            <w:tcW w:w="27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148</w:t>
            </w:r>
          </w:p>
        </w:tc>
        <w:tc>
          <w:tcPr>
            <w:tcW w:w="26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244</w:t>
            </w:r>
          </w:p>
        </w:tc>
        <w:tc>
          <w:tcPr>
            <w:tcW w:w="23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7134225" cy="267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267970"/>
                    </a:xfrm>
                    <a:prstGeom prst="rect">
                      <a:avLst/>
                    </a:prstGeom>
                    <a:noFill/>
                  </pic:spPr>
                </pic:pic>
              </a:graphicData>
            </a:graphic>
          </wp:anchor>
        </w:drawing>
      </w:r>
    </w:p>
    <w:p>
      <w:pPr>
        <w:spacing w:after="0" w:line="2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1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2022-06-10T15:46:02Z</dcterms:created>
  <dcterms:modified xsi:type="dcterms:W3CDTF">2022-06-10T15:46:02Z</dcterms:modified>
</cp:coreProperties>
</file>