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8, 2023</w:t>
      </w:r>
    </w:p>
    <w:p>
      <w:pPr>
        <w:spacing w:after="0" w:line="1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9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2220" w:type="dxa"/>
        <w:tblCellMar>
          <w:top w:w="0" w:type="dxa"/>
          <w:left w:w="0" w:type="dxa"/>
          <w:bottom w:w="0" w:type="dxa"/>
          <w:right w:w="0" w:type="dxa"/>
        </w:tblCellMar>
      </w:tblPr>
      <w:tr>
        <w:trPr>
          <w:trHeight w:val="238"/>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w w:val="98"/>
              </w:rPr>
              <w:t>81-3789973</w:t>
            </w:r>
          </w:p>
        </w:tc>
      </w:tr>
      <w:tr>
        <w:trPr>
          <w:trHeight w:val="151"/>
        </w:trPr>
        <w:tc>
          <w:tcPr>
            <w:tcW w:w="3900" w:type="dxa"/>
            <w:vAlign w:val="bottom"/>
          </w:tcPr>
          <w:p>
            <w:pPr>
              <w:jc w:val="center"/>
              <w:ind w:right="1942"/>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40" w:type="dxa"/>
            <w:vAlign w:val="bottom"/>
          </w:tcPr>
          <w:p>
            <w:pPr>
              <w:jc w:val="center"/>
              <w:ind w:left="1962"/>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9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9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9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Faraz Ali, M.B.A.</w:t>
      </w:r>
    </w:p>
    <w:p>
      <w:pPr>
        <w:spacing w:after="0" w:line="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560" w:type="dxa"/>
            <w:vAlign w:val="bottom"/>
            <w:tcBorders>
              <w:top w:val="single" w:sz="8" w:color="auto"/>
            </w:tcBorders>
          </w:tcPr>
          <w:p>
            <w:pPr>
              <w:spacing w:after="0"/>
              <w:rPr>
                <w:sz w:val="18"/>
                <w:szCs w:val="18"/>
                <w:color w:val="auto"/>
              </w:rPr>
            </w:pPr>
          </w:p>
        </w:tc>
        <w:tc>
          <w:tcPr>
            <w:tcW w:w="66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149"/>
        </w:trPr>
        <w:tc>
          <w:tcPr>
            <w:tcW w:w="456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b w:val="1"/>
                <w:bCs w:val="1"/>
                <w:color w:val="auto"/>
              </w:rPr>
              <w:t>Kenneth A. Clark</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Jennifer Drimmer Rokovich</w:t>
            </w:r>
          </w:p>
        </w:tc>
      </w:tr>
      <w:tr>
        <w:trPr>
          <w:trHeight w:val="148"/>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Jennifer Knapp</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w:t>
            </w:r>
          </w:p>
        </w:tc>
      </w:tr>
      <w:tr>
        <w:trPr>
          <w:trHeight w:val="149"/>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Wilson Sonsini Goodrich &amp; Rosati</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Tenaya Therapeutics, Inc.</w:t>
            </w:r>
          </w:p>
        </w:tc>
      </w:tr>
      <w:tr>
        <w:trPr>
          <w:trHeight w:val="148"/>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 Corporation</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171 Oyster Point Boulevard, Suite 500</w:t>
            </w:r>
          </w:p>
        </w:tc>
      </w:tr>
      <w:tr>
        <w:trPr>
          <w:trHeight w:val="148"/>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650 Page Mill Road</w:t>
            </w:r>
          </w:p>
        </w:tc>
        <w:tc>
          <w:tcPr>
            <w:tcW w:w="6680" w:type="dxa"/>
            <w:vAlign w:val="bottom"/>
          </w:tcPr>
          <w:p>
            <w:pPr>
              <w:jc w:val="center"/>
              <w:ind w:left="1005"/>
              <w:spacing w:after="0" w:line="149" w:lineRule="exact"/>
              <w:rPr>
                <w:sz w:val="20"/>
                <w:szCs w:val="20"/>
                <w:color w:val="auto"/>
              </w:rPr>
            </w:pPr>
            <w:r>
              <w:rPr>
                <w:rFonts w:ascii="Times New Roman" w:cs="Times New Roman" w:eastAsia="Times New Roman" w:hAnsi="Times New Roman"/>
                <w:sz w:val="14"/>
                <w:szCs w:val="14"/>
                <w:b w:val="1"/>
                <w:bCs w:val="1"/>
                <w:color w:val="auto"/>
              </w:rPr>
              <w:t>South San Francisco, California 94080</w:t>
            </w:r>
          </w:p>
        </w:tc>
      </w:tr>
      <w:tr>
        <w:trPr>
          <w:trHeight w:val="149"/>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Palo Alto, CA 94304</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(650) 825-6990</w:t>
            </w:r>
          </w:p>
        </w:tc>
      </w:tr>
      <w:tr>
        <w:trPr>
          <w:trHeight w:val="188"/>
        </w:trPr>
        <w:tc>
          <w:tcPr>
            <w:tcW w:w="456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(650) 493-9300</w:t>
            </w:r>
          </w:p>
        </w:tc>
        <w:tc>
          <w:tcPr>
            <w:tcW w:w="6680" w:type="dxa"/>
            <w:vAlign w:val="bottom"/>
          </w:tcPr>
          <w:p>
            <w:pPr>
              <w:spacing w:after="0"/>
              <w:rPr>
                <w:sz w:val="16"/>
                <w:szCs w:val="16"/>
                <w:color w:val="auto"/>
              </w:rPr>
            </w:pPr>
          </w:p>
        </w:tc>
      </w:tr>
    </w:tbl>
    <w:p>
      <w:pPr>
        <w:ind w:right="44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6"/>
        </w:trPr>
        <w:tc>
          <w:tcPr>
            <w:tcW w:w="3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Registration Statement on Form S-8 (Registration Statement) is filed by Tenaya Therapeutics, Inc. (Registrant) for the purpose of registering 2,674,284 shares of common stock of the Registrant reserved for issuance under the 2021 Equity Incentive Plan and 668,571 shares of common stock of the Registrant reserved for issuance under the 2021 Employee Stock Purchase Plan.</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43" w:lineRule="exact"/>
        <w:rPr>
          <w:sz w:val="20"/>
          <w:szCs w:val="20"/>
          <w:color w:val="auto"/>
        </w:rPr>
      </w:pPr>
    </w:p>
    <w:p>
      <w:pPr>
        <w:ind w:left="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Securities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(Commission):</w:t>
      </w:r>
    </w:p>
    <w:p>
      <w:pPr>
        <w:spacing w:after="0" w:line="207" w:lineRule="exact"/>
        <w:rPr>
          <w:sz w:val="20"/>
          <w:szCs w:val="20"/>
          <w:color w:val="auto"/>
        </w:rPr>
      </w:pPr>
    </w:p>
    <w:p>
      <w:pPr>
        <w:ind w:right="200" w:firstLine="8"/>
        <w:spacing w:after="0" w:line="282" w:lineRule="auto"/>
        <w:tabs>
          <w:tab w:leader="none" w:pos="2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filed with the Commission on March 8, 2023 pursuant to Section 13(a) of the Securities Exchange Act of 1934, as amended (Exchange Act); and</w:t>
      </w:r>
    </w:p>
    <w:p>
      <w:pPr>
        <w:spacing w:after="0" w:line="161" w:lineRule="exact"/>
        <w:rPr>
          <w:rFonts w:ascii="Times New Roman" w:cs="Times New Roman" w:eastAsia="Times New Roman" w:hAnsi="Times New Roman"/>
          <w:sz w:val="18"/>
          <w:szCs w:val="18"/>
          <w:color w:val="auto"/>
        </w:rPr>
      </w:pPr>
    </w:p>
    <w:p>
      <w:pPr>
        <w:ind w:right="420" w:firstLine="8"/>
        <w:spacing w:after="0" w:line="282"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Commission pursuant to Sections 13(a) or 15(d) of the Exchange Act since the end of the fiscal year covered by the Registrant’s Annual Report referred to in (a) above; and</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2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Company’s Registration Statement on </w:t>
      </w:r>
      <w:hyperlink r:id="rId1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001-40656) filed with the Commission on July 23, 2021, pursuant to Section 12(b) of Exchange Act, including any amendment or report filed for the purpose of updating such description.</w:t>
      </w:r>
    </w:p>
    <w:p>
      <w:pPr>
        <w:spacing w:after="0" w:line="176"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 w:name="page3"/>
    <w:bookmarkEnd w:id="2"/>
    <w:p>
      <w:pPr>
        <w:ind w:right="80"/>
        <w:spacing w:after="0" w:line="266" w:lineRule="auto"/>
        <w:rPr>
          <w:sz w:val="20"/>
          <w:szCs w:val="20"/>
          <w:color w:val="auto"/>
        </w:rPr>
      </w:pPr>
      <w:r>
        <w:rPr>
          <w:rFonts w:ascii="Times New Roman" w:cs="Times New Roman" w:eastAsia="Times New Roman" w:hAnsi="Times New Roman"/>
          <w:sz w:val="18"/>
          <w:szCs w:val="18"/>
          <w:color w:val="auto"/>
        </w:rPr>
        <w:t>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34" w:lineRule="exact"/>
        <w:rPr>
          <w:sz w:val="20"/>
          <w:szCs w:val="20"/>
          <w:color w:val="auto"/>
        </w:rPr>
      </w:pPr>
    </w:p>
    <w:p>
      <w:pPr>
        <w:ind w:left="20"/>
        <w:spacing w:after="0"/>
        <w:tabs>
          <w:tab w:leader="none" w:pos="24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83"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ind w:left="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generally empowers a corporation to indemnify its directors and officers, provided that the person acted in good faith and in a manner the person reasonably believed to be in our best interests, and, with respect to any criminal action, had no reasonable cause to believe the person’s actions were unlawful, and to purchase insurance with respect to liability arising out of their capacity or status as directors and officers.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Delaware General Corporation Law.</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the amended and restated bylaws of the Registrant require, subject to certain limitations,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or an officer of the corporation shall not be personally liable to the corporation or its stockholders for monetary damages for breach of fiduciary duty as a director or officer, except (1) for any breach of the director’s or officer’s duty of loyalty to the corporation or its stockholders, (2) for acts or omissions not in good faith or which involve intentional misconduct or a knowing violation of law, (3) for payments of unlawful dividends or unlawful stock repurchases or redemptions, (4) for any transaction from which the director or officer derived an improper personal benefit, or (5) with respect to an officer, in any action by or in the right of the corporation. The Registrant’s amended and restated certificate of incorporation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Section 174 of the Delaware General Corporation Law provides, among other things, that a director who willfully or negligently approves of an unlawful payment of dividends or an unlawful stock repurchase or redemption may be held liable to the full amount of the dividend unlawfully paid, or to the full amount unlawfully paid for the repurchase or redemption of the corporation’s stock, with interest from the time such liability accrued. A director who was either absent when the unlawful actions were approved, or dissented at the time, may avoid liability by causing his or her dissent to such actions to be entered in the books containing minutes of the proceedings of the board of directors at the time such action occurred or immediately after such absent director receives notice of the unlawful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right="40"/>
        <w:spacing w:after="0" w:line="266"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 has entered into separate indemnification agreements with each of the Registrant’s directors and executive officers which would require the Registrant, among other things, to indemnify them against certain liabilities which may arise by reason of their status as directors or executive officers.</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Registrant has obtained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6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w:t>
      </w:r>
    </w:p>
    <w:p>
      <w:pPr>
        <w:sectPr>
          <w:pgSz w:w="11900" w:h="16838" w:orient="portrait"/>
          <w:cols w:equalWidth="0" w:num="1">
            <w:col w:w="11160"/>
          </w:cols>
          <w:pgMar w:left="320" w:top="337" w:right="419" w:bottom="1440" w:gutter="0" w:footer="0" w:header="0"/>
        </w:sectPr>
      </w:pPr>
    </w:p>
    <w:p>
      <w:pPr>
        <w:spacing w:after="0" w:line="334"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745"/>
        </w:trPr>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20" w:type="dxa"/>
            <w:vAlign w:val="bottom"/>
            <w:gridSpan w:val="7"/>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5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8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Specimen common stock certificate of the Registrant</w:t>
              </w:r>
            </w:hyperlink>
          </w:p>
        </w:tc>
        <w:tc>
          <w:tcPr>
            <w:tcW w:w="2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6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2021 Equity Incentive Plan and forms of agreements thereunder</w:t>
              </w:r>
            </w:hyperlink>
          </w:p>
        </w:tc>
        <w:tc>
          <w:tcPr>
            <w:tcW w:w="14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3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2021 Employee Stock Purchase Plan and forms of agreements thereunder</w:t>
              </w:r>
            </w:hyperlink>
          </w:p>
        </w:tc>
        <w:tc>
          <w:tcPr>
            <w:tcW w:w="7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Opinion of Wilson Sonsini Goodrich &amp; Rosati, Professional Corporation</w:t>
            </w:r>
          </w:p>
        </w:tc>
        <w:tc>
          <w:tcPr>
            <w:tcW w:w="7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Consent of Deloitte and Touche LLP, Independent Registered Public Accounting</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Firm</w:t>
            </w:r>
          </w:p>
        </w:tc>
        <w:tc>
          <w:tcPr>
            <w:tcW w:w="5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Consent of Wilson Sonsini Goodrich &amp; Rosati, Professional Corporation (contained</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60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in Exhibit 5.1 hereto)</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Power of Attorney (contained on signature page hereto)</w:t>
            </w:r>
          </w:p>
        </w:tc>
        <w:tc>
          <w:tcPr>
            <w:tcW w:w="2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547"/>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333-257820</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7/26/2021</w:t>
            </w:r>
          </w:p>
        </w:tc>
      </w:tr>
      <w:tr>
        <w:trPr>
          <w:trHeight w:val="567"/>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001-40656</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3/23/2022</w:t>
            </w:r>
          </w:p>
        </w:tc>
      </w:tr>
      <w:tr>
        <w:trPr>
          <w:trHeight w:val="567"/>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333-257820</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7/26/2021</w:t>
            </w:r>
          </w:p>
        </w:tc>
      </w:tr>
    </w:tbl>
    <w:p>
      <w:pPr>
        <w:spacing w:after="0" w:line="2225" w:lineRule="exact"/>
        <w:rPr>
          <w:sz w:val="20"/>
          <w:szCs w:val="20"/>
          <w:color w:val="auto"/>
        </w:rPr>
      </w:pPr>
    </w:p>
    <w:p>
      <w:pPr>
        <w:sectPr>
          <w:pgSz w:w="11900" w:h="16838" w:orient="portrait"/>
          <w:cols w:equalWidth="0" w:num="2">
            <w:col w:w="7020" w:space="120"/>
            <w:col w:w="4020"/>
          </w:cols>
          <w:pgMar w:left="320" w:top="337" w:right="419" w:bottom="1440" w:gutter="0" w:footer="0" w:header="0"/>
          <w:type w:val="continuous"/>
        </w:sectPr>
      </w:pPr>
    </w:p>
    <w:p>
      <w:pPr>
        <w:spacing w:after="0" w:line="160"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FF"/>
        </w:rPr>
        <w:t>Filing Fee Table.</w:t>
      </w:r>
    </w:p>
    <w:p>
      <w:pPr>
        <w:spacing w:after="0" w:line="200" w:lineRule="exact"/>
        <w:rPr>
          <w:sz w:val="20"/>
          <w:szCs w:val="20"/>
          <w:color w:val="auto"/>
        </w:rPr>
      </w:pPr>
    </w:p>
    <w:p>
      <w:pPr>
        <w:spacing w:after="0" w:line="295" w:lineRule="exact"/>
        <w:rPr>
          <w:sz w:val="20"/>
          <w:szCs w:val="20"/>
          <w:color w:val="auto"/>
        </w:rPr>
      </w:pPr>
    </w:p>
    <w:p>
      <w:pPr>
        <w:ind w:left="880" w:hanging="859"/>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97" w:lineRule="exact"/>
        <w:rPr>
          <w:sz w:val="20"/>
          <w:szCs w:val="20"/>
          <w:color w:val="auto"/>
        </w:rPr>
      </w:pPr>
    </w:p>
    <w:p>
      <w:pPr>
        <w:ind w:left="2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62" w:lineRule="exact"/>
        <w:rPr>
          <w:sz w:val="20"/>
          <w:szCs w:val="20"/>
          <w:color w:val="auto"/>
        </w:rPr>
      </w:pPr>
    </w:p>
    <w:p>
      <w:pPr>
        <w:ind w:left="580" w:hanging="55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ind w:left="640" w:hanging="497"/>
        <w:spacing w:after="0"/>
        <w:tabs>
          <w:tab w:leader="none" w:pos="6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file, during any period in which offers or sales are being made, a post-effective amendment to this Registration Statement:</w:t>
      </w:r>
    </w:p>
    <w:p>
      <w:pPr>
        <w:spacing w:after="0" w:line="169" w:lineRule="exact"/>
        <w:rPr>
          <w:sz w:val="20"/>
          <w:szCs w:val="20"/>
          <w:color w:val="auto"/>
        </w:rPr>
      </w:pPr>
    </w:p>
    <w:p>
      <w:pPr>
        <w:ind w:left="580" w:hanging="437"/>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type w:val="continuous"/>
        </w:sectPr>
      </w:pPr>
    </w:p>
    <w:bookmarkStart w:id="4" w:name="page5"/>
    <w:bookmarkEnd w:id="4"/>
    <w:p>
      <w:pPr>
        <w:ind w:left="580" w:right="120" w:hanging="437"/>
        <w:spacing w:after="0" w:line="255" w:lineRule="auto"/>
        <w:tabs>
          <w:tab w:leader="none" w:pos="6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21" w:lineRule="exact"/>
        <w:rPr>
          <w:rFonts w:ascii="Times New Roman" w:cs="Times New Roman" w:eastAsia="Times New Roman" w:hAnsi="Times New Roman"/>
          <w:sz w:val="18"/>
          <w:szCs w:val="18"/>
          <w:color w:val="auto"/>
        </w:rPr>
      </w:pPr>
    </w:p>
    <w:p>
      <w:pPr>
        <w:ind w:left="580" w:right="140" w:hanging="437"/>
        <w:spacing w:after="0" w:line="282" w:lineRule="auto"/>
        <w:tabs>
          <w:tab w:leader="none" w:pos="6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3"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94" w:lineRule="exact"/>
        <w:rPr>
          <w:sz w:val="20"/>
          <w:szCs w:val="20"/>
          <w:color w:val="auto"/>
        </w:rPr>
      </w:pPr>
    </w:p>
    <w:p>
      <w:pPr>
        <w:jc w:val="both"/>
        <w:ind w:left="580" w:hanging="437"/>
        <w:spacing w:after="0" w:line="266" w:lineRule="auto"/>
        <w:tabs>
          <w:tab w:leader="none" w:pos="62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08" w:lineRule="exact"/>
        <w:rPr>
          <w:rFonts w:ascii="Times New Roman" w:cs="Times New Roman" w:eastAsia="Times New Roman" w:hAnsi="Times New Roman"/>
          <w:sz w:val="18"/>
          <w:szCs w:val="18"/>
          <w:color w:val="auto"/>
        </w:rPr>
      </w:pPr>
    </w:p>
    <w:p>
      <w:pPr>
        <w:ind w:left="580" w:right="660" w:hanging="437"/>
        <w:spacing w:after="0" w:line="282" w:lineRule="auto"/>
        <w:tabs>
          <w:tab w:leader="none" w:pos="62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remove from registration by means of a post-effective amendment any of the securities being registered which remain unsold at the termination of the offering.</w:t>
      </w:r>
    </w:p>
    <w:p>
      <w:pPr>
        <w:spacing w:after="0" w:line="215" w:lineRule="exact"/>
        <w:rPr>
          <w:rFonts w:ascii="Times New Roman" w:cs="Times New Roman" w:eastAsia="Times New Roman" w:hAnsi="Times New Roman"/>
          <w:sz w:val="18"/>
          <w:szCs w:val="18"/>
          <w:color w:val="auto"/>
        </w:rPr>
      </w:pPr>
    </w:p>
    <w:p>
      <w:pPr>
        <w:ind w:left="580" w:right="100" w:hanging="559"/>
        <w:spacing w:after="0" w:line="258"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5" w:lineRule="exact"/>
        <w:rPr>
          <w:rFonts w:ascii="Times New Roman" w:cs="Times New Roman" w:eastAsia="Times New Roman" w:hAnsi="Times New Roman"/>
          <w:sz w:val="18"/>
          <w:szCs w:val="18"/>
          <w:color w:val="auto"/>
        </w:rPr>
      </w:pPr>
    </w:p>
    <w:p>
      <w:pPr>
        <w:ind w:left="580" w:right="120" w:hanging="559"/>
        <w:spacing w:after="0" w:line="254"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South San Francisco, California, on March 8, 2023.</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56" w:lineRule="exact"/>
        <w:rPr>
          <w:sz w:val="20"/>
          <w:szCs w:val="20"/>
          <w:color w:val="auto"/>
        </w:rPr>
      </w:pPr>
    </w:p>
    <w:p>
      <w:pPr>
        <w:ind w:left="20"/>
        <w:spacing w:after="0"/>
        <w:tabs>
          <w:tab w:leader="none" w:pos="1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17145</wp:posOffset>
            </wp:positionV>
            <wp:extent cx="6043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Faraz Ali, M.B.A.</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Faraz Ali and Leone Patterson as his or her true and lawful attorneys-in-fact and agents, with full power of substitution, for him or her and in his or her name, place and stead, in any and all capacities to sign this Registration Statement and any and all amendments thereto (including post-effective amendments),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10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2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439"/>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Faraz Ali, M.B.A.</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50"/>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Faraz Ali, M.B.A.</w:t>
            </w:r>
          </w:p>
        </w:tc>
        <w:tc>
          <w:tcPr>
            <w:tcW w:w="12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Leone D. Patterson, M.B.A.</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and Business Officer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50"/>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Leone D. Patterson, M.B.A.</w:t>
            </w:r>
          </w:p>
        </w:tc>
        <w:tc>
          <w:tcPr>
            <w:tcW w:w="12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Burroughs, M.B.A.</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50"/>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Amy Burroughs, M.B.A.</w:t>
            </w:r>
          </w:p>
        </w:tc>
        <w:tc>
          <w:tcPr>
            <w:tcW w:w="1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Jin-Long Chen, Ph.D.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50"/>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Jin-Long Chen, Ph.D.</w:t>
            </w:r>
          </w:p>
        </w:tc>
        <w:tc>
          <w:tcPr>
            <w:tcW w:w="1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V. Goeddel, Ph.D.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50"/>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V. Goeddel, Ph.D.</w:t>
            </w:r>
          </w:p>
        </w:tc>
        <w:tc>
          <w:tcPr>
            <w:tcW w:w="1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June Lee, M.D.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2023</w:t>
            </w:r>
          </w:p>
        </w:tc>
      </w:tr>
      <w:tr>
        <w:trPr>
          <w:trHeight w:val="250"/>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Lee, M.D.</w:t>
            </w:r>
          </w:p>
        </w:tc>
        <w:tc>
          <w:tcPr>
            <w:tcW w:w="1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486"/>
        </w:trPr>
        <w:tc>
          <w:tcPr>
            <w:tcW w:w="2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Karah Parschauer, J.D.</w:t>
            </w: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r>
      <w:tr>
        <w:trPr>
          <w:trHeight w:val="216"/>
        </w:trPr>
        <w:tc>
          <w:tcPr>
            <w:tcW w:w="2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Karah Parschauer, J.D.</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81"/>
        </w:trPr>
        <w:tc>
          <w:tcPr>
            <w:tcW w:w="2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Deepak Srivastava, M.D.</w:t>
            </w: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r>
      <w:tr>
        <w:trPr>
          <w:trHeight w:val="216"/>
        </w:trPr>
        <w:tc>
          <w:tcPr>
            <w:tcW w:w="2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Deepak Srivastava, M.D.</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81"/>
        </w:trPr>
        <w:tc>
          <w:tcPr>
            <w:tcW w:w="2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Catherine Stehman-Breen, M.D.</w:t>
            </w: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8, 2023</w:t>
            </w:r>
          </w:p>
        </w:tc>
      </w:tr>
      <w:tr>
        <w:trPr>
          <w:trHeight w:val="216"/>
        </w:trPr>
        <w:tc>
          <w:tcPr>
            <w:tcW w:w="2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Catherine Stehman-Breen, M.D.</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81"/>
        </w:trPr>
        <w:tc>
          <w:tcPr>
            <w:tcW w:w="2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Jeffrey T. Walsh, M.B.A.</w:t>
            </w: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8, 2023</w:t>
            </w:r>
          </w:p>
        </w:tc>
      </w:tr>
      <w:tr>
        <w:trPr>
          <w:trHeight w:val="216"/>
        </w:trPr>
        <w:tc>
          <w:tcPr>
            <w:tcW w:w="2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T. Walsh, M.B.A.</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81"/>
        </w:trPr>
        <w:tc>
          <w:tcPr>
            <w:tcW w:w="2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 Sanders (Sandy) Williams, M.D.</w:t>
            </w: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r>
      <w:tr>
        <w:trPr>
          <w:trHeight w:val="216"/>
        </w:trPr>
        <w:tc>
          <w:tcPr>
            <w:tcW w:w="2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Sanders (Sandy) Williams, M.D.</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40"/>
        </w:trPr>
        <w:tc>
          <w:tcPr>
            <w:tcW w:w="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294005</wp:posOffset>
            </wp:positionV>
            <wp:extent cx="1011555"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115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4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24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O: 650.493.9300</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F: 650.493.6811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80" w:firstLine="1030"/>
        <w:spacing w:after="0" w:line="259" w:lineRule="auto"/>
        <w:rPr>
          <w:sz w:val="20"/>
          <w:szCs w:val="20"/>
          <w:color w:val="auto"/>
        </w:rPr>
      </w:pPr>
      <w:r>
        <w:rPr>
          <w:rFonts w:ascii="Times New Roman" w:cs="Times New Roman" w:eastAsia="Times New Roman" w:hAnsi="Times New Roman"/>
          <w:sz w:val="18"/>
          <w:szCs w:val="18"/>
          <w:color w:val="auto"/>
        </w:rPr>
        <w:t>We have examined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by Tenaya Therapeutics, Inc., a Delaware corporation, with the Securities and Exchange Commission (the “Commission”) on or about the date hereof, in connection with the registration under the Securities Act of 1933, as amended (the “Act”), of (i) 2,674,284 shares of Common Stock reserved for issuance pursuant to the 2021 Equity Incentive Plan, and (ii) 668,571 shares of Common Stock reserved for issuance pursuant to the 2021 Employee Stock Purchase Plan (which plans are referred to herein as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and which shares of Common Stock are referred to herein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0" w:firstLine="1030"/>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62" w:lineRule="exact"/>
        <w:rPr>
          <w:sz w:val="20"/>
          <w:szCs w:val="20"/>
          <w:color w:val="auto"/>
        </w:rPr>
      </w:pPr>
    </w:p>
    <w:p>
      <w:pPr>
        <w:jc w:val="both"/>
        <w:ind w:right="580" w:firstLine="1030"/>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the use of our name wherever appearing in the Registration Statement and any amendments thereto. In giving such consent, we do not thereby admit that we are in the category of persons whose consent is required under Section 7 of the Act or the rules and regulations of the Commission thereunder.</w:t>
      </w:r>
    </w:p>
    <w:p>
      <w:pPr>
        <w:spacing w:after="0" w:line="17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34"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AUSTIN BEIJING BOSTON BOULDER BRUSSELS CENTURY CITY HONG KONG LONDON LOS ANGELES NEW YORK PALO ALTO SALT LAKE CITY SAN DIEGO SAN FRANCISCO SEATTLE SHANGHAI SOMA WASHINGTON, DC WILMINGTON,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8, 2023 relating to the financial statements of Tenaya Therapeutics, Inc., appearing in the Annual Report on Form 10-K of Tenaya Therapeutics, Inc. for the year ended December 31, 2022.</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 w:name="page9"/>
    <w:bookmarkEnd w:id="8"/>
    <w:p>
      <w:pPr>
        <w:ind w:left="103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940" w:type="dxa"/>
            <w:vAlign w:val="bottom"/>
            <w:tcBorders>
              <w:top w:val="single" w:sz="8" w:color="auto"/>
              <w:left w:val="single" w:sz="8" w:color="auto"/>
              <w:right w:val="single" w:sz="8" w:color="auto"/>
            </w:tcBorders>
          </w:tcPr>
          <w:p>
            <w:pPr>
              <w:spacing w:after="0"/>
              <w:rPr>
                <w:sz w:val="10"/>
                <w:szCs w:val="10"/>
                <w:color w:val="auto"/>
              </w:rPr>
            </w:pPr>
          </w:p>
        </w:tc>
        <w:tc>
          <w:tcPr>
            <w:tcW w:w="3680" w:type="dxa"/>
            <w:vAlign w:val="bottom"/>
            <w:tcBorders>
              <w:top w:val="single" w:sz="8" w:color="auto"/>
              <w:right w:val="single" w:sz="8" w:color="auto"/>
            </w:tcBorders>
          </w:tcPr>
          <w:p>
            <w:pPr>
              <w:spacing w:after="0"/>
              <w:rPr>
                <w:sz w:val="10"/>
                <w:szCs w:val="10"/>
                <w:color w:val="auto"/>
              </w:rPr>
            </w:pPr>
          </w:p>
        </w:tc>
        <w:tc>
          <w:tcPr>
            <w:tcW w:w="920" w:type="dxa"/>
            <w:vAlign w:val="bottom"/>
            <w:tcBorders>
              <w:top w:val="single" w:sz="8" w:color="auto"/>
              <w:right w:val="single" w:sz="8" w:color="auto"/>
            </w:tcBorders>
          </w:tcPr>
          <w:p>
            <w:pPr>
              <w:spacing w:after="0"/>
              <w:rPr>
                <w:sz w:val="10"/>
                <w:szCs w:val="10"/>
                <w:color w:val="auto"/>
              </w:rPr>
            </w:pPr>
          </w:p>
        </w:tc>
        <w:tc>
          <w:tcPr>
            <w:tcW w:w="1000" w:type="dxa"/>
            <w:vAlign w:val="bottom"/>
            <w:tcBorders>
              <w:top w:val="single" w:sz="8" w:color="auto"/>
              <w:right w:val="single" w:sz="8" w:color="auto"/>
            </w:tcBorders>
          </w:tcPr>
          <w:p>
            <w:pPr>
              <w:spacing w:after="0"/>
              <w:rPr>
                <w:sz w:val="10"/>
                <w:szCs w:val="10"/>
                <w:color w:val="auto"/>
              </w:rPr>
            </w:pPr>
          </w:p>
        </w:tc>
        <w:tc>
          <w:tcPr>
            <w:tcW w:w="800" w:type="dxa"/>
            <w:vAlign w:val="bottom"/>
            <w:tcBorders>
              <w:top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440" w:type="dxa"/>
            <w:vAlign w:val="bottom"/>
            <w:tcBorders>
              <w:top w:val="single" w:sz="8" w:color="auto"/>
              <w:right w:val="single" w:sz="8" w:color="auto"/>
            </w:tcBorders>
          </w:tcPr>
          <w:p>
            <w:pPr>
              <w:spacing w:after="0"/>
              <w:rPr>
                <w:sz w:val="10"/>
                <w:szCs w:val="10"/>
                <w:color w:val="auto"/>
              </w:rPr>
            </w:pPr>
          </w:p>
        </w:tc>
        <w:tc>
          <w:tcPr>
            <w:tcW w:w="122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36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3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920" w:type="dxa"/>
            <w:vAlign w:val="bottom"/>
            <w:tcBorders>
              <w:right w:val="single" w:sz="8" w:color="auto"/>
            </w:tcBorders>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10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42"/>
        </w:trPr>
        <w:tc>
          <w:tcPr>
            <w:tcW w:w="940" w:type="dxa"/>
            <w:vAlign w:val="bottom"/>
            <w:tcBorders>
              <w:left w:val="single" w:sz="8" w:color="auto"/>
              <w:right w:val="single" w:sz="8" w:color="auto"/>
            </w:tcBorders>
          </w:tcPr>
          <w:p>
            <w:pPr>
              <w:jc w:val="center"/>
              <w:ind w:left="4"/>
              <w:spacing w:after="0" w:line="142"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36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9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0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4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1220" w:type="dxa"/>
            <w:vAlign w:val="bottom"/>
            <w:tcBorders>
              <w:right w:val="single" w:sz="8" w:color="auto"/>
            </w:tcBorders>
          </w:tcPr>
          <w:p>
            <w:pPr>
              <w:ind w:left="500"/>
              <w:spacing w:after="0" w:line="142" w:lineRule="exact"/>
              <w:rPr>
                <w:sz w:val="20"/>
                <w:szCs w:val="20"/>
                <w:color w:val="auto"/>
              </w:rPr>
            </w:pPr>
            <w:r>
              <w:rPr>
                <w:rFonts w:ascii="Times New Roman" w:cs="Times New Roman" w:eastAsia="Times New Roman" w:hAnsi="Times New Roman"/>
                <w:sz w:val="13"/>
                <w:szCs w:val="13"/>
                <w:b w:val="1"/>
                <w:bCs w:val="1"/>
                <w:color w:val="auto"/>
              </w:rPr>
              <w:t>Fee</w:t>
            </w:r>
          </w:p>
        </w:tc>
        <w:tc>
          <w:tcPr>
            <w:tcW w:w="11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jc w:val="center"/>
              <w:ind w:left="44"/>
              <w:spacing w:after="0" w:line="135" w:lineRule="exact"/>
              <w:rPr>
                <w:sz w:val="20"/>
                <w:szCs w:val="20"/>
                <w:color w:val="auto"/>
              </w:rPr>
            </w:pPr>
            <w:r>
              <w:rPr>
                <w:rFonts w:ascii="Times New Roman" w:cs="Times New Roman" w:eastAsia="Times New Roman" w:hAnsi="Times New Roman"/>
                <w:sz w:val="13"/>
                <w:szCs w:val="13"/>
                <w:b w:val="1"/>
                <w:bCs w:val="1"/>
                <w:color w:val="auto"/>
                <w:w w:val="92"/>
              </w:rPr>
              <w:t>Type</w:t>
            </w:r>
          </w:p>
        </w:tc>
        <w:tc>
          <w:tcPr>
            <w:tcW w:w="3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Title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Rule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Registered </w:t>
            </w:r>
            <w:r>
              <w:rPr>
                <w:rFonts w:ascii="Times New Roman" w:cs="Times New Roman" w:eastAsia="Times New Roman" w:hAnsi="Times New Roman"/>
                <w:sz w:val="15"/>
                <w:szCs w:val="15"/>
                <w:b w:val="1"/>
                <w:bCs w:val="1"/>
                <w:color w:val="auto"/>
                <w:vertAlign w:val="superscript"/>
              </w:rPr>
              <w:t>(1)</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w:t>
            </w: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0" w:type="dxa"/>
            <w:vAlign w:val="bottom"/>
          </w:tcPr>
          <w:p>
            <w:pPr>
              <w:spacing w:after="0"/>
              <w:rPr>
                <w:sz w:val="1"/>
                <w:szCs w:val="1"/>
                <w:color w:val="auto"/>
              </w:rPr>
            </w:pPr>
          </w:p>
        </w:tc>
      </w:tr>
      <w:tr>
        <w:trPr>
          <w:trHeight w:val="37"/>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3680" w:type="dxa"/>
            <w:vAlign w:val="bottom"/>
            <w:tcBorders>
              <w:right w:val="single" w:sz="8" w:color="auto"/>
            </w:tcBorders>
            <w:vMerge w:val="restart"/>
          </w:tcPr>
          <w:p>
            <w:pPr>
              <w:jc w:val="center"/>
              <w:ind w:right="17"/>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000" w:type="dxa"/>
            <w:vAlign w:val="bottom"/>
            <w:tcBorders>
              <w:right w:val="single" w:sz="8" w:color="auto"/>
            </w:tcBorders>
            <w:vMerge w:val="restart"/>
          </w:tcPr>
          <w:p>
            <w:pPr>
              <w:jc w:val="center"/>
              <w:spacing w:after="0" w:line="265" w:lineRule="exact"/>
              <w:rPr>
                <w:sz w:val="20"/>
                <w:szCs w:val="20"/>
                <w:color w:val="auto"/>
              </w:rPr>
            </w:pPr>
            <w:r>
              <w:rPr>
                <w:rFonts w:ascii="Times New Roman" w:cs="Times New Roman" w:eastAsia="Times New Roman" w:hAnsi="Times New Roman"/>
                <w:sz w:val="18"/>
                <w:szCs w:val="18"/>
                <w:color w:val="auto"/>
                <w:w w:val="99"/>
              </w:rPr>
              <w:t>2,674,284</w:t>
            </w:r>
            <w:r>
              <w:rPr>
                <w:rFonts w:ascii="Times New Roman" w:cs="Times New Roman" w:eastAsia="Times New Roman" w:hAnsi="Times New Roman"/>
                <w:sz w:val="24"/>
                <w:szCs w:val="24"/>
                <w:color w:val="auto"/>
                <w:w w:val="99"/>
                <w:vertAlign w:val="superscript"/>
              </w:rPr>
              <w:t>(2)</w:t>
            </w:r>
          </w:p>
        </w:tc>
        <w:tc>
          <w:tcPr>
            <w:tcW w:w="800" w:type="dxa"/>
            <w:vAlign w:val="bottom"/>
            <w:tcBorders>
              <w:right w:val="single" w:sz="8" w:color="auto"/>
            </w:tcBorders>
            <w:vMerge w:val="restart"/>
          </w:tcPr>
          <w:p>
            <w:pPr>
              <w:jc w:val="center"/>
              <w:spacing w:after="0" w:line="265" w:lineRule="exact"/>
              <w:rPr>
                <w:sz w:val="20"/>
                <w:szCs w:val="20"/>
                <w:color w:val="auto"/>
              </w:rPr>
            </w:pPr>
            <w:r>
              <w:rPr>
                <w:rFonts w:ascii="Times New Roman" w:cs="Times New Roman" w:eastAsia="Times New Roman" w:hAnsi="Times New Roman"/>
                <w:sz w:val="18"/>
                <w:szCs w:val="18"/>
                <w:color w:val="auto"/>
                <w:w w:val="93"/>
              </w:rPr>
              <w:t>$3.27</w:t>
            </w:r>
            <w:r>
              <w:rPr>
                <w:rFonts w:ascii="Times New Roman" w:cs="Times New Roman" w:eastAsia="Times New Roman" w:hAnsi="Times New Roman"/>
                <w:sz w:val="28"/>
                <w:szCs w:val="28"/>
                <w:color w:val="auto"/>
                <w:w w:val="93"/>
                <w:vertAlign w:val="superscript"/>
              </w:rPr>
              <w:t>(3)</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$8,744,908.68</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$110.20 per</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$963.69</w:t>
            </w:r>
          </w:p>
        </w:tc>
        <w:tc>
          <w:tcPr>
            <w:tcW w:w="0" w:type="dxa"/>
            <w:vAlign w:val="bottom"/>
          </w:tcPr>
          <w:p>
            <w:pPr>
              <w:spacing w:after="0"/>
              <w:rPr>
                <w:sz w:val="1"/>
                <w:szCs w:val="1"/>
                <w:color w:val="auto"/>
              </w:rPr>
            </w:pPr>
          </w:p>
        </w:tc>
      </w:tr>
      <w:tr>
        <w:trPr>
          <w:trHeight w:val="208"/>
        </w:trPr>
        <w:tc>
          <w:tcPr>
            <w:tcW w:w="940" w:type="dxa"/>
            <w:vAlign w:val="bottom"/>
            <w:tcBorders>
              <w:left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8"/>
                <w:szCs w:val="18"/>
                <w:color w:val="auto"/>
                <w:w w:val="99"/>
              </w:rPr>
              <w:t>Equity</w:t>
            </w:r>
          </w:p>
        </w:tc>
        <w:tc>
          <w:tcPr>
            <w:tcW w:w="3680" w:type="dxa"/>
            <w:vAlign w:val="bottom"/>
            <w:tcBorders>
              <w:right w:val="single" w:sz="8" w:color="auto"/>
            </w:tcBorders>
            <w:vMerge w:val="continue"/>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122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reserved for issuance pursuant to the 2021 Equity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 Rule</w:t>
            </w:r>
          </w:p>
        </w:tc>
        <w:tc>
          <w:tcPr>
            <w:tcW w:w="10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$2.78</w:t>
            </w:r>
            <w:r>
              <w:rPr>
                <w:rFonts w:ascii="Times New Roman" w:cs="Times New Roman" w:eastAsia="Times New Roman" w:hAnsi="Times New Roman"/>
                <w:sz w:val="28"/>
                <w:szCs w:val="28"/>
                <w:color w:val="auto"/>
                <w:w w:val="93"/>
                <w:vertAlign w:val="superscript"/>
              </w:rPr>
              <w:t>(5)</w:t>
            </w:r>
          </w:p>
        </w:tc>
        <w:tc>
          <w:tcPr>
            <w:tcW w:w="14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40" w:type="dxa"/>
            <w:vAlign w:val="bottom"/>
            <w:tcBorders>
              <w:left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8"/>
                <w:szCs w:val="18"/>
                <w:color w:val="auto"/>
                <w:w w:val="99"/>
              </w:rPr>
              <w:t>Equity</w:t>
            </w:r>
          </w:p>
        </w:tc>
        <w:tc>
          <w:tcPr>
            <w:tcW w:w="3680" w:type="dxa"/>
            <w:vAlign w:val="bottom"/>
            <w:tcBorders>
              <w:right w:val="single" w:sz="8" w:color="auto"/>
            </w:tcBorders>
          </w:tcPr>
          <w:p>
            <w:pPr>
              <w:jc w:val="center"/>
              <w:ind w:right="17"/>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000" w:type="dxa"/>
            <w:vAlign w:val="bottom"/>
            <w:tcBorders>
              <w:right w:val="single" w:sz="8" w:color="auto"/>
            </w:tcBorders>
          </w:tcPr>
          <w:p>
            <w:pPr>
              <w:jc w:val="center"/>
              <w:ind w:right="44"/>
              <w:spacing w:after="0" w:line="239" w:lineRule="exact"/>
              <w:rPr>
                <w:sz w:val="20"/>
                <w:szCs w:val="20"/>
                <w:color w:val="auto"/>
              </w:rPr>
            </w:pPr>
            <w:r>
              <w:rPr>
                <w:rFonts w:ascii="Times New Roman" w:cs="Times New Roman" w:eastAsia="Times New Roman" w:hAnsi="Times New Roman"/>
                <w:sz w:val="18"/>
                <w:szCs w:val="18"/>
                <w:color w:val="auto"/>
              </w:rPr>
              <w:t>668,571</w:t>
            </w:r>
            <w:r>
              <w:rPr>
                <w:rFonts w:ascii="Times New Roman" w:cs="Times New Roman" w:eastAsia="Times New Roman" w:hAnsi="Times New Roman"/>
                <w:sz w:val="24"/>
                <w:szCs w:val="24"/>
                <w:color w:val="auto"/>
                <w:vertAlign w:val="superscript"/>
              </w:rPr>
              <w:t>(4)</w:t>
            </w:r>
          </w:p>
        </w:tc>
        <w:tc>
          <w:tcPr>
            <w:tcW w:w="800" w:type="dxa"/>
            <w:vAlign w:val="bottom"/>
            <w:tcBorders>
              <w:right w:val="single" w:sz="8" w:color="auto"/>
            </w:tcBorders>
            <w:vMerge w:val="continue"/>
          </w:tcPr>
          <w:p>
            <w:pPr>
              <w:spacing w:after="0"/>
              <w:rPr>
                <w:sz w:val="20"/>
                <w:szCs w:val="20"/>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$1,858,627.38</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$110.20 per</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$204.82</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reserved for issuance pursuant to the 2021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 Rule</w:t>
            </w:r>
          </w:p>
        </w:tc>
        <w:tc>
          <w:tcPr>
            <w:tcW w:w="10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Employee Stock Purchase Plan</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40" w:type="dxa"/>
            <w:vAlign w:val="bottom"/>
            <w:tcBorders>
              <w:left w:val="single" w:sz="8" w:color="auto"/>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left="1037"/>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9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$10,603,536.06</w:t>
            </w: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$1,168.51</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9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940" w:type="dxa"/>
            <w:vAlign w:val="bottom"/>
            <w:tcBorders>
              <w:left w:val="single" w:sz="8" w:color="auto"/>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9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$1,168.51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-1370965</wp:posOffset>
            </wp:positionV>
            <wp:extent cx="6491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64916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-934085</wp:posOffset>
            </wp:positionV>
            <wp:extent cx="70548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18" w:lineRule="exact"/>
        <w:rPr>
          <w:sz w:val="20"/>
          <w:szCs w:val="20"/>
          <w:color w:val="auto"/>
        </w:rPr>
      </w:pPr>
    </w:p>
    <w:p>
      <w:pPr>
        <w:ind w:left="480" w:right="20" w:hanging="459"/>
        <w:spacing w:after="0" w:line="261"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(Securities Act), this Registration Statement shall also cover any additional shares of the Registrant’s common stock that become issuable under the 2021 Equity Incentive Plan (2021 Plan) and the 2021 Employee Stock Purchase Plan (2021 ESPP) by reason of any stock dividend, stock split, recapitalization or other similar transaction effected without receipt of consideration that increases the number of the Registrant’s outstanding shares of common stock.</w:t>
      </w:r>
    </w:p>
    <w:p>
      <w:pPr>
        <w:spacing w:after="0" w:line="233" w:lineRule="exact"/>
        <w:rPr>
          <w:rFonts w:ascii="Times New Roman" w:cs="Times New Roman" w:eastAsia="Times New Roman" w:hAnsi="Times New Roman"/>
          <w:sz w:val="18"/>
          <w:szCs w:val="18"/>
          <w:color w:val="auto"/>
        </w:rPr>
      </w:pPr>
    </w:p>
    <w:p>
      <w:pPr>
        <w:ind w:left="480" w:right="80" w:hanging="459"/>
        <w:spacing w:after="0" w:line="256"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that were automatically added on January 1, 2023 to the shares of common stock reserved for issuance under the 2021 Plan. The 2021 Plan provides for an automatic annual increase in the number of shares reserved and available for issuance under the 2021 Plan as follows: the number of shares of common stock available for issuance under the 2021 Plan will be increased on the first day of each fiscal year beginning with the 2022 fiscal year, in an amount equal to the least of (i) 4,000,000 shares, (ii) four percent (4%) of the outstanding shares on the last day of the immediately preceding fiscal year, or (iii) such number of shares determined by the board of directors no later than the last day of the immediately preceding fiscal year.</w:t>
      </w:r>
    </w:p>
    <w:p>
      <w:pPr>
        <w:spacing w:after="0" w:line="241" w:lineRule="exact"/>
        <w:rPr>
          <w:rFonts w:ascii="Times New Roman" w:cs="Times New Roman" w:eastAsia="Times New Roman" w:hAnsi="Times New Roman"/>
          <w:sz w:val="18"/>
          <w:szCs w:val="18"/>
          <w:color w:val="auto"/>
        </w:rPr>
      </w:pPr>
    </w:p>
    <w:p>
      <w:pPr>
        <w:ind w:left="480" w:right="60" w:hanging="459"/>
        <w:spacing w:after="0" w:line="266"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(h) of the Securities Act solely for the purpose of calculating the registration fee on the basis of $3.27 per share, which represents the average of the high and low selling prices per share of the Registrant’s common stock on March 2, 2023 as reported by The Nasdaq Global Select Market.</w:t>
      </w:r>
    </w:p>
    <w:p>
      <w:pPr>
        <w:spacing w:after="0" w:line="229" w:lineRule="exact"/>
        <w:rPr>
          <w:rFonts w:ascii="Times New Roman" w:cs="Times New Roman" w:eastAsia="Times New Roman" w:hAnsi="Times New Roman"/>
          <w:sz w:val="18"/>
          <w:szCs w:val="18"/>
          <w:color w:val="auto"/>
        </w:rPr>
      </w:pPr>
    </w:p>
    <w:p>
      <w:pPr>
        <w:ind w:left="480" w:hanging="459"/>
        <w:spacing w:after="0" w:line="256"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under that were automatically added on January 1, 2023 to the shares of common stock reserved for issuance under the 2021 ESPP. The 2021 ESPP provides for an automatic annual increase in the number of shares reserved and available for issuance under the 2021 ESPP as follows: the number of shares of common stock available for issuance under the 2021 ESPP will be increased on the first day of each fiscal year beginning with the 2022 fiscal year, in an amount equal to the least of (i) 800,000 shares, (ii) one percent (1%) of the outstanding shares on the last day of immediately preceding fiscal year, or (iii) such number of shares determined by the board of directors no later than the last day of the immediately preceding fiscal year.</w:t>
      </w:r>
    </w:p>
    <w:p>
      <w:pPr>
        <w:spacing w:after="0" w:line="241" w:lineRule="exact"/>
        <w:rPr>
          <w:rFonts w:ascii="Times New Roman" w:cs="Times New Roman" w:eastAsia="Times New Roman" w:hAnsi="Times New Roman"/>
          <w:sz w:val="18"/>
          <w:szCs w:val="18"/>
          <w:color w:val="auto"/>
        </w:rPr>
      </w:pPr>
    </w:p>
    <w:p>
      <w:pPr>
        <w:ind w:left="480" w:right="40" w:hanging="459"/>
        <w:spacing w:after="0" w:line="281" w:lineRule="auto"/>
        <w:tabs>
          <w:tab w:leader="none" w:pos="4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in accordance with Rule 457(c) and (h) of the Securities Act solely for the purpose of calculating the registration fee on the basis of 85% of $3.27, which represents the average of the high and low selling price per share of the Registrant’s common stock on March 2, 2023 as reported by The Nasdaq Global Selected Market. Pursuant to the 2021 ESPP, the purchase price of the shares of common stock reserved for issuance thereunder will be 85% of the lower of the fair market value of the common stock on (i) the first trading day of the offering period or (ii) the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
    </w:lvl>
    <w:lvl w:ilvl="1">
      <w:lvlJc w:val="left"/>
      <w:lvlText w:val="(%2)"/>
      <w:numFmt w:val="decimal"/>
      <w:start w:val="1"/>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1"/>
      <w:numFmt w:val="upperLetter"/>
      <w:start w:val="1"/>
    </w:lvl>
    <w:lvl w:ilvl="1">
      <w:lvlJc w:val="left"/>
      <w:lvlText w:val="(%2)"/>
      <w:numFmt w:val="decimal"/>
      <w:start w:val="2"/>
    </w:lvl>
  </w:abstractNum>
  <w:abstractNum w:abstractNumId="6">
    <w:nsid w:val="79E2A9E3"/>
    <w:multiLevelType w:val="hybridMultilevel"/>
    <w:lvl w:ilvl="0">
      <w:lvlJc w:val="left"/>
      <w:lvlText w:val="%1."/>
      <w:numFmt w:val="upp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e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4" Type="http://schemas.openxmlformats.org/officeDocument/2006/relationships/hyperlink" Target="https://www.sec.gov/ix?doc=/Archives/edgar/data/0001858848/000095017023006725/tnya-20221231.htm" TargetMode="External"/><Relationship Id="rId15" Type="http://schemas.openxmlformats.org/officeDocument/2006/relationships/hyperlink" Target="https://www.sec.gov/Archives/edgar/data/1858848/000119312521223152/d170858d8a12b.htm" TargetMode="External"/><Relationship Id="rId18" Type="http://schemas.openxmlformats.org/officeDocument/2006/relationships/hyperlink" Target="https://www.sec.gov/Archives/edgar/data/0001858848/000119312521223559/d175698dex42.htm" TargetMode="External"/><Relationship Id="rId19" Type="http://schemas.openxmlformats.org/officeDocument/2006/relationships/hyperlink" Target="https://www.sec.gov/Archives/edgar/data/0001858848/000095017022004426/tnya-ex10_2.htm" TargetMode="External"/><Relationship Id="rId20" Type="http://schemas.openxmlformats.org/officeDocument/2006/relationships/hyperlink" Target="https://www.sec.gov/Archives/edgar/data/1858848/000119312521223559/d17569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2023-03-08T16:12:08Z</dcterms:created>
  <dcterms:modified xsi:type="dcterms:W3CDTF">2023-03-08T16:12:08Z</dcterms:modified>
</cp:coreProperties>
</file>