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w:t>
      </w:r>
    </w:p>
    <w:p>
      <w:pPr>
        <w:spacing w:after="0" w:line="162"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TENAYA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87990A106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87990A106</w:t>
            </w:r>
          </w:p>
        </w:tc>
        <w:tc>
          <w:tcPr>
            <w:tcW w:w="4780" w:type="dxa"/>
            <w:vAlign w:val="bottom"/>
          </w:tcPr>
          <w:p>
            <w:pPr>
              <w:ind w:left="446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580" w:hanging="397"/>
        <w:spacing w:after="0" w:line="457" w:lineRule="auto"/>
        <w:tabs>
          <w:tab w:leader="none" w:pos="647"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The Column Group III,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4" w:hanging="431"/>
        <w:spacing w:after="0"/>
        <w:tabs>
          <w:tab w:leader="none" w:pos="220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4,414,720 (1)</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04"/>
        <w:spacing w:after="0"/>
        <w:rPr>
          <w:sz w:val="20"/>
          <w:szCs w:val="20"/>
          <w:color w:val="auto"/>
        </w:rPr>
      </w:pPr>
      <w:r>
        <w:rPr>
          <w:rFonts w:ascii="Arial" w:cs="Arial" w:eastAsia="Arial" w:hAnsi="Arial"/>
          <w:sz w:val="18"/>
          <w:szCs w:val="18"/>
          <w:color w:val="auto"/>
        </w:rPr>
        <w:t>4,414,720 (1)</w:t>
      </w:r>
    </w:p>
    <w:p>
      <w:pPr>
        <w:spacing w:after="0" w:line="36" w:lineRule="exact"/>
        <w:rPr>
          <w:sz w:val="20"/>
          <w:szCs w:val="20"/>
          <w:color w:val="auto"/>
        </w:rPr>
      </w:pPr>
    </w:p>
    <w:p>
      <w:pPr>
        <w:ind w:left="664" w:right="3820" w:hanging="417"/>
        <w:spacing w:after="0" w:line="406"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4,414,720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10.7%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40" w:hanging="424"/>
        <w:spacing w:after="0" w:line="25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such shares are held of record by TCG III LP (as defined in Item 2(a) below). TCG III GP LP (as defined in Item 2(a) below) is the general partner of TCG III LP and may be deemed to have voting, investment and dispositive power with respect to these securities. Peter Svennilson, David Goeddel and Tim Kutzkey are the managing partners of TCG III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220" w:hanging="424"/>
        <w:spacing w:after="0" w:line="32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41,281,210 shares of Common Stock outstanding as of November 1, 2021, as reported by the Issuer in its Quarterly Report on Form 10-Q for the quarter ended September 30, 2021, filed with the Securities and Exchange Commission on November 10, 2021 (the “Form 10-Q”).</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87990A106</w:t>
            </w:r>
          </w:p>
        </w:tc>
        <w:tc>
          <w:tcPr>
            <w:tcW w:w="4780" w:type="dxa"/>
            <w:vAlign w:val="bottom"/>
          </w:tcPr>
          <w:p>
            <w:pPr>
              <w:ind w:left="446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7580" w:hanging="397"/>
        <w:spacing w:after="0" w:line="457" w:lineRule="auto"/>
        <w:tabs>
          <w:tab w:leader="none" w:pos="647"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The Column Group III-A,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4" w:hanging="431"/>
        <w:spacing w:after="0"/>
        <w:tabs>
          <w:tab w:leader="none" w:pos="2204"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4,985,570 (1)</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4,985,570 (1)</w:t>
      </w:r>
    </w:p>
    <w:p>
      <w:pPr>
        <w:spacing w:after="0" w:line="36" w:lineRule="exact"/>
        <w:rPr>
          <w:sz w:val="20"/>
          <w:szCs w:val="20"/>
          <w:color w:val="auto"/>
        </w:rPr>
      </w:pPr>
    </w:p>
    <w:p>
      <w:pPr>
        <w:ind w:left="664" w:right="3820" w:hanging="41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4,985,570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0" w:hanging="424"/>
        <w:spacing w:after="0" w:line="25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such shares are held of record by TCG III-A LP (as defined in Item 2(a) below). TCG III GP LP (is the general partner of TCG III-A LP and may be deemed to have voting, investment and dispositive power with respect to these securities. Peter Svennilson, David Goeddel and Tim Kutzkey are the managing partners of TCG III-A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41,281,210 shares of Common Stock outstanding as of November 1, 2021, as reported by the Issuer in the Form 10-Q.</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87990A106</w:t>
            </w:r>
          </w:p>
        </w:tc>
        <w:tc>
          <w:tcPr>
            <w:tcW w:w="4780" w:type="dxa"/>
            <w:vAlign w:val="bottom"/>
          </w:tcPr>
          <w:p>
            <w:pPr>
              <w:ind w:left="446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580" w:hanging="397"/>
        <w:spacing w:after="0" w:line="457"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The Column Group III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4" w:hanging="431"/>
        <w:spacing w:after="0"/>
        <w:tabs>
          <w:tab w:leader="none" w:pos="22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9,400,290 (1)</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9,400,290 (1)</w:t>
      </w:r>
    </w:p>
    <w:p>
      <w:pPr>
        <w:spacing w:after="0" w:line="36" w:lineRule="exact"/>
        <w:rPr>
          <w:sz w:val="20"/>
          <w:szCs w:val="20"/>
          <w:color w:val="auto"/>
        </w:rPr>
      </w:pPr>
    </w:p>
    <w:p>
      <w:pPr>
        <w:ind w:left="664" w:right="3820" w:hanging="417"/>
        <w:spacing w:after="0" w:line="406"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9,400,290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22.8%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jc w:val="both"/>
        <w:ind w:left="424" w:right="260" w:hanging="424"/>
        <w:spacing w:after="0" w:line="254"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4,414,720 shares held of record by TCG III LP and (ii) 4,985,570 shares held of record by TCG III-A LP. TCG III GP LP is the general partner of each of TCG III LP and TCG III-A LP and may be deemed to have voting, investment and dispositive power with respect to these securities. Peter Svennilson, David Goeddel and Tim Kutzkey are the managing partners of TCG III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41,281,210 shares of Common Stock outstanding as of November 1, 2021, as reported by the Issuer in the Form 10-Q.</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87990A106</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171 Oyster Point Boulevard, 5th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joint statement on Schedule 13G is being filed by The Column Group III, LP (“TCG III LP”), The Column Group III-A, LP (“TCG III-A LP”) and The Column Group III GP, LP (“TCG III GP LP” and together with TCG III LP and TCG III-A LP, the “Reporting Entities”). Information given in response to each item shall be deemed incorporated by reference in all other items, as applicable.</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address of the principal business office of each Reporting Person is c/o The Column Group, 1 Letterman Drive, Building D, Suite M-900, San Francisco, CA 94129.</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of TCG III LP, TCG III-A LP and TCG III GP LP is a limited partnership organized under the laws of the State of Delaware.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$0.0001 par value per share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87990A106</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Amount beneficially owned: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9 of the cover page for each Reporting Person and the corresponding footnotes.*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11 of the cover page for each Reporting Person and the corresponding footnotes.*</w:t>
      </w:r>
    </w:p>
    <w:p>
      <w:pPr>
        <w:spacing w:after="0" w:line="117" w:lineRule="exact"/>
        <w:rPr>
          <w:sz w:val="20"/>
          <w:szCs w:val="20"/>
          <w:color w:val="auto"/>
        </w:rPr>
      </w:pPr>
    </w:p>
    <w:p>
      <w:pPr>
        <w:ind w:left="680" w:hanging="24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5 of the cover page for each Reporting Person and the corresponding footnotes.*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 Shared power to vote or to direct the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6 of the cover page for each Reporting Person and the corresponding footnotes.*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7 of the cover page for each Reporting Person and the corresponding footnotes.*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8 of the cover page for each Reporting Person and the corresponding 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Each of the Reporting Persons disclaims beneficial ownership as to such securities, except to the extent of his, her or its pecuniary interest therein.</w:t>
      </w: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certain circumstances set forth in the limited partnership agreements of each of TCG III LP, TCG III-A LP and TCGI III GP LP, the general and limited partners, as the case may be, of each of such entities may be deemed to have the right to receive dividends from, or the proceeds from, the sale of securities of the Issuer owned by each such entity of which they are a partner.</w:t>
      </w:r>
    </w:p>
    <w:p>
      <w:pPr>
        <w:sectPr>
          <w:pgSz w:w="11900" w:h="16838" w:orient="portrait"/>
          <w:cols w:equalWidth="0" w:num="1">
            <w:col w:w="11000"/>
          </w:cols>
          <w:pgMar w:left="440" w:top="274" w:right="459" w:bottom="280" w:gutter="0" w:footer="0" w:header="0"/>
        </w:sectPr>
      </w:pPr>
    </w:p>
    <w:bookmarkStart w:id="5" w:name="page6"/>
    <w:bookmarkEnd w:id="5"/>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0440"/>
          </w:cols>
          <w:pgMar w:left="440" w:top="270" w:right="10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87990A106</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Dated: February 11, 2022</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III GP, LP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James Evangelista</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Attorney in Fact</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III-A, LP</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James Evangelista</w:t>
            </w: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Attorney in Fact</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III GP, LP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James Evangelista</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Attorney in Fact</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III-A, LP</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James Evangelista</w:t>
            </w: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Attorney in Fact</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3"/>
    </w:lvl>
    <w:lvl w:ilvl="1">
      <w:lvlJc w:val="left"/>
      <w:lvlText w:val="%2."/>
      <w:numFmt w:val="decimal"/>
      <w:start w:val="5"/>
    </w:lvl>
  </w:abstractNum>
  <w:abstractNum w:abstractNumId="5">
    <w:nsid w:val="1F16E9E8"/>
    <w:multiLevelType w:val="hybridMultilevel"/>
    <w:lvl w:ilvl="0">
      <w:lvlJc w:val="left"/>
      <w:lvlText w:val="%1"/>
      <w:numFmt w:val="decimal"/>
      <w:start w:val="1"/>
    </w:lvl>
    <w:lvl w:ilvl="1">
      <w:lvlJc w:val="left"/>
      <w:lvlText w:val="%2."/>
      <w:numFmt w:val="decimal"/>
      <w:start w:val="9"/>
    </w:lvl>
  </w:abstractNum>
  <w:abstractNum w:abstractNumId="6">
    <w:nsid w:val="1190CDE7"/>
    <w:multiLevelType w:val="hybridMultilevel"/>
    <w:lvl w:ilvl="0">
      <w:lvlJc w:val="left"/>
      <w:lvlText w:val="(%1)"/>
      <w:numFmt w:val="decimal"/>
      <w:start w:val="1"/>
    </w:lvl>
    <w:lvl w:ilvl="1">
      <w:lvlJc w:val="left"/>
      <w:lvlText w:val="%2"/>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3"/>
    </w:lvl>
    <w:lvl w:ilvl="1">
      <w:lvlJc w:val="left"/>
      <w:lvlText w:val="%2."/>
      <w:numFmt w:val="decimal"/>
      <w:start w:val="5"/>
    </w:lvl>
  </w:abstractNum>
  <w:abstractNum w:abstractNumId="9">
    <w:nsid w:val="3352255A"/>
    <w:multiLevelType w:val="hybridMultilevel"/>
    <w:lvl w:ilvl="0">
      <w:lvlJc w:val="left"/>
      <w:lvlText w:val="%1"/>
      <w:numFmt w:val="decimal"/>
      <w:start w:val="1"/>
    </w:lvl>
    <w:lvl w:ilvl="1">
      <w:lvlJc w:val="left"/>
      <w:lvlText w:val="%2."/>
      <w:numFmt w:val="decimal"/>
      <w:start w:val="9"/>
    </w:lvl>
  </w:abstractNum>
  <w:abstractNum w:abstractNumId="10">
    <w:nsid w:val="109CF92E"/>
    <w:multiLevelType w:val="hybridMultilevel"/>
    <w:lvl w:ilvl="0">
      <w:lvlJc w:val="left"/>
      <w:lvlText w:val="(%1)"/>
      <w:numFmt w:val="decimal"/>
      <w:start w:val="1"/>
    </w:lvl>
    <w:lvl w:ilvl="1">
      <w:lvlJc w:val="left"/>
      <w:lvlText w:val="%2"/>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
    </w:lvl>
    <w:lvl w:ilvl="1">
      <w:lvlJc w:val="left"/>
      <w:lvlText w:val="%2."/>
      <w:numFmt w:val="decimal"/>
      <w:start w:val="5"/>
    </w:lvl>
  </w:abstractNum>
  <w:abstractNum w:abstractNumId="13">
    <w:nsid w:val="1BEFD79F"/>
    <w:multiLevelType w:val="hybridMultilevel"/>
    <w:lvl w:ilvl="0">
      <w:lvlJc w:val="left"/>
      <w:lvlText w:val="%1"/>
      <w:numFmt w:val="decimal"/>
      <w:start w:val="1"/>
    </w:lvl>
    <w:lvl w:ilvl="1">
      <w:lvlJc w:val="left"/>
      <w:lvlText w:val="%2."/>
      <w:numFmt w:val="decimal"/>
      <w:start w:val="9"/>
    </w:lvl>
  </w:abstractNum>
  <w:abstractNum w:abstractNumId="14">
    <w:nsid w:val="41A7C4C9"/>
    <w:multiLevelType w:val="hybridMultilevel"/>
    <w:lvl w:ilvl="0">
      <w:lvlJc w:val="left"/>
      <w:lvlText w:val="(%1)"/>
      <w:numFmt w:val="decimal"/>
      <w:start w:val="1"/>
    </w:lvl>
    <w:lvl w:ilvl="1">
      <w:lvlJc w:val="left"/>
      <w:lvlText w:val="%2"/>
      <w:numFmt w:val="decimal"/>
      <w:start w:val="1"/>
    </w:lvl>
  </w:abstractNum>
  <w:abstractNum w:abstractNumId="15">
    <w:nsid w:val="6B68079A"/>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2022-02-12T02:56:28Z</dcterms:created>
  <dcterms:modified xsi:type="dcterms:W3CDTF">2022-02-12T02:56:28Z</dcterms:modified>
</cp:coreProperties>
</file>