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6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-235585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-614680</wp:posOffset>
            </wp:positionV>
            <wp:extent cx="57785" cy="628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20955</wp:posOffset>
            </wp:positionV>
            <wp:extent cx="7047865" cy="4956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95617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220" w:space="400"/>
            <w:col w:w="846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PATTERSON LEONE D</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TENAYA THERAPEUTICS, INC.</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171 OYSTER POINT BLVD., 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Tenaya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TNYA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02/15/2023</w:t>
      </w:r>
    </w:p>
    <w:p>
      <w:pPr>
        <w:spacing w:after="0" w:line="20" w:lineRule="exact"/>
        <w:rPr>
          <w:sz w:val="24"/>
          <w:szCs w:val="24"/>
          <w:color w:val="auto"/>
        </w:rPr>
      </w:pPr>
      <w:r>
        <w:rPr>
          <w:sz w:val="24"/>
          <w:szCs w:val="24"/>
          <w:color w:val="auto"/>
        </w:rPr>
        <w:br w:type="column"/>
      </w:r>
    </w:p>
    <w:p>
      <w:pPr>
        <w:ind w:left="-1" w:right="680" w:firstLine="1"/>
        <w:spacing w:after="0" w:line="25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4"/>
          <w:szCs w:val="24"/>
          <w:color w:val="auto"/>
        </w:rPr>
      </w:pPr>
    </w:p>
    <w:tbl>
      <w:tblPr>
        <w:tblLayout w:type="fixed"/>
        <w:tblInd w:w="199" w:type="dxa"/>
        <w:tblCellMar>
          <w:top w:w="0" w:type="dxa"/>
          <w:left w:w="0" w:type="dxa"/>
          <w:bottom w:w="0" w:type="dxa"/>
          <w:right w:w="0" w:type="dxa"/>
        </w:tblCellMar>
      </w:tblPr>
      <w:tr>
        <w:trPr>
          <w:trHeight w:val="166"/>
        </w:trPr>
        <w:tc>
          <w:tcPr>
            <w:tcW w:w="22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2"/>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3"/>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679"/>
        <w:spacing w:after="0"/>
        <w:rPr>
          <w:sz w:val="20"/>
          <w:szCs w:val="20"/>
          <w:color w:val="auto"/>
        </w:rPr>
      </w:pPr>
      <w:r>
        <w:rPr>
          <w:rFonts w:ascii="Times New Roman" w:cs="Times New Roman" w:eastAsia="Times New Roman" w:hAnsi="Times New Roman"/>
          <w:sz w:val="16"/>
          <w:szCs w:val="16"/>
          <w:color w:val="0000FF"/>
        </w:rPr>
        <w:t>Chief Fin. and Bus. Officer</w:t>
      </w:r>
    </w:p>
    <w:p>
      <w:pPr>
        <w:spacing w:after="0" w:line="537" w:lineRule="exact"/>
        <w:rPr>
          <w:sz w:val="24"/>
          <w:szCs w:val="24"/>
          <w:color w:val="auto"/>
        </w:rPr>
      </w:pPr>
    </w:p>
    <w:p>
      <w:pPr>
        <w:sectPr>
          <w:pgSz w:w="11900" w:h="16838" w:orient="portrait"/>
          <w:cols w:equalWidth="0" w:num="3">
            <w:col w:w="3180" w:space="720"/>
            <w:col w:w="3121" w:space="720"/>
            <w:col w:w="3339"/>
          </w:cols>
          <w:pgMar w:left="460" w:top="215" w:right="359" w:bottom="1440" w:gutter="0" w:footer="0" w:header="0"/>
          <w:type w:val="continuous"/>
        </w:sectPr>
      </w:pPr>
    </w:p>
    <w:p>
      <w:pPr>
        <w:spacing w:after="0" w:line="126"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SOUTH SAN</w:t>
            </w: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94080</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FRANCISCO</w:t>
            </w:r>
          </w:p>
        </w:tc>
        <w:tc>
          <w:tcPr>
            <w:tcW w:w="96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37" w:lineRule="auto"/>
        <w:tabs>
          <w:tab w:leader="none" w:pos="436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470" w:lineRule="exact"/>
        <w:rPr>
          <w:sz w:val="24"/>
          <w:szCs w:val="24"/>
          <w:color w:val="auto"/>
        </w:rPr>
      </w:pPr>
    </w:p>
    <w:p>
      <w:pPr>
        <w:sectPr>
          <w:pgSz w:w="11900" w:h="16838" w:orient="portrait"/>
          <w:cols w:equalWidth="0" w:num="2">
            <w:col w:w="3760" w:space="140"/>
            <w:col w:w="718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82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2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20" w:type="dxa"/>
            <w:vAlign w:val="bottom"/>
            <w:gridSpan w:val="3"/>
          </w:tcPr>
          <w:p>
            <w:pPr>
              <w:ind w:left="8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w w:val="98"/>
              </w:rPr>
              <w:t>Code (Instr.</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76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  8)</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6"/>
                <w:szCs w:val="16"/>
                <w:color w:val="0000FF"/>
              </w:rPr>
              <w:t>02/15/2023</w:t>
            </w:r>
            <w:r>
              <w:rPr>
                <w:rFonts w:ascii="Times New Roman" w:cs="Times New Roman" w:eastAsia="Times New Roman" w:hAnsi="Times New Roman"/>
                <w:sz w:val="21"/>
                <w:szCs w:val="21"/>
                <w:color w:val="008000"/>
                <w:vertAlign w:val="superscript"/>
              </w:rPr>
              <w:t>(2)</w:t>
            </w:r>
          </w:p>
        </w:tc>
        <w:tc>
          <w:tcPr>
            <w:tcW w:w="6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30,000</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128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6"/>
                <w:szCs w:val="16"/>
                <w:color w:val="0000FF"/>
              </w:rPr>
              <w:t>32,000</w:t>
            </w:r>
            <w:r>
              <w:rPr>
                <w:rFonts w:ascii="Times New Roman" w:cs="Times New Roman" w:eastAsia="Times New Roman" w:hAnsi="Times New Roman"/>
                <w:sz w:val="21"/>
                <w:szCs w:val="21"/>
                <w:color w:val="008000"/>
                <w:vertAlign w:val="superscript"/>
              </w:rPr>
              <w:t>(3)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6"/>
                <w:szCs w:val="16"/>
                <w:color w:val="0000FF"/>
              </w:rPr>
              <w:t>02/15/2023</w:t>
            </w:r>
            <w:r>
              <w:rPr>
                <w:rFonts w:ascii="Times New Roman" w:cs="Times New Roman" w:eastAsia="Times New Roman" w:hAnsi="Times New Roman"/>
                <w:sz w:val="21"/>
                <w:szCs w:val="21"/>
                <w:color w:val="008000"/>
                <w:vertAlign w:val="superscript"/>
              </w:rPr>
              <w:t>(4)</w:t>
            </w:r>
          </w:p>
        </w:tc>
        <w:tc>
          <w:tcPr>
            <w:tcW w:w="6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35,000</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128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6"/>
                <w:szCs w:val="16"/>
                <w:color w:val="0000FF"/>
              </w:rPr>
              <w:t>67,000</w:t>
            </w:r>
            <w:r>
              <w:rPr>
                <w:rFonts w:ascii="Times New Roman" w:cs="Times New Roman" w:eastAsia="Times New Roman" w:hAnsi="Times New Roman"/>
                <w:sz w:val="21"/>
                <w:szCs w:val="21"/>
                <w:color w:val="008000"/>
                <w:vertAlign w:val="superscript"/>
              </w:rPr>
              <w:t>(5)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0"/>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2"/>
          </w:tcPr>
          <w:p>
            <w:pPr>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Derivative</w:t>
            </w:r>
          </w:p>
        </w:tc>
        <w:tc>
          <w:tcPr>
            <w:tcW w:w="30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w w:val="99"/>
              </w:rPr>
              <w:t>Expiration Date</w:t>
            </w:r>
          </w:p>
        </w:tc>
        <w:tc>
          <w:tcPr>
            <w:tcW w:w="720" w:type="dxa"/>
            <w:vAlign w:val="bottom"/>
          </w:tcPr>
          <w:p>
            <w:pPr>
              <w:spacing w:after="0"/>
              <w:rPr>
                <w:sz w:val="10"/>
                <w:szCs w:val="10"/>
                <w:color w:val="auto"/>
              </w:rPr>
            </w:pPr>
          </w:p>
        </w:tc>
        <w:tc>
          <w:tcPr>
            <w:tcW w:w="1220" w:type="dxa"/>
            <w:vAlign w:val="bottom"/>
            <w:gridSpan w:val="2"/>
          </w:tcPr>
          <w:p>
            <w:pPr>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154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20" w:type="dxa"/>
            <w:vAlign w:val="bottom"/>
            <w:gridSpan w:val="2"/>
          </w:tcPr>
          <w:p>
            <w:pPr>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20" w:type="dxa"/>
            <w:vAlign w:val="bottom"/>
            <w:gridSpan w:val="2"/>
          </w:tcPr>
          <w:p>
            <w:pPr>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3.06</w:t>
            </w:r>
          </w:p>
        </w:tc>
        <w:tc>
          <w:tcPr>
            <w:tcW w:w="1060" w:type="dxa"/>
            <w:vAlign w:val="bottom"/>
          </w:tcPr>
          <w:p>
            <w:pPr>
              <w:jc w:val="right"/>
              <w:ind w:right="182"/>
              <w:spacing w:after="0"/>
              <w:rPr>
                <w:sz w:val="20"/>
                <w:szCs w:val="20"/>
                <w:color w:val="auto"/>
              </w:rPr>
            </w:pPr>
            <w:r>
              <w:rPr>
                <w:rFonts w:ascii="Times New Roman" w:cs="Times New Roman" w:eastAsia="Times New Roman" w:hAnsi="Times New Roman"/>
                <w:sz w:val="13"/>
                <w:szCs w:val="13"/>
                <w:color w:val="0000FF"/>
              </w:rPr>
              <w:t>02/15/2023</w:t>
            </w: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190,000</w:t>
            </w:r>
          </w:p>
        </w:tc>
        <w:tc>
          <w:tcPr>
            <w:tcW w:w="300" w:type="dxa"/>
            <w:vAlign w:val="bottom"/>
          </w:tcPr>
          <w:p>
            <w:pPr>
              <w:spacing w:after="0"/>
              <w:rPr>
                <w:sz w:val="17"/>
                <w:szCs w:val="17"/>
                <w:color w:val="auto"/>
              </w:rPr>
            </w:pPr>
          </w:p>
        </w:tc>
        <w:tc>
          <w:tcPr>
            <w:tcW w:w="820" w:type="dxa"/>
            <w:vAlign w:val="bottom"/>
            <w:gridSpan w:val="2"/>
          </w:tcPr>
          <w:p>
            <w:pPr>
              <w:spacing w:after="0" w:line="203" w:lineRule="exact"/>
              <w:rPr>
                <w:sz w:val="20"/>
                <w:szCs w:val="20"/>
                <w:color w:val="auto"/>
              </w:rPr>
            </w:pPr>
            <w:r>
              <w:rPr>
                <w:rFonts w:ascii="Times New Roman" w:cs="Times New Roman" w:eastAsia="Times New Roman" w:hAnsi="Times New Roman"/>
                <w:sz w:val="13"/>
                <w:szCs w:val="13"/>
                <w:color w:val="0000FF"/>
              </w:rPr>
              <w:t>03/15/2023</w:t>
            </w:r>
            <w:r>
              <w:rPr>
                <w:rFonts w:ascii="Times New Roman" w:cs="Times New Roman" w:eastAsia="Times New Roman" w:hAnsi="Times New Roman"/>
                <w:sz w:val="21"/>
                <w:szCs w:val="21"/>
                <w:color w:val="008000"/>
                <w:vertAlign w:val="superscript"/>
              </w:rPr>
              <w:t>(6)</w:t>
            </w: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02/14/2033</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0000FF"/>
              </w:rPr>
              <w:t>190,000</w:t>
            </w:r>
          </w:p>
        </w:tc>
        <w:tc>
          <w:tcPr>
            <w:tcW w:w="700" w:type="dxa"/>
            <w:vAlign w:val="bottom"/>
            <w:gridSpan w:val="2"/>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190,000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0" w:lineRule="exact"/>
              <w:rPr>
                <w:sz w:val="20"/>
                <w:szCs w:val="20"/>
                <w:color w:val="auto"/>
              </w:rPr>
            </w:pPr>
            <w:r>
              <w:rPr>
                <w:rFonts w:ascii="Times New Roman" w:cs="Times New Roman" w:eastAsia="Times New Roman" w:hAnsi="Times New Roman"/>
                <w:sz w:val="9"/>
                <w:szCs w:val="9"/>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ind w:left="100"/>
              <w:spacing w:after="0" w:line="90" w:lineRule="exact"/>
              <w:rPr>
                <w:sz w:val="20"/>
                <w:szCs w:val="20"/>
                <w:color w:val="auto"/>
              </w:rPr>
            </w:pPr>
            <w:r>
              <w:rPr>
                <w:rFonts w:ascii="Times New Roman" w:cs="Times New Roman" w:eastAsia="Times New Roman" w:hAnsi="Times New Roman"/>
                <w:sz w:val="9"/>
                <w:szCs w:val="9"/>
                <w:color w:val="0000FF"/>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18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Tenaya Therapeutics, Inc. common stock that will be issued to the Reporting Person upon vesting of restricted stock units. Each restricted stock unit is the economic equivalent of one share of Tenaya Therapeutics, Inc. common stock.</w:t>
      </w:r>
    </w:p>
    <w:p>
      <w:pPr>
        <w:spacing w:after="0" w:line="21" w:lineRule="exact"/>
        <w:rPr>
          <w:rFonts w:ascii="Times New Roman" w:cs="Times New Roman" w:eastAsia="Times New Roman" w:hAnsi="Times New Roman"/>
          <w:sz w:val="13"/>
          <w:szCs w:val="13"/>
          <w:color w:val="008000"/>
        </w:rPr>
      </w:pPr>
    </w:p>
    <w:p>
      <w:pPr>
        <w:ind w:left="40" w:right="260" w:hanging="1"/>
        <w:spacing w:after="0" w:line="23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were granted to the Reporting Person on the Transaction Date pursuant to the Tenaya Therapeutics, Inc. 2021 Equity Incentive Plan. The restricted stock units will vest as to 1/8th of the total number of shares subject to the restricted stock unit award on the six month anniversary of the Transaction Date, and 1/8th of the total number of shares subject to the restricted stock unit award every six months thereafter until fully vested.</w:t>
      </w:r>
    </w:p>
    <w:p>
      <w:pPr>
        <w:spacing w:after="0" w:line="25" w:lineRule="exact"/>
        <w:rPr>
          <w:rFonts w:ascii="Times New Roman" w:cs="Times New Roman" w:eastAsia="Times New Roman" w:hAnsi="Times New Roman"/>
          <w:sz w:val="13"/>
          <w:szCs w:val="13"/>
          <w:color w:val="008000"/>
        </w:rPr>
      </w:pPr>
    </w:p>
    <w:p>
      <w:pPr>
        <w:ind w:left="40" w:right="40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30,000 shares of Tenaya Therapeutics, Inc. common stock that will be issued to the Reporting Person upon vesting of restricted stock units and 2,000 shares of common stock acquired pursuant to the Tenaya Therapeutics, Inc. 2021 Employee Stock Purchase Plan on December 10, 2022.</w:t>
      </w:r>
    </w:p>
    <w:p>
      <w:pPr>
        <w:spacing w:after="0" w:line="21" w:lineRule="exact"/>
        <w:rPr>
          <w:rFonts w:ascii="Times New Roman" w:cs="Times New Roman" w:eastAsia="Times New Roman" w:hAnsi="Times New Roman"/>
          <w:sz w:val="13"/>
          <w:szCs w:val="13"/>
          <w:color w:val="008000"/>
        </w:rPr>
      </w:pPr>
    </w:p>
    <w:p>
      <w:pPr>
        <w:ind w:left="40" w:right="26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were granted to the Reporting Person on the Transaction Date pursuant to the Tenaya Therapeutics, Inc. 2021 Equity Incentive Plan. The restricted stock units will vest as to 1/4th of the total number of shares subject to the restricted stock unit award on each of August 15, 2023, February 15, 2024, August 15, 2024 and February 15, 2025.</w:t>
      </w:r>
    </w:p>
    <w:p>
      <w:pPr>
        <w:spacing w:after="0" w:line="21"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65,000 shares of Tenaya Therapeutics, Inc. common stock that will be issued to the Reporting Person upon vesting of restricted stock units.</w:t>
      </w:r>
    </w:p>
    <w:p>
      <w:pPr>
        <w:spacing w:after="0" w:line="40" w:lineRule="exact"/>
        <w:rPr>
          <w:rFonts w:ascii="Times New Roman" w:cs="Times New Roman" w:eastAsia="Times New Roman" w:hAnsi="Times New Roman"/>
          <w:sz w:val="13"/>
          <w:szCs w:val="13"/>
          <w:color w:val="008000"/>
        </w:rPr>
      </w:pPr>
    </w:p>
    <w:p>
      <w:pPr>
        <w:ind w:left="40" w:right="72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granted pursuant to the Tenaya Therapeutics, Inc. 2021 Equity Incentive Plan. Option will vest as to 1/48th of the total number of shares subject to the option on the one month anniversary of the Transaction Date and 1/48th of the total number of shares subject to the option on each monthly anniversary thereafter until fully vested.</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30" w:lineRule="auto"/>
        <w:rPr>
          <w:sz w:val="20"/>
          <w:szCs w:val="20"/>
          <w:color w:val="auto"/>
        </w:rPr>
      </w:pPr>
      <w:r>
        <w:rPr>
          <w:rFonts w:ascii="Times New Roman" w:cs="Times New Roman" w:eastAsia="Times New Roman" w:hAnsi="Times New Roman"/>
          <w:sz w:val="16"/>
          <w:szCs w:val="16"/>
          <w:color w:val="0000FF"/>
        </w:rPr>
        <w:t xml:space="preserve">/s/ Jennifer Drimmer Rokovich,  </w:t>
      </w:r>
      <w:r>
        <w:rPr>
          <w:rFonts w:ascii="Times New Roman" w:cs="Times New Roman" w:eastAsia="Times New Roman" w:hAnsi="Times New Roman"/>
          <w:sz w:val="32"/>
          <w:szCs w:val="32"/>
          <w:color w:val="0000FF"/>
          <w:vertAlign w:val="subscript"/>
        </w:rPr>
        <w:t>02/17/2023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277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-15240</wp:posOffset>
            </wp:positionV>
            <wp:extent cx="7016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167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5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561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33539" TargetMode="External"/><Relationship Id="rId13"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2023-02-17T17:47:38Z</dcterms:created>
  <dcterms:modified xsi:type="dcterms:W3CDTF">2023-02-17T17:47:38Z</dcterms:modified>
</cp:coreProperties>
</file>