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0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03"/>
        <w:spacing w:after="0"/>
        <w:rPr>
          <w:sz w:val="20"/>
          <w:szCs w:val="20"/>
          <w:color w:val="auto"/>
        </w:rPr>
      </w:pPr>
      <w:r>
        <w:rPr>
          <w:rFonts w:ascii="Arial" w:cs="Arial" w:eastAsia="Arial" w:hAnsi="Arial"/>
          <w:sz w:val="22"/>
          <w:szCs w:val="22"/>
          <w:b w:val="1"/>
          <w:bCs w:val="1"/>
          <w:color w:val="auto"/>
        </w:rPr>
        <w:t>Pursuant to Section 13 or 15(d)</w:t>
      </w:r>
    </w:p>
    <w:p>
      <w:pPr>
        <w:jc w:val="center"/>
        <w:ind w:right="-3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0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03"/>
        <w:spacing w:after="0"/>
        <w:rPr>
          <w:sz w:val="20"/>
          <w:szCs w:val="20"/>
          <w:color w:val="auto"/>
        </w:rPr>
      </w:pPr>
      <w:r>
        <w:rPr>
          <w:rFonts w:ascii="Arial" w:cs="Arial" w:eastAsia="Arial" w:hAnsi="Arial"/>
          <w:sz w:val="22"/>
          <w:szCs w:val="22"/>
          <w:b w:val="1"/>
          <w:bCs w:val="1"/>
          <w:color w:val="auto"/>
        </w:rPr>
        <w:t>September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03"/>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30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(650) 825-6900</w:t>
      </w:r>
    </w:p>
    <w:p>
      <w:pPr>
        <w:spacing w:after="0" w:line="27" w:lineRule="exact"/>
        <w:rPr>
          <w:sz w:val="24"/>
          <w:szCs w:val="24"/>
          <w:color w:val="auto"/>
        </w:rPr>
      </w:pPr>
    </w:p>
    <w:p>
      <w:pPr>
        <w:jc w:val="center"/>
        <w:ind w:right="-303"/>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0" w:lineRule="exact"/>
        <w:rPr>
          <w:sz w:val="24"/>
          <w:szCs w:val="24"/>
          <w:color w:val="auto"/>
        </w:rPr>
      </w:pPr>
    </w:p>
    <w:p>
      <w:pPr>
        <w:jc w:val="center"/>
        <w:ind w:right="-30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0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6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2700" w:type="dxa"/>
            <w:vAlign w:val="bottom"/>
          </w:tcPr>
          <w:p>
            <w:pPr>
              <w:spacing w:after="0"/>
              <w:rPr>
                <w:sz w:val="14"/>
                <w:szCs w:val="14"/>
                <w:color w:val="auto"/>
              </w:rPr>
            </w:pPr>
          </w:p>
        </w:tc>
        <w:tc>
          <w:tcPr>
            <w:tcW w:w="1920" w:type="dxa"/>
            <w:vAlign w:val="bottom"/>
            <w:gridSpan w:val="2"/>
          </w:tcPr>
          <w:p>
            <w:pPr>
              <w:jc w:val="center"/>
              <w:ind w:right="610"/>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50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w w:val="88"/>
              </w:rPr>
              <w:t>Symbol(s)</w:t>
            </w:r>
          </w:p>
        </w:tc>
        <w:tc>
          <w:tcPr>
            <w:tcW w:w="4620" w:type="dxa"/>
            <w:vAlign w:val="bottom"/>
            <w:gridSpan w:val="3"/>
          </w:tcPr>
          <w:p>
            <w:pPr>
              <w:jc w:val="center"/>
              <w:ind w:left="1919"/>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w w:val="83"/>
              </w:rPr>
              <w:t>Common Stock,</w:t>
            </w:r>
          </w:p>
        </w:tc>
        <w:tc>
          <w:tcPr>
            <w:tcW w:w="1100" w:type="dxa"/>
            <w:vAlign w:val="bottom"/>
            <w:shd w:val="clear" w:color="auto" w:fill="000000"/>
          </w:tcPr>
          <w:p>
            <w:pPr>
              <w:spacing w:after="0" w:line="20" w:lineRule="exact"/>
              <w:rPr>
                <w:sz w:val="1"/>
                <w:szCs w:val="1"/>
                <w:color w:val="auto"/>
              </w:rPr>
            </w:pPr>
          </w:p>
        </w:tc>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value per share</w:t>
            </w:r>
          </w:p>
        </w:tc>
        <w:tc>
          <w:tcPr>
            <w:tcW w:w="8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6"/>
              </w:rPr>
              <w:t>Market</w:t>
            </w:r>
          </w:p>
        </w:tc>
        <w:tc>
          <w:tcPr>
            <w:tcW w:w="0" w:type="dxa"/>
            <w:vAlign w:val="bottom"/>
          </w:tcPr>
          <w:p>
            <w:pPr>
              <w:spacing w:after="0" w:line="20" w:lineRule="exact"/>
              <w:rPr>
                <w:sz w:val="1"/>
                <w:szCs w:val="1"/>
                <w:color w:val="auto"/>
              </w:rPr>
            </w:pPr>
          </w:p>
        </w:tc>
      </w:tr>
      <w:tr>
        <w:trPr>
          <w:trHeight w:val="228"/>
        </w:trPr>
        <w:tc>
          <w:tcPr>
            <w:tcW w:w="1160" w:type="dxa"/>
            <w:vAlign w:val="bottom"/>
            <w:vMerge w:val="continue"/>
          </w:tcPr>
          <w:p>
            <w:pPr>
              <w:spacing w:after="0"/>
              <w:rPr>
                <w:sz w:val="19"/>
                <w:szCs w:val="19"/>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w w:val="97"/>
              </w:rPr>
              <w:t>$0.0001 par</w:t>
            </w:r>
          </w:p>
        </w:tc>
        <w:tc>
          <w:tcPr>
            <w:tcW w:w="20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TNYA</w:t>
            </w:r>
          </w:p>
        </w:tc>
        <w:tc>
          <w:tcPr>
            <w:tcW w:w="3920" w:type="dxa"/>
            <w:vAlign w:val="bottom"/>
            <w:gridSpan w:val="2"/>
          </w:tcPr>
          <w:p>
            <w:pPr>
              <w:ind w:left="2000"/>
              <w:spacing w:after="0"/>
              <w:rPr>
                <w:sz w:val="20"/>
                <w:szCs w:val="20"/>
                <w:color w:val="auto"/>
              </w:rPr>
            </w:pPr>
            <w:r>
              <w:rPr>
                <w:rFonts w:ascii="Arial" w:cs="Arial" w:eastAsia="Arial" w:hAnsi="Arial"/>
                <w:sz w:val="18"/>
                <w:szCs w:val="18"/>
                <w:b w:val="1"/>
                <w:bCs w:val="1"/>
                <w:color w:val="auto"/>
                <w:w w:val="85"/>
              </w:rPr>
              <w:t>The Nasdaq Global Select</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September 8, 2021, Tenaya Therapeutics, Inc. (the “Company”) issued a press release announcing its financial results for the second quarter ended June 30, 2021. The full text of the press release is attached hereto as Exhibit 99.1 and is incorporated herein by reference.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Tenaya Therapeutics, Inc., dated September 8, 2021.</w:t>
        </w:r>
      </w:hyperlink>
    </w:p>
    <w:p>
      <w:pPr>
        <w:sectPr>
          <w:pgSz w:w="11900" w:h="16838" w:orient="portrait"/>
          <w:cols w:equalWidth="0" w:num="1">
            <w:col w:w="10960"/>
          </w:cols>
          <w:pgMar w:left="440" w:top="270"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Leone D. Patterson,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and Business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171450</wp:posOffset>
            </wp:positionV>
            <wp:extent cx="2357120" cy="123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Tenaya Therapeutics Reports Second Quarter 2021 Financial Results and Provides Business Updates</w:t>
      </w:r>
    </w:p>
    <w:p>
      <w:pPr>
        <w:spacing w:after="0" w:line="135" w:lineRule="exact"/>
        <w:rPr>
          <w:sz w:val="20"/>
          <w:szCs w:val="20"/>
          <w:color w:val="auto"/>
        </w:rPr>
      </w:pPr>
    </w:p>
    <w:p>
      <w:pPr>
        <w:ind w:left="960" w:right="3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TN-201 MYBPC3 gene therapy product candidate for the leading genetic cause of hypertrophic cardiomyopathy granted Orphan Drug Designation (ODD) by the U.S. Food and Drug Administration (FDA)</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Expanded leadership team appointing Leone Patterson as Chief Financial and Business Officer and Matt Pollman, MD, as SVP, Clinical Development.</w:t>
      </w:r>
    </w:p>
    <w:p>
      <w:pPr>
        <w:spacing w:after="0" w:line="75" w:lineRule="exact"/>
        <w:rPr>
          <w:rFonts w:ascii="Arial" w:cs="Arial" w:eastAsia="Arial" w:hAnsi="Arial"/>
          <w:sz w:val="18"/>
          <w:szCs w:val="18"/>
          <w:i w:val="1"/>
          <w:iCs w:val="1"/>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Completed Initial Public Offering of common stock on August 3, 2021, raising $207 million in gross proceeds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SOUTH SAN FRANCISCO, Calif.—(BUSINESS WIRE)—September 8, 2021— Tenaya Therapeutics, Inc. (NASDAQ: TNYA), a biotechnology company with a mission to discover, develop and deliver curative therapies that address the underlying causes of heart disease, today reported business and program updates and second quarter 2021 financial results.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“Tenaya has made significant financial and operational progress in the first half of 2021 that supports our efforts to improve and extend the lives of patients who are fighting both rare and prevalent forms of heart disease,” said Faraz Ali, CEO of Tenaya Therapeutics. “With the completion of our successful IPO, significant preclinical updates, and a strengthened leadership team, we are very well positioned to advance TN-201 and TYA-11631, the two most advanced programs from our Gene Therapy and Precision Medicine platforms respectively, towards INDs in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131" w:lineRule="exact"/>
        <w:rPr>
          <w:sz w:val="20"/>
          <w:szCs w:val="20"/>
          <w:color w:val="auto"/>
        </w:rPr>
      </w:pPr>
    </w:p>
    <w:p>
      <w:pPr>
        <w:ind w:left="960" w:right="40" w:hanging="532"/>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Initial Public Offering (IPO) Successfully Completed: </w:t>
      </w:r>
      <w:r>
        <w:rPr>
          <w:rFonts w:ascii="Arial" w:cs="Arial" w:eastAsia="Arial" w:hAnsi="Arial"/>
          <w:sz w:val="18"/>
          <w:szCs w:val="18"/>
          <w:color w:val="auto"/>
        </w:rPr>
        <w:t>In August 2021, Tenaya announced the closing of its underwritten, upsized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of 13,800,000 shares of its common stock, including the full exercise of the underwriters’ option to purchase 1,800,000 additional shares of its common stock. The aggregate gross proceeds from the offering were $207.0 million, before deducting underwriting discounts and commissions and offering expenses payable by Tenaya.</w:t>
      </w:r>
    </w:p>
    <w:p>
      <w:pPr>
        <w:spacing w:after="0" w:line="85" w:lineRule="exact"/>
        <w:rPr>
          <w:rFonts w:ascii="Arial" w:cs="Arial" w:eastAsia="Arial" w:hAnsi="Arial"/>
          <w:sz w:val="18"/>
          <w:szCs w:val="18"/>
          <w:color w:val="auto"/>
        </w:rPr>
      </w:pPr>
    </w:p>
    <w:p>
      <w:pPr>
        <w:ind w:left="960" w:right="80" w:hanging="532"/>
        <w:spacing w:after="0" w:line="274"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TN-201 – </w:t>
      </w:r>
      <w:r>
        <w:rPr>
          <w:rFonts w:ascii="Arial" w:cs="Arial" w:eastAsia="Arial" w:hAnsi="Arial"/>
          <w:sz w:val="17"/>
          <w:szCs w:val="17"/>
          <w:b w:val="1"/>
          <w:bCs w:val="1"/>
          <w:i w:val="1"/>
          <w:iCs w:val="1"/>
          <w:color w:val="auto"/>
        </w:rPr>
        <w:t>MYBPC3</w:t>
      </w:r>
      <w:r>
        <w:rPr>
          <w:rFonts w:ascii="Arial" w:cs="Arial" w:eastAsia="Arial" w:hAnsi="Arial"/>
          <w:sz w:val="17"/>
          <w:szCs w:val="17"/>
          <w:b w:val="1"/>
          <w:bCs w:val="1"/>
          <w:color w:val="auto"/>
        </w:rPr>
        <w:t xml:space="preserve"> Gene Therapy Program for Genetic HCM (gHCM): </w:t>
      </w:r>
      <w:r>
        <w:rPr>
          <w:rFonts w:ascii="Arial" w:cs="Arial" w:eastAsia="Arial" w:hAnsi="Arial"/>
          <w:sz w:val="17"/>
          <w:szCs w:val="17"/>
          <w:color w:val="auto"/>
        </w:rPr>
        <w:t>TN-201 was granted Orphan Drug Designation (ODD)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FDA in May 2021. Preclinical data supporting TN-201 was presented at the annual meeting of the American Society of Gene and Cell Therapy (ASGCT) in May 2021 that demonstrate significant and durable disease reversal and survival benefit in a severe murine model of disease. Tenaya is expected to initiate a global natural history study for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in the second half of 2021. Tenaya has initiated IND-enabling activities and intends to submit an investigational new drug (IND) application or clinical trial application (CTA) to the FDA or European Medicine Agency (EMA), respectively, in 2022.</w:t>
      </w:r>
    </w:p>
    <w:p>
      <w:pPr>
        <w:sectPr>
          <w:pgSz w:w="11900" w:h="16838" w:orient="portrait"/>
          <w:cols w:equalWidth="0" w:num="1">
            <w:col w:w="11020"/>
          </w:cols>
          <w:pgMar w:left="440" w:top="121" w:right="439" w:bottom="1440" w:gutter="0" w:footer="0" w:header="0"/>
        </w:sectPr>
      </w:pPr>
    </w:p>
    <w:bookmarkStart w:id="4" w:name="page5"/>
    <w:bookmarkEnd w:id="4"/>
    <w:p>
      <w:pPr>
        <w:ind w:left="960" w:right="40" w:hanging="532"/>
        <w:spacing w:after="0" w:line="277"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TYA-11631 – HDAC6 Inhibitor (HDAC6i) for Heart Failure with Preserved Ejection Fraction (HFpEF) and Genetic DCM (gDCM): </w:t>
      </w:r>
      <w:r>
        <w:rPr>
          <w:rFonts w:ascii="Arial" w:cs="Arial" w:eastAsia="Arial" w:hAnsi="Arial"/>
          <w:sz w:val="17"/>
          <w:szCs w:val="17"/>
          <w:color w:val="auto"/>
        </w:rPr>
        <w:t>Preclinical data supporting Tenaya’s highly-specific small molecule HDAC6 inhibitors was presented at the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European Society of Cardiology Heart Failure (ESC-HF) in July 2021 that demonstrate improved cardiac function in mouse models of HFpEF and gDCM, and that also provide proof of concept for the utility of Tenaya’s Precision Medicine platform to support modality agnostic drug discovery. Tenaya has initiated IND-enabling activities and intends to submit an IND to the FDA in 2022.</w:t>
      </w:r>
    </w:p>
    <w:p>
      <w:pPr>
        <w:spacing w:after="0" w:line="73" w:lineRule="exact"/>
        <w:rPr>
          <w:rFonts w:ascii="Arial" w:cs="Arial" w:eastAsia="Arial" w:hAnsi="Arial"/>
          <w:sz w:val="17"/>
          <w:szCs w:val="17"/>
          <w:color w:val="auto"/>
        </w:rPr>
      </w:pPr>
    </w:p>
    <w:p>
      <w:pPr>
        <w:ind w:left="960" w:right="120" w:hanging="532"/>
        <w:spacing w:after="0" w:line="26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Strengthened Leadership Team: </w:t>
      </w:r>
      <w:r>
        <w:rPr>
          <w:rFonts w:ascii="Arial" w:cs="Arial" w:eastAsia="Arial" w:hAnsi="Arial"/>
          <w:sz w:val="18"/>
          <w:szCs w:val="18"/>
          <w:color w:val="auto"/>
        </w:rPr>
        <w:t>In June, gene therapy industry veteran Leone Patterson joined Tenaya as Chief Financial 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addition, cardiologist Matthew Pollman, MD, was appointed as Senior Vice President, Clinical Development and will lead efforts to develop novel delivery methods that support future product candidates from Tenaya’s Gene Therapy and Cellular Regeneration platforms.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Highlights</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As of June 30, 2021, Tenaya had cash, cash equivalents and restricted cash of $112.4 million which excludes the</w:t>
      </w:r>
    </w:p>
    <w:p>
      <w:pPr>
        <w:spacing w:after="0" w:line="38" w:lineRule="exact"/>
        <w:rPr>
          <w:rFonts w:ascii="Arial" w:cs="Arial" w:eastAsia="Arial" w:hAnsi="Arial"/>
          <w:sz w:val="17"/>
          <w:szCs w:val="17"/>
          <w:color w:val="auto"/>
        </w:rPr>
      </w:pPr>
    </w:p>
    <w:p>
      <w:pPr>
        <w:ind w:left="960" w:right="140"/>
        <w:spacing w:after="0" w:line="290" w:lineRule="auto"/>
        <w:rPr>
          <w:rFonts w:ascii="Arial" w:cs="Arial" w:eastAsia="Arial" w:hAnsi="Arial"/>
          <w:sz w:val="17"/>
          <w:szCs w:val="17"/>
          <w:color w:val="auto"/>
        </w:rPr>
      </w:pPr>
      <w:r>
        <w:rPr>
          <w:rFonts w:ascii="Arial" w:cs="Arial" w:eastAsia="Arial" w:hAnsi="Arial"/>
          <w:sz w:val="17"/>
          <w:szCs w:val="17"/>
          <w:color w:val="auto"/>
        </w:rPr>
        <w:t>$188.8 million of net proceeds from the Company’s IPO in August 2021. Tenaya expects its current cash and cash equivalents, including the net proceeds from the IPO, will be sufficient to fund its current operating plan at least into the 2</w:t>
      </w:r>
      <w:r>
        <w:rPr>
          <w:rFonts w:ascii="Arial" w:cs="Arial" w:eastAsia="Arial" w:hAnsi="Arial"/>
          <w:sz w:val="14"/>
          <w:szCs w:val="14"/>
          <w:color w:val="auto"/>
        </w:rPr>
        <w:t>nd</w:t>
      </w:r>
      <w:r>
        <w:rPr>
          <w:rFonts w:ascii="Arial" w:cs="Arial" w:eastAsia="Arial" w:hAnsi="Arial"/>
          <w:sz w:val="17"/>
          <w:szCs w:val="17"/>
          <w:color w:val="auto"/>
        </w:rPr>
        <w:t xml:space="preserve"> half of 2023.</w:t>
      </w:r>
    </w:p>
    <w:p>
      <w:pPr>
        <w:spacing w:after="0" w:line="62" w:lineRule="exact"/>
        <w:rPr>
          <w:rFonts w:ascii="Arial" w:cs="Arial" w:eastAsia="Arial" w:hAnsi="Arial"/>
          <w:sz w:val="17"/>
          <w:szCs w:val="17"/>
          <w:color w:val="auto"/>
        </w:rPr>
      </w:pPr>
    </w:p>
    <w:p>
      <w:pPr>
        <w:ind w:left="960" w:right="780" w:hanging="532"/>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$10.9 million for the second quarter of 2021. Non-cash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included in R&amp;D expense was $0.2 million for the second quarter of 2021.</w:t>
      </w:r>
    </w:p>
    <w:p>
      <w:pPr>
        <w:spacing w:after="0" w:line="67" w:lineRule="exact"/>
        <w:rPr>
          <w:rFonts w:ascii="Arial" w:cs="Arial" w:eastAsia="Arial" w:hAnsi="Arial"/>
          <w:sz w:val="18"/>
          <w:szCs w:val="18"/>
          <w:color w:val="auto"/>
        </w:rPr>
      </w:pPr>
    </w:p>
    <w:p>
      <w:pPr>
        <w:ind w:left="960" w:right="860" w:hanging="532"/>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$4.3 million for the second quarter of 2021. Non-cash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included in G&amp;A expense was $0.3 million for the second quarter of 2021.</w:t>
      </w:r>
    </w:p>
    <w:p>
      <w:pPr>
        <w:spacing w:after="0" w:line="67"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$15.2 million, or $13.26 per basic and diluted share, for the second quarter of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 For more information, visit </w:t>
      </w:r>
      <w:r>
        <w:rPr>
          <w:rFonts w:ascii="Arial" w:cs="Arial" w:eastAsia="Arial" w:hAnsi="Arial"/>
          <w:sz w:val="16"/>
          <w:szCs w:val="16"/>
          <w:u w:val="single" w:color="auto"/>
          <w:color w:val="auto"/>
        </w:rPr>
        <w:t>www.tenayatherapeutics.com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Such forward-looking statements include, among other things, statements regarding the potential and utility of, and expectations regarding, Tenaya’s drug discovery platforms; statements regarding Tenaya’s pipeline of product candidates, including TN-201 and TYA-11631, to demonstrate improved outcomes for heart failure; statements regarding the expected timing of studies, IND-enabling activities and IND and CTA submissions to the FDA or EMA, respectively, for Tenaya’s product candidates; statements regarding the sufficiency of Tenaya’s cash to finance its operations; and statements by Tenaya’s chief executive officer. Words such as “expects,” “intends,” “potential,” “utility,” and “will,” and similar expressions are intended to identify forward-looking statements. The forward-looking statements contained herein are based upon Tenaya’s current expectations and involve assumptions that may never materialize or may prove to be incorrect. Actual results could differ materially from those projected in any forward-looking statements due to</w:t>
      </w:r>
    </w:p>
    <w:p>
      <w:pPr>
        <w:sectPr>
          <w:pgSz w:w="11900" w:h="16838" w:orient="portrait"/>
          <w:cols w:equalWidth="0" w:num="1">
            <w:col w:w="10960"/>
          </w:cols>
          <w:pgMar w:left="440" w:top="270" w:right="49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numerous risks and uncertainties, including but not limited to: risks associated with the process of discovering, developing and commercializing drugs that are safe and effective for use as human therapeutics and operating as an early clinical stage company including the potential for Tenaya’s product candidates to cause serious adverse events; Tenaya’s ability to develop, initiate or complete preclinical studies and clinical trials for, obtain approvals for and commercialize any of its product candidates for heart failure patients or other patient populations; the timing, progress and results of preclinical studies and clinical trials for TN-201 and TYA-11631 and Tenaya’s other product candidates in its pipeline; Tenaya’s ability to raise any additional funding it will need to continue to pursue its business and product development plans; negative impacts of the COVID-19 pandemic on Tenaya’s manufacturing and operations, including preclinical and clinical trials; the timing, scope and likelihood of regulatory filings and approvals; the potential for any clinical trial results to differ from preclinical, interim, preliminary, topline or expected results; Tenaya’s ability to develop a proprietary drug discovery platform to build a pipeline of product candidates;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the forward-looking statements, or to update the reasons why actual results could differ from those projected in the forward-looking statements, except as required by law</w:t>
      </w:r>
      <w:r>
        <w:rPr>
          <w:rFonts w:ascii="Arial" w:cs="Arial" w:eastAsia="Arial" w:hAnsi="Arial"/>
          <w:sz w:val="17"/>
          <w:szCs w:val="17"/>
          <w:b w:val="1"/>
          <w:bCs w:val="1"/>
          <w:color w:val="auto"/>
        </w:rPr>
        <w:t>.</w:t>
      </w:r>
    </w:p>
    <w:p>
      <w:pPr>
        <w:sectPr>
          <w:pgSz w:w="11900" w:h="16838" w:orient="portrait"/>
          <w:cols w:equalWidth="0" w:num="1">
            <w:col w:w="10980"/>
          </w:cols>
          <w:pgMar w:left="440" w:top="274"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TENAYA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3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10,906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6,958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20,496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30"/>
        </w:trPr>
        <w:tc>
          <w:tcPr>
            <w:tcW w:w="6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(18,138)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636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(17,782)</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(15,210)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(28,308)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(17,782)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shares used in computing net loss per share, basic and 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1,147,471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948,403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7"/>
              </w:rPr>
              <w:t>1,122,775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920,196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TENAYA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(Unaudited)</w:t>
            </w:r>
          </w:p>
        </w:tc>
        <w:tc>
          <w:tcPr>
            <w:tcW w:w="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111,886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128,535</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1,429</w:t>
            </w: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113,222</w:t>
            </w:r>
          </w:p>
        </w:tc>
        <w:tc>
          <w:tcPr>
            <w:tcW w:w="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129,964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24,910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17,185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0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156,895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8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8"/>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w:t>
            </w: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 and other lease liabilities, current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w:t>
            </w:r>
          </w:p>
        </w:tc>
      </w:tr>
      <w:tr>
        <w:trPr>
          <w:trHeight w:val="223"/>
        </w:trPr>
        <w:tc>
          <w:tcPr>
            <w:tcW w:w="8580" w:type="dxa"/>
            <w:vAlign w:val="bottom"/>
          </w:tcPr>
          <w:p>
            <w:pPr>
              <w:ind w:left="72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14,893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5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240,735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220,754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2,596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stockholders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(111,120)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(82,812)</w:t>
            </w: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(108,536)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(81,315)</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156,895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Leone Patterson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IR@tenayathera.com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wendy@tenbridgecommunications.com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2021-09-08T15:26:39Z</dcterms:created>
  <dcterms:modified xsi:type="dcterms:W3CDTF">2021-09-08T15:26:39Z</dcterms:modified>
</cp:coreProperties>
</file>