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February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81-3789973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171 Oyster Point Boulevard, Suite 500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TNYA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On February 7, 2024, Tenaya Therapeutics, Inc. (the “Company”) entered into an underwriting agreement (the “Underwriting Agreement”) with Leerink Partners LLC and Cowen and Company, LLC, as representatives (the “Representatives”) of the underwriters listed therein (the “Underwriters”), relating to the issuance and sale in an underwritten registered direct offering (the “Offering”) of 8,888,890 shares (the “Shares”) of the Company’s common stock, par value $0.0001 per share, at an offering price of $4.50 per share and pre-funded warrants (the “Pre-Funded Warrants”) to purchase 2,222,271 shares of the Company’s common stock at an offering price of $4.499 per underlying share. Under the terms of the Underwriting Agreement, the Underwriters have agreed to purchase the Shares from the Company at a price of $4.23 per share and the Pre-Funded Warrants at a price of $4.23 per underlying share. All of the Shares and Pre-Funded Warrants in the Offering are being sold by the Company.</w:t>
      </w:r>
    </w:p>
    <w:p>
      <w:pPr>
        <w:spacing w:after="0" w:line="189" w:lineRule="exact"/>
        <w:rPr>
          <w:sz w:val="20"/>
          <w:szCs w:val="20"/>
          <w:color w:val="auto"/>
        </w:rPr>
      </w:pPr>
    </w:p>
    <w:p>
      <w:pPr>
        <w:ind w:left="4" w:right="540"/>
        <w:spacing w:after="0" w:line="312" w:lineRule="auto"/>
        <w:rPr>
          <w:sz w:val="20"/>
          <w:szCs w:val="20"/>
          <w:color w:val="auto"/>
        </w:rPr>
      </w:pPr>
      <w:r>
        <w:rPr>
          <w:rFonts w:ascii="Times New Roman" w:cs="Times New Roman" w:eastAsia="Times New Roman" w:hAnsi="Times New Roman"/>
          <w:sz w:val="17"/>
          <w:szCs w:val="17"/>
          <w:color w:val="auto"/>
        </w:rPr>
        <w:t>Gross proceeds from the Offering before deducting underwriting discounts and commissions and other offering expenses are expected to be approximately $50.0 million. The Offering is expected to close on February 12, 2024, subject to the satisfaction of customary closing conditions.</w:t>
      </w:r>
    </w:p>
    <w:p>
      <w:pPr>
        <w:spacing w:after="0" w:line="140"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Offering was made pursuant to the Company’s registration statement on Form S-3 (File No. 333-266741) (the “Registration Statement”), which was filed with the Securities and Exchange Commission (the “SEC”) on August 10, 2022, and declared effective by the SEC on August 17, 2022.</w:t>
      </w:r>
    </w:p>
    <w:p>
      <w:pPr>
        <w:spacing w:after="0" w:line="162"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(the “Securities Act”),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such parties. In addition, subject to certain exceptions, the Company, its officers and directors and certain other holders of the Company’s common stock have agreed not to offer, sell, transfer, or otherwise dispose of any shares of common stock during the 60-day period following the date of the Underwriting Agreement, without first obtaining the written consent of the Representatives.</w:t>
      </w:r>
    </w:p>
    <w:p>
      <w:pPr>
        <w:spacing w:after="0" w:line="189"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17"/>
          <w:szCs w:val="17"/>
          <w:color w:val="auto"/>
        </w:rPr>
        <w:t>Each Pre-Funded Warrant will have an exercise price per share of common stock equal to $0.001 per share. The exercise price and the number of shares of common stock issuable upon exercise of each Pre-Funded Warrant is subject to appropriate adjustments in the event of certain stock dividends and distributions, stock splits, stock combinations, reclassifications or similar events affecting the common stock. Each Pre-Funded Warrant will be exercisable on or after the date of issuance until the date the Pre-Funded Warrant is exercised in full. Each Pre-Funded Warrant will be exercisable, in the holder’s discretion, by (i) payment in full in immediately available funds for the number of shares of common stock purchased upon such exercise or</w:t>
      </w:r>
    </w:p>
    <w:p>
      <w:pPr>
        <w:spacing w:after="0" w:line="3" w:lineRule="exact"/>
        <w:rPr>
          <w:sz w:val="20"/>
          <w:szCs w:val="20"/>
          <w:color w:val="auto"/>
        </w:rPr>
      </w:pPr>
    </w:p>
    <w:p>
      <w:pPr>
        <w:ind w:left="4" w:right="100" w:hanging="4"/>
        <w:spacing w:after="0" w:line="250"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cashless exercise, in which case the holder would receive upon such exercise the net number of shares of common stock determined according to the formula set forth in the Pre-Funded Warrant. Under the Pre-Funded Warrants, the Company may not effect the exercise of any Pre-Funded Warrant, and a holder will not be entitled to exercise any portion of any Pre-Funded Warrant that, upon giving effect to such exercise, would cause: (i) the aggregate number of shares of common stock beneficially owned by such holder (together with its affiliates) to exceed 9.99% of the total number of shares of common stock outstanding immediately after giving effect to the exercise; or (ii) the combined voting power of the Company’s securities beneficially owned by such holder (together with its affiliates) to exceed 9.99% of the combined voting power of all of the Company’s securities immediately outstanding after giving effect to the exercise, as such percentage ownership is determined in accordance with the terms of</w:t>
      </w:r>
    </w:p>
    <w:p>
      <w:pPr>
        <w:spacing w:after="0" w:line="2" w:lineRule="exact"/>
        <w:rPr>
          <w:rFonts w:ascii="Times New Roman" w:cs="Times New Roman" w:eastAsia="Times New Roman" w:hAnsi="Times New Roman"/>
          <w:sz w:val="18"/>
          <w:szCs w:val="18"/>
          <w:color w:val="auto"/>
        </w:rPr>
      </w:pPr>
    </w:p>
    <w:p>
      <w:pPr>
        <w:ind w:left="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Pre-Funded Warrant, which percentage may be changed at the holder’s election to a higher or lower percentage not in excess of 19.99% upon at least 61 days’ notice to the Company.</w:t>
      </w:r>
    </w:p>
    <w:p>
      <w:pPr>
        <w:spacing w:after="0" w:line="181"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In the event of certain fundamental transactions, a holder of Pre-Funded Warrants will be entitled to receive, upon exercise of the Pre-Funded Warrants, the kind and amount of securities, cash or other property that such holder would have received had they exercised the Pre-Funded Warrants immediately prior to the fundamental transaction without regard to any limitations on exercise contained in the Pre-Funded Warrants.</w:t>
      </w:r>
    </w:p>
    <w:p>
      <w:pPr>
        <w:spacing w:after="0" w:line="176"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terms of the Underwriting Agreement and the Pre-Funded Warrants do not purport to be complete and are each qualified in their entirety by reference to the Underwriting Agreement and the Form of Pre-Funded Warrant, respectively, which are filed as Exhibit 1.1 and Exhibit 4.1 hereto and are incorporated herein by reference.</w:t>
      </w:r>
    </w:p>
    <w:p>
      <w:pPr>
        <w:sectPr>
          <w:pgSz w:w="11900" w:h="16838" w:orient="portrait"/>
          <w:cols w:equalWidth="0" w:num="1">
            <w:col w:w="10984"/>
          </w:cols>
          <w:pgMar w:left="436" w:top="293" w:right="479" w:bottom="1440" w:gutter="0" w:footer="0" w:header="0"/>
        </w:sectPr>
      </w:pPr>
    </w:p>
    <w:bookmarkStart w:id="2" w:name="page3"/>
    <w:bookmarkEnd w:id="2"/>
    <w:p>
      <w:pPr>
        <w:ind w:right="5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 copy of the opinion of Wilson Sonsini Goodrich &amp; Rosati, P.C. relating to the validity of the Shares, the Pre-Funded Warrants and the shares underlying the Pre-Funded Warrants is filed as Exhibit 5.1 hereto and is incorporated by reference into the Registration Statement.</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copy of the press release announcing the Offering is attached to this Current Report on Form 8-K as Exhibit 99.1.</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information reported under Item 7.01 in this Current Report on Form 8-K, and Exhibit 99.1 attached hereto are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regardless of any general incorporation language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Certain of the statements made in this report are forward looking, such as those, among others, relating to the Company’s expectations regarding the timing and completion of the Offering. Actual results or developments may differ materially from those projected or implied in these forward-looking statements. Factors that may cause such a difference include risks and uncertainties related to completion of the Offering on the anticipated terms or at all, market conditions and the satisfaction of customary closing conditions related to the Offering. More information about the risks and uncertainties faced by the Company is contained under the caption “Risk Factors” in the Company’s Quarterly Report on Form 10-Q filed with the SEC on November 8, 2023. The Company disclaims any intention or obligation to update or revise any forward-looking statements, whether as a result of new information, future events or otherwise.</w:t>
      </w:r>
    </w:p>
    <w:p>
      <w:pPr>
        <w:sectPr>
          <w:pgSz w:w="11900" w:h="16838" w:orient="portrait"/>
          <w:cols w:equalWidth="0" w:num="1">
            <w:col w:w="10840"/>
          </w:cols>
          <w:pgMar w:left="440" w:top="297" w:right="6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6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 Exhibits.</w:t>
            </w:r>
          </w:p>
        </w:tc>
      </w:tr>
      <w:tr>
        <w:trPr>
          <w:trHeight w:val="369"/>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2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63"/>
        </w:trPr>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22"/>
                <w:szCs w:val="22"/>
                <w:color w:val="auto"/>
              </w:rPr>
            </w:pPr>
          </w:p>
        </w:tc>
        <w:tc>
          <w:tcPr>
            <w:tcW w:w="9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Underwriting Agreement between the Company, Leerink Partners LLC and Cowen and Company, LLC, dated as of February 7, 2024.</w:t>
            </w: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21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Form of Pre-Funded Warrant</w:t>
            </w:r>
          </w:p>
        </w:tc>
        <w:tc>
          <w:tcPr>
            <w:tcW w:w="7560" w:type="dxa"/>
            <w:vAlign w:val="bottom"/>
            <w:gridSpan w:val="4"/>
          </w:tcPr>
          <w:p>
            <w:pPr>
              <w:spacing w:after="0"/>
              <w:rPr>
                <w:sz w:val="24"/>
                <w:szCs w:val="24"/>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96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Opinion of Wilson Sonsini Goodrich &amp; Rosati, Professional Corporation.</w:t>
            </w: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96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Consent of Wilson Sonsini Goodrich &amp; Rosati, Professional Corporation (included with the opinion filed as Exhibit 5.1).</w:t>
            </w: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87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Press Release dated February 8, 2024.</w:t>
            </w:r>
          </w:p>
        </w:tc>
        <w:tc>
          <w:tcPr>
            <w:tcW w:w="96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r>
      <w:tr>
        <w:trPr>
          <w:trHeight w:val="345"/>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9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rPr>
          <w:sz w:val="20"/>
          <w:szCs w:val="20"/>
          <w:color w:val="auto"/>
        </w:rPr>
        <w:sectPr>
          <w:pgSz w:w="11900" w:h="16838" w:orient="portrait"/>
          <w:cols w:equalWidth="0" w:num="1">
            <w:col w:w="10500"/>
          </w:cols>
          <w:pgMar w:left="440" w:top="293" w:right="9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Leone D. Patterson, M.B.A.</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8, 2024</w:t>
      </w:r>
    </w:p>
    <w:p>
      <w:pPr>
        <w:sectPr>
          <w:pgSz w:w="11900" w:h="16838" w:orient="portrait"/>
          <w:cols w:equalWidth="0" w:num="1">
            <w:col w:w="10260"/>
          </w:cols>
          <w:pgMar w:left="440" w:top="293" w:right="11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8,888,890 SHARES OF COMMON STOCK, $0.0001 PAR VALUE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WARRANTS TO PURCHASE 2,222,271 SHARES OF COMMON STOCK</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p>
      <w:pPr>
        <w:sectPr>
          <w:pgSz w:w="11900" w:h="16838" w:orient="portrait"/>
          <w:cols w:equalWidth="0" w:num="1">
            <w:col w:w="11020"/>
          </w:cols>
          <w:pgMar w:left="440" w:top="117"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February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 named in Schedule I hereto</w:t>
      </w:r>
    </w:p>
    <w:p>
      <w:pPr>
        <w:sectPr>
          <w:pgSz w:w="11900" w:h="16838" w:orient="portrait"/>
          <w:cols w:equalWidth="0" w:num="1">
            <w:col w:w="11020"/>
          </w:cols>
          <w:pgMar w:left="440" w:top="270"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1301 Avenue of the Americas, 12th Floor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0" w:lineRule="exact"/>
        <w:rPr>
          <w:sz w:val="20"/>
          <w:szCs w:val="20"/>
          <w:color w:val="auto"/>
        </w:rPr>
      </w:pPr>
    </w:p>
    <w:p>
      <w:pPr>
        <w:sectPr>
          <w:pgSz w:w="11900" w:h="16838" w:orient="portrait"/>
          <w:cols w:equalWidth="0" w:num="2">
            <w:col w:w="220" w:space="200"/>
            <w:col w:w="10600"/>
          </w:cols>
          <w:pgMar w:left="440" w:top="270" w:right="4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599 Lexington Avenue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New York, New York 10022</w:t>
      </w:r>
    </w:p>
    <w:p>
      <w:pPr>
        <w:spacing w:after="0" w:line="200" w:lineRule="exact"/>
        <w:rPr>
          <w:sz w:val="20"/>
          <w:szCs w:val="20"/>
          <w:color w:val="auto"/>
        </w:rPr>
      </w:pPr>
    </w:p>
    <w:p>
      <w:pPr>
        <w:sectPr>
          <w:pgSz w:w="11900" w:h="16838" w:orient="portrait"/>
          <w:cols w:equalWidth="0" w:num="2">
            <w:col w:w="220" w:space="200"/>
            <w:col w:w="10600"/>
          </w:cols>
          <w:pgMar w:left="440" w:top="270" w:right="4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Tenaya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named in Schedule 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Leerink Partners LLC (“</w:t>
      </w:r>
      <w:r>
        <w:rPr>
          <w:rFonts w:ascii="Times New Roman" w:cs="Times New Roman" w:eastAsia="Times New Roman" w:hAnsi="Times New Roman"/>
          <w:sz w:val="18"/>
          <w:szCs w:val="18"/>
          <w:b w:val="1"/>
          <w:bCs w:val="1"/>
          <w:color w:val="auto"/>
        </w:rPr>
        <w:t>Leerink Partners</w:t>
      </w:r>
      <w:r>
        <w:rPr>
          <w:rFonts w:ascii="Times New Roman" w:cs="Times New Roman" w:eastAsia="Times New Roman" w:hAnsi="Times New Roman"/>
          <w:sz w:val="18"/>
          <w:szCs w:val="18"/>
          <w:color w:val="auto"/>
        </w:rPr>
        <w:t>”) and Cowen and Company, LLC (“</w:t>
      </w:r>
      <w:r>
        <w:rPr>
          <w:rFonts w:ascii="Times New Roman" w:cs="Times New Roman" w:eastAsia="Times New Roman" w:hAnsi="Times New Roman"/>
          <w:sz w:val="18"/>
          <w:szCs w:val="18"/>
          <w:b w:val="1"/>
          <w:bCs w:val="1"/>
          <w:color w:val="auto"/>
        </w:rPr>
        <w:t>Cowen</w:t>
      </w:r>
      <w:r>
        <w:rPr>
          <w:rFonts w:ascii="Times New Roman" w:cs="Times New Roman" w:eastAsia="Times New Roman" w:hAnsi="Times New Roman"/>
          <w:sz w:val="18"/>
          <w:szCs w:val="18"/>
          <w:color w:val="auto"/>
        </w:rPr>
        <w:t>” and, together with Leerink Partners are acting as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(i) 8,888,890 shares of its common stock, $0.0001 par value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(ii) pre-funded warrants to purchase up to 2,222,271 shares of its common stock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together with the Shares, the</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at an exercise price of $0.001 per share. The shares of the Company’s common stock issuable upon exercise of the Pre-Funded Warrants are herein referred to as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The shares of common stock, $0.0001 par value per share of the Company to be outstanding after giving effect to the sales contemplated hereby are hereinafter referred to as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S-3 (File</w:t>
      </w:r>
    </w:p>
    <w:p>
      <w:pPr>
        <w:spacing w:after="0" w:line="3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No. 333-266741) relating to the Shares, the Pre-Funded Warrants and the Warrant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prospectus in the form first used to confirm sales of Securities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If the Company has filed an abbreviated registration statement to register additional shares of Common Stock pursuant to Rule 462(b) under the Securities Act (a “</w:t>
      </w:r>
      <w:r>
        <w:rPr>
          <w:rFonts w:ascii="Times New Roman" w:cs="Times New Roman" w:eastAsia="Times New Roman" w:hAnsi="Times New Roman"/>
          <w:sz w:val="18"/>
          <w:szCs w:val="18"/>
          <w:b w:val="1"/>
          <w:bCs w:val="1"/>
          <w:color w:val="auto"/>
        </w:rPr>
        <w:t>Rule 462 Registration Statement</w:t>
      </w:r>
      <w:r>
        <w:rPr>
          <w:rFonts w:ascii="Times New Roman" w:cs="Times New Roman" w:eastAsia="Times New Roman" w:hAnsi="Times New Roman"/>
          <w:sz w:val="18"/>
          <w:szCs w:val="18"/>
          <w:color w:val="auto"/>
        </w:rPr>
        <w:t>”), then any reference herein to the term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be deemed to include such Rule 462 Registration Statement.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70" w:right="439" w:bottom="1440" w:gutter="0" w:footer="0" w:header="0"/>
          <w:type w:val="continuous"/>
        </w:sectPr>
      </w:pPr>
    </w:p>
    <w:bookmarkStart w:id="7" w:name="page8"/>
    <w:bookmarkEnd w:id="7"/>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preliminary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each prospectus used prior to the effectiveness of the Registration Statement, and each prospectus that omitted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Rule 430A under the Securities Act that was used after such effectiveness and prior to the execution and delivery of this Agreement, “</w:t>
      </w: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Sale Prospectus</w:t>
      </w:r>
      <w:r>
        <w:rPr>
          <w:rFonts w:ascii="Times New Roman" w:cs="Times New Roman" w:eastAsia="Times New Roman" w:hAnsi="Times New Roman"/>
          <w:sz w:val="18"/>
          <w:szCs w:val="18"/>
          <w:color w:val="auto"/>
        </w:rPr>
        <w:t>” means the preliminary prospectus contained in the Registration Statement at the time of its effectiveness together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free writing prospectuses, if any, and pricing information set forth in Schedule II hereto,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 The terms “supplement,” “amendment” and “amend” as used herein with respect to the Registration Statement, the Time of Sale Prospectus or the Prospectus shall include all documents subsequently filed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 For purposes of this Agreement, except where otherwise expressly provided, the term “affiliate” has the meaning set forth in Rule 405 under the Securities Act.</w:t>
      </w:r>
    </w:p>
    <w:p>
      <w:pPr>
        <w:spacing w:after="0" w:line="192" w:lineRule="exact"/>
        <w:rPr>
          <w:sz w:val="20"/>
          <w:szCs w:val="20"/>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Company represents and warrants to and agrees with each of the Underwriters that:</w:t>
      </w:r>
    </w:p>
    <w:p>
      <w:pPr>
        <w:spacing w:after="0" w:line="119"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0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w:t>
      </w:r>
    </w:p>
    <w:p>
      <w:pPr>
        <w:spacing w:after="0" w:line="67"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as of the date of such amendment or supplement,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available to prospective purchasers and at the Closing Date (as defined in Section 4), the Time of Sale Prospectus, as then amended or supplemented by the Company, if applicable, as of the date of such amendment or supplement,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as of its date, does not contain and, as amended or supplemented, if applicable, as of the date of such amendment or supplement and as of the Closing Date,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Underwriter Information (as defined in Section 8(b) herein).</w:t>
      </w:r>
    </w:p>
    <w:p>
      <w:pPr>
        <w:spacing w:after="0" w:line="86" w:lineRule="exact"/>
        <w:rPr>
          <w:sz w:val="20"/>
          <w:szCs w:val="20"/>
          <w:color w:val="auto"/>
        </w:rPr>
      </w:pPr>
    </w:p>
    <w:p>
      <w:pPr>
        <w:ind w:firstLine="419"/>
        <w:spacing w:after="0" w:line="254" w:lineRule="auto"/>
        <w:tabs>
          <w:tab w:leader="none" w:pos="6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Representatives’ prior consent, prepare, use or refer to, any free writing prospectus.</w:t>
      </w:r>
    </w:p>
    <w:p>
      <w:pPr>
        <w:spacing w:after="0" w:line="83" w:lineRule="exact"/>
        <w:rPr>
          <w:rFonts w:ascii="Times New Roman" w:cs="Times New Roman" w:eastAsia="Times New Roman" w:hAnsi="Times New Roman"/>
          <w:sz w:val="18"/>
          <w:szCs w:val="18"/>
          <w:color w:val="auto"/>
        </w:rPr>
      </w:pPr>
    </w:p>
    <w:p>
      <w:pPr>
        <w:jc w:val="both"/>
        <w:ind w:right="80" w:firstLine="419"/>
        <w:spacing w:after="0" w:line="258"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as a corporation in good standing under the laws of the State of Delaware,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80" w:top="270" w:right="479" w:bottom="1440" w:gutter="0" w:footer="0" w:header="0"/>
        </w:sectPr>
      </w:pPr>
    </w:p>
    <w:bookmarkStart w:id="9" w:name="page10"/>
    <w:bookmarkEnd w:id="9"/>
    <w:p>
      <w:pPr>
        <w:ind w:left="660" w:hanging="24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no subsidiaries as defined under the Securities Act.</w:t>
      </w:r>
    </w:p>
    <w:p>
      <w:pPr>
        <w:spacing w:after="0" w:line="11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right="20" w:firstLine="419"/>
        <w:spacing w:after="0" w:line="282"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conforms as to legal matters to the description thereof contained in each of the Registration Statement, the Time of Sale Prospectus and the Prospectus.</w:t>
      </w:r>
    </w:p>
    <w:p>
      <w:pPr>
        <w:spacing w:after="0" w:line="53" w:lineRule="exact"/>
        <w:rPr>
          <w:rFonts w:ascii="Times New Roman" w:cs="Times New Roman" w:eastAsia="Times New Roman" w:hAnsi="Times New Roman"/>
          <w:sz w:val="18"/>
          <w:szCs w:val="18"/>
          <w:color w:val="auto"/>
        </w:rPr>
      </w:pPr>
    </w:p>
    <w:p>
      <w:pPr>
        <w:ind w:right="160" w:firstLine="419"/>
        <w:spacing w:after="0" w:line="282"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outstanding prior to the issuance of the Securities have been duly authorized and are validly issued, fully paid and non-assessable.</w:t>
      </w:r>
    </w:p>
    <w:p>
      <w:pPr>
        <w:spacing w:after="0" w:line="53" w:lineRule="exact"/>
        <w:rPr>
          <w:rFonts w:ascii="Times New Roman" w:cs="Times New Roman" w:eastAsia="Times New Roman" w:hAnsi="Times New Roman"/>
          <w:sz w:val="18"/>
          <w:szCs w:val="18"/>
          <w:color w:val="auto"/>
        </w:rPr>
      </w:pPr>
    </w:p>
    <w:p>
      <w:pPr>
        <w:jc w:val="both"/>
        <w:ind w:right="160" w:firstLine="419"/>
        <w:spacing w:after="0" w:line="266" w:lineRule="auto"/>
        <w:tabs>
          <w:tab w:leader="none" w:pos="6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issued, delivered and paid for in accordance with the terms of this Agreement, will be validly issued, fully paid and non-assessable, and the issuance of the Shares will not be subject to any preemptive or similar rights not otherwise validly waived or satisfied.</w:t>
      </w:r>
    </w:p>
    <w:p>
      <w:pPr>
        <w:spacing w:after="0" w:line="67" w:lineRule="exact"/>
        <w:rPr>
          <w:rFonts w:ascii="Times New Roman" w:cs="Times New Roman" w:eastAsia="Times New Roman" w:hAnsi="Times New Roman"/>
          <w:sz w:val="18"/>
          <w:szCs w:val="18"/>
          <w:color w:val="auto"/>
        </w:rPr>
      </w:pPr>
    </w:p>
    <w:p>
      <w:pPr>
        <w:ind w:right="180" w:firstLine="419"/>
        <w:spacing w:after="0" w:line="255" w:lineRule="auto"/>
        <w:tabs>
          <w:tab w:leader="none" w:pos="6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Pre-Funded Warrants have been duly authorized and, when executed and delivered by the Company,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Warrant Shares have been duly authorized and will be reserved for issuance upon exercise of the Pre-Funded Warrants in a number sufficient to meet the current exercise requirements. The Warrant Shares, when issued and delivered upon exercise of the Pre-Funded Warrants in accordance therewith, will be validly issued, fully paid and nonassessable, and the issuance of the Warrant Shares is not subject to any preemptive or similar rights not otherwise validly waived or satisfied.</w:t>
      </w:r>
    </w:p>
    <w:p>
      <w:pPr>
        <w:spacing w:after="0" w:line="80"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will not contravene (i) any provision of applicable law, (ii) the certificate of incorporation or bylaws of the Company, (iii) any agreement or other instrument binding upon the Company that is material to the Company, or (iv) any judgment, order or decree of any governmental body, agency or court having jurisdiction over the Company, except, in the cases of clauses (i), (iii) and (iv), as would not, individually or in the aggregate, reasonably be expected to have a material adverse effect on the Company,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in connection with the offer and sale of the Securities or the rules and regulations of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10" w:name="page11"/>
    <w:bookmarkEnd w:id="10"/>
    <w:p>
      <w:pPr>
        <w:ind w:right="340" w:firstLine="419"/>
        <w:spacing w:after="0" w:line="312" w:lineRule="auto"/>
        <w:tabs>
          <w:tab w:leader="none" w:pos="63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has not occurred any material adverse change, or any development involving a prospective material adverse change, in the condition, financial or otherwise, or in the earnings, business or operations of the Company, from that set forth in the Time of Sale Prospectus.</w:t>
      </w:r>
    </w:p>
    <w:p>
      <w:pPr>
        <w:spacing w:after="0" w:line="31" w:lineRule="exact"/>
        <w:rPr>
          <w:rFonts w:ascii="Times New Roman" w:cs="Times New Roman" w:eastAsia="Times New Roman" w:hAnsi="Times New Roman"/>
          <w:sz w:val="17"/>
          <w:szCs w:val="17"/>
          <w:color w:val="auto"/>
        </w:rPr>
      </w:pPr>
    </w:p>
    <w:p>
      <w:pPr>
        <w:ind w:firstLine="419"/>
        <w:spacing w:after="0" w:line="254" w:lineRule="auto"/>
        <w:tabs>
          <w:tab w:leader="none" w:pos="7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knowledge of the Company, threatened to which the Company is a party or to which any of the properties of the Company is subject (i) other than proceedings accurately described in all material respects in each of the Registration Statement, the Time of Sale Prospectus and the Prospectus and proceedings that would not singly or in the aggregate, reasonably be expected to have a material adverse effect on the Company or on the performance by the Company of its obligations under this Agreement or to consummate the transactions contemplated by the Time of Sale Prospectus or (ii) that are required to be described in the Registration Statement, the Time of Sale Prospectus or the Prospectus and are not so described in all material respects; and there are no statutes, regulations, contracts or other documents that are required to be described in the Registration Statement, the Time of Sale Prospectus or the Prospectus or to be filed as exhibits to the Registration Statement that are not described in all material respects or filed as required.</w:t>
      </w:r>
    </w:p>
    <w:p>
      <w:pPr>
        <w:spacing w:after="0" w:line="83"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Securities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right="80" w:firstLine="419"/>
        <w:spacing w:after="0" w:line="274" w:lineRule="auto"/>
        <w:tabs>
          <w:tab w:leader="none" w:pos="67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 is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7"/>
          <w:szCs w:val="17"/>
          <w:b w:val="1"/>
          <w:bCs w:val="1"/>
          <w:color w:val="auto"/>
        </w:rPr>
        <w:t>Environmental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Laws</w:t>
      </w:r>
      <w:r>
        <w:rPr>
          <w:rFonts w:ascii="Times New Roman" w:cs="Times New Roman" w:eastAsia="Times New Roman" w:hAnsi="Times New Roman"/>
          <w:sz w:val="17"/>
          <w:szCs w:val="17"/>
          <w:color w:val="auto"/>
        </w:rPr>
        <w:t>”), (ii) has received all permits, licenses or other approvals required of them under applicable Environmental Laws to conduct its respective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businesses and (iii) 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w:t>
      </w:r>
    </w:p>
    <w:p>
      <w:pPr>
        <w:spacing w:after="0" w:line="64" w:lineRule="exact"/>
        <w:rPr>
          <w:rFonts w:ascii="Times New Roman" w:cs="Times New Roman" w:eastAsia="Times New Roman" w:hAnsi="Times New Roman"/>
          <w:sz w:val="17"/>
          <w:szCs w:val="17"/>
          <w:color w:val="auto"/>
        </w:rPr>
      </w:pPr>
    </w:p>
    <w:p>
      <w:pPr>
        <w:jc w:val="both"/>
        <w:ind w:right="60" w:firstLine="419"/>
        <w:spacing w:after="0" w:line="261"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w:t>
      </w:r>
    </w:p>
    <w:p>
      <w:pPr>
        <w:spacing w:after="0" w:line="1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880" w:top="270" w:right="439" w:bottom="1440" w:gutter="0" w:footer="0" w:header="0"/>
        </w:sectPr>
      </w:pPr>
    </w:p>
    <w:bookmarkStart w:id="11" w:name="page12"/>
    <w:bookmarkEnd w:id="11"/>
    <w:p>
      <w:pPr>
        <w:ind w:right="20" w:firstLine="419"/>
        <w:spacing w:after="0" w:line="258" w:lineRule="auto"/>
        <w:tabs>
          <w:tab w:leader="none" w:pos="6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 except those contracts, agreements and understandings described in the Time of Sale Prospectus and the Prospectus, all of which have been validly waived in connection with the issuance and sale of the Securities contemplated hereby.</w:t>
      </w:r>
    </w:p>
    <w:p>
      <w:pPr>
        <w:spacing w:after="0" w:line="75" w:lineRule="exact"/>
        <w:rPr>
          <w:rFonts w:ascii="Times New Roman" w:cs="Times New Roman" w:eastAsia="Times New Roman" w:hAnsi="Times New Roman"/>
          <w:sz w:val="18"/>
          <w:szCs w:val="18"/>
          <w:color w:val="auto"/>
        </w:rPr>
      </w:pPr>
    </w:p>
    <w:p>
      <w:pPr>
        <w:ind w:firstLine="419"/>
        <w:spacing w:after="0" w:line="253" w:lineRule="auto"/>
        <w:tabs>
          <w:tab w:leader="none" w:pos="6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or any of its subsidiaries or any of its controlled affiliates, or any director, officer, or key employee thereof who is named in the Time of Sale Prospectus, or, to the Company’s knowledge, any non-controlled affiliates, or any other employee, agent or representative of the Company or any of its subsidiaries or any of its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(ii) the Company and each of its subsidiaries, if any, and each of its controlled affiliates, and to the Company’s knowledge, each of its non-controlled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79" w:lineRule="exact"/>
        <w:rPr>
          <w:rFonts w:ascii="Times New Roman" w:cs="Times New Roman" w:eastAsia="Times New Roman" w:hAnsi="Times New Roman"/>
          <w:sz w:val="18"/>
          <w:szCs w:val="18"/>
          <w:color w:val="auto"/>
        </w:rPr>
      </w:pPr>
    </w:p>
    <w:p>
      <w:pPr>
        <w:ind w:firstLine="419"/>
        <w:spacing w:after="0" w:line="254" w:lineRule="auto"/>
        <w:tabs>
          <w:tab w:leader="none" w:pos="6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each of its subsidiaries, if 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if any,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12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20"/>
          </w:cols>
          <w:pgMar w:left="880" w:top="270" w:right="499" w:bottom="1440" w:gutter="0" w:footer="0" w:header="0"/>
        </w:sectPr>
      </w:pPr>
    </w:p>
    <w:bookmarkStart w:id="12" w:name="page13"/>
    <w:bookmarkEnd w:id="12"/>
    <w:p>
      <w:pPr>
        <w:ind w:firstLine="419"/>
        <w:spacing w:after="0" w:line="266" w:lineRule="auto"/>
        <w:tabs>
          <w:tab w:leader="none" w:pos="6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None of the Company, any of its subsidiaries, or any director, officer, or key employee thereof who is named in the Time of Sale Prospectus, or, to the Company’s knowledge, any other employee, agent,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67" w:lineRule="exact"/>
        <w:rPr>
          <w:rFonts w:ascii="Times New Roman" w:cs="Times New Roman" w:eastAsia="Times New Roman" w:hAnsi="Times New Roman"/>
          <w:sz w:val="18"/>
          <w:szCs w:val="18"/>
          <w:color w:val="auto"/>
        </w:rPr>
      </w:pPr>
    </w:p>
    <w:p>
      <w:pPr>
        <w:ind w:left="980" w:right="200" w:firstLine="391"/>
        <w:spacing w:after="0" w:line="266" w:lineRule="auto"/>
        <w:tabs>
          <w:tab w:leader="none" w:pos="165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1660" w:hanging="289"/>
        <w:spacing w:after="0"/>
        <w:tabs>
          <w:tab w:leader="none" w:pos="1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the</w:t>
      </w:r>
    </w:p>
    <w:p>
      <w:pPr>
        <w:spacing w:after="0" w:line="27" w:lineRule="exact"/>
        <w:rPr>
          <w:sz w:val="20"/>
          <w:szCs w:val="20"/>
          <w:color w:val="auto"/>
        </w:rPr>
      </w:pPr>
    </w:p>
    <w:p>
      <w:pPr>
        <w:jc w:val="both"/>
        <w:ind w:left="980" w:right="60"/>
        <w:spacing w:after="0" w:line="255" w:lineRule="auto"/>
        <w:rPr>
          <w:sz w:val="20"/>
          <w:szCs w:val="20"/>
          <w:color w:val="auto"/>
        </w:rPr>
      </w:pPr>
      <w:r>
        <w:rPr>
          <w:rFonts w:ascii="Times New Roman" w:cs="Times New Roman" w:eastAsia="Times New Roman" w:hAnsi="Times New Roman"/>
          <w:sz w:val="18"/>
          <w:szCs w:val="18"/>
          <w:color w:val="auto"/>
        </w:rPr>
        <w:t>so-called Donetsk People’s Republic and so-called Luhansk People’s Republic or any other regions of Ukraine as may be identified by the Secretary of the Treasury, in consultation with the Secretary of State, pursuant to Executive Order 14065, the Crimea Region of Ukraine, Cuba, Iran, North Korea and Syria).</w:t>
      </w:r>
    </w:p>
    <w:p>
      <w:pPr>
        <w:spacing w:after="0" w:line="78" w:lineRule="exact"/>
        <w:rPr>
          <w:sz w:val="20"/>
          <w:szCs w:val="20"/>
          <w:color w:val="auto"/>
        </w:rPr>
      </w:pPr>
    </w:p>
    <w:p>
      <w:pPr>
        <w:ind w:left="540" w:right="280" w:firstLine="408"/>
        <w:spacing w:after="0" w:line="282" w:lineRule="auto"/>
        <w:tabs>
          <w:tab w:leader="none" w:pos="120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ind w:left="980" w:right="180" w:firstLine="391"/>
        <w:spacing w:after="0" w:line="282" w:lineRule="auto"/>
        <w:tabs>
          <w:tab w:leader="none" w:pos="1658"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53" w:lineRule="exact"/>
        <w:rPr>
          <w:rFonts w:ascii="Times New Roman" w:cs="Times New Roman" w:eastAsia="Times New Roman" w:hAnsi="Times New Roman"/>
          <w:sz w:val="18"/>
          <w:szCs w:val="18"/>
          <w:color w:val="auto"/>
        </w:rPr>
      </w:pPr>
    </w:p>
    <w:p>
      <w:pPr>
        <w:ind w:left="980" w:right="300" w:firstLine="391"/>
        <w:spacing w:after="0" w:line="282" w:lineRule="auto"/>
        <w:tabs>
          <w:tab w:leader="none" w:pos="1648"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53" w:lineRule="exact"/>
        <w:rPr>
          <w:rFonts w:ascii="Times New Roman" w:cs="Times New Roman" w:eastAsia="Times New Roman" w:hAnsi="Times New Roman"/>
          <w:sz w:val="18"/>
          <w:szCs w:val="18"/>
          <w:color w:val="auto"/>
        </w:rPr>
      </w:pPr>
    </w:p>
    <w:p>
      <w:pPr>
        <w:ind w:left="540" w:right="20" w:firstLine="408"/>
        <w:spacing w:after="0" w:line="266" w:lineRule="auto"/>
        <w:tabs>
          <w:tab w:leader="none" w:pos="125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five years, the Company and each of its subsidiaries, if any,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67" w:lineRule="exact"/>
        <w:rPr>
          <w:rFonts w:ascii="Times New Roman" w:cs="Times New Roman" w:eastAsia="Times New Roman" w:hAnsi="Times New Roman"/>
          <w:sz w:val="18"/>
          <w:szCs w:val="18"/>
          <w:color w:val="auto"/>
        </w:rPr>
      </w:pPr>
    </w:p>
    <w:p>
      <w:pPr>
        <w:ind w:right="180" w:firstLine="419"/>
        <w:spacing w:after="0" w:line="261"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each of the Registration Statement, the Time of Sale Prospectus and the Prospectus, (i) the Company has not incurred any material liability or obligation, direct or contingent, nor entered into any material transaction; (ii) the Company has not purchased any of its outstanding capital stock, other than from employees or other service providers in connection with such person’s termination of service from the Company pursuant to the existing terms of the agreements or equity</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20"/>
          </w:cols>
          <w:pgMar w:left="880" w:top="270" w:right="499" w:bottom="1440" w:gutter="0" w:footer="0" w:header="0"/>
        </w:sectPr>
      </w:pPr>
    </w:p>
    <w:bookmarkStart w:id="13" w:name="page14"/>
    <w:bookmarkEnd w:id="13"/>
    <w:p>
      <w:pPr>
        <w:ind w:left="4" w:right="2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plans described in the Time of Sale Prospectus or in exercise of the Company’s right of first refusal upon a proposed transfer, nor declared, paid or otherwise made any dividend or distribution of any kind on its capital stock other than ordinary and customary dividends; and</w:t>
      </w:r>
    </w:p>
    <w:p>
      <w:pPr>
        <w:spacing w:after="0" w:line="1" w:lineRule="exact"/>
        <w:rPr>
          <w:sz w:val="20"/>
          <w:szCs w:val="20"/>
          <w:color w:val="auto"/>
        </w:rPr>
      </w:pPr>
    </w:p>
    <w:p>
      <w:pPr>
        <w:ind w:left="4" w:right="40" w:hanging="4"/>
        <w:spacing w:after="0" w:line="253" w:lineRule="auto"/>
        <w:tabs>
          <w:tab w:leader="none" w:pos="3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change in the capital stock (other than the exercise or conversion of equity awards, warrants or convertible notes or loans or grants of equity awards or forfeiture of equity awards outstanding as of such respective dates as of which information is given in each of the Registration Statement, the Time of Sale Prospectus and the Prospectus, in each case granted pursuant to the equity compensation plans described in the Time of Sale Prospectus), short-term debt or long-term debt of the Company, except in each case as described in each of the Registration Statement, the Time of Sale Prospectus and the Prospectus.</w:t>
      </w:r>
    </w:p>
    <w:p>
      <w:pPr>
        <w:spacing w:after="0" w:line="78" w:lineRule="exact"/>
        <w:rPr>
          <w:rFonts w:ascii="Times New Roman" w:cs="Times New Roman" w:eastAsia="Times New Roman" w:hAnsi="Times New Roman"/>
          <w:sz w:val="18"/>
          <w:szCs w:val="18"/>
          <w:color w:val="auto"/>
        </w:rPr>
      </w:pPr>
    </w:p>
    <w:p>
      <w:pPr>
        <w:ind w:left="4" w:firstLine="419"/>
        <w:spacing w:after="0" w:line="256" w:lineRule="auto"/>
        <w:tabs>
          <w:tab w:leader="none" w:pos="6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any real property. The Company has good and marketable title to all personal property (excluding intellectual property) owned by it which is material to the business of the Company, in each case free and clear of all liens, encumbrances and defects except such as do not materially affect the value of such property and do not interfere in any material respect with the use made and proposed to be made of such property by the Company; and any real property and buildings held under lease by the Company is held by it under valid, subsisting and, to the knowledge of the Company, enforceable leases with such exceptions as are not material and do not materially interfere with the use made and proposed to be made of such property and buildings by the Company.</w:t>
      </w:r>
    </w:p>
    <w:p>
      <w:pPr>
        <w:spacing w:after="0" w:line="79"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72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each case, as set forth in the Registration Statement, the Prospectus or the Time of Sale Prospectus, or as would not, singly or in the aggregate, reasonably be expected to have a material adverse effect on the Company: (i) the Company owns or has a valid and enforceable right or license to use, all patents, inventions, copyrights, know how (including trade secrets and other unpatented and/or unpatentable proprietary or confidential information, systems or procedures), software, domain names, trademarks, service marks, trade names, logos and any and all other worldwide intellectual property and proprietary rights (including all registrations and applications for, and all goodwill associated with, any of the foregoing)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used in, or reasonably necessary or expected to be material to the conduct of, its business as currently conducted and as proposed to be conducted, in each case as such business is described in the Registration Statement, the Prospectus, and the Time of Sale Prospectus; (ii) to the Company’s knowledge, the Intellectual Property Rights owned by and exclusively licensed to the Company, are valid, subsisting and enforceable; (iii) no Intellectual Property Rights owned by the Company and, to the Company’s knowledge, no Intellectual Property Rights licensed to the Company, have been held invalid or unenforceable by a final decision of a court or other governmental agency of competent jurisdiction which is unappealable or unappealed within the time allowed for appeal; (iv) all Intellectual Property Rights owned by the Company are owned free and clear of all liens and encumbrances, except such non-exclusive rights and licenses as are granted to third parties (including CROs and other vendors) in the</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4"/>
          </w:cols>
          <w:pgMar w:left="876" w:top="270" w:right="459" w:bottom="1440" w:gutter="0" w:footer="0" w:header="0"/>
        </w:sectPr>
      </w:pPr>
    </w:p>
    <w:bookmarkStart w:id="14" w:name="page15"/>
    <w:bookmarkEnd w:id="1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ordinary course of business; (v) to the Company’s knowledge, there are no defects in any of the patents or patent applications within the Intellectual Property Rights owned by and exclusively licensed to the Company; (vi) there is no pending, or to the Company’s knowledge, threatened (in writing) action, suit, proceeding or claim by others, and the Company has not received any written notice, (A) challenging the Company’s rights in or to any Intellectual Property Rights, (B) challenging the validity, scope or enforceability of any Intellectual Property Rights owned by or exclusively licensed to the Company, or (C) alleging any infringement, misappropriation or other violation by the Company of any Intellectual Property Rights of others, and in each case, the Company is unaware of any facts which the Company reasonably believes would form a reasonable basis for any such action, suit, proceeding or claim; (vii) to the Company’s knowledge, there is no infringement, misappropriation or other violation, and there has been no infringement, misappropriation or other violation, by third parties of any of the Company’s Intellectual Property Rights, whether owned by, or licensed to, the Company; (viii) to the Company’s knowledge, the Company and the conduct of its business does not infringe, misappropriate or otherwise violate, and has not infringed, misappropriated or otherwise violated, any Intellectual Property Rights of others; (ix) the Company has taken reasonable steps necessary to secure its interests in the Intellectual Property Rights by requiring the execution of appropriate confidentiality and invention assignment agreements from the Company’s current and former employees or contractors engaged in or formerly engaged in the development of Intellectual Property Rights for or on behalf of the Company, and to the Company’s knowledge no such agreement has been breached or violated; and (x) the Company uses, and have used, commercially reasonable efforts in accordance with customary industry practice to appropriately maintain the confidentiality of all confidential information of the Company and all information intended by the Company to be maintained as a trade secret and no such information has been disclosed other than pursuant to written confidentiality agreements.</w:t>
      </w:r>
    </w:p>
    <w:p>
      <w:pPr>
        <w:spacing w:after="0" w:line="85" w:lineRule="exact"/>
        <w:rPr>
          <w:sz w:val="20"/>
          <w:szCs w:val="20"/>
          <w:color w:val="auto"/>
        </w:rPr>
      </w:pPr>
    </w:p>
    <w:p>
      <w:pPr>
        <w:ind w:right="20" w:firstLine="419"/>
        <w:spacing w:after="0" w:line="253"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would not, singly or in the aggregate, reasonably be expected to have a material adverse effect on the Company, and except as disclosed in the Registration Statement, the Time of Sale Prospectus and the Prospectus, the Company has complied and is presently in compliance with all of its internal and external privacy policies, its privacy- and data protection-related contractual obligations, applicable laws, binding industry standards, statutes, binding rules, regulations, judgments and orders of any court or arbitrator or other governmental or regulatory authority, and any other legal obligations, in each case, relating to the collection, use, transfer, import, export, storage, protection, security, disposal, disclosure and other processing by or on behalf of the Company of personal, personally identifiable, household (in the case of household data, to the extent “Personal Information” under the California Consumer Privacy Act), sensitive or regulated information or data (“</w:t>
      </w:r>
      <w:r>
        <w:rPr>
          <w:rFonts w:ascii="Times New Roman" w:cs="Times New Roman" w:eastAsia="Times New Roman" w:hAnsi="Times New Roman"/>
          <w:sz w:val="18"/>
          <w:szCs w:val="18"/>
          <w:b w:val="1"/>
          <w:bCs w:val="1"/>
          <w:color w:val="auto"/>
        </w:rPr>
        <w:t>Data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and such information and data,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(ii) the Company has not received any written notification of or written complaint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and is unaware of any other facts that the Company reasonably believes would indicate, its non-compliance with any Data Security Obligation; and (iii) there is no action, suit, proceeding or claim by or before any court or governmental agency, authority or body pending or, to the Company’s knowledge, threatened in writing against the Company alleging non-compliance with any Data Security Obligation.</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5" w:name="page16"/>
    <w:bookmarkEnd w:id="15"/>
    <w:p>
      <w:pPr>
        <w:ind w:firstLine="419"/>
        <w:spacing w:after="0" w:line="253"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singly or in the aggregate, reasonably be expected to have a material adverse effect on the Company (i) the Company has established, implemented and maintain technical and organizational measures reasonably designed to protect its information technology systems, assets, equipment, computers, systems, websites, networks, hardware, and associated software, applications and databases used in connection with the operation of the Company’s business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and Data; (ii) the Company has used reasonable efforts to implement, establish and maintain, and have established, implemented and maintained, and complied with, reasonable information technology, information security, cybersecurity and data protection controls, policies and procedures designed to maintain and protect the integrity, redundancy and security of all IT Systems and Data and to protect against and prevent security breaches and incidents resulting in destruction, loss, unauthorized distribution, use, access, disablement, misappropriation or modification, outages, or other compromise or misuse of any IT Systems or Data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(iii) to the knowledge of the Company, there has been no such Breach, and the Company has not been notified in writing of and has no knowledge of any event or condition that would reasonably be expected to result in, any such Breach; and (iv) the IT Systems are adequate in capacity and operation for, and operate and perform in all material respects as required in connection with the operation of the business of the Company and, to the knowledge of the Company, are free and clear of all bugs, errors, defects, Trojan horses, time bombs, malware and other corruptants or malicious code.</w:t>
      </w:r>
    </w:p>
    <w:p>
      <w:pPr>
        <w:spacing w:after="0" w:line="79" w:lineRule="exact"/>
        <w:rPr>
          <w:rFonts w:ascii="Times New Roman" w:cs="Times New Roman" w:eastAsia="Times New Roman" w:hAnsi="Times New Roman"/>
          <w:sz w:val="18"/>
          <w:szCs w:val="18"/>
          <w:color w:val="auto"/>
        </w:rPr>
      </w:pPr>
    </w:p>
    <w:p>
      <w:pPr>
        <w:ind w:right="60" w:firstLine="419"/>
        <w:spacing w:after="0" w:line="266" w:lineRule="auto"/>
        <w:tabs>
          <w:tab w:leader="none" w:pos="6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exists, or, to the knowledge of the Company, is imminent; and the Company is not aware of any existing, threatened or imminent labor disturbance by the employees of any of its principal suppliers, manufacturers or contractors that could, singly or in the aggregate, reasonably be expected to have a material adverse effect on the Company.</w:t>
      </w:r>
    </w:p>
    <w:p>
      <w:pPr>
        <w:spacing w:after="0" w:line="68" w:lineRule="exact"/>
        <w:rPr>
          <w:sz w:val="20"/>
          <w:szCs w:val="20"/>
          <w:color w:val="auto"/>
        </w:rPr>
      </w:pPr>
    </w:p>
    <w:p>
      <w:pPr>
        <w:ind w:right="160" w:firstLine="419"/>
        <w:spacing w:after="0" w:line="258" w:lineRule="auto"/>
        <w:tabs>
          <w:tab w:leader="none" w:pos="7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insured by insurers of recognized financial responsibility against such losses and risks and in such amounts as in the Company’s reasonable judgment are prudent and customary in the businesses in which they are engaged; the Company has not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have a material adverse effect on the Company.</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6" w:name="page17"/>
    <w:bookmarkEnd w:id="16"/>
    <w:p>
      <w:pPr>
        <w:ind w:firstLine="419"/>
        <w:spacing w:after="0" w:line="254" w:lineRule="auto"/>
        <w:tabs>
          <w:tab w:leader="none" w:pos="7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financial statements included or incorporated by reference in each of the Registration Statement, the Time of Sale Prospectus and the Prospectus, together with the related schedules and notes thereto, comply as to form in all material respects with the applicable requirements of the Securities Act and present fairly in all material respects the financial position of the Company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covered thereby except for any normal year-end adjustments in the Company’s quarterly financial statements. The other financial information included or incorporated by reference in each of the Registration Statement, the Time of Sale Prospectus and the Prospectus has been derived from the accounting records of the Company and presents fairly in all material respects the information shown thereby.</w:t>
      </w:r>
    </w:p>
    <w:p>
      <w:pPr>
        <w:spacing w:after="0" w:line="83" w:lineRule="exact"/>
        <w:rPr>
          <w:rFonts w:ascii="Times New Roman" w:cs="Times New Roman" w:eastAsia="Times New Roman" w:hAnsi="Times New Roman"/>
          <w:sz w:val="18"/>
          <w:szCs w:val="18"/>
          <w:color w:val="auto"/>
        </w:rPr>
      </w:pPr>
    </w:p>
    <w:p>
      <w:pPr>
        <w:ind w:right="60" w:firstLine="419"/>
        <w:spacing w:after="0" w:line="261" w:lineRule="auto"/>
        <w:tabs>
          <w:tab w:leader="none" w:pos="7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statistical, industry-related and market-related data included or incorporated by reference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 and, to the extent required, the Company has obtained the written consent to the use of such data from such sources.</w:t>
      </w:r>
    </w:p>
    <w:p>
      <w:pPr>
        <w:spacing w:after="0" w:line="71" w:lineRule="exact"/>
        <w:rPr>
          <w:rFonts w:ascii="Times New Roman" w:cs="Times New Roman" w:eastAsia="Times New Roman" w:hAnsi="Times New Roman"/>
          <w:sz w:val="18"/>
          <w:szCs w:val="18"/>
          <w:color w:val="auto"/>
        </w:rPr>
      </w:pPr>
    </w:p>
    <w:p>
      <w:pPr>
        <w:ind w:right="260" w:firstLine="419"/>
        <w:spacing w:after="0" w:line="258" w:lineRule="auto"/>
        <w:tabs>
          <w:tab w:leader="none" w:pos="7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Deloitte &amp; Touche LLP, who has certified certain financial statements of the Company and delivered its report with respect to the audited financial statements and schedules filed with the Commission as part of the Registration Statement and included or incorporated by reference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75" w:lineRule="exact"/>
        <w:rPr>
          <w:rFonts w:ascii="Times New Roman" w:cs="Times New Roman" w:eastAsia="Times New Roman" w:hAnsi="Times New Roman"/>
          <w:sz w:val="18"/>
          <w:szCs w:val="18"/>
          <w:color w:val="auto"/>
        </w:rPr>
      </w:pPr>
    </w:p>
    <w:p>
      <w:pPr>
        <w:ind w:right="120" w:firstLine="419"/>
        <w:spacing w:after="0" w:line="254" w:lineRule="auto"/>
        <w:tabs>
          <w:tab w:leader="none" w:pos="7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17" w:name="page18"/>
    <w:bookmarkEnd w:id="17"/>
    <w:p>
      <w:pPr>
        <w:ind w:right="180" w:firstLine="419"/>
        <w:spacing w:after="0" w:line="261" w:lineRule="auto"/>
        <w:tabs>
          <w:tab w:leader="none" w:pos="7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described in the Registration Statement or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71" w:lineRule="exact"/>
        <w:rPr>
          <w:rFonts w:ascii="Times New Roman" w:cs="Times New Roman" w:eastAsia="Times New Roman" w:hAnsi="Times New Roman"/>
          <w:sz w:val="18"/>
          <w:szCs w:val="18"/>
          <w:color w:val="auto"/>
        </w:rPr>
      </w:pPr>
    </w:p>
    <w:p>
      <w:pPr>
        <w:ind w:firstLine="419"/>
        <w:spacing w:after="0" w:line="254" w:lineRule="auto"/>
        <w:tabs>
          <w:tab w:leader="none" w:pos="7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United States federal, state, local and foreign tax returns required to be filed through the date of this Agreement or have requested extensions thereof (except where the failure to file would not, singly or in the aggregate, reasonably be expected to have a material adverse effect on the Company) and has paid all taxes required to be paid thereon (except for cases in which the failure to file or pay would not, singly or in the aggregate, reasonably be expected to have a material adverse effect on the Company, or, except as currently being contested in good faith and by appropriate proceedings and for which reserves required by GAAP have been created and maintained in the financial statements of the Company), and no tax deficiency has been determined adversely to the Company which, singly or in the aggregate, has had (nor does the Company have any notice or knowledge of any tax deficiency which could reasonably be expected to be determined adversely to the Company and which could reasonably be expected to have) a material adverse effect on the Company.</w:t>
      </w:r>
    </w:p>
    <w:p>
      <w:pPr>
        <w:spacing w:after="0" w:line="83" w:lineRule="exact"/>
        <w:rPr>
          <w:rFonts w:ascii="Times New Roman" w:cs="Times New Roman" w:eastAsia="Times New Roman" w:hAnsi="Times New Roman"/>
          <w:sz w:val="18"/>
          <w:szCs w:val="18"/>
          <w:color w:val="auto"/>
        </w:rPr>
      </w:pPr>
    </w:p>
    <w:p>
      <w:pPr>
        <w:ind w:right="60" w:firstLine="419"/>
        <w:spacing w:after="0" w:line="266" w:lineRule="auto"/>
        <w:tabs>
          <w:tab w:leader="none" w:pos="7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67" w:lineRule="exact"/>
        <w:rPr>
          <w:rFonts w:ascii="Times New Roman" w:cs="Times New Roman" w:eastAsia="Times New Roman" w:hAnsi="Times New Roman"/>
          <w:sz w:val="18"/>
          <w:szCs w:val="18"/>
          <w:color w:val="auto"/>
        </w:rPr>
      </w:pPr>
    </w:p>
    <w:p>
      <w:pPr>
        <w:ind w:right="220" w:firstLine="419"/>
        <w:spacing w:after="0" w:line="266" w:lineRule="auto"/>
        <w:tabs>
          <w:tab w:leader="none" w:pos="6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initial confidential submission of the Company’s Registration Statement on Form S-1 (File No. 333-257820) to the Commission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40" w:firstLine="419"/>
        <w:spacing w:after="0" w:line="256" w:lineRule="auto"/>
        <w:tabs>
          <w:tab w:leader="none" w:pos="6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not alone engaged in any Testing-the-Waters Communication with any person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other than those listed on Schedule III hereto.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Rule 163B of the Securities Act.</w:t>
      </w:r>
    </w:p>
    <w:p>
      <w:pPr>
        <w:spacing w:after="0" w:line="1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20"/>
          </w:cols>
          <w:pgMar w:left="880" w:top="270" w:right="499" w:bottom="1440" w:gutter="0" w:footer="0" w:header="0"/>
        </w:sectPr>
      </w:pPr>
    </w:p>
    <w:bookmarkStart w:id="18" w:name="page19"/>
    <w:bookmarkEnd w:id="18"/>
    <w:p>
      <w:pPr>
        <w:ind w:firstLine="419"/>
        <w:spacing w:after="0" w:line="254"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the time of each sale of the Securities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 by an Underwriter through or on behalf of the Representatives for use therein it being understood and agreed that the only such information furnished by the Underwriters through the Representatives consists of the information described as such in Section 8(b) below.</w:t>
      </w:r>
    </w:p>
    <w:p>
      <w:pPr>
        <w:spacing w:after="0" w:line="83" w:lineRule="exact"/>
        <w:rPr>
          <w:rFonts w:ascii="Times New Roman" w:cs="Times New Roman" w:eastAsia="Times New Roman" w:hAnsi="Times New Roman"/>
          <w:sz w:val="18"/>
          <w:szCs w:val="18"/>
          <w:color w:val="auto"/>
        </w:rPr>
      </w:pPr>
    </w:p>
    <w:p>
      <w:pPr>
        <w:ind w:right="200" w:firstLine="419"/>
        <w:spacing w:after="0" w:line="282" w:lineRule="auto"/>
        <w:tabs>
          <w:tab w:leader="none" w:pos="6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had any securities rated by any “nationally recognized statistical rating organization,” as such term is defined in Section 3(a)(62) of the Exchange Act.</w:t>
      </w:r>
    </w:p>
    <w:p>
      <w:pPr>
        <w:spacing w:after="0" w:line="53" w:lineRule="exact"/>
        <w:rPr>
          <w:rFonts w:ascii="Times New Roman" w:cs="Times New Roman" w:eastAsia="Times New Roman" w:hAnsi="Times New Roman"/>
          <w:sz w:val="18"/>
          <w:szCs w:val="18"/>
          <w:color w:val="auto"/>
        </w:rPr>
      </w:pPr>
    </w:p>
    <w:p>
      <w:pPr>
        <w:ind w:right="100" w:firstLine="419"/>
        <w:spacing w:after="0" w:line="266" w:lineRule="auto"/>
        <w:tabs>
          <w:tab w:leader="none" w:pos="8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operated at all times and is currently in compliance in all material respects with all applicable statutes, rules, regulations and policies of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and comparable U.S. and foreign regulatory authorities to which they are subject, including the European Medicines Agency (collectively, the “</w:t>
      </w:r>
      <w:r>
        <w:rPr>
          <w:rFonts w:ascii="Times New Roman" w:cs="Times New Roman" w:eastAsia="Times New Roman" w:hAnsi="Times New Roman"/>
          <w:sz w:val="18"/>
          <w:szCs w:val="18"/>
          <w:b w:val="1"/>
          <w:bCs w:val="1"/>
          <w:color w:val="auto"/>
        </w:rPr>
        <w:t>Regulatory Authorities</w:t>
      </w:r>
      <w:r>
        <w:rPr>
          <w:rFonts w:ascii="Times New Roman" w:cs="Times New Roman" w:eastAsia="Times New Roman" w:hAnsi="Times New Roman"/>
          <w:sz w:val="18"/>
          <w:szCs w:val="18"/>
          <w:color w:val="auto"/>
        </w:rPr>
        <w:t>”), including, without limitation:</w:t>
      </w:r>
    </w:p>
    <w:p>
      <w:pPr>
        <w:spacing w:after="0" w:line="6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and the regulations promulgated thereunder;</w:t>
      </w:r>
    </w:p>
    <w:p>
      <w:pPr>
        <w:spacing w:after="0" w:line="117" w:lineRule="exact"/>
        <w:rPr>
          <w:rFonts w:ascii="Times New Roman" w:cs="Times New Roman" w:eastAsia="Times New Roman" w:hAnsi="Times New Roman"/>
          <w:sz w:val="18"/>
          <w:szCs w:val="18"/>
          <w:color w:val="auto"/>
        </w:rPr>
      </w:pPr>
    </w:p>
    <w:p>
      <w:pPr>
        <w:ind w:left="540" w:right="80" w:firstLine="408"/>
        <w:spacing w:after="0" w:line="253" w:lineRule="auto"/>
        <w:tabs>
          <w:tab w:leader="none" w:pos="120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federal, state, local and foreign health care laws, including, without limitation, the U.S. Anti-Kickback Statute (42 U.S.C. Section 1320a-7b(b)), the Civil Monetary Penalties Law (42 U.S.C. § 1320a-7a), the U.S. Civil False Claims Act (31 U.S.C. Section 3729 et seq.), all applicable federal, state, local and all foreign criminal laws relating to health care fraud and abuse, including but not limited to the U.S. False Statements Law (42 U.S.C. Section 1320a-7b(a)), 18 U.S.C. Sections 286 and 287, and the health care fraud criminal provisions under the U.S. Health Insurance Portability and Accountability Act of 1996 (42 U.S.C. Section 1320d et seq.), the Health Information Technology for Economic and Clinical Health Act (42 U.S.C. Section 17921 et seq.), the exclusion law (42</w:t>
      </w:r>
    </w:p>
    <w:p>
      <w:pPr>
        <w:spacing w:after="0" w:line="5" w:lineRule="exact"/>
        <w:rPr>
          <w:rFonts w:ascii="Times New Roman" w:cs="Times New Roman" w:eastAsia="Times New Roman" w:hAnsi="Times New Roman"/>
          <w:sz w:val="18"/>
          <w:szCs w:val="18"/>
          <w:color w:val="auto"/>
        </w:rPr>
      </w:pPr>
    </w:p>
    <w:p>
      <w:pPr>
        <w:ind w:left="54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U.S.C. Section 1320a-7), the statutes, regulations and directives of applicable government funded or sponsored healthcare programs, and the regulations promulgated pursuant to such statutes;</w:t>
      </w:r>
    </w:p>
    <w:p>
      <w:pPr>
        <w:spacing w:after="0" w:line="1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880" w:top="270" w:right="479" w:bottom="1440" w:gutter="0" w:footer="0" w:header="0"/>
        </w:sectPr>
      </w:pPr>
    </w:p>
    <w:bookmarkStart w:id="19" w:name="page20"/>
    <w:bookmarkEnd w:id="19"/>
    <w:p>
      <w:pPr>
        <w:ind w:left="540" w:right="320" w:firstLine="408"/>
        <w:spacing w:after="0" w:line="282" w:lineRule="auto"/>
        <w:tabs>
          <w:tab w:leader="none" w:pos="125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Patient Protection and Affordable Care Act of 2010, as amended by the Health Care and Education Reconciliation Act of 2010, the regulations promulgated thereunder;</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Controlled Substances Act (21 U.S.C. Section 801 et seq.);</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Good Manufacturing Practices and Good Laboratory Practices;</w:t>
      </w:r>
    </w:p>
    <w:p>
      <w:pPr>
        <w:spacing w:after="0" w:line="117" w:lineRule="exact"/>
        <w:rPr>
          <w:rFonts w:ascii="Times New Roman" w:cs="Times New Roman" w:eastAsia="Times New Roman" w:hAnsi="Times New Roman"/>
          <w:sz w:val="18"/>
          <w:szCs w:val="18"/>
          <w:color w:val="auto"/>
        </w:rPr>
      </w:pPr>
    </w:p>
    <w:p>
      <w:pPr>
        <w:ind w:left="540" w:right="540" w:firstLine="408"/>
        <w:spacing w:after="0" w:line="282" w:lineRule="auto"/>
        <w:tabs>
          <w:tab w:leader="none" w:pos="124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licensure, quality, safety and accreditation requirements under applicable federal, state, local or foreign laws or regulatory bodies; and</w:t>
      </w:r>
    </w:p>
    <w:p>
      <w:pPr>
        <w:spacing w:after="0" w:line="53" w:lineRule="exact"/>
        <w:rPr>
          <w:rFonts w:ascii="Times New Roman" w:cs="Times New Roman" w:eastAsia="Times New Roman" w:hAnsi="Times New Roman"/>
          <w:sz w:val="18"/>
          <w:szCs w:val="18"/>
          <w:color w:val="auto"/>
        </w:rPr>
      </w:pPr>
    </w:p>
    <w:p>
      <w:pPr>
        <w:ind w:left="540" w:right="360" w:firstLine="408"/>
        <w:spacing w:after="0" w:line="257"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local, state, federal, national, supranational and foreign laws, relating to the regulation of the Company and the ownership, testing, development, manufacture, packaging, processing, use, distribution, marketing, labeling, promotion, sale, offer for sale, storage, import, export or disposal of any product under development, manufactured or distributed by the Company; (clauses</w:t>
      </w:r>
    </w:p>
    <w:p>
      <w:pPr>
        <w:spacing w:after="0" w:line="1" w:lineRule="exact"/>
        <w:rPr>
          <w:rFonts w:ascii="Times New Roman" w:cs="Times New Roman" w:eastAsia="Times New Roman" w:hAnsi="Times New Roman"/>
          <w:sz w:val="18"/>
          <w:szCs w:val="18"/>
          <w:color w:val="auto"/>
        </w:rPr>
      </w:pPr>
    </w:p>
    <w:p>
      <w:pPr>
        <w:ind w:left="760" w:hanging="213"/>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(vii), collectively,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firstLine="419"/>
        <w:spacing w:after="0" w:line="252" w:lineRule="auto"/>
        <w:tabs>
          <w:tab w:leader="none" w:pos="7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studies, tests and preclinical and clinical trials conducted by or on behalf of or sponsored by the Company or in which the Company has participated, were, and if still pending are, being conducted in all material respects in accordance with legally required standard medical and experimental protocols, procedures and controls pursuant to accepted professional scientific research standards and procedures and all applicable Health Care Laws; (ii) the descriptions of the results of such studies, tests and trials contained in the Registration Statement, the Time of Sale Prospectus or the Prospectus are accurate and complete in all material respects and fairly present the data derived from such trials; (iii) the Company has no knowledge of any other studies not described in the Registration Statement, the Time of Sale Prospectus and the Prospectus, the results of which the Company reasonably believes call into question the results described or referred to in the Registration Statement, the Time of Sale Prospectus and the Prospectus, except where such question would not, singly or in the aggregate, reasonably be expected to have a material adverse effect on the Company; (iv) the Company has provided the Representatives with all substantive written notices, correspondence and communications provided to the Company from the Regulatory Authorities; and (v) the Company has not received any written notices, correspondence or other communications from any Regulatory Authority or any other governmental entity requiring or threatening the termination, material modification or suspension of any studies or trials that are described in the Registration Statement, the Time of Sale Prospectus and the Prospectus or the results of which are referred to in the Registration Statement, the Time of Sale Prospectus and the Prospectus, and, to the Company’s knowledge, there are no reasonable grounds for the same.</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20" w:name="page21"/>
    <w:bookmarkEnd w:id="20"/>
    <w:p>
      <w:pPr>
        <w:ind w:left="4" w:firstLine="419"/>
        <w:spacing w:after="0" w:line="267" w:lineRule="auto"/>
        <w:tabs>
          <w:tab w:leader="none" w:pos="77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Except as would not, individually or in the aggregate, reasonably be expected to have a material adverse effect on the Company, the Company has filed, obtained,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timely, complete, accurate and not misleading on the date filed (or were corrected or supplemented by a subsequent submission); (ii) the Company has not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 any other Regulatory Authority or governmental entity, nor, to the Company’s knowledge, is any such claim, action, suit, proceeding, hearing, enforcement, investigation, arbitration or other action threatened; (iii) the Company is not a party to any corporate integrity agreements, monitoring agreements, consent decrees, settlement orders, or similar agreements with or imposed by any Regulatory Authority or other governmental entity; and</w:t>
      </w:r>
    </w:p>
    <w:p>
      <w:pPr>
        <w:spacing w:after="0" w:line="2" w:lineRule="exact"/>
        <w:rPr>
          <w:rFonts w:ascii="Times New Roman" w:cs="Times New Roman" w:eastAsia="Times New Roman" w:hAnsi="Times New Roman"/>
          <w:sz w:val="17"/>
          <w:szCs w:val="17"/>
          <w:color w:val="auto"/>
        </w:rPr>
      </w:pPr>
    </w:p>
    <w:p>
      <w:pPr>
        <w:jc w:val="both"/>
        <w:ind w:left="4" w:right="80" w:hanging="4"/>
        <w:spacing w:after="0" w:line="253" w:lineRule="auto"/>
        <w:tabs>
          <w:tab w:leader="none" w:pos="3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80" w:lineRule="exact"/>
        <w:rPr>
          <w:rFonts w:ascii="Times New Roman" w:cs="Times New Roman" w:eastAsia="Times New Roman" w:hAnsi="Times New Roman"/>
          <w:sz w:val="18"/>
          <w:szCs w:val="18"/>
          <w:color w:val="auto"/>
        </w:rPr>
      </w:pPr>
    </w:p>
    <w:p>
      <w:pPr>
        <w:ind w:left="4" w:right="360" w:firstLine="419"/>
        <w:spacing w:after="0" w:line="256" w:lineRule="auto"/>
        <w:tabs>
          <w:tab w:leader="none" w:pos="7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failed to file with the Regulatory Authorities any required filing, declaration, listing, registration, report or submission with respect to the Company’s product candidates that are described or referred to in the Time of Sale Prospectus; all such filings, declarations, listings, registrations, reports or submissions were in material compliance with applicable laws when filed, or amended or supplemented in material compliance with applicable laws; and no material deficiencies regarding compliance with applicable law have been asserted by any applicable regulatory authority with respect to any such filings, declarations, listings, registrations, reports or submissions, or amendments or supplements thereof.</w:t>
      </w:r>
    </w:p>
    <w:p>
      <w:pPr>
        <w:spacing w:after="0" w:line="79" w:lineRule="exact"/>
        <w:rPr>
          <w:rFonts w:ascii="Times New Roman" w:cs="Times New Roman" w:eastAsia="Times New Roman" w:hAnsi="Times New Roman"/>
          <w:sz w:val="18"/>
          <w:szCs w:val="18"/>
          <w:color w:val="auto"/>
        </w:rPr>
      </w:pPr>
    </w:p>
    <w:p>
      <w:pPr>
        <w:ind w:left="4" w:firstLine="419"/>
        <w:spacing w:after="0" w:line="258" w:lineRule="auto"/>
        <w:tabs>
          <w:tab w:leader="none" w:pos="7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possesses all certificates, authorizations and permits issued by the appropriate federal, state or foreign regulatory authorities necessary to conduct its business as currently conducted, including, without limitation, from the Regulatory Authorities, and the Company has not received any notice of proceedings relating to the revocation or material modification of any such certificate, authorization or permit which, singly or in the aggregate, if the subject of an unfavorable decision, ruling or finding, would reasonably be expected have a material adverse effect on the Company, except as described in the Time of Sale Prospectus.</w:t>
      </w:r>
    </w:p>
    <w:p>
      <w:pPr>
        <w:spacing w:after="0" w:line="116"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44"/>
          </w:cols>
          <w:pgMar w:left="876" w:top="270" w:right="479" w:bottom="1440" w:gutter="0" w:footer="0" w:header="0"/>
        </w:sectPr>
      </w:pPr>
    </w:p>
    <w:bookmarkStart w:id="21" w:name="page22"/>
    <w:bookmarkEnd w:id="21"/>
    <w:p>
      <w:pPr>
        <w:ind w:left="444" w:right="20" w:firstLine="419"/>
        <w:spacing w:after="0" w:line="253" w:lineRule="auto"/>
        <w:tabs>
          <w:tab w:leader="none" w:pos="1152"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individually or in the aggregate, reasonably be expected to have a material adverse effect on the Company, (i) each employee benefit plan, within the meaning of Section 3(3) of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that is sponsored, maintained, administered or contributed to by the Company has been maintained in compliance with its terms and the requirements of any applicable statutes, orders, rules and regulations, including but not limited to ERISA and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(ii) neither the Company nor any member of its “Controlled Group” (defined as any trade or business, whether or not incorporated, that would be regarded as a single employer with the Company under Section 414 of the Code) (x) has ever sponsored, maintained, contributed to or has had any obligation to contribute to, any employee benefit plan that is subject to Title IV of ERISA or any “multiemployer plan” as defined in Section 3(37) of ERISA or (y) has incurred, or reasonably expects to incur, any liability under Title IV of</w:t>
      </w: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ERISA.</w:t>
      </w:r>
    </w:p>
    <w:p>
      <w:pPr>
        <w:spacing w:after="0" w:line="204" w:lineRule="exact"/>
        <w:rPr>
          <w:rFonts w:ascii="Times New Roman" w:cs="Times New Roman" w:eastAsia="Times New Roman" w:hAnsi="Times New Roman"/>
          <w:sz w:val="18"/>
          <w:szCs w:val="18"/>
          <w:color w:val="auto"/>
        </w:rPr>
      </w:pPr>
    </w:p>
    <w:p>
      <w:pPr>
        <w:ind w:left="4" w:firstLine="436"/>
        <w:spacing w:after="0" w:line="258" w:lineRule="auto"/>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Agreements to Sell and Purchase. </w:t>
      </w:r>
      <w:r>
        <w:rPr>
          <w:rFonts w:ascii="Times New Roman" w:cs="Times New Roman" w:eastAsia="Times New Roman" w:hAnsi="Times New Roman"/>
          <w:sz w:val="18"/>
          <w:szCs w:val="18"/>
          <w:color w:val="auto"/>
        </w:rPr>
        <w:t>The Company hereby agrees to sell to the several Underwriters, and each Underwriter, upon the basis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and warranties herein contained, but subject to the terms and conditions hereinafter stated, agrees, severally and not jointly, to purchase from the Company the respective numbers of the Securities set forth in Schedule I hereto opposite its name. The purchase price per Share to be paid by the several Underwriters to the Company shall be $4.23 a share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and the purchase price per Pre-Funded Warrant to be paid by the several Underwriters to the Company will equal the Purchase Price minus $0.001 (the “</w:t>
      </w:r>
      <w:r>
        <w:rPr>
          <w:rFonts w:ascii="Times New Roman" w:cs="Times New Roman" w:eastAsia="Times New Roman" w:hAnsi="Times New Roman"/>
          <w:sz w:val="18"/>
          <w:szCs w:val="18"/>
          <w:b w:val="1"/>
          <w:bCs w:val="1"/>
          <w:color w:val="auto"/>
        </w:rPr>
        <w:t>Warrant Purchase Price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right="40" w:firstLine="436"/>
        <w:spacing w:after="0" w:line="271" w:lineRule="auto"/>
        <w:tabs>
          <w:tab w:leader="none" w:pos="62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Terms of Offering</w:t>
      </w:r>
      <w:r>
        <w:rPr>
          <w:rFonts w:ascii="Times New Roman" w:cs="Times New Roman" w:eastAsia="Times New Roman" w:hAnsi="Times New Roman"/>
          <w:sz w:val="17"/>
          <w:szCs w:val="17"/>
          <w:color w:val="auto"/>
        </w:rPr>
        <w:t>. The Company is advised by the Representatives that the Underwriters propose to make an offering of their respective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portions of the Securities as soon after the Registration Statement and this Agreement have become effective as in the Representatives’ judgment is advisable. The Company is further advised by the Representatives that (i) the Shares are to be offered initially at $4.50 a share (the “</w:t>
      </w:r>
      <w:r>
        <w:rPr>
          <w:rFonts w:ascii="Times New Roman" w:cs="Times New Roman" w:eastAsia="Times New Roman" w:hAnsi="Times New Roman"/>
          <w:sz w:val="17"/>
          <w:szCs w:val="17"/>
          <w:b w:val="1"/>
          <w:bCs w:val="1"/>
          <w:color w:val="auto"/>
        </w:rPr>
        <w:t>Offering Price</w:t>
      </w:r>
      <w:r>
        <w:rPr>
          <w:rFonts w:ascii="Times New Roman" w:cs="Times New Roman" w:eastAsia="Times New Roman" w:hAnsi="Times New Roman"/>
          <w:sz w:val="17"/>
          <w:szCs w:val="17"/>
          <w:color w:val="auto"/>
        </w:rPr>
        <w:t>”) and to certain dealers selected by the Representatives at a price that represents a concession not in excess of $0.162 a share under the Offering Price and</w:t>
      </w:r>
    </w:p>
    <w:p>
      <w:pPr>
        <w:spacing w:after="0" w:line="1" w:lineRule="exact"/>
        <w:rPr>
          <w:rFonts w:ascii="Times New Roman" w:cs="Times New Roman" w:eastAsia="Times New Roman" w:hAnsi="Times New Roman"/>
          <w:sz w:val="17"/>
          <w:szCs w:val="17"/>
          <w:color w:val="auto"/>
        </w:rPr>
      </w:pPr>
    </w:p>
    <w:p>
      <w:pPr>
        <w:ind w:left="4" w:right="260" w:hanging="4"/>
        <w:spacing w:after="0" w:line="255"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Pre-Funded Warrants are to be offered initially at $4.499 per warrant (the “</w:t>
      </w:r>
      <w:r>
        <w:rPr>
          <w:rFonts w:ascii="Times New Roman" w:cs="Times New Roman" w:eastAsia="Times New Roman" w:hAnsi="Times New Roman"/>
          <w:sz w:val="18"/>
          <w:szCs w:val="18"/>
          <w:b w:val="1"/>
          <w:bCs w:val="1"/>
          <w:color w:val="auto"/>
        </w:rPr>
        <w:t>Offering Price per Pre-Funded Warrant</w:t>
      </w:r>
      <w:r>
        <w:rPr>
          <w:rFonts w:ascii="Times New Roman" w:cs="Times New Roman" w:eastAsia="Times New Roman" w:hAnsi="Times New Roman"/>
          <w:sz w:val="18"/>
          <w:szCs w:val="18"/>
          <w:color w:val="auto"/>
        </w:rPr>
        <w:t>”) and to certain dealers selected by the Representatives at a price that represents a concession not in excess of $0.162 per warrant under the Offering Price per Pre-Funded Warrant.</w:t>
      </w:r>
    </w:p>
    <w:p>
      <w:pPr>
        <w:spacing w:after="0" w:line="186"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foregoing, the Company and the Representatives shall instruct purchasers of the Pre-Funded Warrants in the offering to make payment for the Pre-Funded Warrants on the Closing Date to the Company by wire transfer in immediately available funds to the account specified by the Company, in lieu of payment by the Underwriters for such Pre-Funded Warrants, and the Company shall deliver such Pre-Funded Warrants to such purchasers on the Closing Date in definitive form against such payment, in lieu of the Company’s obligation to deliver such Pre-Funded Warrants to the Underwriters; provided that the Company shall promptly (but in no event later than the Closing Date) pay $0.27 per such Pre-Funded Warrant to the Underwriters by wire transfer in immediately available funds to the account specified by the Representatives.</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70" w:right="479" w:bottom="1440" w:gutter="0" w:footer="0" w:header="0"/>
        </w:sectPr>
      </w:pPr>
    </w:p>
    <w:bookmarkStart w:id="22" w:name="page23"/>
    <w:bookmarkEnd w:id="22"/>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purchasers of the Pre-Funded Warrants in the offering fail to make payment to the Company for all or part of the Pre-Funded Warrants on the Closing Date, the Representatives may elect, by written notice to the Company, to receive shares of Common Stock in lieu of all or a portion of such Pre-Funded Warrants to be delivered to the Underwriters under this Agreement.</w:t>
      </w:r>
    </w:p>
    <w:p>
      <w:pPr>
        <w:spacing w:after="0" w:line="174" w:lineRule="exact"/>
        <w:rPr>
          <w:sz w:val="20"/>
          <w:szCs w:val="20"/>
          <w:color w:val="auto"/>
        </w:rPr>
      </w:pPr>
    </w:p>
    <w:p>
      <w:pPr>
        <w:ind w:firstLine="436"/>
        <w:spacing w:after="0" w:line="261" w:lineRule="auto"/>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and Delivery. </w:t>
      </w:r>
      <w:r>
        <w:rPr>
          <w:rFonts w:ascii="Times New Roman" w:cs="Times New Roman" w:eastAsia="Times New Roman" w:hAnsi="Times New Roman"/>
          <w:sz w:val="18"/>
          <w:szCs w:val="18"/>
          <w:color w:val="auto"/>
        </w:rPr>
        <w:t>Payment for the Securities shall be made to the Company in Federal or other funds immediately available in New York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City against delivery of such Securities for the respective accounts of the several Underwriters at 10:00 a.m., New York City time, on February 12, 2024, or at such other time on the same or such other date, not later than February 19, 2024, as shall be designated in writing by the Representatives. The time and date of such payment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Securities shall be registered in such names and in such denominations as the Representatives shall request, in writing, not later than one full business day prior to the Closing Date. The Securities shall be delivered to the Representatives on the Closing Date for the respective accounts of the several Underwriters, with any transfer taxes payable in connection with the transfer of the Securities to the Underwriters duly paid, against payment of the Purchase Price and Warrant Purchase Price therefor. The Pre-Funded Warrants will be made available for inspection by the Representatives on the business day prior to the Closing Date.</w:t>
      </w:r>
    </w:p>
    <w:p>
      <w:pPr>
        <w:spacing w:after="0" w:line="181" w:lineRule="exact"/>
        <w:rPr>
          <w:sz w:val="20"/>
          <w:szCs w:val="20"/>
          <w:color w:val="auto"/>
        </w:rPr>
      </w:pPr>
    </w:p>
    <w:p>
      <w:pPr>
        <w:ind w:right="280" w:firstLine="436"/>
        <w:spacing w:after="0" w:line="267" w:lineRule="auto"/>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obligations of the Company to sell the Securities to the Underwriters and the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the Underwriters to purchase and pay for the Securities on the Closing Date are subject to the condition that the Registration Statement shall have become effective not later than 5:00 p.m. (New York City time) on the date hereof.</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several obligations of the Underwriters are subject to the following further conditions:</w:t>
      </w:r>
    </w:p>
    <w:p>
      <w:pPr>
        <w:spacing w:after="0" w:line="117" w:lineRule="exact"/>
        <w:rPr>
          <w:sz w:val="20"/>
          <w:szCs w:val="20"/>
          <w:color w:val="auto"/>
        </w:rPr>
      </w:pPr>
    </w:p>
    <w:p>
      <w:pPr>
        <w:ind w:left="1100" w:hanging="241"/>
        <w:spacing w:after="0"/>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w:t>
      </w:r>
    </w:p>
    <w:p>
      <w:pPr>
        <w:spacing w:after="0" w:line="117" w:lineRule="exact"/>
        <w:rPr>
          <w:rFonts w:ascii="Times New Roman" w:cs="Times New Roman" w:eastAsia="Times New Roman" w:hAnsi="Times New Roman"/>
          <w:sz w:val="18"/>
          <w:szCs w:val="18"/>
          <w:color w:val="auto"/>
        </w:rPr>
      </w:pPr>
    </w:p>
    <w:p>
      <w:pPr>
        <w:ind w:left="980" w:right="100" w:firstLine="408"/>
        <w:spacing w:after="0" w:line="266" w:lineRule="auto"/>
        <w:tabs>
          <w:tab w:leader="none" w:pos="15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effectiveness of the Registration Statement shall be in effect, and, to the Company’s knowledge, no proceeding for such purpose or pursuant to Section 8A under the Securities Act shall be pending before or threatened by the Commission; and</w:t>
      </w:r>
    </w:p>
    <w:p>
      <w:pPr>
        <w:spacing w:after="0" w:line="67" w:lineRule="exact"/>
        <w:rPr>
          <w:rFonts w:ascii="Times New Roman" w:cs="Times New Roman" w:eastAsia="Times New Roman" w:hAnsi="Times New Roman"/>
          <w:sz w:val="18"/>
          <w:szCs w:val="18"/>
          <w:color w:val="auto"/>
        </w:rPr>
      </w:pPr>
    </w:p>
    <w:p>
      <w:pPr>
        <w:ind w:left="980" w:right="480" w:firstLine="408"/>
        <w:spacing w:after="0" w:line="261" w:lineRule="auto"/>
        <w:tabs>
          <w:tab w:leader="none" w:pos="164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development involving a prospective change, in the condition, financial or otherwise, or in the earnings, business or operations of the Company, from that set forth in the Time of Sale Prospectus that, in the Representatives’ judgment, is material and adverse and that makes it, in the Representatives’ judgment, impracticable to market the Securities on the terms and in the manner contemplated in the Time of Sale Prospectus.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23" w:name="page24"/>
    <w:bookmarkEnd w:id="23"/>
    <w:p>
      <w:pPr>
        <w:ind w:left="440" w:firstLine="419"/>
        <w:spacing w:after="0" w:line="261" w:lineRule="auto"/>
        <w:tabs>
          <w:tab w:leader="none" w:pos="11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shall have received on the Closing Date a certificate, dated the Closing Date and signed on behalf of the Company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officer signing and delivering such certificate may rely upon his or her knowledge as to proceedings threatened.</w:t>
      </w:r>
    </w:p>
    <w:p>
      <w:pPr>
        <w:spacing w:after="0" w:line="117" w:lineRule="exact"/>
        <w:rPr>
          <w:sz w:val="20"/>
          <w:szCs w:val="20"/>
          <w:color w:val="auto"/>
        </w:rPr>
      </w:pPr>
    </w:p>
    <w:p>
      <w:pPr>
        <w:ind w:left="440" w:firstLine="419"/>
        <w:spacing w:after="0" w:line="261" w:lineRule="auto"/>
        <w:tabs>
          <w:tab w:leader="none" w:pos="11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Wilson Sonsini Goodrich &amp; Rosati Professional Corporation (“</w:t>
      </w:r>
      <w:r>
        <w:rPr>
          <w:rFonts w:ascii="Times New Roman" w:cs="Times New Roman" w:eastAsia="Times New Roman" w:hAnsi="Times New Roman"/>
          <w:sz w:val="18"/>
          <w:szCs w:val="18"/>
          <w:b w:val="1"/>
          <w:bCs w:val="1"/>
          <w:color w:val="auto"/>
        </w:rPr>
        <w:t>WSGR</w:t>
      </w:r>
      <w:r>
        <w:rPr>
          <w:rFonts w:ascii="Times New Roman" w:cs="Times New Roman" w:eastAsia="Times New Roman" w:hAnsi="Times New Roman"/>
          <w:sz w:val="18"/>
          <w:szCs w:val="18"/>
          <w:color w:val="auto"/>
        </w:rPr>
        <w:t>”), outside counsel for the Company, dated the Closing Date, in form and substance reasonably satisfactory to the Representatives. The Underwriters shall have received on the Closing Date an opinion of WSGR, outside intellectual property counsel for the Company dated the Closing Date, in form and substance reasonably satisfactory to the Representatives.</w:t>
      </w:r>
    </w:p>
    <w:p>
      <w:pPr>
        <w:spacing w:after="0" w:line="71"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Cooley LLP, outside intellectual property counsel for the Company,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Davis Polk &amp; Wardwell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Davis Polk</w:t>
      </w:r>
      <w:r>
        <w:rPr>
          <w:rFonts w:ascii="Times New Roman" w:cs="Times New Roman" w:eastAsia="Times New Roman" w:hAnsi="Times New Roman"/>
          <w:sz w:val="18"/>
          <w:szCs w:val="18"/>
          <w:color w:val="auto"/>
        </w:rPr>
        <w:t>”), counsel for the Underwriters, dated the Closing Date, in form and substance reasonably satisfactory to the Representatives.</w:t>
      </w:r>
    </w:p>
    <w:p>
      <w:pPr>
        <w:spacing w:after="0" w:line="20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negative assurance letters to be delivered pursuant to Sections 5(c) and 5(e) above, WSGR and Davis Polk may state that their opinions and beliefs are based upon their participation in the preparation of the Registration Statement, the Time of Sale Prospectus and the Prospectus and any amendments or supplements thereto (other than the documents incorporated by reference) and upon review and discussion of the contents thereof (including documents incorporated by reference), but are without independent check or verification, except as specified.</w:t>
      </w:r>
    </w:p>
    <w:p>
      <w:pPr>
        <w:spacing w:after="0" w:line="180"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opinions of WSGR and Cooley LLP described in Section 5(c) and 5(d), respectively, above shall be rendered to the Underwriters at the request of the Company and shall so state therein.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24" w:name="page25"/>
    <w:bookmarkEnd w:id="24"/>
    <w:p>
      <w:pPr>
        <w:ind w:left="4" w:right="80" w:firstLine="419"/>
        <w:spacing w:after="0" w:line="258" w:lineRule="auto"/>
        <w:tabs>
          <w:tab w:leader="none" w:pos="65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Underwriters shall have received, on each of the date hereof and the Closing Date, a letter dated the date hereof or the Closing Date, as the case may be, in form and substance reasonably satisfactory to the Underwriters, from Deloitte &amp; Touche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Closing Date shall use a “cut-off date” not earlier than the date hereof.</w:t>
      </w:r>
    </w:p>
    <w:p>
      <w:pPr>
        <w:spacing w:after="0" w:line="75" w:lineRule="exact"/>
        <w:rPr>
          <w:rFonts w:ascii="Times New Roman" w:cs="Times New Roman" w:eastAsia="Times New Roman" w:hAnsi="Times New Roman"/>
          <w:sz w:val="18"/>
          <w:szCs w:val="18"/>
          <w:color w:val="auto"/>
        </w:rPr>
      </w:pPr>
    </w:p>
    <w:p>
      <w:pPr>
        <w:ind w:left="4" w:right="240" w:firstLine="419"/>
        <w:spacing w:after="0" w:line="261" w:lineRule="auto"/>
        <w:tabs>
          <w:tab w:leader="none" w:pos="68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each substantially in the form of Exhibit A hereto, between the Representatives and certain shareholders, officers and directors of the Company relating to restrictions on sales and certain other dispositions of shares of Common Stock or certain other securities, delivered to the Representatives on or before the date hereof (the “</w:t>
      </w:r>
      <w:r>
        <w:rPr>
          <w:rFonts w:ascii="Times New Roman" w:cs="Times New Roman" w:eastAsia="Times New Roman" w:hAnsi="Times New Roman"/>
          <w:sz w:val="18"/>
          <w:szCs w:val="18"/>
          <w:b w:val="1"/>
          <w:bCs w:val="1"/>
          <w:color w:val="auto"/>
        </w:rPr>
        <w:t>Lock-Up Agreements</w:t>
      </w:r>
      <w:r>
        <w:rPr>
          <w:rFonts w:ascii="Times New Roman" w:cs="Times New Roman" w:eastAsia="Times New Roman" w:hAnsi="Times New Roman"/>
          <w:sz w:val="18"/>
          <w:szCs w:val="18"/>
          <w:color w:val="auto"/>
        </w:rPr>
        <w:t>”), shall be in full force and effect on the Closing Date.</w:t>
      </w:r>
    </w:p>
    <w:p>
      <w:pPr>
        <w:spacing w:after="0" w:line="17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9" w:lineRule="exact"/>
        <w:rPr>
          <w:rFonts w:ascii="Times New Roman" w:cs="Times New Roman" w:eastAsia="Times New Roman" w:hAnsi="Times New Roman"/>
          <w:sz w:val="18"/>
          <w:szCs w:val="18"/>
          <w:color w:val="auto"/>
        </w:rPr>
      </w:pPr>
    </w:p>
    <w:p>
      <w:pPr>
        <w:ind w:left="4" w:firstLine="419"/>
        <w:spacing w:after="0" w:line="256" w:lineRule="auto"/>
        <w:tabs>
          <w:tab w:leader="none" w:pos="6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without charge, five signed copies of the Registration Statement (including exhibits thereto and documents incorporated by reference) and for delivery to each other Underwriter a conformed copy of the Registration Statement (without exhibits thereto and documents incorporated by reference)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and documents incorporated by reference therein and any supplements and amendments thereto or to the Registration Statement as the Representatives may reasonably request.</w:t>
      </w:r>
    </w:p>
    <w:p>
      <w:pPr>
        <w:spacing w:after="0" w:line="79" w:lineRule="exact"/>
        <w:rPr>
          <w:rFonts w:ascii="Times New Roman" w:cs="Times New Roman" w:eastAsia="Times New Roman" w:hAnsi="Times New Roman"/>
          <w:sz w:val="18"/>
          <w:szCs w:val="18"/>
          <w:color w:val="auto"/>
        </w:rPr>
      </w:pPr>
    </w:p>
    <w:p>
      <w:pPr>
        <w:ind w:left="4" w:right="60" w:firstLine="419"/>
        <w:spacing w:after="0" w:line="261" w:lineRule="auto"/>
        <w:tabs>
          <w:tab w:leader="none" w:pos="68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objects, and to file with the Commission within the applicable period specified in Rule 424(b) under the Securities Act any prospectus required to be filed pursuant to such Rule.</w:t>
      </w:r>
    </w:p>
    <w:p>
      <w:pPr>
        <w:spacing w:after="0" w:line="71"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6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objects.</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4"/>
          </w:cols>
          <w:pgMar w:left="876" w:top="270" w:right="459" w:bottom="1440" w:gutter="0" w:footer="0" w:header="0"/>
        </w:sectPr>
      </w:pPr>
    </w:p>
    <w:bookmarkStart w:id="25" w:name="page26"/>
    <w:bookmarkEnd w:id="25"/>
    <w:p>
      <w:pPr>
        <w:ind w:right="120" w:firstLine="419"/>
        <w:spacing w:after="0" w:line="266"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67" w:lineRule="exact"/>
        <w:rPr>
          <w:rFonts w:ascii="Times New Roman" w:cs="Times New Roman" w:eastAsia="Times New Roman" w:hAnsi="Times New Roman"/>
          <w:sz w:val="18"/>
          <w:szCs w:val="18"/>
          <w:color w:val="auto"/>
        </w:rPr>
      </w:pPr>
    </w:p>
    <w:p>
      <w:pPr>
        <w:ind w:right="80" w:firstLine="419"/>
        <w:spacing w:after="0" w:line="253" w:lineRule="auto"/>
        <w:tabs>
          <w:tab w:leader="none" w:pos="6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86" w:lineRule="exact"/>
        <w:rPr>
          <w:rFonts w:ascii="Times New Roman" w:cs="Times New Roman" w:eastAsia="Times New Roman" w:hAnsi="Times New Roman"/>
          <w:sz w:val="18"/>
          <w:szCs w:val="18"/>
          <w:color w:val="auto"/>
        </w:rPr>
      </w:pPr>
    </w:p>
    <w:p>
      <w:pPr>
        <w:ind w:firstLine="419"/>
        <w:spacing w:after="0" w:line="253"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offering of the Securities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Securities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40"/>
          </w:cols>
          <w:pgMar w:left="880" w:top="270" w:right="479" w:bottom="1440" w:gutter="0" w:footer="0" w:header="0"/>
        </w:sectPr>
      </w:pPr>
    </w:p>
    <w:bookmarkStart w:id="26" w:name="page27"/>
    <w:bookmarkEnd w:id="26"/>
    <w:p>
      <w:pPr>
        <w:jc w:val="both"/>
        <w:ind w:left="4" w:right="60" w:firstLine="419"/>
        <w:spacing w:after="0" w:line="261" w:lineRule="auto"/>
        <w:tabs>
          <w:tab w:leader="none" w:pos="68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endeavor to qualify the Securities for offer and sale under the securities or Blue Sky laws of such jurisdictions as the Representatives shall reasonably request; provided, however, that nothing contained herein shall require the Company to qualify to do business in any jurisdiction, to execute a general consent to service of process in any jurisdiction or to subject itself to taxation in any jurisdiction in which it is not otherwise subject.</w:t>
      </w:r>
    </w:p>
    <w:p>
      <w:pPr>
        <w:spacing w:after="0" w:line="71" w:lineRule="exact"/>
        <w:rPr>
          <w:rFonts w:ascii="Times New Roman" w:cs="Times New Roman" w:eastAsia="Times New Roman" w:hAnsi="Times New Roman"/>
          <w:sz w:val="18"/>
          <w:szCs w:val="18"/>
          <w:color w:val="auto"/>
        </w:rPr>
      </w:pPr>
    </w:p>
    <w:p>
      <w:pPr>
        <w:ind w:left="4" w:right="120" w:firstLine="419"/>
        <w:spacing w:after="0" w:line="261" w:lineRule="auto"/>
        <w:tabs>
          <w:tab w:leader="none" w:pos="68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(which may be satisfied by filing with the Commission on its Electronic Data Gathering, Analysis and Retrieval System)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71" w:lineRule="exact"/>
        <w:rPr>
          <w:rFonts w:ascii="Times New Roman" w:cs="Times New Roman" w:eastAsia="Times New Roman" w:hAnsi="Times New Roman"/>
          <w:sz w:val="18"/>
          <w:szCs w:val="18"/>
          <w:color w:val="auto"/>
        </w:rPr>
      </w:pPr>
    </w:p>
    <w:p>
      <w:pPr>
        <w:ind w:left="4" w:right="20" w:firstLine="419"/>
        <w:spacing w:after="0" w:line="268" w:lineRule="auto"/>
        <w:tabs>
          <w:tab w:leader="none" w:pos="641"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Securities under the Securities Act, including the costs of reproducing and distributing of each of the Pre-Funded Warrants, and all other fees or expenses in connection with the preparation and filing of the Registration Statement,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Securities to the Underwriters, including any transfer or other taxes payable thereon,</w:t>
      </w:r>
    </w:p>
    <w:p>
      <w:pPr>
        <w:ind w:left="4" w:hanging="4"/>
        <w:spacing w:after="0" w:line="251" w:lineRule="auto"/>
        <w:tabs>
          <w:tab w:leader="none" w:pos="3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Securities by FINRA (provided, that the amount payable by the Company with respect to fees and disbursements of counsel for the Underwriters pursuant to subsections (iii) and (iv) shall not exceed $15,000), (v) all costs and expenses incident to listing the Securities on the Nasdaq Global Select Market, (vi) the cost of printing certificates representing the Securities, (vii) the costs and charges of any transfer agent, registrar or depositary, (viii)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w:t>
      </w:r>
    </w:p>
    <w:p>
      <w:pPr>
        <w:spacing w:after="0" w:line="125"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4"/>
          </w:cols>
          <w:pgMar w:left="876" w:top="270" w:right="459" w:bottom="1440" w:gutter="0" w:footer="0" w:header="0"/>
        </w:sectPr>
      </w:pPr>
    </w:p>
    <w:bookmarkStart w:id="27" w:name="page28"/>
    <w:bookmarkEnd w:id="27"/>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approval of the Company, any pre-approved travel and lodging expenses of the representatives and officers of the Company and any such consultants, and the cost of any aircraft chartered with the Company’s prior written consent in connection with the road show,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Securities by them and any advertising expenses connected with any offers they may make.</w:t>
      </w:r>
    </w:p>
    <w:p>
      <w:pPr>
        <w:spacing w:after="0" w:line="81" w:lineRule="exact"/>
        <w:rPr>
          <w:sz w:val="20"/>
          <w:szCs w:val="20"/>
          <w:color w:val="auto"/>
        </w:rPr>
      </w:pPr>
    </w:p>
    <w:p>
      <w:pPr>
        <w:ind w:right="40" w:firstLine="419"/>
        <w:spacing w:after="0" w:line="266" w:lineRule="auto"/>
        <w:tabs>
          <w:tab w:leader="none" w:pos="6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notify the Representatives if the Company ceases to be an Emerging Growth Company at any time prior to the later of (i) completion of the distribution of the Securities within the meaning of the Securities Act and (ii) completion of the Restricted Period (as defined in this Section 6).</w:t>
      </w:r>
    </w:p>
    <w:p>
      <w:pPr>
        <w:spacing w:after="0" w:line="67"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w:t>
      </w:r>
    </w:p>
    <w:p>
      <w:pPr>
        <w:spacing w:after="0" w:line="79" w:lineRule="exact"/>
        <w:rPr>
          <w:rFonts w:ascii="Times New Roman" w:cs="Times New Roman" w:eastAsia="Times New Roman" w:hAnsi="Times New Roman"/>
          <w:sz w:val="18"/>
          <w:szCs w:val="18"/>
          <w:color w:val="auto"/>
        </w:rPr>
      </w:pPr>
    </w:p>
    <w:p>
      <w:pPr>
        <w:jc w:val="both"/>
        <w:ind w:right="300" w:firstLine="419"/>
        <w:spacing w:after="0" w:line="261" w:lineRule="auto"/>
        <w:tabs>
          <w:tab w:leader="none" w:pos="6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71" w:lineRule="exact"/>
        <w:rPr>
          <w:rFonts w:ascii="Times New Roman" w:cs="Times New Roman" w:eastAsia="Times New Roman" w:hAnsi="Times New Roman"/>
          <w:sz w:val="18"/>
          <w:szCs w:val="18"/>
          <w:color w:val="auto"/>
        </w:rPr>
      </w:pPr>
    </w:p>
    <w:p>
      <w:pPr>
        <w:ind w:right="120" w:firstLine="419"/>
        <w:spacing w:after="0" w:line="258" w:lineRule="auto"/>
        <w:tabs>
          <w:tab w:leader="none" w:pos="7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also covenants with each Underwriter that, without the prior written consent of the Representatives on behalf of the Underwriters, it will not, and will not publicly disclose an intention to, during the period ending 60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80" w:top="270" w:right="459" w:bottom="1440" w:gutter="0" w:footer="0" w:header="0"/>
        </w:sectPr>
      </w:pPr>
    </w:p>
    <w:bookmarkStart w:id="28" w:name="page29"/>
    <w:bookmarkEnd w:id="28"/>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72" w:lineRule="exact"/>
        <w:rPr>
          <w:sz w:val="20"/>
          <w:szCs w:val="20"/>
          <w:color w:val="auto"/>
        </w:rPr>
      </w:pPr>
    </w:p>
    <w:p>
      <w:pPr>
        <w:ind w:left="1220" w:hanging="272"/>
        <w:spacing w:after="0"/>
        <w:tabs>
          <w:tab w:leader="none" w:pos="12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contained in Section 6(m)(i) shall not apply to (A) the Securities to be sold hereunder, including, for the</w:t>
      </w:r>
    </w:p>
    <w:p>
      <w:pPr>
        <w:spacing w:after="0" w:line="27" w:lineRule="exact"/>
        <w:rPr>
          <w:rFonts w:ascii="Times New Roman" w:cs="Times New Roman" w:eastAsia="Times New Roman" w:hAnsi="Times New Roman"/>
          <w:sz w:val="18"/>
          <w:szCs w:val="18"/>
          <w:color w:val="auto"/>
        </w:rPr>
      </w:pPr>
    </w:p>
    <w:p>
      <w:pPr>
        <w:jc w:val="both"/>
        <w:ind w:left="5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avoidance of doubt, the issuance by the Company of Warrant Shares upon the exercise of the Pre-Funded Warrants, (B) the issuance by the Company of shares of Common Stock upon the exercise of an option or warrant, vesting or settlement of restricted stock or restricted stock units or the conversion of a security outstanding on the date hereof as described in each of the Time of Sale Prospectus and Prospectus,</w:t>
      </w:r>
    </w:p>
    <w:p>
      <w:pPr>
        <w:ind w:left="540" w:right="60" w:firstLine="7"/>
        <w:spacing w:after="0" w:line="250" w:lineRule="auto"/>
        <w:tabs>
          <w:tab w:leader="none" w:pos="8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on behalf of a shareholder, officer or director of the Company pursuant to Rule 10b5-1 under the Exchange Act for the transfer of shares of Common Stock, provided that (1) such plan does not provide for the transfer of Common Stock during the Restricted Period and (2)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(D) the issuance of shares of, or options to purchase shares of, Common Stock or securities convertible into or exercisable for Common Stock (whether upon the exercise of stock options or otherwise) to employees, officers, directors, advisors, or consultants of the Company pursuant to the terms of an equity compensation plan in effect on the date hereof and described in the Time of Sale Prospectus and Prospectus, provided that, prior to the issuance of any such shares or the grant of any such options to a director or executive officer, the Company shall cause each recipient of such grant or issuance to execute and deliver a Lock-Up Agreement, substantially in the form of Exhibit A hereto, (E) the filing of any registration statement on Form S-8 with respect to the employee benefit plans described in the Time of Sale Prospectus and Prospectus,</w:t>
      </w:r>
    </w:p>
    <w:p>
      <w:pPr>
        <w:spacing w:after="0" w:line="4" w:lineRule="exact"/>
        <w:rPr>
          <w:rFonts w:ascii="Times New Roman" w:cs="Times New Roman" w:eastAsia="Times New Roman" w:hAnsi="Times New Roman"/>
          <w:sz w:val="18"/>
          <w:szCs w:val="18"/>
          <w:color w:val="auto"/>
        </w:rPr>
      </w:pPr>
    </w:p>
    <w:p>
      <w:pPr>
        <w:ind w:left="540" w:right="20" w:firstLine="7"/>
        <w:spacing w:after="0" w:line="252" w:lineRule="auto"/>
        <w:tabs>
          <w:tab w:leader="none" w:pos="8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issuance of or entry into an agreement to sell or issue shares of Common Stock in connection with the Company’s acquisition of one or more businesses, products or technologies (whether by means of merger, stock purchase, asset purchase or otherwise) or in connection with joint ventures, commercial relationships or other strategic transactions, provided, that, the aggregate number of shares of Common Stock that the Company may sell or issue or agree to sell or issue, or that may be issuable upon conversion or exercise of all other securities that the Company may sell or issue or agree to sell or issue, pursuant to this clause (F) shall not exceed 10% of the total number of shares of Common Stock issued and outstanding immediately following the completion of the transactions</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70" w:right="459" w:bottom="1440" w:gutter="0" w:footer="0" w:header="0"/>
        </w:sectPr>
      </w:pPr>
    </w:p>
    <w:bookmarkStart w:id="29" w:name="page30"/>
    <w:bookmarkEnd w:id="29"/>
    <w:p>
      <w:pPr>
        <w:ind w:left="9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contemplated by this Agreement (giving effect to the Warrant Shares issuable upon exercise of the Pre-Funded Warrants), and provided further, that the Company shall cause each recipient of such shares to execute and deliver to you, on or prior to such issuance, a Lock-Up Agreement, substantially in the form of Exhibit A hereto, and (G) the amendment of, or filing of any prospectus supplement or amendment relating to, any “at-the-market” offering program described in the Time of Sale Prospectus and the Prospectus, or the issuance of shares of Common Stock pursuant to a placement made under any such program.</w:t>
      </w:r>
    </w:p>
    <w:p>
      <w:pPr>
        <w:spacing w:after="0" w:line="181" w:lineRule="exact"/>
        <w:rPr>
          <w:sz w:val="20"/>
          <w:szCs w:val="20"/>
          <w:color w:val="auto"/>
        </w:rPr>
      </w:pPr>
    </w:p>
    <w:p>
      <w:pPr>
        <w:ind w:right="380" w:firstLine="436"/>
        <w:spacing w:after="0" w:line="267"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Each Underwriter, severally and not jointly, covenants with the Company not to take any action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7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Indemnity and Contribution</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right="40" w:firstLine="419"/>
        <w:spacing w:after="0" w:line="252" w:lineRule="auto"/>
        <w:tabs>
          <w:tab w:leader="none" w:pos="110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Underwriter Information as defined in paragraph (b) below.</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0" w:name="page31"/>
    <w:bookmarkEnd w:id="30"/>
    <w:p>
      <w:pPr>
        <w:ind w:left="4" w:right="60" w:firstLine="419"/>
        <w:spacing w:after="0" w:line="272" w:lineRule="auto"/>
        <w:tabs>
          <w:tab w:leader="none" w:pos="681"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the Time of Sale Prospectus, any issuer free writing prospectus, road show or the Prospectus or any amendment or supplement thereto (“</w:t>
      </w:r>
      <w:r>
        <w:rPr>
          <w:rFonts w:ascii="Times New Roman" w:cs="Times New Roman" w:eastAsia="Times New Roman" w:hAnsi="Times New Roman"/>
          <w:sz w:val="17"/>
          <w:szCs w:val="17"/>
          <w:b w:val="1"/>
          <w:bCs w:val="1"/>
          <w:color w:val="auto"/>
        </w:rPr>
        <w:t>Underwriter Information</w:t>
      </w:r>
      <w:r>
        <w:rPr>
          <w:rFonts w:ascii="Times New Roman" w:cs="Times New Roman" w:eastAsia="Times New Roman" w:hAnsi="Times New Roman"/>
          <w:sz w:val="17"/>
          <w:szCs w:val="17"/>
          <w:color w:val="auto"/>
        </w:rPr>
        <w:t>”), it being understood and agreed that the only such information furnished by any Underwriter through the Representatives consists of the following information in the Prospectus: (i) the fifth paragraph on terms of the offering and (ii) the twelve, thirteenth, and fourteenth paragraphs, and the final sentence of the fifteenth paragraph on stabilization, under the heading “Underwriting.”</w:t>
      </w:r>
    </w:p>
    <w:p>
      <w:pPr>
        <w:spacing w:after="0" w:line="63" w:lineRule="exact"/>
        <w:rPr>
          <w:rFonts w:ascii="Times New Roman" w:cs="Times New Roman" w:eastAsia="Times New Roman" w:hAnsi="Times New Roman"/>
          <w:sz w:val="17"/>
          <w:szCs w:val="17"/>
          <w:color w:val="auto"/>
        </w:rPr>
      </w:pPr>
    </w:p>
    <w:p>
      <w:pPr>
        <w:ind w:left="4" w:firstLine="419"/>
        <w:spacing w:after="0" w:line="268" w:lineRule="auto"/>
        <w:tabs>
          <w:tab w:leader="none" w:pos="671"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any proceeding (including any governmental investigation) shall be instituted involving any person in respect of which indemnity may be sought pursuant to Section 8(a) or 8(b), such person (the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shall promptly notify the person against whom such indemnity may be sought (the “</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w:t>
      </w:r>
    </w:p>
    <w:p>
      <w:pPr>
        <w:spacing w:after="0" w:line="2" w:lineRule="exact"/>
        <w:rPr>
          <w:rFonts w:ascii="Times New Roman" w:cs="Times New Roman" w:eastAsia="Times New Roman" w:hAnsi="Times New Roman"/>
          <w:sz w:val="17"/>
          <w:szCs w:val="17"/>
          <w:color w:val="auto"/>
        </w:rPr>
      </w:pPr>
    </w:p>
    <w:p>
      <w:pPr>
        <w:ind w:left="4" w:right="20" w:hanging="4"/>
        <w:spacing w:after="0" w:line="251" w:lineRule="auto"/>
        <w:tabs>
          <w:tab w:leader="none" w:pos="2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w:t>
      </w:r>
    </w:p>
    <w:p>
      <w:pPr>
        <w:spacing w:after="0" w:line="125"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4"/>
          </w:cols>
          <w:pgMar w:left="876" w:top="270" w:right="459" w:bottom="1440" w:gutter="0" w:footer="0" w:header="0"/>
        </w:sectPr>
      </w:pPr>
    </w:p>
    <w:bookmarkStart w:id="31" w:name="page32"/>
    <w:bookmarkEnd w:id="3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any statement as to or an admission of fault, culpability or failure to act by or on behalf of any indemnified party.</w:t>
      </w:r>
    </w:p>
    <w:p>
      <w:pPr>
        <w:spacing w:after="0" w:line="79" w:lineRule="exact"/>
        <w:rPr>
          <w:sz w:val="20"/>
          <w:szCs w:val="20"/>
          <w:color w:val="auto"/>
        </w:rPr>
      </w:pPr>
    </w:p>
    <w:p>
      <w:pPr>
        <w:ind w:right="40" w:firstLine="419"/>
        <w:spacing w:after="0" w:line="252" w:lineRule="auto"/>
        <w:tabs>
          <w:tab w:leader="none" w:pos="6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(after deducting underwriting discounts and commissions but before deducting expenses) received by the Company and the total underwriting discounts and commissions received by the Underwriters, in each case as set forth in the table on the cover of the Prospectus, bear to the aggregate Offering Price of the Shares and Offering Price per Pre-Funded Warrant.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Securities they have purchased hereunder, and not joint.</w:t>
      </w:r>
    </w:p>
    <w:p>
      <w:pPr>
        <w:spacing w:after="0" w:line="12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40"/>
          </w:cols>
          <w:pgMar w:left="880" w:top="270" w:right="479" w:bottom="1440" w:gutter="0" w:footer="0" w:header="0"/>
        </w:sectPr>
      </w:pPr>
    </w:p>
    <w:bookmarkStart w:id="32" w:name="page33"/>
    <w:bookmarkEnd w:id="32"/>
    <w:p>
      <w:pPr>
        <w:ind w:left="4" w:right="20" w:firstLine="419"/>
        <w:spacing w:after="0" w:line="253" w:lineRule="auto"/>
        <w:tabs>
          <w:tab w:leader="none" w:pos="67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and the Underwriters agree that it would not be just or equitable if contribution pursuant to this Section 8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Securities underwritten by it and distributed were offered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83" w:lineRule="exact"/>
        <w:rPr>
          <w:rFonts w:ascii="Times New Roman" w:cs="Times New Roman" w:eastAsia="Times New Roman" w:hAnsi="Times New Roman"/>
          <w:sz w:val="18"/>
          <w:szCs w:val="18"/>
          <w:color w:val="auto"/>
        </w:rPr>
      </w:pPr>
    </w:p>
    <w:p>
      <w:pPr>
        <w:ind w:left="4" w:right="360" w:firstLine="419"/>
        <w:spacing w:after="0" w:line="276" w:lineRule="auto"/>
        <w:tabs>
          <w:tab w:leader="none" w:pos="651"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ind w:left="4" w:hanging="4"/>
        <w:spacing w:after="0" w:line="255" w:lineRule="auto"/>
        <w:tabs>
          <w:tab w:leader="none" w:pos="2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Securities.</w:t>
      </w:r>
    </w:p>
    <w:p>
      <w:pPr>
        <w:spacing w:after="0" w:line="184" w:lineRule="exact"/>
        <w:rPr>
          <w:sz w:val="20"/>
          <w:szCs w:val="20"/>
          <w:color w:val="auto"/>
        </w:rPr>
      </w:pPr>
    </w:p>
    <w:p>
      <w:pPr>
        <w:ind w:left="-436" w:right="20" w:firstLine="436"/>
        <w:spacing w:after="0" w:line="254" w:lineRule="auto"/>
        <w:tabs>
          <w:tab w:leader="none" w:pos="18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given by the Representatives to the Company, if after the execution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this Agreement and prior to or on the Closing Date, (i) trading generally shall have been suspended or materially limited on, or by, as the case may be, any of the New York Stock Exchange, the NYSE American, the Nasdaq Global Select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Securities on the terms and in the manner contemplated in the Time of Sale Prospectus or the Prospectus.</w:t>
      </w:r>
    </w:p>
    <w:p>
      <w:pPr>
        <w:spacing w:after="0" w:line="185" w:lineRule="exact"/>
        <w:rPr>
          <w:rFonts w:ascii="Times New Roman" w:cs="Times New Roman" w:eastAsia="Times New Roman" w:hAnsi="Times New Roman"/>
          <w:sz w:val="18"/>
          <w:szCs w:val="18"/>
          <w:color w:val="auto"/>
        </w:rPr>
      </w:pPr>
    </w:p>
    <w:p>
      <w:pPr>
        <w:ind w:left="4984" w:right="140" w:hanging="4984"/>
        <w:spacing w:after="0" w:line="456" w:lineRule="auto"/>
        <w:tabs>
          <w:tab w:leader="none" w:pos="27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 hereto.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27</w:t>
      </w:r>
    </w:p>
    <w:p>
      <w:pPr>
        <w:sectPr>
          <w:pgSz w:w="11900" w:h="16838" w:orient="portrait"/>
          <w:cols w:equalWidth="0" w:num="1">
            <w:col w:w="10564"/>
          </w:cols>
          <w:pgMar w:left="876" w:top="270" w:right="459" w:bottom="1440" w:gutter="0" w:footer="0" w:header="0"/>
        </w:sectPr>
      </w:pPr>
    </w:p>
    <w:bookmarkStart w:id="33" w:name="page34"/>
    <w:bookmarkEnd w:id="33"/>
    <w:p>
      <w:pPr>
        <w:ind w:right="16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on the Closing Date, any one or more of the Underwriters shall fail or refuse to purchase the Securities that it has or they have agreed to purchase hereunder on such date, and the aggregate number of the Securities which such defaulting Underwriter or Underwriters agreed but failed or refused to purchase is not more than one-tenth of the aggregate number of the Securities to be purchased on such date, the other Underwriters shall be obligated severally in the proportions that the number of the Securities set forth opposite their respective names in Schedule I bears to the aggregate number of Securities set forth opposite the names of all such non-defaulting Underwriters, or in such other proportions as the Representatives may specify, to purchase the Securities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Securities that any Underwriter has agreed to purchase pursuant to this Agreement be increased pursuant to this Section 10 by an amount in excess of one-ninth of such number of Securities without the written consent of such Underwriter. If, on the Closing Date, any Underwriter or Underwriters shall fail or refuse to purchase the Securities and the aggregate number of the Securities with respect to which such default occurs is more than one-tenth of the aggregate number of the Securities to be purchased on such date, and arrangements satisfactory to the Representatives and the Company for the purchase of such Securities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9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reasonably incurred fees and disbursements of their counsel) reasonably incurred by such Underwriters in connection with this Agreement or the offering contemplated hereunder.</w:t>
      </w:r>
    </w:p>
    <w:p>
      <w:pPr>
        <w:spacing w:after="0" w:line="181" w:lineRule="exact"/>
        <w:rPr>
          <w:sz w:val="20"/>
          <w:szCs w:val="20"/>
          <w:color w:val="auto"/>
        </w:rPr>
      </w:pPr>
    </w:p>
    <w:p>
      <w:pPr>
        <w:ind w:right="40" w:firstLine="436"/>
        <w:spacing w:after="0" w:line="261" w:lineRule="auto"/>
        <w:tabs>
          <w:tab w:leader="none" w:pos="7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together with any contemporaneous written agreements and any prior written agreements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superseded by this Agreement) that relate to the offering of the Securities, represents the entire agreement between the Company and the Underwriters with respect to the preparation of the Time of Sale Prospectus, the Prospectus, the conduct of the offering, and the purchase and sale of the Securities.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4" w:name="page35"/>
    <w:bookmarkEnd w:id="34"/>
    <w:p>
      <w:pPr>
        <w:ind w:left="440" w:right="200" w:firstLine="419"/>
        <w:spacing w:after="0" w:line="273" w:lineRule="auto"/>
        <w:tabs>
          <w:tab w:leader="none" w:pos="1118"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acknowledges that in connection with the offering of the Securities: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Securities.</w:t>
      </w:r>
    </w:p>
    <w:p>
      <w:pPr>
        <w:spacing w:after="0" w:line="169" w:lineRule="exact"/>
        <w:rPr>
          <w:rFonts w:ascii="Times New Roman" w:cs="Times New Roman" w:eastAsia="Times New Roman" w:hAnsi="Times New Roman"/>
          <w:sz w:val="17"/>
          <w:szCs w:val="17"/>
          <w:color w:val="auto"/>
        </w:rPr>
      </w:pPr>
    </w:p>
    <w:p>
      <w:pPr>
        <w:ind w:right="80" w:firstLine="436"/>
        <w:spacing w:after="0" w:line="261" w:lineRule="auto"/>
        <w:tabs>
          <w:tab w:leader="none" w:pos="7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(a) In the event that any Underwriter that is a Covered Entity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3"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5" w:lineRule="exact"/>
        <w:rPr>
          <w:sz w:val="20"/>
          <w:szCs w:val="20"/>
          <w:color w:val="auto"/>
        </w:rPr>
      </w:pPr>
    </w:p>
    <w:p>
      <w:pPr>
        <w:ind w:firstLine="436"/>
        <w:spacing w:after="0" w:line="258" w:lineRule="auto"/>
        <w:tabs>
          <w:tab w:leader="none" w:pos="7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two or more counterparts, each of which shall be an original, with the same effect as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thereto and hereto were upon the same instrument. Counterparts may be delivered via facsimile, electronic mail (including any electronic signature complying with the U.S. federal ESIGN Act of 2000, Uniform Electronic Transactions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40" w:top="270" w:right="499" w:bottom="1440" w:gutter="0" w:footer="0" w:header="0"/>
        </w:sectPr>
      </w:pPr>
    </w:p>
    <w:bookmarkStart w:id="35" w:name="page36"/>
    <w:bookmarkEnd w:id="35"/>
    <w:p>
      <w:pPr>
        <w:ind w:left="-20" w:right="40" w:firstLine="436"/>
        <w:spacing w:after="0" w:line="284" w:lineRule="auto"/>
        <w:tabs>
          <w:tab w:leader="none" w:pos="69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w:t>
      </w:r>
    </w:p>
    <w:p>
      <w:pPr>
        <w:spacing w:after="0" w:line="158" w:lineRule="exact"/>
        <w:rPr>
          <w:rFonts w:ascii="Times New Roman" w:cs="Times New Roman" w:eastAsia="Times New Roman" w:hAnsi="Times New Roman"/>
          <w:sz w:val="18"/>
          <w:szCs w:val="18"/>
          <w:color w:val="auto"/>
        </w:rPr>
      </w:pPr>
    </w:p>
    <w:p>
      <w:pPr>
        <w:ind w:left="-20" w:firstLine="436"/>
        <w:spacing w:after="0" w:line="258" w:lineRule="auto"/>
        <w:tabs>
          <w:tab w:leader="none" w:pos="69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communications hereunder shall be in writing and effective only upon receipt and if to the Underwriters shall be delivered, mailed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sent to the Representatives in care of Leerink Partners LLC, 1301 Avenue of the Americas, 12th Floor, New York, NY 10019, Attention: Stuart R. Nayman; and in care of Cowen and Company, LLC, Attention: Head of Equity Capital Markets (fax: (646) 562-1249), with a copy to the General Counsel (fax: (646) 562-1124); and if to the Company shall be delivered, mailed or sent to Tenaya Therapeutics, Inc., 171 Oyster Point Boulevard, Suite 500, South San Francisco, CA, 94080.</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60" w:top="268" w:right="459" w:bottom="1440" w:gutter="0" w:footer="0" w:header="0"/>
        </w:sectPr>
      </w:pPr>
    </w:p>
    <w:bookmarkStart w:id="36" w:name="page37"/>
    <w:bookmarkEnd w:id="36"/>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Leone D. Patterson, M.B.A.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Chief Financial and Business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several Underwriters named in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Schedule I hereto.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Leerink Partners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Anurag Jindal</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Anurag Jindal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-127635</wp:posOffset>
            </wp:positionV>
            <wp:extent cx="25971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Cowen and Company,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Bill Follis</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Bill Follis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-127635</wp:posOffset>
            </wp:positionV>
            <wp:extent cx="2597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060"/>
          </w:cols>
          <w:pgMar w:left="440" w:top="270" w:right="13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0" w:type="dxa"/>
            <w:vAlign w:val="bottom"/>
          </w:tcPr>
          <w:p>
            <w:pPr>
              <w:spacing w:after="0"/>
              <w:rPr>
                <w:sz w:val="1"/>
                <w:szCs w:val="1"/>
                <w:color w:val="auto"/>
              </w:rPr>
            </w:pPr>
          </w:p>
        </w:tc>
      </w:tr>
      <w:tr>
        <w:trPr>
          <w:trHeight w:val="367"/>
        </w:trPr>
        <w:tc>
          <w:tcPr>
            <w:tcW w:w="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460" w:type="dxa"/>
            <w:vAlign w:val="bottom"/>
            <w:vMerge w:val="restart"/>
          </w:tcPr>
          <w:p>
            <w:pPr>
              <w:spacing w:after="0"/>
              <w:rPr>
                <w:sz w:val="12"/>
                <w:szCs w:val="12"/>
                <w:color w:val="auto"/>
              </w:rPr>
            </w:pPr>
          </w:p>
        </w:tc>
        <w:tc>
          <w:tcPr>
            <w:tcW w:w="3480" w:type="dxa"/>
            <w:vAlign w:val="bottom"/>
            <w:gridSpan w:val="2"/>
          </w:tcPr>
          <w:p>
            <w:pPr>
              <w:jc w:val="center"/>
              <w:ind w:left="2555"/>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300" w:type="dxa"/>
            <w:vAlign w:val="bottom"/>
            <w:gridSpan w:val="2"/>
          </w:tcPr>
          <w:p>
            <w:pPr>
              <w:jc w:val="center"/>
              <w:ind w:left="236"/>
              <w:spacing w:after="0" w:line="149" w:lineRule="exact"/>
              <w:rPr>
                <w:sz w:val="20"/>
                <w:szCs w:val="20"/>
                <w:color w:val="auto"/>
              </w:rPr>
            </w:pPr>
            <w:r>
              <w:rPr>
                <w:rFonts w:ascii="Times New Roman" w:cs="Times New Roman" w:eastAsia="Times New Roman" w:hAnsi="Times New Roman"/>
                <w:sz w:val="14"/>
                <w:szCs w:val="14"/>
                <w:b w:val="1"/>
                <w:bCs w:val="1"/>
                <w:color w:val="auto"/>
              </w:rPr>
              <w:t>Warrants To Be</w:t>
            </w:r>
          </w:p>
        </w:tc>
        <w:tc>
          <w:tcPr>
            <w:tcW w:w="320" w:type="dxa"/>
            <w:vAlign w:val="bottom"/>
          </w:tcPr>
          <w:p>
            <w:pPr>
              <w:spacing w:after="0"/>
              <w:rPr>
                <w:sz w:val="12"/>
                <w:szCs w:val="12"/>
                <w:color w:val="auto"/>
              </w:rPr>
            </w:pPr>
          </w:p>
        </w:tc>
        <w:tc>
          <w:tcPr>
            <w:tcW w:w="1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266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320" w:type="dxa"/>
            <w:vAlign w:val="bottom"/>
          </w:tcPr>
          <w:p>
            <w:pPr>
              <w:spacing w:after="0"/>
              <w:rPr>
                <w:sz w:val="15"/>
                <w:szCs w:val="15"/>
                <w:color w:val="auto"/>
              </w:rPr>
            </w:pP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3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Leerink Partners LLC</w:t>
            </w:r>
          </w:p>
        </w:tc>
        <w:tc>
          <w:tcPr>
            <w:tcW w:w="2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4,000,001</w:t>
            </w:r>
          </w:p>
        </w:tc>
        <w:tc>
          <w:tcPr>
            <w:tcW w:w="3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1,000,022</w:t>
            </w: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5,000,023</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Cowen and Company, LLC</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4,000,001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1,000,022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5,000,023</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3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888,888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222,227</w:t>
            </w: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1,111,115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8,888,890</w:t>
            </w:r>
          </w:p>
        </w:tc>
        <w:tc>
          <w:tcPr>
            <w:tcW w:w="3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2,222,271</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11,111,161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80" w:type="dxa"/>
            <w:vAlign w:val="bottom"/>
            <w:gridSpan w:val="2"/>
          </w:tcPr>
          <w:p>
            <w:pPr>
              <w:jc w:val="right"/>
              <w:ind w:right="1919"/>
              <w:spacing w:after="0"/>
              <w:rPr>
                <w:sz w:val="20"/>
                <w:szCs w:val="20"/>
                <w:color w:val="auto"/>
              </w:rPr>
            </w:pPr>
            <w:r>
              <w:rPr>
                <w:rFonts w:ascii="Times New Roman" w:cs="Times New Roman" w:eastAsia="Times New Roman" w:hAnsi="Times New Roman"/>
                <w:sz w:val="18"/>
                <w:szCs w:val="18"/>
                <w:color w:val="auto"/>
              </w:rPr>
              <w:t>I-1</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140"/>
          </w:cols>
          <w:pgMar w:left="132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1.</w:t>
            </w:r>
          </w:p>
        </w:tc>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Orally communicated pricing information:</w:t>
            </w:r>
          </w:p>
        </w:tc>
        <w:tc>
          <w:tcPr>
            <w:tcW w:w="1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1480" w:type="dxa"/>
            <w:vAlign w:val="bottom"/>
            <w:vMerge w:val="restart"/>
          </w:tcPr>
          <w:p>
            <w:pPr>
              <w:spacing w:after="0"/>
              <w:rPr>
                <w:sz w:val="21"/>
                <w:szCs w:val="21"/>
                <w:color w:val="auto"/>
              </w:rPr>
            </w:pPr>
          </w:p>
        </w:tc>
        <w:tc>
          <w:tcPr>
            <w:tcW w:w="47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9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8,888,890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Number of Pre-Funded Warrants:</w:t>
            </w:r>
          </w:p>
        </w:tc>
        <w:tc>
          <w:tcPr>
            <w:tcW w:w="19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2,222,271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Offering Price per Pre-Funded Warrant: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0"/>
          </w:cols>
          <w:pgMar w:left="440" w:top="266" w:right="4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Testing-the-Water Communications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11020"/>
          </w:cols>
          <w:pgMar w:left="440" w:top="266" w:right="439" w:bottom="1440" w:gutter="0" w:footer="0" w:header="0"/>
        </w:sectPr>
      </w:pPr>
    </w:p>
    <w:bookmarkStart w:id="40" w:name="page41"/>
    <w:bookmarkEnd w:id="40"/>
    <w:p>
      <w:pPr>
        <w:ind w:left="10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6250305</wp:posOffset>
            </wp:positionH>
            <wp:positionV relativeFrom="paragraph">
              <wp:posOffset>-7620</wp:posOffset>
            </wp:positionV>
            <wp:extent cx="4572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and Company, LLC</w:t>
      </w:r>
    </w:p>
    <w:p>
      <w:pPr>
        <w:sectPr>
          <w:pgSz w:w="11900" w:h="16838" w:orient="portrait"/>
          <w:cols w:equalWidth="0" w:num="1">
            <w:col w:w="11020"/>
          </w:cols>
          <w:pgMar w:left="440" w:top="266"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1301 Avenue of the Americas, 12th Floor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0" w:lineRule="exact"/>
        <w:rPr>
          <w:sz w:val="20"/>
          <w:szCs w:val="20"/>
          <w:color w:val="auto"/>
        </w:rPr>
      </w:pPr>
    </w:p>
    <w:p>
      <w:pPr>
        <w:sectPr>
          <w:pgSz w:w="11900" w:h="16838" w:orient="portrait"/>
          <w:cols w:equalWidth="0" w:num="2">
            <w:col w:w="220" w:space="200"/>
            <w:col w:w="10600"/>
          </w:cols>
          <w:pgMar w:left="440" w:top="266" w:right="4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Cowen and Company, LLC</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599 Lexington Avenue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0" w:lineRule="exact"/>
        <w:rPr>
          <w:sz w:val="20"/>
          <w:szCs w:val="20"/>
          <w:color w:val="auto"/>
        </w:rPr>
      </w:pPr>
    </w:p>
    <w:p>
      <w:pPr>
        <w:sectPr>
          <w:pgSz w:w="11900" w:h="16838" w:orient="portrait"/>
          <w:cols w:equalWidth="0" w:num="2">
            <w:col w:w="220" w:space="200"/>
            <w:col w:w="10600"/>
          </w:cols>
          <w:pgMar w:left="440" w:top="266"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320" w:firstLine="440"/>
        <w:spacing w:after="0" w:line="278" w:lineRule="auto"/>
        <w:rPr>
          <w:sz w:val="20"/>
          <w:szCs w:val="20"/>
          <w:color w:val="auto"/>
        </w:rPr>
      </w:pPr>
      <w:r>
        <w:rPr>
          <w:rFonts w:ascii="Times New Roman" w:cs="Times New Roman" w:eastAsia="Times New Roman" w:hAnsi="Times New Roman"/>
          <w:sz w:val="17"/>
          <w:szCs w:val="17"/>
          <w:color w:val="auto"/>
        </w:rPr>
        <w:t>The undersigned understands that Leerink Partners LLC (“</w:t>
      </w:r>
      <w:r>
        <w:rPr>
          <w:rFonts w:ascii="Times New Roman" w:cs="Times New Roman" w:eastAsia="Times New Roman" w:hAnsi="Times New Roman"/>
          <w:sz w:val="17"/>
          <w:szCs w:val="17"/>
          <w:b w:val="1"/>
          <w:bCs w:val="1"/>
          <w:color w:val="auto"/>
        </w:rPr>
        <w:t>Leerink Partners</w:t>
      </w:r>
      <w:r>
        <w:rPr>
          <w:rFonts w:ascii="Times New Roman" w:cs="Times New Roman" w:eastAsia="Times New Roman" w:hAnsi="Times New Roman"/>
          <w:sz w:val="17"/>
          <w:szCs w:val="17"/>
          <w:color w:val="auto"/>
        </w:rPr>
        <w:t>”) and Cowen and Company, LLC (“</w:t>
      </w:r>
      <w:r>
        <w:rPr>
          <w:rFonts w:ascii="Times New Roman" w:cs="Times New Roman" w:eastAsia="Times New Roman" w:hAnsi="Times New Roman"/>
          <w:sz w:val="17"/>
          <w:szCs w:val="17"/>
          <w:b w:val="1"/>
          <w:bCs w:val="1"/>
          <w:color w:val="auto"/>
        </w:rPr>
        <w:t>Cowen</w:t>
      </w:r>
      <w:r>
        <w:rPr>
          <w:rFonts w:ascii="Times New Roman" w:cs="Times New Roman" w:eastAsia="Times New Roman" w:hAnsi="Times New Roman"/>
          <w:sz w:val="17"/>
          <w:szCs w:val="17"/>
          <w:color w:val="auto"/>
        </w:rPr>
        <w:t>” and, together with Leerink Partners, the “</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proposes to enter into an Underwriting Agreement (the “</w:t>
      </w:r>
      <w:r>
        <w:rPr>
          <w:rFonts w:ascii="Times New Roman" w:cs="Times New Roman" w:eastAsia="Times New Roman" w:hAnsi="Times New Roman"/>
          <w:sz w:val="17"/>
          <w:szCs w:val="17"/>
          <w:b w:val="1"/>
          <w:bCs w:val="1"/>
          <w:color w:val="auto"/>
        </w:rPr>
        <w:t>Underwriting Agreement</w:t>
      </w:r>
      <w:r>
        <w:rPr>
          <w:rFonts w:ascii="Times New Roman" w:cs="Times New Roman" w:eastAsia="Times New Roman" w:hAnsi="Times New Roman"/>
          <w:sz w:val="17"/>
          <w:szCs w:val="17"/>
          <w:color w:val="auto"/>
        </w:rPr>
        <w:t>”) with Tenaya Therapeutics,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providing for the public offering (the “</w:t>
      </w:r>
      <w:r>
        <w:rPr>
          <w:rFonts w:ascii="Times New Roman" w:cs="Times New Roman" w:eastAsia="Times New Roman" w:hAnsi="Times New Roman"/>
          <w:sz w:val="17"/>
          <w:szCs w:val="17"/>
          <w:b w:val="1"/>
          <w:bCs w:val="1"/>
          <w:color w:val="auto"/>
        </w:rPr>
        <w:t>Public Offering</w:t>
      </w:r>
      <w:r>
        <w:rPr>
          <w:rFonts w:ascii="Times New Roman" w:cs="Times New Roman" w:eastAsia="Times New Roman" w:hAnsi="Times New Roman"/>
          <w:sz w:val="17"/>
          <w:szCs w:val="17"/>
          <w:color w:val="auto"/>
        </w:rPr>
        <w:t>”) by the several Underwriters, including the Representatives (the “</w:t>
      </w:r>
      <w:r>
        <w:rPr>
          <w:rFonts w:ascii="Times New Roman" w:cs="Times New Roman" w:eastAsia="Times New Roman" w:hAnsi="Times New Roman"/>
          <w:sz w:val="17"/>
          <w:szCs w:val="17"/>
          <w:b w:val="1"/>
          <w:bCs w:val="1"/>
          <w:color w:val="auto"/>
        </w:rPr>
        <w:t>Underwriters</w:t>
      </w:r>
      <w:r>
        <w:rPr>
          <w:rFonts w:ascii="Times New Roman" w:cs="Times New Roman" w:eastAsia="Times New Roman" w:hAnsi="Times New Roman"/>
          <w:sz w:val="17"/>
          <w:szCs w:val="17"/>
          <w:color w:val="auto"/>
        </w:rPr>
        <w:t>”), of shares of common stock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par value $0.0001 per share, of the Company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Capitalized terms used herein and not otherwise defined shall have the meanings set forth in the Underwriting Agreement.</w:t>
      </w:r>
    </w:p>
    <w:p>
      <w:pPr>
        <w:spacing w:after="0" w:line="16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To induce the Underwriters that may participate in the Public Offering to continue their efforts in connection with the Public Offering, the undersigned hereby agrees that, without the prior written consent of each of the Representatives on behalf of the Underwriters, it will not, and will not publicly disclose an intention to, during the period commencing on the date hereof and ending 60 days after the date of the final prospectus supplement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relating to the Public Offering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by the undersigned or any other securities so owned convertible into or exercisable or exchangeable for Common Stock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w:t>
      </w:r>
    </w:p>
    <w:p>
      <w:pPr>
        <w:sectPr>
          <w:pgSz w:w="11900" w:h="16838" w:orient="portrait"/>
          <w:cols w:equalWidth="0" w:num="1">
            <w:col w:w="11020"/>
          </w:cols>
          <w:pgMar w:left="440" w:top="266" w:right="439" w:bottom="1440" w:gutter="0" w:footer="0" w:header="0"/>
          <w:type w:val="continuous"/>
        </w:sectPr>
      </w:pPr>
    </w:p>
    <w:bookmarkStart w:id="41" w:name="page42"/>
    <w:bookmarkEnd w:id="41"/>
    <w:p>
      <w:pPr>
        <w:ind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undersigned acknowledges and agrees that the foregoing precludes the undersigned from engaging in any hedging or other transaction designed or intended, or which could reasonably be expected to lead to or result in, a sale or disposition of any shares of Common Stock, or any securities convertible into or exercisable or exchangeable for Common Stock, even if any such sale or disposition transaction or transactions would be made or executed by or on behalf of someone other than the undersigned.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sentence shall not apply to:</w:t>
      </w:r>
    </w:p>
    <w:p>
      <w:pPr>
        <w:spacing w:after="0" w:line="117" w:lineRule="exact"/>
        <w:rPr>
          <w:sz w:val="20"/>
          <w:szCs w:val="20"/>
          <w:color w:val="auto"/>
        </w:rPr>
      </w:pPr>
    </w:p>
    <w:p>
      <w:pPr>
        <w:ind w:right="20" w:firstLine="436"/>
        <w:spacing w:after="0" w:line="261"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relating to shares of Common Stock or other Securities acquired in the Public Offering or in open market transactions after the completion of the Public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public announcement or filing under Section 16(a) of the Exchange Act, or any other public filing or disclosure, reporting a reduction in beneficial ownership of shares, shall be required or shall be voluntarily made during the Restricted Period in connection with subsequent sales of Common Stock or other Securities acquired in the Public Offering or in such open market transactions;</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(i) as a bona fide gift or charitable contribution in a transaction exempt under</w:t>
      </w:r>
    </w:p>
    <w:p>
      <w:pPr>
        <w:spacing w:after="0" w:line="27" w:lineRule="exact"/>
        <w:rPr>
          <w:sz w:val="20"/>
          <w:szCs w:val="20"/>
          <w:color w:val="auto"/>
        </w:rPr>
      </w:pPr>
    </w:p>
    <w:p>
      <w:pPr>
        <w:jc w:val="both"/>
        <w:ind w:right="540"/>
        <w:spacing w:after="0" w:line="253" w:lineRule="auto"/>
        <w:rPr>
          <w:sz w:val="20"/>
          <w:szCs w:val="20"/>
          <w:color w:val="auto"/>
        </w:rPr>
      </w:pPr>
      <w:r>
        <w:rPr>
          <w:rFonts w:ascii="Times New Roman" w:cs="Times New Roman" w:eastAsia="Times New Roman" w:hAnsi="Times New Roman"/>
          <w:sz w:val="18"/>
          <w:szCs w:val="18"/>
          <w:color w:val="auto"/>
        </w:rPr>
        <w:t>Section 16(b) of the Exchange Act; (ii) by will or intestate succession upon the death of the undersigned, including to the transferee’s nominee or custodian; or (iii) to an immediate family member or any trust for the direct or indirect benefit of the undersigned or the immediate family of the undersigned (for purposes of this Lock-Up Agreement, “immediate family” shall mean any relationship by blood, marriage or adoption, not more remote than first cousin);</w:t>
      </w:r>
    </w:p>
    <w:p>
      <w:pPr>
        <w:spacing w:after="0" w:line="189" w:lineRule="exact"/>
        <w:rPr>
          <w:sz w:val="20"/>
          <w:szCs w:val="20"/>
          <w:color w:val="auto"/>
        </w:rPr>
      </w:pPr>
    </w:p>
    <w:p>
      <w:pPr>
        <w:ind w:right="300" w:firstLine="436"/>
        <w:spacing w:after="0" w:line="282" w:lineRule="auto"/>
        <w:tabs>
          <w:tab w:leader="none" w:pos="6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distributions of shares of Common Stock or any other Securities by a stockholder that is a trust to a trustor or beneficiary of the trust or to the estate of a beneficiary of such trust;</w:t>
      </w:r>
    </w:p>
    <w:p>
      <w:pPr>
        <w:spacing w:after="0" w:line="161" w:lineRule="exact"/>
        <w:rPr>
          <w:rFonts w:ascii="Times New Roman" w:cs="Times New Roman" w:eastAsia="Times New Roman" w:hAnsi="Times New Roman"/>
          <w:sz w:val="18"/>
          <w:szCs w:val="18"/>
          <w:color w:val="auto"/>
        </w:rPr>
      </w:pPr>
    </w:p>
    <w:p>
      <w:pPr>
        <w:ind w:right="40" w:firstLine="436"/>
        <w:spacing w:after="0" w:line="277" w:lineRule="auto"/>
        <w:tabs>
          <w:tab w:leader="none" w:pos="69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undersigned is a corporation, partnership, limited liability company, trust or other business entity, (1) distributions of shares of Common Stock or other Securities to limited partners, members, stockholders or holders of similar equity interests in the undersigned (or in each case its nominee or custodian) or (2) transfers of shares of Common Stock or other Securities to another corporation, partnership, limited liability company, trust or other business entity (or in each case its nominee or custodian) that is an affiliate (as defined in Rule 405 promulgated under the Securities Act of 1933, as amended) of the undersigned, or to any investment fund or other entity controlled or managed by the undersigned or affiliates of the undersigned;</w:t>
      </w:r>
    </w:p>
    <w:p>
      <w:pPr>
        <w:spacing w:after="0" w:line="167" w:lineRule="exact"/>
        <w:rPr>
          <w:rFonts w:ascii="Times New Roman" w:cs="Times New Roman" w:eastAsia="Times New Roman" w:hAnsi="Times New Roman"/>
          <w:sz w:val="17"/>
          <w:szCs w:val="17"/>
          <w:color w:val="auto"/>
        </w:rPr>
      </w:pPr>
    </w:p>
    <w:p>
      <w:pPr>
        <w:ind w:firstLine="436"/>
        <w:spacing w:after="0" w:line="261" w:lineRule="auto"/>
        <w:tabs>
          <w:tab w:leader="none" w:pos="6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transfers of shares of Common Stock or other Securities by operation of law pursuant to a qualified domestic order or in connection with a divorce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filing required by Section 16 of the Exchange Act shall clearly indicate in the footnotes thereto that such transfer is being made pursuant to the circumstances described in this clause (e);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other public announcement or filing shall be voluntarily made during the Restricted Period;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2" w:name="page43"/>
    <w:bookmarkEnd w:id="42"/>
    <w:p>
      <w:pPr>
        <w:ind w:left="-20" w:firstLine="436"/>
        <w:spacing w:after="0" w:line="252" w:lineRule="auto"/>
        <w:tabs>
          <w:tab w:leader="none" w:pos="6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the receipt by the undersigned from the Company of shares of Common Stock upon the exercise, vesting or settlement of options, restricted stock units or other equity awards granted under a stock incentive plan or other equity award plan, which plan is described in the registration statement related to the Public Offering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the Time of Sale Prospectus (as defined in the Underwriting Agreement) and the Prospectus, (2) the transfer or disposition of shares of Common Stock or any Securities upon a vesting or settlement event of the Company’s restricted stock units or other securities or upon the exercise of any warrant or options to purchase the Company’s securities on a “cashless” or “net exercise” basis to the extent permitted by the instruments (and any transfer to the Company necessary in respect of such amount needed for the payment of taxes, including estimated taxes and withholding tax and remittance obligations, due as a result of such vesting, settlement or exercise whether by means of a “net settlement” or otherwise) so long as such vesting, settlement, “cashless” exercise or “net exercise” is effected solely by the surrender of outstanding options (or the Common Stock issuable upon the exercise thereof) or shares of Common Stock to the Company and the Company’s cancellation of all or a portion thereof to pay the exercise price and/or withholding tax and remittance obligations in connection with the vesting, settlement or exercise of the restricted stock unit, option or other equity award, or (3) the transfer or disposition of shares of Common Stock or any Securities in connection with the vesting or settlement of restricted stock units, for the payment of tax withholdings or remittance payments due as a result of the vesting or settlement of such restricted stock units, in all such cases, pursuant to equity awards granted under a stock incentive plan or other equity award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(yy) that the shares received upon vesting, settlement or exercise of the restricted stock unit, option or other equity award are subject to this Lock-Up Agreement, and (zz) that no public announcement or filing shall be voluntarily made by or on behalf of the undersigned during the Restricted Period, and any filing under Section 16 of the Exchange Act reporting a reduction in beneficial ownership of Common Stock that is required to be made during the Restricted Period shall include a statement to the effect that such transaction reflects the circumstances described in (1), (2) or (3), as the case may be;</w:t>
      </w:r>
    </w:p>
    <w:p>
      <w:pPr>
        <w:spacing w:after="0" w:line="191" w:lineRule="exact"/>
        <w:rPr>
          <w:rFonts w:ascii="Times New Roman" w:cs="Times New Roman" w:eastAsia="Times New Roman" w:hAnsi="Times New Roman"/>
          <w:sz w:val="18"/>
          <w:szCs w:val="18"/>
          <w:color w:val="auto"/>
        </w:rPr>
      </w:pPr>
    </w:p>
    <w:p>
      <w:pPr>
        <w:ind w:left="-20" w:right="100" w:firstLine="436"/>
        <w:spacing w:after="0" w:line="256" w:lineRule="auto"/>
        <w:tabs>
          <w:tab w:leader="none" w:pos="6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or dispositions of shares of Common Stock or any Security to the Company pursuant to any contractual arrangement in effect on the date of this agreement and disclosed to the Underwriters in writing that provides for the repurchase by the Company of the undersigned’s Common Stock or other Securities pursuant to a repurchase right arising in connection with the termination of the undersigned’s employment with or service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filing under Section 16 of the Exchange Act reporting a reduction in beneficial ownership of Common Stock shall indicate by footnote disclosure or otherwise the nature of the transfer or disposition pursuant to circumstances described in this clause;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other public announcement or filing shall be required or shall be voluntarily made during the Restricted Period;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270" w:right="459" w:bottom="1440" w:gutter="0" w:footer="0" w:header="0"/>
        </w:sectPr>
      </w:pPr>
    </w:p>
    <w:bookmarkStart w:id="43" w:name="page44"/>
    <w:bookmarkEnd w:id="43"/>
    <w:p>
      <w:pPr>
        <w:ind w:right="140" w:firstLine="436"/>
        <w:spacing w:after="0" w:line="254" w:lineRule="auto"/>
        <w:tabs>
          <w:tab w:leader="none" w:pos="6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transfers of shares of Common Stock or other Securities pursuant to a bona fide third-party tender offer, merger, consolidation or other similar transaction involving a Change of Control (as defined below) of the Company which occurs after the consummation of the Public Offering, is open to all holders of the Company’s Common Stock and that is approved by the Board of Directors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tender offer, merger, consolidation or other such transaction is not completed, the Securities held by the undersigned shall remain subject to the provisions of this Lock-Up agreement (for purposes of this clause (h),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the consummation of any bona fide third 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more than 50% of the total voting power of the voting stock of the Company (or the surviving entity));</w:t>
      </w:r>
    </w:p>
    <w:p>
      <w:pPr>
        <w:spacing w:after="0" w:line="191" w:lineRule="exact"/>
        <w:rPr>
          <w:rFonts w:ascii="Times New Roman" w:cs="Times New Roman" w:eastAsia="Times New Roman" w:hAnsi="Times New Roman"/>
          <w:sz w:val="18"/>
          <w:szCs w:val="18"/>
          <w:color w:val="auto"/>
        </w:rPr>
      </w:pPr>
    </w:p>
    <w:p>
      <w:pPr>
        <w:ind w:right="100" w:firstLine="436"/>
        <w:spacing w:after="0" w:line="258"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pursuant to Rule 10b5-1 under the Exchange Act for the transfer of shares of Common Stock (a “</w:t>
      </w:r>
      <w:r>
        <w:rPr>
          <w:rFonts w:ascii="Times New Roman" w:cs="Times New Roman" w:eastAsia="Times New Roman" w:hAnsi="Times New Roman"/>
          <w:sz w:val="18"/>
          <w:szCs w:val="18"/>
          <w:b w:val="1"/>
          <w:bCs w:val="1"/>
          <w:color w:val="auto"/>
        </w:rPr>
        <w:t>10b5-1 Trading Plan</w:t>
      </w:r>
      <w:r>
        <w:rPr>
          <w:rFonts w:ascii="Times New Roman" w:cs="Times New Roman" w:eastAsia="Times New Roman" w:hAnsi="Times New Roman"/>
          <w:sz w:val="18"/>
          <w:szCs w:val="18"/>
          <w:color w:val="auto"/>
        </w:rPr>
        <w:t>”), provided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during the Restricted Period, such announcement or filing shall include a statement to the effect that no transfer of Common Stock may be made under such plan during the Restricted Period; or</w:t>
      </w:r>
    </w:p>
    <w:p>
      <w:pPr>
        <w:spacing w:after="0" w:line="183" w:lineRule="exact"/>
        <w:rPr>
          <w:rFonts w:ascii="Times New Roman" w:cs="Times New Roman" w:eastAsia="Times New Roman" w:hAnsi="Times New Roman"/>
          <w:sz w:val="18"/>
          <w:szCs w:val="18"/>
          <w:color w:val="auto"/>
        </w:rPr>
      </w:pPr>
    </w:p>
    <w:p>
      <w:pPr>
        <w:ind w:right="140" w:firstLine="436"/>
        <w:spacing w:after="0" w:line="26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of shares of Common Stock pursuant to a 10b5-1 Trading Plan (provided that such plan was established prior to the execution of this agreement by the undersigned),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filing under Section 16(a) of the Exchange Act that is made in connection with any such sales during the Restricted Period shall state that such sales have been executed under a 10b5-1 Trading Plan and shall also state the date such 10b5-1 Trading Plan was adopted;</w:t>
      </w:r>
    </w:p>
    <w:p>
      <w:pPr>
        <w:spacing w:after="0" w:line="178"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any transfer or distribution pursuant to clauses (b), (c), and (d) above, each donee, trustee, transferee or distributee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sign and deliver a lock-up agreement to the Representatives substantially in the form of this Lock-Up Agreement;</w:t>
      </w:r>
    </w:p>
    <w:p>
      <w:pPr>
        <w:spacing w:after="0" w:line="15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in the case of any transfer or distribution pursuant to clauses (b), (c), (d) and (h) above, no filing under Section 16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Exchange Act, reporting a reduction in beneficial ownership of shares of Common Stock and no other public announcement or filing shall be required or shall be voluntarily made during the Restricted Period (other than a filing in the case of a transfer pursuant to clause (b)(i) required pursuant to Section 16(a) of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filing shall state that such transfer is a bona fide gift and that such shares remain subject to the restrictions set forth herein);</w:t>
      </w:r>
    </w:p>
    <w:p>
      <w:pPr>
        <w:spacing w:after="0" w:line="183"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in the case of any transfer or distribution pursuant to clauses (b), (c), (d) and (e) above, such transfer or distribution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 a disposition for value; and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4" w:name="page45"/>
    <w:bookmarkEnd w:id="44"/>
    <w:p>
      <w:pPr>
        <w:ind w:left="4"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provided further </w:t>
      </w:r>
      <w:r>
        <w:rPr>
          <w:rFonts w:ascii="Times New Roman" w:cs="Times New Roman" w:eastAsia="Times New Roman" w:hAnsi="Times New Roman"/>
          <w:sz w:val="18"/>
          <w:szCs w:val="18"/>
          <w:color w:val="auto"/>
        </w:rPr>
        <w:t>that in the event of any transfer or distribution for which a public filing under Section 16 of the Exchange Act or any other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or announcement is permitted hereunder, the undersigned covenants and agrees to use commercially reasonable efforts to give the Representatives written notice at least one business day (which, for the avoidance of doubt, shall be at least a twenty-four (24) hour period) before such filing or announcement.</w:t>
      </w:r>
    </w:p>
    <w:p>
      <w:pPr>
        <w:spacing w:after="0" w:line="18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In addition, the undersigned agrees that, without the prior written consent of the Representatives on behalf of the Underwriters, it will not, during the Restricted Period, make any demand for or exercise any right with respect to, the registration of any shares of Common Stock or other Securities.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80"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The undersigned agrees that, to the extent that the terms of this Lock-Up Agreement conflict with or are in any way inconsistent with any prior investor rights agreement, prior registration rights agreement, prior market standoff agreement or any other prior lock-up or similar prior agreement to which the undersigned and the Company may be a party, this Lock-Up Agreement supersedes such prior agreement.</w:t>
      </w:r>
    </w:p>
    <w:p>
      <w:pPr>
        <w:spacing w:after="0" w:line="176"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7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w:t>
      </w:r>
    </w:p>
    <w:p>
      <w:pPr>
        <w:spacing w:after="0" w:line="189" w:lineRule="exact"/>
        <w:rPr>
          <w:sz w:val="20"/>
          <w:szCs w:val="20"/>
          <w:color w:val="auto"/>
        </w:rPr>
      </w:pPr>
    </w:p>
    <w:p>
      <w:pPr>
        <w:jc w:val="both"/>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Notwithstanding anything to the contrary contained herein, this agreement will automatically terminate and the undersigned will be released from all of his, her or its obligations hereunder upon the earliest to occur, if any, of (i) the date that the Company, on the one hand, or the Representatives, on the other hand, advises in writing prior to the execution of the Underwriting Agreement, that it has determined not to proceed with the Public Offering,</w:t>
      </w:r>
    </w:p>
    <w:p>
      <w:pPr>
        <w:spacing w:after="0" w:line="2" w:lineRule="exact"/>
        <w:rPr>
          <w:sz w:val="20"/>
          <w:szCs w:val="20"/>
          <w:color w:val="auto"/>
        </w:rPr>
      </w:pPr>
    </w:p>
    <w:p>
      <w:pPr>
        <w:ind w:left="264" w:hanging="264"/>
        <w:spacing w:after="0"/>
        <w:tabs>
          <w:tab w:leader="none" w:pos="2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the Company withdraws the Registration Statement related to the Public Offering before the execution of the Underwriting Agreement,</w:t>
      </w:r>
    </w:p>
    <w:p>
      <w:pPr>
        <w:spacing w:after="0" w:line="9" w:lineRule="exact"/>
        <w:rPr>
          <w:rFonts w:ascii="Times New Roman" w:cs="Times New Roman" w:eastAsia="Times New Roman" w:hAnsi="Times New Roman"/>
          <w:sz w:val="18"/>
          <w:szCs w:val="18"/>
          <w:color w:val="auto"/>
        </w:rPr>
      </w:pPr>
    </w:p>
    <w:p>
      <w:pPr>
        <w:jc w:val="both"/>
        <w:ind w:left="4" w:right="40" w:hanging="4"/>
        <w:spacing w:after="0" w:line="253" w:lineRule="auto"/>
        <w:tabs>
          <w:tab w:leader="none" w:pos="3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the Underwriting Agreement is executed but is terminated (other than the provisions thereof which survive termination) prior to payment for and delivery of the Shares to be sold thereunder or (iv) February 29, 2024 in the event that the Underwriting Agreement has not been executed by such date, provided that the Company may by written notice to the undersigned prior to February 29, 2024, extend such date for a period of up to an additional three months.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68" w:right="479" w:bottom="1440" w:gutter="0" w:footer="0" w:header="0"/>
        </w:sectPr>
      </w:pPr>
    </w:p>
    <w:bookmarkStart w:id="45" w:name="page46"/>
    <w:bookmarkEnd w:id="45"/>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hereby waives any and all notice requirements and rights with respect to the registration of securities pursuant to any agreement, understanding or anything otherwise setting forth the terms of any security of the Company held by the undersigned, including any registration rights agreement to which the undersigned and the Company may be a party; provided, however, that such waiver shall apply only to the proposed Public Offering, any other action taken by the Company in connection with the proposed Public Offering.</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undersigned and the Representatives hereby consent to receipt of this agreement in electronic form and understand and agree that this agreement may be signed electronically. In the event that any signature is delivered by facsimile transmission, electronic mail, or otherwise by electronic transmission evidencing an intent to sign this agreement (including any electronic signature complying with the U.S. federal ESIGN Act of 2000, e.g., www.docusign.com), such facsimile transmission, electronic mail or other electronic transmission shall create a valid and binding obligation of the undersigned with the same force and effect as if such signature were an original. Execution and delivery of this agreement by facsimile transmission, electronic mail or other electronic transmission is legal, valid and binding for all purposes.</w:t>
      </w:r>
    </w:p>
    <w:p>
      <w:pPr>
        <w:spacing w:after="0" w:line="18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57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Very truly yours,</w:t>
            </w:r>
          </w:p>
        </w:tc>
        <w:tc>
          <w:tcPr>
            <w:tcW w:w="80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59"/>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IF AN INDIVIDUAL:</w:t>
            </w:r>
          </w:p>
        </w:tc>
        <w:tc>
          <w:tcPr>
            <w:tcW w:w="5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IF AN ENTITY:</w:t>
            </w:r>
          </w:p>
        </w:tc>
      </w:tr>
      <w:tr>
        <w:trPr>
          <w:trHeight w:val="432"/>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80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30"/>
        </w:trPr>
        <w:tc>
          <w:tcPr>
            <w:tcW w:w="640" w:type="dxa"/>
            <w:vAlign w:val="bottom"/>
          </w:tcPr>
          <w:p>
            <w:pPr>
              <w:spacing w:after="0"/>
              <w:rPr>
                <w:sz w:val="19"/>
                <w:szCs w:val="19"/>
                <w:color w:val="auto"/>
              </w:rPr>
            </w:pPr>
          </w:p>
        </w:tc>
        <w:tc>
          <w:tcPr>
            <w:tcW w:w="4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(duly authorized signature)</w:t>
            </w:r>
          </w:p>
        </w:tc>
        <w:tc>
          <w:tcPr>
            <w:tcW w:w="540" w:type="dxa"/>
            <w:vAlign w:val="bottom"/>
          </w:tcPr>
          <w:p>
            <w:pPr>
              <w:spacing w:after="0"/>
              <w:rPr>
                <w:sz w:val="19"/>
                <w:szCs w:val="19"/>
                <w:color w:val="auto"/>
              </w:rPr>
            </w:pPr>
          </w:p>
        </w:tc>
        <w:tc>
          <w:tcPr>
            <w:tcW w:w="53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(please print complete name of entity)</w:t>
            </w:r>
          </w:p>
        </w:tc>
      </w:tr>
      <w:tr>
        <w:trPr>
          <w:trHeight w:val="412"/>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5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By:</w:t>
            </w:r>
          </w:p>
        </w:tc>
      </w:tr>
      <w:tr>
        <w:trPr>
          <w:trHeight w:val="230"/>
        </w:trPr>
        <w:tc>
          <w:tcPr>
            <w:tcW w:w="640" w:type="dxa"/>
            <w:vAlign w:val="bottom"/>
          </w:tcPr>
          <w:p>
            <w:pPr>
              <w:spacing w:after="0"/>
              <w:rPr>
                <w:sz w:val="19"/>
                <w:szCs w:val="19"/>
                <w:color w:val="auto"/>
              </w:rPr>
            </w:pPr>
          </w:p>
        </w:tc>
        <w:tc>
          <w:tcPr>
            <w:tcW w:w="4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(please print full name)</w:t>
            </w: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(duly authorized signature)</w:t>
            </w:r>
          </w:p>
        </w:tc>
      </w:tr>
      <w:tr>
        <w:trPr>
          <w:trHeight w:val="412"/>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Name:</w:t>
            </w:r>
          </w:p>
        </w:tc>
      </w:tr>
      <w:tr>
        <w:trPr>
          <w:trHeight w:val="230"/>
        </w:trPr>
        <w:tc>
          <w:tcPr>
            <w:tcW w:w="6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(please print full name)</w:t>
            </w:r>
          </w:p>
        </w:tc>
      </w:tr>
      <w:tr>
        <w:trPr>
          <w:trHeight w:val="412"/>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Title:</w:t>
            </w:r>
          </w:p>
        </w:tc>
      </w:tr>
      <w:tr>
        <w:trPr>
          <w:trHeight w:val="230"/>
        </w:trPr>
        <w:tc>
          <w:tcPr>
            <w:tcW w:w="6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(please print full title)</w:t>
            </w:r>
          </w:p>
        </w:tc>
      </w:tr>
      <w:tr>
        <w:trPr>
          <w:trHeight w:val="304"/>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w:t>
            </w:r>
          </w:p>
        </w:tc>
        <w:tc>
          <w:tcPr>
            <w:tcW w:w="5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Address:</w:t>
            </w:r>
          </w:p>
        </w:tc>
      </w:tr>
      <w:tr>
        <w:trPr>
          <w:trHeight w:val="432"/>
        </w:trPr>
        <w:tc>
          <w:tcPr>
            <w:tcW w:w="6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r>
        <w:trPr>
          <w:trHeight w:val="412"/>
        </w:trPr>
        <w:tc>
          <w:tcPr>
            <w:tcW w:w="6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17145</wp:posOffset>
            </wp:positionV>
            <wp:extent cx="65836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PRE-FUNDED WARRANT TO PURCHASE COMMON STOCK</w:t>
      </w:r>
    </w:p>
    <w:p>
      <w:pPr>
        <w:spacing w:after="0" w:line="229" w:lineRule="exact"/>
        <w:rPr>
          <w:sz w:val="20"/>
          <w:szCs w:val="20"/>
          <w:color w:val="auto"/>
        </w:rPr>
      </w:pPr>
    </w:p>
    <w:p>
      <w:pPr>
        <w:ind w:left="9304"/>
        <w:spacing w:after="0"/>
        <w:rPr>
          <w:sz w:val="20"/>
          <w:szCs w:val="20"/>
          <w:color w:val="auto"/>
        </w:rPr>
      </w:pPr>
      <w:r>
        <w:rPr>
          <w:rFonts w:ascii="Times New Roman" w:cs="Times New Roman" w:eastAsia="Times New Roman" w:hAnsi="Times New Roman"/>
          <w:sz w:val="17"/>
          <w:szCs w:val="17"/>
          <w:color w:val="auto"/>
        </w:rPr>
        <w:t>Number of Shares: [   ]</w:t>
      </w:r>
    </w:p>
    <w:p>
      <w:pPr>
        <w:spacing w:after="0" w:line="39" w:lineRule="exact"/>
        <w:rPr>
          <w:sz w:val="20"/>
          <w:szCs w:val="20"/>
          <w:color w:val="auto"/>
        </w:rPr>
      </w:pPr>
    </w:p>
    <w:p>
      <w:pPr>
        <w:ind w:left="9364"/>
        <w:spacing w:after="0"/>
        <w:rPr>
          <w:sz w:val="20"/>
          <w:szCs w:val="20"/>
          <w:color w:val="auto"/>
        </w:rPr>
      </w:pPr>
      <w:r>
        <w:rPr>
          <w:rFonts w:ascii="Times New Roman" w:cs="Times New Roman" w:eastAsia="Times New Roman" w:hAnsi="Times New Roman"/>
          <w:sz w:val="18"/>
          <w:szCs w:val="18"/>
          <w:color w:val="auto"/>
        </w:rPr>
        <w:t>(subject to adjustment)</w:t>
      </w:r>
    </w:p>
    <w:p>
      <w:pPr>
        <w:spacing w:after="0" w:line="234" w:lineRule="exact"/>
        <w:rPr>
          <w:sz w:val="20"/>
          <w:szCs w:val="20"/>
          <w:color w:val="auto"/>
        </w:rPr>
      </w:pPr>
    </w:p>
    <w:p>
      <w:pPr>
        <w:ind w:left="4"/>
        <w:spacing w:after="0"/>
        <w:tabs>
          <w:tab w:leader="none" w:pos="8744" w:val="left"/>
        </w:tabs>
        <w:rPr>
          <w:sz w:val="20"/>
          <w:szCs w:val="20"/>
          <w:color w:val="auto"/>
        </w:rPr>
      </w:pPr>
      <w:r>
        <w:rPr>
          <w:rFonts w:ascii="Times New Roman" w:cs="Times New Roman" w:eastAsia="Times New Roman" w:hAnsi="Times New Roman"/>
          <w:sz w:val="18"/>
          <w:szCs w:val="18"/>
          <w:color w:val="auto"/>
        </w:rPr>
        <w:t>Warrant No.</w:t>
      </w:r>
      <w:r>
        <w:rPr>
          <w:sz w:val="20"/>
          <w:szCs w:val="20"/>
          <w:color w:val="auto"/>
        </w:rPr>
        <w:tab/>
      </w:r>
      <w:r>
        <w:rPr>
          <w:rFonts w:ascii="Times New Roman" w:cs="Times New Roman" w:eastAsia="Times New Roman" w:hAnsi="Times New Roman"/>
          <w:sz w:val="17"/>
          <w:szCs w:val="17"/>
          <w:color w:val="auto"/>
        </w:rPr>
        <w:t>Original Issue Date: [   ], 2024</w:t>
      </w:r>
    </w:p>
    <w:p>
      <w:pPr>
        <w:spacing w:after="0" w:line="223" w:lineRule="exact"/>
        <w:rPr>
          <w:sz w:val="20"/>
          <w:szCs w:val="20"/>
          <w:color w:val="auto"/>
        </w:rPr>
      </w:pPr>
    </w:p>
    <w:p>
      <w:pPr>
        <w:ind w:left="4" w:right="260"/>
        <w:spacing w:after="0" w:line="256" w:lineRule="auto"/>
        <w:rPr>
          <w:sz w:val="20"/>
          <w:szCs w:val="20"/>
          <w:color w:val="auto"/>
        </w:rPr>
      </w:pPr>
      <w:r>
        <w:rPr>
          <w:rFonts w:ascii="Times New Roman" w:cs="Times New Roman" w:eastAsia="Times New Roman" w:hAnsi="Times New Roman"/>
          <w:sz w:val="18"/>
          <w:szCs w:val="18"/>
          <w:color w:val="auto"/>
        </w:rPr>
        <w:t>Tenaya Therapeutics,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 ] or its registered assigns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 ] shares of common stock, $0.001 par value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i w:val="1"/>
          <w:i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i w:val="1"/>
          <w:iCs w:val="1"/>
          <w:color w:val="auto"/>
        </w:rPr>
        <w:t>Warrant Shares</w:t>
      </w:r>
      <w:r>
        <w:rPr>
          <w:rFonts w:ascii="Times New Roman" w:cs="Times New Roman" w:eastAsia="Times New Roman" w:hAnsi="Times New Roman"/>
          <w:sz w:val="18"/>
          <w:szCs w:val="18"/>
          <w:color w:val="auto"/>
        </w:rPr>
        <w:t xml:space="preserve">”) at an exercise price per share equal to $0.001 per share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herein, the “</w:t>
      </w: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xml:space="preserve">”), upon surrender of this </w:t>
      </w:r>
      <w:r>
        <w:rPr>
          <w:rFonts w:ascii="Times New Roman" w:cs="Times New Roman" w:eastAsia="Times New Roman" w:hAnsi="Times New Roman"/>
          <w:sz w:val="18"/>
          <w:szCs w:val="18"/>
          <w:i w:val="1"/>
          <w:iCs w:val="1"/>
          <w:color w:val="auto"/>
        </w:rPr>
        <w:t>Warrant to Purchase Common Stock</w:t>
      </w:r>
      <w:r>
        <w:rPr>
          <w:rFonts w:ascii="Times New Roman" w:cs="Times New Roman" w:eastAsia="Times New Roman" w:hAnsi="Times New Roman"/>
          <w:sz w:val="18"/>
          <w:szCs w:val="18"/>
          <w:color w:val="auto"/>
        </w:rPr>
        <w:t xml:space="preserve"> (including any </w:t>
      </w:r>
      <w:r>
        <w:rPr>
          <w:rFonts w:ascii="Times New Roman" w:cs="Times New Roman" w:eastAsia="Times New Roman" w:hAnsi="Times New Roman"/>
          <w:sz w:val="18"/>
          <w:szCs w:val="18"/>
          <w:i w:val="1"/>
          <w:iCs w:val="1"/>
          <w:color w:val="auto"/>
        </w:rPr>
        <w:t>Warrants to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issued in exchange, transfer or replacement hereof, the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at any time and from time to time on or after the date hereof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Original Issue Date</w:t>
      </w:r>
      <w:r>
        <w:rPr>
          <w:rFonts w:ascii="Times New Roman" w:cs="Times New Roman" w:eastAsia="Times New Roman" w:hAnsi="Times New Roman"/>
          <w:sz w:val="18"/>
          <w:szCs w:val="18"/>
          <w:color w:val="auto"/>
        </w:rPr>
        <w:t>”), subject to the following terms and conditions:</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117" w:lineRule="exact"/>
        <w:rPr>
          <w:sz w:val="20"/>
          <w:szCs w:val="20"/>
          <w:color w:val="auto"/>
        </w:rPr>
      </w:pPr>
    </w:p>
    <w:p>
      <w:pPr>
        <w:ind w:left="4" w:right="20" w:hanging="4"/>
        <w:spacing w:after="0" w:line="277" w:lineRule="auto"/>
        <w:tabs>
          <w:tab w:leader="none" w:pos="249"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“Affiliate”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w:t>
      </w:r>
    </w:p>
    <w:p>
      <w:pPr>
        <w:spacing w:after="0" w:line="165"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4" w:hanging="4"/>
        <w:spacing w:after="0" w:line="253" w:lineRule="auto"/>
        <w:tabs>
          <w:tab w:leader="none" w:pos="24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in good faith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9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4" w:right="220" w:hanging="4"/>
        <w:spacing w:after="0" w:line="284" w:lineRule="auto"/>
        <w:tabs>
          <w:tab w:leader="none" w:pos="24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Global Select Market.</w:t>
      </w:r>
    </w:p>
    <w:p>
      <w:pPr>
        <w:spacing w:after="0" w:line="158"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means the Company’s Registration Statement on Form S-3 (File No. 333-266741), declared effective on August 17, 2022.</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ectPr>
          <w:pgSz w:w="11900" w:h="16838" w:orient="portrait"/>
          <w:cols w:equalWidth="0" w:num="1">
            <w:col w:w="11024"/>
          </w:cols>
          <w:pgMar w:left="436" w:top="117" w:right="439" w:bottom="1440" w:gutter="0" w:footer="0" w:header="0"/>
        </w:sectPr>
      </w:pPr>
    </w:p>
    <w:bookmarkStart w:id="48" w:name="page49"/>
    <w:bookmarkEnd w:id="48"/>
    <w:p>
      <w:pPr>
        <w:ind w:left="264" w:hanging="264"/>
        <w:spacing w:after="0"/>
        <w:tabs>
          <w:tab w:leader="none" w:pos="2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rFonts w:ascii="Times New Roman" w:cs="Times New Roman" w:eastAsia="Times New Roman" w:hAnsi="Times New Roman"/>
          <w:sz w:val="18"/>
          <w:szCs w:val="18"/>
          <w:color w:val="auto"/>
        </w:rPr>
      </w:pPr>
    </w:p>
    <w:p>
      <w:pPr>
        <w:ind w:left="4" w:right="80" w:hanging="4"/>
        <w:spacing w:after="0" w:line="284" w:lineRule="auto"/>
        <w:tabs>
          <w:tab w:leader="none" w:pos="21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160" w:lineRule="exact"/>
        <w:rPr>
          <w:sz w:val="20"/>
          <w:szCs w:val="20"/>
          <w:color w:val="auto"/>
        </w:rPr>
      </w:pPr>
    </w:p>
    <w:p>
      <w:pPr>
        <w:ind w:left="4" w:hanging="4"/>
        <w:spacing w:after="0" w:line="254" w:lineRule="auto"/>
        <w:tabs>
          <w:tab w:leader="none" w:pos="18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 Registration of Warrants</w:t>
      </w:r>
      <w:r>
        <w:rPr>
          <w:rFonts w:ascii="Times New Roman" w:cs="Times New Roman" w:eastAsia="Times New Roman" w:hAnsi="Times New Roman"/>
          <w:sz w:val="18"/>
          <w:szCs w:val="18"/>
          <w:color w:val="auto"/>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Exchange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cs="Times New Roman" w:eastAsia="Times New Roman" w:hAnsi="Times New Roman"/>
          <w:sz w:val="18"/>
          <w:szCs w:val="18"/>
          <w:i w:val="1"/>
          <w:i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91" w:lineRule="exact"/>
        <w:rPr>
          <w:rFonts w:ascii="Times New Roman" w:cs="Times New Roman" w:eastAsia="Times New Roman" w:hAnsi="Times New Roman"/>
          <w:sz w:val="18"/>
          <w:szCs w:val="18"/>
          <w:color w:val="auto"/>
        </w:rPr>
      </w:pPr>
    </w:p>
    <w:p>
      <w:pPr>
        <w:ind w:left="4" w:hanging="4"/>
        <w:spacing w:after="0" w:line="254" w:lineRule="auto"/>
        <w:tabs>
          <w:tab w:leader="none" w:pos="18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i w:val="1"/>
          <w:i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88"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and Duration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00" w:hanging="4"/>
        <w:spacing w:after="0" w:line="282" w:lineRule="auto"/>
        <w:tabs>
          <w:tab w:leader="none" w:pos="2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this Warrant shall be exercisable by the registered Holder in any manner permitted by this Warrant at any time and from time to time on or after the Original Issue Date.</w:t>
      </w:r>
    </w:p>
    <w:p>
      <w:pPr>
        <w:spacing w:after="0" w:line="159" w:lineRule="exact"/>
        <w:rPr>
          <w:rFonts w:ascii="Times New Roman" w:cs="Times New Roman" w:eastAsia="Times New Roman" w:hAnsi="Times New Roman"/>
          <w:sz w:val="18"/>
          <w:szCs w:val="18"/>
          <w:color w:val="auto"/>
        </w:rPr>
      </w:pPr>
    </w:p>
    <w:p>
      <w:pPr>
        <w:ind w:left="4" w:right="20" w:hanging="4"/>
        <w:spacing w:after="0" w:line="254" w:lineRule="auto"/>
        <w:tabs>
          <w:tab w:leader="none" w:pos="2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i w:val="1"/>
          <w:i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completed and duly signed, and (ii) payment of the Exercise Price for the number of Warrant Shares as to which this Warrant is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i w:val="1"/>
          <w:i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aggregate exercise price of this Warrant, except for the Exercise Price, was pre-funded to the Company on or before the Original Issue Date, and consequently no additional consideration (other than the Exercise Price) shall be required by to be paid by the Holder to effect any exercise of this Warrant. The Holder shall not be entitled to the return or refund of all, or any portion, of such pre-funded exercise price under any circumstance or for any reason whatsoever.</w:t>
      </w:r>
    </w:p>
    <w:p>
      <w:pPr>
        <w:spacing w:after="0" w:line="187" w:lineRule="exact"/>
        <w:rPr>
          <w:sz w:val="20"/>
          <w:szCs w:val="20"/>
          <w:color w:val="auto"/>
        </w:rPr>
      </w:pPr>
    </w:p>
    <w:p>
      <w:pPr>
        <w:ind w:left="184" w:hanging="184"/>
        <w:spacing w:after="0"/>
        <w:tabs>
          <w:tab w:leader="none" w:pos="18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hanging="4"/>
        <w:spacing w:after="0" w:line="253" w:lineRule="auto"/>
        <w:tabs>
          <w:tab w:leader="none" w:pos="24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promptly (but in no event later than three (3) Trading Days after the Exercise Date), upon the request of the Holder, credit such aggregate number of shares of Common Stock to which the Holder is entitled pursuant to such exercise to the Holder’s or its designee’s balance account with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through its Deposit Withdrawal Agent Commission system, or if the Transfer Agent is not participating in the Fast Automated Securities Transfer Program (the “</w:t>
      </w:r>
      <w:r>
        <w:rPr>
          <w:rFonts w:ascii="Times New Roman" w:cs="Times New Roman" w:eastAsia="Times New Roman" w:hAnsi="Times New Roman"/>
          <w:sz w:val="18"/>
          <w:szCs w:val="18"/>
          <w:i w:val="1"/>
          <w:iCs w:val="1"/>
          <w:color w:val="auto"/>
        </w:rPr>
        <w:t>FAST Program</w:t>
      </w:r>
      <w:r>
        <w:rPr>
          <w:rFonts w:ascii="Times New Roman" w:cs="Times New Roman" w:eastAsia="Times New Roman" w:hAnsi="Times New Roman"/>
          <w:sz w:val="18"/>
          <w:szCs w:val="18"/>
          <w:color w:val="auto"/>
        </w:rPr>
        <w:t>”)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DTC (or its nominee) or any natural person or legal entity (each, a “Person”)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w:t>
      </w:r>
    </w:p>
    <w:p>
      <w:pPr>
        <w:sectPr>
          <w:pgSz w:w="11900" w:h="16838" w:orient="portrait"/>
          <w:cols w:equalWidth="0" w:num="1">
            <w:col w:w="11004"/>
          </w:cols>
          <w:pgMar w:left="436" w:top="268" w:right="459" w:bottom="1440" w:gutter="0" w:footer="0" w:header="0"/>
        </w:sectPr>
      </w:pPr>
    </w:p>
    <w:bookmarkStart w:id="49" w:name="page50"/>
    <w:bookmarkEnd w:id="49"/>
    <w:p>
      <w:pPr>
        <w:ind w:left="4" w:hanging="4"/>
        <w:spacing w:after="0" w:line="234" w:lineRule="auto"/>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by the close of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Trading Day after the Exercise Date, the Company fails to deliver to the Holder a certificate representing the required number of Warrant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or fails to credit the Holder’s balance account with DTC for such number of Warrant Shares to which the Holder is entitled, and if after such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Trading Day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i w:val="1"/>
          <w:iCs w:val="1"/>
          <w:color w:val="auto"/>
        </w:rPr>
        <w:t>Buy-In</w:t>
      </w:r>
      <w:r>
        <w:rPr>
          <w:rFonts w:ascii="Times New Roman" w:cs="Times New Roman" w:eastAsia="Times New Roman" w:hAnsi="Times New Roman"/>
          <w:sz w:val="18"/>
          <w:szCs w:val="18"/>
          <w:color w:val="auto"/>
        </w:rPr>
        <w:t>”), then the Company shall, within three (3) Trading Days after the Holder’s request and in the Holder’s sole discretion, either (1) pay in cash to the Holder an amount equal to the Holder’s total purchase price (including brokerage commissions, if any) for the shares of Common Stock so purchased, at which point the Company’s obligation to deliver such certificate (and to issue such Warrant Shares) shall terminate or (2)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w:t>
      </w:r>
    </w:p>
    <w:p>
      <w:pPr>
        <w:spacing w:after="0" w:line="206" w:lineRule="exact"/>
        <w:rPr>
          <w:rFonts w:ascii="Times New Roman" w:cs="Times New Roman" w:eastAsia="Times New Roman" w:hAnsi="Times New Roman"/>
          <w:sz w:val="18"/>
          <w:szCs w:val="18"/>
          <w:color w:val="auto"/>
        </w:rPr>
      </w:pPr>
    </w:p>
    <w:p>
      <w:pPr>
        <w:ind w:left="4" w:hanging="4"/>
        <w:spacing w:after="0" w:line="254" w:lineRule="auto"/>
        <w:tabs>
          <w:tab w:leader="none" w:pos="24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and subject to Section 5(b),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spacing w:after="0" w:line="188" w:lineRule="exact"/>
        <w:rPr>
          <w:sz w:val="20"/>
          <w:szCs w:val="20"/>
          <w:color w:val="auto"/>
        </w:rPr>
      </w:pPr>
    </w:p>
    <w:p>
      <w:pPr>
        <w:ind w:left="4" w:right="80" w:hanging="4"/>
        <w:spacing w:after="0" w:line="256" w:lineRule="auto"/>
        <w:tabs>
          <w:tab w:leader="none" w:pos="1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7" w:lineRule="exact"/>
        <w:rPr>
          <w:rFonts w:ascii="Times New Roman" w:cs="Times New Roman" w:eastAsia="Times New Roman" w:hAnsi="Times New Roman"/>
          <w:sz w:val="18"/>
          <w:szCs w:val="18"/>
          <w:color w:val="auto"/>
        </w:rPr>
      </w:pPr>
    </w:p>
    <w:p>
      <w:pPr>
        <w:ind w:left="4" w:right="20" w:hanging="4"/>
        <w:spacing w:after="0" w:line="255" w:lineRule="auto"/>
        <w:tabs>
          <w:tab w:leader="none" w:pos="1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88" w:lineRule="exact"/>
        <w:rPr>
          <w:rFonts w:ascii="Times New Roman" w:cs="Times New Roman" w:eastAsia="Times New Roman" w:hAnsi="Times New Roman"/>
          <w:sz w:val="18"/>
          <w:szCs w:val="18"/>
          <w:color w:val="auto"/>
        </w:rPr>
      </w:pPr>
    </w:p>
    <w:p>
      <w:pPr>
        <w:ind w:left="4" w:right="20" w:hanging="4"/>
        <w:spacing w:after="0" w:line="256" w:lineRule="auto"/>
        <w:tabs>
          <w:tab w:leader="none" w:pos="1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Warrant Shares</w:t>
      </w:r>
      <w:r>
        <w:rPr>
          <w:rFonts w:ascii="Times New Roman" w:cs="Times New Roman" w:eastAsia="Times New Roman" w:hAnsi="Times New Roman"/>
          <w:sz w:val="18"/>
          <w:szCs w:val="18"/>
          <w:color w:val="auto"/>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w:t>
      </w:r>
    </w:p>
    <w:p>
      <w:pPr>
        <w:sectPr>
          <w:pgSz w:w="11900" w:h="16838" w:orient="portrait"/>
          <w:cols w:equalWidth="0" w:num="1">
            <w:col w:w="11004"/>
          </w:cols>
          <w:pgMar w:left="436" w:top="270" w:right="459" w:bottom="1440" w:gutter="0" w:footer="0" w:header="0"/>
        </w:sectPr>
      </w:pPr>
    </w:p>
    <w:bookmarkStart w:id="50" w:name="page51"/>
    <w:bookmarkEnd w:id="50"/>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hereof, be duly and validly authorized, issued and fully paid and non-assessable. The Company will take all commercially reasonable actions as may be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183" w:lineRule="exact"/>
        <w:rPr>
          <w:sz w:val="20"/>
          <w:szCs w:val="20"/>
          <w:color w:val="auto"/>
        </w:rPr>
      </w:pPr>
    </w:p>
    <w:p>
      <w:pPr>
        <w:ind w:left="4" w:right="60" w:hanging="4"/>
        <w:spacing w:after="0" w:line="282" w:lineRule="auto"/>
        <w:tabs>
          <w:tab w:leader="none" w:pos="18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xml:space="preserve">. The Exercise Price and number of Warrant Shares issuable upon exercise of this Warrant are subject to adjustment from time to 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hanging="4"/>
        <w:spacing w:after="0" w:line="253" w:lineRule="auto"/>
        <w:tabs>
          <w:tab w:leader="none" w:pos="24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as described in the Registration Statement,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w:t>
      </w:r>
    </w:p>
    <w:p>
      <w:pPr>
        <w:spacing w:after="0" w:line="189" w:lineRule="exact"/>
        <w:rPr>
          <w:rFonts w:ascii="Times New Roman" w:cs="Times New Roman" w:eastAsia="Times New Roman" w:hAnsi="Times New Roman"/>
          <w:sz w:val="18"/>
          <w:szCs w:val="18"/>
          <w:color w:val="auto"/>
        </w:rPr>
      </w:pPr>
    </w:p>
    <w:p>
      <w:pPr>
        <w:ind w:left="4" w:right="360" w:hanging="4"/>
        <w:spacing w:after="0" w:line="276" w:lineRule="auto"/>
        <w:tabs>
          <w:tab w:leader="none" w:pos="259"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 Rata Distributions</w:t>
      </w:r>
      <w:r>
        <w:rPr>
          <w:rFonts w:ascii="Times New Roman" w:cs="Times New Roman" w:eastAsia="Times New Roman" w:hAnsi="Times New Roman"/>
          <w:sz w:val="17"/>
          <w:szCs w:val="17"/>
          <w:color w:val="auto"/>
        </w:rPr>
        <w:t>. If the Company, at any time while this Warrant is outstanding, distributes to all holders of Common Stock for no consideration (i) evidences of its indebtedness, (ii) any security (other than a distribution of Common Stock covered by the preceding paragraph) or</w:t>
      </w:r>
    </w:p>
    <w:p>
      <w:pPr>
        <w:ind w:left="4" w:right="60" w:hanging="4"/>
        <w:spacing w:after="0" w:line="253" w:lineRule="auto"/>
        <w:tabs>
          <w:tab w:leader="none" w:pos="3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or warrants to subscribe for or purchase any security, or (iv) cash or any other asset (in each case, “</w:t>
      </w:r>
      <w:r>
        <w:rPr>
          <w:rFonts w:ascii="Times New Roman" w:cs="Times New Roman" w:eastAsia="Times New Roman" w:hAnsi="Times New Roman"/>
          <w:sz w:val="18"/>
          <w:szCs w:val="18"/>
          <w:i w:val="1"/>
          <w:iCs w:val="1"/>
          <w:color w:val="auto"/>
        </w:rPr>
        <w:t>Distributed Property</w:t>
      </w:r>
      <w:r>
        <w:rPr>
          <w:rFonts w:ascii="Times New Roman" w:cs="Times New Roman" w:eastAsia="Times New Roman" w:hAnsi="Times New Roman"/>
          <w:sz w:val="18"/>
          <w:szCs w:val="18"/>
          <w:color w:val="auto"/>
        </w:rPr>
        <w:t>”), then, upon any exercise of this Warrant that occurs after the record date fixed for determination of stockholders entitled to receive such distribution, the Holder shall be entitled to receive, in addition to the Warrant Shares otherwise issuable upon such exercise (if applicable), the Distributed Property that such Holder would have been entitled to receive in respect of such number of Warrant Shares had the Holder been the record holder of such Warrant Shares immediately prior to such record date without regard to any limitation on exercise contained therein.</w:t>
      </w:r>
    </w:p>
    <w:p>
      <w:pPr>
        <w:spacing w:after="0" w:line="186" w:lineRule="exact"/>
        <w:rPr>
          <w:rFonts w:ascii="Times New Roman" w:cs="Times New Roman" w:eastAsia="Times New Roman" w:hAnsi="Times New Roman"/>
          <w:sz w:val="18"/>
          <w:szCs w:val="18"/>
          <w:color w:val="auto"/>
        </w:rPr>
      </w:pPr>
    </w:p>
    <w:p>
      <w:pPr>
        <w:ind w:left="4" w:hanging="4"/>
        <w:spacing w:after="0" w:line="252" w:lineRule="auto"/>
        <w:tabs>
          <w:tab w:leader="none" w:pos="2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If, at any time while this Warrant is outstanding (i) the Company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provided, however, the foregoing shall not include transactions for which the primary purpose is raising capital,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i w:val="1"/>
          <w:iCs w:val="1"/>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w:t>
      </w:r>
    </w:p>
    <w:p>
      <w:pPr>
        <w:sectPr>
          <w:pgSz w:w="11900" w:h="16838" w:orient="portrait"/>
          <w:cols w:equalWidth="0" w:num="1">
            <w:col w:w="10984"/>
          </w:cols>
          <w:pgMar w:left="436" w:top="270" w:right="479" w:bottom="1440" w:gutter="0" w:footer="0" w:header="0"/>
        </w:sectPr>
      </w:pPr>
    </w:p>
    <w:bookmarkStart w:id="51" w:name="page52"/>
    <w:bookmarkEnd w:id="51"/>
    <w:p>
      <w:pPr>
        <w:ind w:left="4"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Warrant without regard to any limitations on exercise contained herein. In the event the Holder does not exercise this Warrant as contemplated by the foregoing sentence, this Warrant shall be deemed exercised in full without regard to any limitations on exercise contained herein pursuant to the “cashless exercise” provision in Section 10 hereof upon the effective date of the consummation of such Fundamental Transaction.</w:t>
      </w:r>
    </w:p>
    <w:p>
      <w:pPr>
        <w:spacing w:after="0" w:line="176" w:lineRule="exact"/>
        <w:rPr>
          <w:sz w:val="20"/>
          <w:szCs w:val="20"/>
          <w:color w:val="auto"/>
        </w:rPr>
      </w:pPr>
    </w:p>
    <w:p>
      <w:pPr>
        <w:ind w:left="4" w:right="20" w:hanging="4"/>
        <w:spacing w:after="0" w:line="261"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Exercise Price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spacing w:after="0" w:line="179"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one-tenth of one cent or the nearest share, as applicable.</w:t>
      </w:r>
    </w:p>
    <w:p>
      <w:pPr>
        <w:spacing w:after="0" w:line="225" w:lineRule="exact"/>
        <w:rPr>
          <w:rFonts w:ascii="Times New Roman" w:cs="Times New Roman" w:eastAsia="Times New Roman" w:hAnsi="Times New Roman"/>
          <w:sz w:val="18"/>
          <w:szCs w:val="18"/>
          <w:color w:val="auto"/>
        </w:rPr>
      </w:pPr>
    </w:p>
    <w:p>
      <w:pPr>
        <w:ind w:left="4" w:right="100" w:hanging="4"/>
        <w:spacing w:after="0" w:line="256" w:lineRule="auto"/>
        <w:tabs>
          <w:tab w:leader="none" w:pos="22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87"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other than a Fundamental Transaction under clause (iii) of Section 9(c), the Company shall deliver to the Holder a notice of such Fundamental Transaction at least thirty (30) days prior to the date such Fundamental Transaction is consummated. Holder agrees to maintain any information disclosed pursuant to this Section 9(g) in confidence until such information is publicly available, and shall comply with applicable law with respect to trading in the Company’s securities following receipt any such information.</w:t>
      </w:r>
    </w:p>
    <w:p>
      <w:pPr>
        <w:spacing w:after="0" w:line="187" w:lineRule="exact"/>
        <w:rPr>
          <w:sz w:val="20"/>
          <w:szCs w:val="20"/>
          <w:color w:val="auto"/>
        </w:rPr>
      </w:pPr>
    </w:p>
    <w:p>
      <w:pPr>
        <w:ind w:left="4" w:right="80" w:hanging="4"/>
        <w:spacing w:after="0" w:line="266" w:lineRule="auto"/>
        <w:tabs>
          <w:tab w:leader="none" w:pos="27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225" w:lineRule="exact"/>
        <w:rPr>
          <w:sz w:val="20"/>
          <w:szCs w:val="20"/>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“A” equals the Closing Sale Price per share of Common Stock (as reported by Bloomberg Financial Markets) as of the Trading Day on the date immediately preceding the Exercise Date; and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equals the Exercise Price per Warrant Share then in effect on the Exercise Date.</w:t>
      </w:r>
    </w:p>
    <w:p>
      <w:pPr>
        <w:sectPr>
          <w:pgSz w:w="11900" w:h="16838" w:orient="portrait"/>
          <w:cols w:equalWidth="0" w:num="1">
            <w:col w:w="11004"/>
          </w:cols>
          <w:pgMar w:left="436" w:top="270" w:right="459" w:bottom="1440" w:gutter="0" w:footer="0" w:header="0"/>
        </w:sectPr>
      </w:pPr>
    </w:p>
    <w:bookmarkStart w:id="52" w:name="page53"/>
    <w:bookmarkEnd w:id="52"/>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 In the event that the Registration Statement or another registration statement registering the issuance of Warrant Shares is, for any reason, not effective at the time of exercise of this Warrant, then the Warrant may only be exercised through a cashless exercise, as set forth in this Section 10. Except as set forth in Section 5(b) (Buy-In remedy) and Section 12 (payment of cash in lieu of fractional shares), in no event will the exercise of this Warrant be settled in cash.</w:t>
      </w:r>
    </w:p>
    <w:p>
      <w:pPr>
        <w:spacing w:after="0" w:line="189" w:lineRule="exact"/>
        <w:rPr>
          <w:sz w:val="20"/>
          <w:szCs w:val="20"/>
          <w:color w:val="auto"/>
        </w:rPr>
      </w:pPr>
    </w:p>
    <w:p>
      <w:pPr>
        <w:ind w:left="264" w:hanging="264"/>
        <w:spacing w:after="0"/>
        <w:tabs>
          <w:tab w:leader="none" w:pos="26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hanging="4"/>
        <w:spacing w:after="0" w:line="251" w:lineRule="auto"/>
        <w:tabs>
          <w:tab w:leader="none" w:pos="24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Persons who are members of a Section 13(d) group with such Holder or its Affiliates to exceed 9.99% (the “Maximum Percentage”) of the total number of issued and outstanding shares of Common Stock of the Company following such exercise, or (ii) the combined voting power of the securities of the Company beneficially owned by the Holder and its Affiliates and any other Persons who are members of a Section 13(d) group with such Holder or its Affiliates to exceed the Maximum Percentage of the combined voting power of all of the securities of the Company then outstanding following such exercise. For purposes of this paragraph, beneficial ownership and whether a holder is a member of a Section 13(d) group shall be calculated and determined in accordance with Section 13(d) of the Exchange Act and the rules promulgated thereunder. For purposes of this Warrant, in determining the number of outstanding shares of Common Stock, the Holder may rely on the number of outstanding shares of Common Stock as reflected in (x) the Company’s most recent Quarterly Report on Form 10-Q or Annual Report on Form 10-K, as the case may be, (y) a more recent public announcement by the Company or (z) any other written notice by the Company or the Transfer Agent setting forth the number of shares of Common Stock outstanding. Upon the written request of the Holder, the Company shall within three (3)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specified not in excess of 19.99% specified in such notice; provided that any such increase will not be effective until the sixty-first (61st) day after such notice is delivered to the Company. For purposes of this Section 11(a), the aggregate number of shares of Common Stock or voting securities beneficially owned by the Holder and its Affiliates and any other Persons who are members of a Section 13(d) group with such Holder or its Affiliates shall include the shares of Common Stock issuable upon (x) the exercise of this Warrant with respect to which such determination is being made, but shall exclude the number of shares of Common Stock which would be issuable upon exercise of the remaining unexercised and non-cancelled portion of this Warrant by the Holder and (y) the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but excluding such shares underlying such instrument which is subject to a limitation on conversion or exercise analogous to the limitation contained herein.</w:t>
      </w:r>
    </w:p>
    <w:p>
      <w:pPr>
        <w:spacing w:after="0" w:line="203" w:lineRule="exact"/>
        <w:rPr>
          <w:rFonts w:ascii="Times New Roman" w:cs="Times New Roman" w:eastAsia="Times New Roman" w:hAnsi="Times New Roman"/>
          <w:sz w:val="18"/>
          <w:szCs w:val="18"/>
          <w:color w:val="auto"/>
        </w:rPr>
      </w:pPr>
    </w:p>
    <w:p>
      <w:pPr>
        <w:jc w:val="both"/>
        <w:ind w:left="4" w:right="120" w:hanging="4"/>
        <w:spacing w:after="0" w:line="266" w:lineRule="auto"/>
        <w:tabs>
          <w:tab w:leader="none" w:pos="25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Warrant.</w:t>
      </w:r>
    </w:p>
    <w:p>
      <w:pPr>
        <w:spacing w:after="0" w:line="176" w:lineRule="exact"/>
        <w:rPr>
          <w:sz w:val="20"/>
          <w:szCs w:val="20"/>
          <w:color w:val="auto"/>
        </w:rPr>
      </w:pPr>
    </w:p>
    <w:p>
      <w:pPr>
        <w:jc w:val="both"/>
        <w:ind w:left="4" w:right="260" w:hanging="4"/>
        <w:spacing w:after="0" w:line="266" w:lineRule="auto"/>
        <w:tabs>
          <w:tab w:leader="none" w:pos="27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5" w:lineRule="exact"/>
        <w:rPr>
          <w:rFonts w:ascii="Times New Roman" w:cs="Times New Roman" w:eastAsia="Times New Roman" w:hAnsi="Times New Roman"/>
          <w:sz w:val="18"/>
          <w:szCs w:val="18"/>
          <w:color w:val="auto"/>
        </w:rPr>
      </w:pPr>
    </w:p>
    <w:p>
      <w:pPr>
        <w:ind w:left="4" w:right="40" w:hanging="4"/>
        <w:spacing w:after="0" w:line="289" w:lineRule="auto"/>
        <w:tabs>
          <w:tab w:leader="none" w:pos="27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facsimile or e-mail at the facsimile number or e-mail address specified in the books and records of the Transfer Agent prior to 5:30 P.M., New York City time, on a</w:t>
      </w:r>
    </w:p>
    <w:p>
      <w:pPr>
        <w:sectPr>
          <w:pgSz w:w="11900" w:h="16838" w:orient="portrait"/>
          <w:cols w:equalWidth="0" w:num="1">
            <w:col w:w="11004"/>
          </w:cols>
          <w:pgMar w:left="436" w:top="270" w:right="459" w:bottom="1440" w:gutter="0" w:footer="0" w:header="0"/>
        </w:sectPr>
      </w:pPr>
    </w:p>
    <w:bookmarkStart w:id="53" w:name="page54"/>
    <w:bookmarkEnd w:id="5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Trading Day so long as the sender of an e-mail has not received an automated notice of delivery failure from the proposed recipient’s computer server,</w:t>
      </w:r>
    </w:p>
    <w:p>
      <w:pPr>
        <w:spacing w:after="0" w:line="27" w:lineRule="exact"/>
        <w:rPr>
          <w:sz w:val="20"/>
          <w:szCs w:val="20"/>
          <w:color w:val="auto"/>
        </w:rPr>
      </w:pPr>
    </w:p>
    <w:p>
      <w:pPr>
        <w:ind w:left="4" w:right="120" w:hanging="4"/>
        <w:spacing w:after="0" w:line="253" w:lineRule="auto"/>
        <w:tabs>
          <w:tab w:leader="none" w:pos="26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 Trading Day after the date of transmission, if such notice or communication is delivered via facsimile or e-mail at the facsimile number or e-mail address specified in the books and records of the Transfer Agent on a day that is not a Trading Day or later than 5:30 P.M., New York City time, on any Trading Day so long as the sender of an e-mail has not received an automated notice of delivery failure from the proposed recipient’s computer server,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87" w:lineRule="exact"/>
        <w:rPr>
          <w:sz w:val="20"/>
          <w:szCs w:val="20"/>
          <w:color w:val="auto"/>
        </w:rPr>
      </w:pPr>
    </w:p>
    <w:p>
      <w:pPr>
        <w:ind w:left="264" w:hanging="264"/>
        <w:spacing w:after="0"/>
        <w:tabs>
          <w:tab w:leader="none" w:pos="2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The Company shall initially serve as warrant agent under this Warrant. Upon thirty (30) days’ notice to the Holder, the Company</w:t>
      </w:r>
    </w:p>
    <w:p>
      <w:pPr>
        <w:spacing w:after="0" w:line="27" w:lineRule="exact"/>
        <w:rPr>
          <w:rFonts w:ascii="Times New Roman" w:cs="Times New Roman" w:eastAsia="Times New Roman" w:hAnsi="Times New Roman"/>
          <w:sz w:val="18"/>
          <w:szCs w:val="18"/>
          <w:color w:val="auto"/>
        </w:rPr>
      </w:pPr>
    </w:p>
    <w:p>
      <w:pPr>
        <w:ind w:left="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hanging="4"/>
        <w:spacing w:after="0" w:line="254" w:lineRule="auto"/>
        <w:tabs>
          <w:tab w:leader="none" w:pos="24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91" w:lineRule="exact"/>
        <w:rPr>
          <w:rFonts w:ascii="Times New Roman" w:cs="Times New Roman" w:eastAsia="Times New Roman" w:hAnsi="Times New Roman"/>
          <w:sz w:val="18"/>
          <w:szCs w:val="18"/>
          <w:color w:val="auto"/>
        </w:rPr>
      </w:pPr>
    </w:p>
    <w:p>
      <w:pPr>
        <w:ind w:left="4" w:right="40" w:hanging="4"/>
        <w:spacing w:after="0" w:line="254" w:lineRule="auto"/>
        <w:tabs>
          <w:tab w:leader="none" w:pos="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ind w:left="4" w:right="540" w:hanging="4"/>
        <w:spacing w:after="0" w:line="266" w:lineRule="auto"/>
        <w:tabs>
          <w:tab w:leader="none" w:pos="26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 w:right="120" w:hanging="4"/>
        <w:spacing w:after="0" w:line="256" w:lineRule="auto"/>
        <w:tabs>
          <w:tab w:leader="none" w:pos="24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the restrictions on transfer set forth in this Warrant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ectPr>
          <w:pgSz w:w="11900" w:h="16838" w:orient="portrait"/>
          <w:cols w:equalWidth="0" w:num="1">
            <w:col w:w="10984"/>
          </w:cols>
          <w:pgMar w:left="436" w:top="270" w:right="479" w:bottom="1440" w:gutter="0" w:footer="0" w:header="0"/>
        </w:sectPr>
      </w:pPr>
    </w:p>
    <w:bookmarkStart w:id="54" w:name="page55"/>
    <w:bookmarkEnd w:id="54"/>
    <w:p>
      <w:pPr>
        <w:ind w:left="264" w:hanging="264"/>
        <w:spacing w:after="0"/>
        <w:tabs>
          <w:tab w:leader="none" w:pos="2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and Waiver</w:t>
      </w:r>
      <w:r>
        <w:rPr>
          <w:rFonts w:ascii="Times New Roman" w:cs="Times New Roman" w:eastAsia="Times New Roman" w:hAnsi="Times New Roman"/>
          <w:sz w:val="18"/>
          <w:szCs w:val="18"/>
          <w:color w:val="auto"/>
        </w:rPr>
        <w:t>. Except as otherwise provided herein, the provisions of the Warrants may be amended and the Company may take any</w:t>
      </w:r>
    </w:p>
    <w:p>
      <w:pPr>
        <w:spacing w:after="0" w:line="27" w:lineRule="exact"/>
        <w:rPr>
          <w:rFonts w:ascii="Times New Roman" w:cs="Times New Roman" w:eastAsia="Times New Roman" w:hAnsi="Times New Roman"/>
          <w:sz w:val="18"/>
          <w:szCs w:val="18"/>
          <w:color w:val="auto"/>
        </w:rPr>
      </w:pPr>
    </w:p>
    <w:p>
      <w:pPr>
        <w:jc w:val="both"/>
        <w:ind w:left="4"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herein prohibited, or omit to perform any act herein required to be performed by it, only if the Company has obtained the written consent of the Holder or those registered holders of the Warrants representing no less than a majority of the Warrant Shares obtainable upon exercise of the Warrants then outstanding.</w:t>
      </w:r>
    </w:p>
    <w:p>
      <w:pPr>
        <w:spacing w:after="0" w:line="18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225" w:lineRule="exact"/>
        <w:rPr>
          <w:rFonts w:ascii="Times New Roman" w:cs="Times New Roman" w:eastAsia="Times New Roman" w:hAnsi="Times New Roman"/>
          <w:sz w:val="18"/>
          <w:szCs w:val="18"/>
          <w:color w:val="auto"/>
        </w:rPr>
      </w:pPr>
    </w:p>
    <w:p>
      <w:pPr>
        <w:ind w:left="4" w:right="20" w:hanging="4"/>
        <w:spacing w:after="0" w:line="252" w:lineRule="auto"/>
        <w:tabs>
          <w:tab w:leader="none" w:pos="22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DELAWARE WITHOUT REGARD TO THE PRINCIPLES OF CONFLICTS OF LAW THEREOF. EACH OF THE COMPANY AND THE HOLDER HEREBY IRREVOCABLY SUBMITS TO THE EXCLUSIVE JURISDICTION OF THE STATE AND FEDERAL COURTS SITTING IN THE STATE OF DELAWARE,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95" w:lineRule="exact"/>
        <w:rPr>
          <w:rFonts w:ascii="Times New Roman" w:cs="Times New Roman" w:eastAsia="Times New Roman" w:hAnsi="Times New Roman"/>
          <w:sz w:val="18"/>
          <w:szCs w:val="18"/>
          <w:color w:val="auto"/>
        </w:rPr>
      </w:pPr>
    </w:p>
    <w:p>
      <w:pPr>
        <w:ind w:left="4" w:right="80" w:hanging="4"/>
        <w:spacing w:after="0" w:line="282" w:lineRule="auto"/>
        <w:tabs>
          <w:tab w:leader="none" w:pos="25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ind w:left="4" w:hanging="4"/>
        <w:spacing w:after="0" w:line="261" w:lineRule="auto"/>
        <w:tabs>
          <w:tab w:leader="none" w:pos="25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004"/>
          </w:cols>
          <w:pgMar w:left="436" w:top="270"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480"/>
          </w:cols>
          <w:pgMar w:left="440" w:top="270" w:right="979" w:bottom="1440" w:gutter="0" w:footer="0" w:header="0"/>
        </w:sectPr>
      </w:pPr>
    </w:p>
    <w:bookmarkStart w:id="56" w:name="page57"/>
    <w:bookmarkEnd w:id="56"/>
    <w:p>
      <w:pPr>
        <w:jc w:val="center"/>
        <w:ind w:right="-6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FORM OF EXERCISE NOTICE</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5" w:lineRule="exact"/>
        <w:rPr>
          <w:sz w:val="20"/>
          <w:szCs w:val="20"/>
          <w:color w:val="auto"/>
        </w:rPr>
      </w:pPr>
    </w:p>
    <w:p>
      <w:pPr>
        <w:ind w:left="4" w:right="260" w:hanging="4"/>
        <w:spacing w:after="0" w:line="284" w:lineRule="auto"/>
        <w:tabs>
          <w:tab w:leader="none" w:pos="2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 (the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issued by Tenaya Therapeutics,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60"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117" w:lineRule="exact"/>
        <w:rPr>
          <w:sz w:val="20"/>
          <w:szCs w:val="20"/>
          <w:color w:val="auto"/>
        </w:rPr>
      </w:pPr>
    </w:p>
    <w:p>
      <w:pPr>
        <w:ind w:left="204" w:hanging="204"/>
        <w:spacing w:after="0"/>
        <w:tabs>
          <w:tab w:leader="none" w:pos="204" w:val="left"/>
        </w:tabs>
        <w:numPr>
          <w:ilvl w:val="0"/>
          <w:numId w:val="8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8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Exercise” under Section 10 of the Warrant</w:t>
      </w:r>
    </w:p>
    <w:p>
      <w:pPr>
        <w:spacing w:after="0" w:line="225" w:lineRule="exact"/>
        <w:rPr>
          <w:sz w:val="20"/>
          <w:szCs w:val="20"/>
          <w:color w:val="auto"/>
        </w:rPr>
      </w:pPr>
    </w:p>
    <w:p>
      <w:pPr>
        <w:ind w:left="4" w:right="120" w:hanging="4"/>
        <w:spacing w:after="0" w:line="282"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w:t>
      </w:r>
    </w:p>
    <w:p>
      <w:pPr>
        <w:spacing w:after="0" w:line="225" w:lineRule="exact"/>
        <w:rPr>
          <w:rFonts w:ascii="Times New Roman" w:cs="Times New Roman" w:eastAsia="Times New Roman" w:hAnsi="Times New Roman"/>
          <w:sz w:val="18"/>
          <w:szCs w:val="18"/>
          <w:color w:val="auto"/>
        </w:rPr>
      </w:pPr>
    </w:p>
    <w:p>
      <w:pPr>
        <w:ind w:left="4" w:hanging="4"/>
        <w:spacing w:after="0" w:line="266"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Warrant to which this notice relates.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Holder: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ectPr>
          <w:pgSz w:w="11900" w:h="16838" w:orient="portrait"/>
          <w:cols w:equalWidth="0" w:num="1">
            <w:col w:w="10944"/>
          </w:cols>
          <w:pgMar w:left="436" w:top="270" w:right="5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484"/>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242695" cy="4972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42695" cy="497205"/>
                    </a:xfrm>
                    <a:prstGeom prst="rect">
                      <a:avLst/>
                    </a:prstGeom>
                    <a:noFill/>
                  </pic:spPr>
                </pic:pic>
              </a:graphicData>
            </a:graphic>
          </wp:anchor>
        </w:drawing>
      </w:r>
    </w:p>
    <w:p>
      <w:pPr>
        <w:spacing w:after="0" w:line="7" w:lineRule="exact"/>
        <w:rPr>
          <w:sz w:val="20"/>
          <w:szCs w:val="20"/>
          <w:color w:val="auto"/>
        </w:rPr>
      </w:pPr>
    </w:p>
    <w:p>
      <w:pPr>
        <w:ind w:left="7484"/>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12" w:lineRule="exact"/>
        <w:rPr>
          <w:sz w:val="20"/>
          <w:szCs w:val="20"/>
          <w:color w:val="auto"/>
        </w:rPr>
      </w:pPr>
    </w:p>
    <w:p>
      <w:pPr>
        <w:ind w:left="7484"/>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0"/>
          <w:szCs w:val="20"/>
          <w:color w:val="auto"/>
        </w:rPr>
      </w:pPr>
    </w:p>
    <w:p>
      <w:pPr>
        <w:ind w:left="7484"/>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112" w:lineRule="exact"/>
        <w:rPr>
          <w:sz w:val="20"/>
          <w:szCs w:val="20"/>
          <w:color w:val="auto"/>
        </w:rPr>
      </w:pPr>
    </w:p>
    <w:p>
      <w:pPr>
        <w:ind w:left="7484"/>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7"/>
          <w:szCs w:val="17"/>
          <w:color w:val="auto"/>
        </w:rPr>
        <w:t>: 650.493.9300</w:t>
      </w:r>
    </w:p>
    <w:p>
      <w:pPr>
        <w:spacing w:after="0" w:line="39" w:lineRule="exact"/>
        <w:rPr>
          <w:sz w:val="20"/>
          <w:szCs w:val="20"/>
          <w:color w:val="auto"/>
        </w:rPr>
      </w:pPr>
    </w:p>
    <w:p>
      <w:pPr>
        <w:ind w:left="7484"/>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7"/>
          <w:szCs w:val="17"/>
          <w:color w:val="auto"/>
        </w:rPr>
        <w:t>: 866.974.7329</w:t>
      </w:r>
    </w:p>
    <w:p>
      <w:pPr>
        <w:spacing w:after="0" w:line="2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February 7, 2024</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171 Oyster Point Boulevard, 5th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South San Francisco, CA 84080</w:t>
      </w:r>
    </w:p>
    <w:p>
      <w:pPr>
        <w:spacing w:after="0" w:line="230"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u w:val="single" w:color="auto"/>
          <w:color w:val="auto"/>
        </w:rPr>
        <w:t>Underwritten Offering of Tenaya Therapeutics, Inc.</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160"/>
        <w:spacing w:after="0" w:line="259" w:lineRule="auto"/>
        <w:rPr>
          <w:sz w:val="20"/>
          <w:szCs w:val="20"/>
          <w:color w:val="auto"/>
        </w:rPr>
      </w:pPr>
      <w:r>
        <w:rPr>
          <w:rFonts w:ascii="Times New Roman" w:cs="Times New Roman" w:eastAsia="Times New Roman" w:hAnsi="Times New Roman"/>
          <w:sz w:val="18"/>
          <w:szCs w:val="18"/>
          <w:color w:val="auto"/>
        </w:rPr>
        <w:t>We have acted as counsel to Tenaya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by the Company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August 10, 2022 of a Registration Statement on Form S-3 (Registration No. 333-266741), under the Securities Act of 1933, as amended, and declared effective on August 17, 2022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prospectus contained within the Registration Statement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the prospectus supplement to the Registration Statement dated as of the date hereof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The Prospectus Supplement relates to the offering of the Company of up to 8,888,890 shares of the Company’s common stock, $0.0001 par value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pre-funded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up to an aggregate of 2,222,271 shares of the Company’s common stock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The offering of the Shares and the Warrants is being made pursuant to that certain underwriting agreement, dated February 7, 2024, by and among the Company and Leerink Partners LLC and Cowen and Company, LLC, as representatives of the several underwriters named therein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80"/>
        <w:spacing w:after="0" w:line="270" w:lineRule="auto"/>
        <w:rPr>
          <w:sz w:val="20"/>
          <w:szCs w:val="20"/>
          <w:color w:val="auto"/>
        </w:rPr>
      </w:pPr>
      <w:r>
        <w:rPr>
          <w:rFonts w:ascii="Times New Roman" w:cs="Times New Roman" w:eastAsia="Times New Roman" w:hAnsi="Times New Roman"/>
          <w:sz w:val="17"/>
          <w:szCs w:val="17"/>
          <w:color w:val="auto"/>
        </w:rPr>
        <w:t>We have examined copies of the Registration Statement, together with the documents incorporated by reference therein, and the Prospectus. In addition, we have examined originals or copies, certified or otherwise identified to our satisfaction, of such other instruments, documents, certificates and records which we have deemed relevant and necessary for the basis of our opinion hereinafter expressed. In such examination, we have assumed: (i) the authenticity of original documents and the genuineness of all signatures; (ii) the conformity to the originals of all documents submitted to us as copies;</w:t>
      </w:r>
    </w:p>
    <w:p>
      <w:pPr>
        <w:spacing w:after="0" w:line="3" w:lineRule="exact"/>
        <w:rPr>
          <w:sz w:val="20"/>
          <w:szCs w:val="20"/>
          <w:color w:val="auto"/>
        </w:rPr>
      </w:pPr>
    </w:p>
    <w:p>
      <w:pPr>
        <w:ind w:left="4" w:right="140" w:hanging="4"/>
        <w:spacing w:after="0" w:line="273" w:lineRule="auto"/>
        <w:tabs>
          <w:tab w:leader="none" w:pos="319"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truth, accuracy and completeness of the information, representations and warranties contained in the records, documents, instruments and certificates we have reviewed; (iv) that the Underwriting Agreement has been duly authorized and validly executed and delivered by the parties thereto (other than the Company); (v) that the Shares, the Warrants and the Warrant Shares will be issued and sold in compliance with applicable U.S. federal and state securities laws and in the manner stated in the Registration Statement and the Prospectus; and (vi) the legal capacity of all natural persons.</w:t>
      </w:r>
    </w:p>
    <w:p>
      <w:pPr>
        <w:spacing w:after="0" w:line="16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AUSTIN   BEIJING   BOSTON   BOULDER   BRUSSELS   HONG KONG   LONDON   LOS ANGELES   NEW YORK   PALO ALTO</w:t>
      </w:r>
    </w:p>
    <w:p>
      <w:pPr>
        <w:spacing w:after="0" w:line="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SALT LAKE CITY   SAN DIEGO   SAN FRANCISCO   SEATTLE   SHANGHAI   WASHINGTON, DC   WILMINGTON, DE</w:t>
      </w:r>
    </w:p>
    <w:p>
      <w:pPr>
        <w:sectPr>
          <w:pgSz w:w="11900" w:h="16838" w:orient="portrait"/>
          <w:cols w:equalWidth="0" w:num="1">
            <w:col w:w="11024"/>
          </w:cols>
          <w:pgMar w:left="436" w:top="117"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651510" cy="282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51510" cy="282575"/>
                    </a:xfrm>
                    <a:prstGeom prst="rect">
                      <a:avLst/>
                    </a:prstGeom>
                    <a:noFill/>
                  </pic:spPr>
                </pic:pic>
              </a:graphicData>
            </a:graphic>
          </wp:anchor>
        </w:drawing>
        <w:t>Tenaya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Based on and subject to the foregoing, we are of the opinion that (i) the Shares have been duly authorized by the Company and, when issued and delivered by the Company against payment therefor in accordance with the terms of the Underwriting Agreement, will be validly issued, fully paid and nonassessable; (ii) the Warrants have been duly authorized by the Company and, when issued, delivered and paid for in accordance with the terms of the Underwriting Agreement, will constitute valid and legally binding obligations of the Company; and (iii) the Warrant Shares have been duly authorized by the Company and, when issued and delivered by the Company upon exercise of the Warrants in accordance with the terms of the Warrants, will be validly issued, fully paid and nonassessable.</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Company’s Current Report on Form 8-K filed on or about the date hereof for incorporation by reference into the Registration Statement and to the use of our name wherever it appears in the Registration Statement, the Prospectus and in any amendment or supplement thereto. In giving such consent, we do not believe that we are “experts” within the meaning of such term as used in the Securities Act of 1933, as amended, or the rules and regulations of the Commission issued thereunder with respect to any part of the Registration Statement, including this opinion as an exhibit or otherwise.</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ectPr>
          <w:pgSz w:w="11900" w:h="16838" w:orient="portrait"/>
          <w:cols w:equalWidth="0" w:num="1">
            <w:col w:w="10980"/>
          </w:cols>
          <w:pgMar w:left="440" w:top="945" w:right="47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Announces Pricing of Underwritten Offering</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 February 8, 2024 – </w:t>
      </w:r>
      <w:r>
        <w:rPr>
          <w:rFonts w:ascii="Times New Roman" w:cs="Times New Roman" w:eastAsia="Times New Roman" w:hAnsi="Times New Roman"/>
          <w:sz w:val="18"/>
          <w:szCs w:val="18"/>
          <w:color w:val="auto"/>
        </w:rPr>
        <w:t>Tenaya Therapeutics, Inc. (Nasdaq: TNYA), a clinical-stage biotechnology company with a 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discover, develop and deliver potentially curative therapies that address the underlying causes of heart disease, today announced the pricing of its underwritten offering of 8,888,890 shares of its common stock at an offering price of $4.50 per share and, to certain investors in lieu of common stock, pre-funded warrants to purchase up to an aggregate of 2,222,271 shares of its common stock at a purchase price of $4.499 per each pre-funded warrant, which represents the per share offering price for the common stock less the $0.001 per share exercise price for each such pre-funded warrant. All of the securities are to be sold by Tenaya. The deal included participation from new and existing investors including The Column Group, RA Capital Management, Venrock Healthcare Capital Partners, Octagon Capital, funds and accounts managed by BlackRock, Armistice Capital, Integral Health Asset Management, PFM Health Sciences, LP, Soleus Capital, as well as two large investment management firms. Before deducting the underwriting discounts and commissions and offering expenses, Tenaya expects to receive total gross proceeds of approximately $50 million. The offering is expected to close on or about February 12, 2024, subject to satisfaction of customary closing conditions.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and TD Cowen are acting as joint book running managers for the offering. LifeSci Capital is acting as lead manager for the offering.</w:t>
      </w:r>
    </w:p>
    <w:p>
      <w:pPr>
        <w:spacing w:after="0" w:line="22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 xml:space="preserve">The securities are being offered by Tenaya pursuant to a Registration Statement on Form S-3 previously filed and declared effective by the SEC, and Tenaya will also file a prospectus supplement and accompanying prospectus relating to and describing the terms of the offering with the SEC. These documents can be accessed for free through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0"/>
        <w:spacing w:after="0" w:line="230" w:lineRule="auto"/>
        <w:rPr>
          <w:sz w:val="20"/>
          <w:szCs w:val="20"/>
          <w:color w:val="auto"/>
        </w:rPr>
      </w:pPr>
      <w:r>
        <w:rPr>
          <w:rFonts w:ascii="Times New Roman" w:cs="Times New Roman" w:eastAsia="Times New Roman" w:hAnsi="Times New Roman"/>
          <w:sz w:val="18"/>
          <w:szCs w:val="18"/>
          <w:color w:val="auto"/>
        </w:rPr>
        <w:t>When available, copies of the prospectus supplement and the accompanying prospectus relating to this offering may also be obtained from: Leerink Partners LLC, Attention: Syndicate Department, 53 State Street, 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Boston, MA 02109, by telephone at 1 (800) 808-7525, ext. 6132, or by email at syndicate@leerink.com; or Cowen and Company, LLC, 599 Lexington Avenue, New York, NY 10022, by email at prospectus_department@cowen.com or by telephone at (833) 297-2926.</w:t>
      </w:r>
    </w:p>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nor will there be any sale of these securities in any state or other jurisdiction in which such offer, solicitation, or sale would be unlawful before registration or qualification under the securities laws of that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Tenaya Therapeutics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Tenaya Therapeutics is a clinical-stage biotechnology company committed to a bold mission: to discover, develop and deliver potentially curative therapies that address the underlying drivers of heart disease. Leveraging its integrated and interrelated Gene Therapy, Cellular Regeneration and Precision Medicine platforms and proprietary core capabilities, the company is advancing a pipeline of novel therapies with diverse treatment modalities for rare genetic cardiovascular disorders and more prevalent heart conditions. Tenaya’s most advanced candidates include TN-201, a gene therapy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hypertrophic cardiomyopathy (HCM), TN-401, a gene therapy for</w:t>
      </w:r>
      <w:r>
        <w:rPr>
          <w:rFonts w:ascii="Times New Roman" w:cs="Times New Roman" w:eastAsia="Times New Roman" w:hAnsi="Times New Roman"/>
          <w:sz w:val="18"/>
          <w:szCs w:val="18"/>
          <w:i w:val="1"/>
          <w:iCs w:val="1"/>
          <w:color w:val="auto"/>
        </w:rPr>
        <w:t xml:space="preserve"> PKP2</w:t>
      </w:r>
      <w:r>
        <w:rPr>
          <w:rFonts w:ascii="Times New Roman" w:cs="Times New Roman" w:eastAsia="Times New Roman" w:hAnsi="Times New Roman"/>
          <w:sz w:val="18"/>
          <w:szCs w:val="18"/>
          <w:color w:val="auto"/>
        </w:rPr>
        <w:t>-associated arrhythmogenic right ventricular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cardiomyopathy (ARVC), and TN-301, a small molecule HDAC6 inhibitor being initially developed for heart failure with preserved ejection fraction (HFpEF).</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as that term is defined in Section 27A of the Securities Act of 1933, as amended, and Section 21E of the Securities Exchange Act of 1934, as amended. Such statements include, but are not limited to, statements relating to the offering, including the size and terms of the offering, the timing of the closing of the offering, and the expected gross proceeds. These forward-looking statements are neither promises nor guarantees and are subject to a variety of risks and uncertainties, including but not limited to: the completion of the offering on the anticipated terms or at all, including the satisfaction of customary closing conditions; general economic and market conditions as well as geopolitical developments; and other risks. For further information regarding the foregoing and additional risks that could cause actual results to differ from those expressed in these forward-looking statements, as well as risks relating to the business of Tenaya in general, see Tenaya’s recent Quarterly Report on Form 10-Q filed on November 8, 2023, the prospectus supplement related to the proposed public offering we plan to file and subsequent filings with the Securities and Exchange Commission. These forward-looking statements are made as of the date of this press release, and Tenaya assumes no obligation to update or revise any forward-looking statements, whether as a result of new information, future events or otherwise.</w:t>
      </w:r>
    </w:p>
    <w:p>
      <w:pPr>
        <w:sectPr>
          <w:pgSz w:w="11900" w:h="16838" w:orient="portrait"/>
          <w:cols w:equalWidth="0" w:num="1">
            <w:col w:w="11020"/>
          </w:cols>
          <w:pgMar w:left="440" w:top="117"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Corral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Investor Relations and Corporate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Tenaya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IR@tenayathera.com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Anne-Marie Fields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Annemarie.fields@sternir.com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1)"/>
      <w:numFmt w:val="lowerRoman"/>
      <w:start w:val="2"/>
    </w:lvl>
  </w:abstractNum>
  <w:abstractNum w:abstractNumId="2">
    <w:nsid w:val="2A487CB0"/>
    <w:multiLevelType w:val="hybridMultilevel"/>
    <w:lvl w:ilvl="0">
      <w:lvlJc w:val="left"/>
      <w:lvlText w:val="%1."/>
      <w:numFmt w:val="decimal"/>
      <w:start w:val="1"/>
    </w:lvl>
    <w:lvl w:ilvl="1">
      <w:lvlJc w:val="left"/>
      <w:lvlText w:val="(%2)"/>
      <w:numFmt w:val="lowerLetter"/>
      <w:start w:val="1"/>
    </w:lvl>
  </w:abstractNum>
  <w:abstractNum w:abstractNumId="3">
    <w:nsid w:val="1D4ED43B"/>
    <w:multiLevelType w:val="hybridMultilevel"/>
    <w:lvl w:ilvl="0">
      <w:lvlJc w:val="left"/>
      <w:lvlText w:val="(%1)"/>
      <w:numFmt w:val="lowerLetter"/>
      <w:start w:val="3"/>
    </w:lvl>
  </w:abstractNum>
  <w:abstractNum w:abstractNumId="4">
    <w:nsid w:val="725A06FB"/>
    <w:multiLevelType w:val="hybridMultilevel"/>
    <w:lvl w:ilvl="0">
      <w:lvlJc w:val="left"/>
      <w:lvlText w:val="(%1)"/>
      <w:numFmt w:val="lowerLetter"/>
      <w:start w:val="5"/>
    </w:lvl>
  </w:abstractNum>
  <w:abstractNum w:abstractNumId="5">
    <w:nsid w:val="2CD89A32"/>
    <w:multiLevelType w:val="hybridMultilevel"/>
    <w:lvl w:ilvl="0">
      <w:lvlJc w:val="left"/>
      <w:lvlText w:val="(%1)"/>
      <w:numFmt w:val="lowerLetter"/>
      <w:start w:val="12"/>
    </w:lvl>
  </w:abstractNum>
  <w:abstractNum w:abstractNumId="6">
    <w:nsid w:val="57E4CCAF"/>
    <w:multiLevelType w:val="hybridMultilevel"/>
    <w:lvl w:ilvl="0">
      <w:lvlJc w:val="left"/>
      <w:lvlText w:val="(%1)"/>
      <w:numFmt w:val="lowerLetter"/>
      <w:start w:val="17"/>
    </w:lvl>
  </w:abstractNum>
  <w:abstractNum w:abstractNumId="7">
    <w:nsid w:val="7A6D8D3C"/>
    <w:multiLevelType w:val="hybridMultilevel"/>
    <w:lvl w:ilvl="0">
      <w:lvlJc w:val="left"/>
      <w:lvlText w:val="(%1)"/>
      <w:numFmt w:val="lowerLetter"/>
      <w:start w:val="20"/>
    </w:lvl>
    <w:lvl w:ilvl="1">
      <w:lvlJc w:val="left"/>
      <w:lvlText w:val="(%2)"/>
      <w:numFmt w:val="upperLetter"/>
      <w:start w:val="1"/>
    </w:lvl>
  </w:abstractNum>
  <w:abstractNum w:abstractNumId="8">
    <w:nsid w:val="4B588F5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9">
    <w:nsid w:val="542289EC"/>
    <w:multiLevelType w:val="hybridMultilevel"/>
    <w:lvl w:ilvl="0">
      <w:lvlJc w:val="left"/>
      <w:lvlText w:val="(%1)"/>
      <w:numFmt w:val="lowerLetter"/>
      <w:start w:val="21"/>
    </w:lvl>
    <w:lvl w:ilvl="1">
      <w:lvlJc w:val="left"/>
      <w:lvlText w:val="%2"/>
      <w:numFmt w:val="lowerRoman"/>
      <w:start w:val="1"/>
    </w:lvl>
    <w:lvl w:ilvl="2">
      <w:lvlJc w:val="left"/>
      <w:lvlText w:val="%3"/>
      <w:numFmt w:val="upperLetter"/>
      <w:start w:val="1"/>
    </w:lvl>
  </w:abstractNum>
  <w:abstractNum w:abstractNumId="10">
    <w:nsid w:val="6DE91B18"/>
    <w:multiLevelType w:val="hybridMultilevel"/>
    <w:lvl w:ilvl="0">
      <w:lvlJc w:val="left"/>
      <w:lvlText w:val="(%1)"/>
      <w:numFmt w:val="lowerLetter"/>
      <w:start w:val="61"/>
    </w:lvl>
    <w:lvl w:ilvl="1">
      <w:lvlJc w:val="left"/>
      <w:lvlText w:val="(%2)"/>
      <w:numFmt w:val="lowerLetter"/>
      <w:start w:val="22"/>
    </w:lvl>
  </w:abstractNum>
  <w:abstractNum w:abstractNumId="11">
    <w:nsid w:val="38437FDB"/>
    <w:multiLevelType w:val="hybridMultilevel"/>
    <w:lvl w:ilvl="0">
      <w:lvlJc w:val="left"/>
      <w:lvlText w:val="(%1)"/>
      <w:numFmt w:val="lowerRoman"/>
      <w:start w:val="10"/>
    </w:lvl>
  </w:abstractNum>
  <w:abstractNum w:abstractNumId="12">
    <w:nsid w:val="7644A45C"/>
    <w:multiLevelType w:val="hybridMultilevel"/>
    <w:lvl w:ilvl="0">
      <w:lvlJc w:val="left"/>
      <w:lvlText w:val="(%1)"/>
      <w:numFmt w:val="lowerLetter"/>
      <w:start w:val="25"/>
    </w:lvl>
  </w:abstractNum>
  <w:abstractNum w:abstractNumId="13">
    <w:nsid w:val="32FFF902"/>
    <w:multiLevelType w:val="hybridMultilevel"/>
    <w:lvl w:ilvl="0">
      <w:lvlJc w:val="left"/>
      <w:lvlText w:val="(%1)"/>
      <w:numFmt w:val="lowerLetter"/>
      <w:start w:val="27"/>
    </w:lvl>
  </w:abstractNum>
  <w:abstractNum w:abstractNumId="14">
    <w:nsid w:val="684A481A"/>
    <w:multiLevelType w:val="hybridMultilevel"/>
    <w:lvl w:ilvl="0">
      <w:lvlJc w:val="left"/>
      <w:lvlText w:val="(%1)"/>
      <w:numFmt w:val="lowerLetter"/>
      <w:start w:val="28"/>
    </w:lvl>
  </w:abstractNum>
  <w:abstractNum w:abstractNumId="15">
    <w:nsid w:val="579478FE"/>
    <w:multiLevelType w:val="hybridMultilevel"/>
    <w:lvl w:ilvl="0">
      <w:lvlJc w:val="left"/>
      <w:lvlText w:val="(%1)"/>
      <w:numFmt w:val="lowerLetter"/>
      <w:start w:val="32"/>
    </w:lvl>
  </w:abstractNum>
  <w:abstractNum w:abstractNumId="16">
    <w:nsid w:val="749ABB43"/>
    <w:multiLevelType w:val="hybridMultilevel"/>
    <w:lvl w:ilvl="0">
      <w:lvlJc w:val="left"/>
      <w:lvlText w:val="(%1)"/>
      <w:numFmt w:val="lowerLetter"/>
      <w:start w:val="37"/>
    </w:lvl>
    <w:lvl w:ilvl="1">
      <w:lvlJc w:val="left"/>
      <w:lvlText w:val="(%2)"/>
      <w:numFmt w:val="lowerRoman"/>
      <w:start w:val="1"/>
    </w:lvl>
  </w:abstractNum>
  <w:abstractNum w:abstractNumId="17">
    <w:nsid w:val="3DC240FB"/>
    <w:multiLevelType w:val="hybridMultilevel"/>
    <w:lvl w:ilvl="0">
      <w:lvlJc w:val="left"/>
      <w:lvlText w:val="%1"/>
      <w:numFmt w:val="lowerRoman"/>
      <w:start w:val="1"/>
    </w:lvl>
    <w:lvl w:ilvl="1">
      <w:lvlJc w:val="left"/>
      <w:lvlText w:val="(%2)"/>
      <w:numFmt w:val="lowerRoman"/>
      <w:start w:val="3"/>
    </w:lvl>
  </w:abstractNum>
  <w:abstractNum w:abstractNumId="18">
    <w:nsid w:val="1BA026FA"/>
    <w:multiLevelType w:val="hybridMultilevel"/>
    <w:lvl w:ilvl="0">
      <w:lvlJc w:val="left"/>
      <w:lvlText w:val="(%1)"/>
      <w:numFmt w:val="lowerRoman"/>
      <w:start w:val="1"/>
    </w:lvl>
    <w:lvl w:ilvl="1">
      <w:lvlJc w:val="left"/>
      <w:lvlText w:val="%2"/>
      <w:numFmt w:val="lowerRoman"/>
      <w:start w:val="1"/>
    </w:lvl>
  </w:abstractNum>
  <w:abstractNum w:abstractNumId="19">
    <w:nsid w:val="79A1DEAA"/>
    <w:multiLevelType w:val="hybridMultilevel"/>
    <w:lvl w:ilvl="0">
      <w:lvlJc w:val="left"/>
      <w:lvlText w:val="(%1)"/>
      <w:numFmt w:val="lowerLetter"/>
      <w:start w:val="40"/>
    </w:lvl>
  </w:abstractNum>
  <w:abstractNum w:abstractNumId="20">
    <w:nsid w:val="75C6C33A"/>
    <w:multiLevelType w:val="hybridMultilevel"/>
    <w:lvl w:ilvl="0">
      <w:lvlJc w:val="left"/>
      <w:lvlText w:val="%1"/>
      <w:numFmt w:val="lowerRoman"/>
      <w:start w:val="1"/>
    </w:lvl>
    <w:lvl w:ilvl="1">
      <w:lvlJc w:val="left"/>
      <w:lvlText w:val="(%2)"/>
      <w:numFmt w:val="lowerLetter"/>
      <w:start w:val="41"/>
    </w:lvl>
  </w:abstractNum>
  <w:abstractNum w:abstractNumId="21">
    <w:nsid w:val="12E685FB"/>
    <w:multiLevelType w:val="hybridMultilevel"/>
    <w:lvl w:ilvl="0">
      <w:lvlJc w:val="left"/>
      <w:lvlText w:val="(%1)"/>
      <w:numFmt w:val="lowerRoman"/>
      <w:start w:val="4"/>
    </w:lvl>
    <w:lvl w:ilvl="1">
      <w:lvlJc w:val="left"/>
      <w:lvlText w:val="(%2)"/>
      <w:numFmt w:val="lowerLetter"/>
      <w:start w:val="42"/>
    </w:lvl>
  </w:abstractNum>
  <w:abstractNum w:abstractNumId="22">
    <w:nsid w:val="70C6A52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4"/>
    </w:lvl>
  </w:abstractNum>
  <w:abstractNum w:abstractNumId="23">
    <w:nsid w:val="520EEDD1"/>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4">
    <w:nsid w:val="374A3FE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5">
    <w:nsid w:val="4F4EF005"/>
    <w:multiLevelType w:val="hybridMultilevel"/>
    <w:lvl w:ilvl="0">
      <w:lvlJc w:val="left"/>
      <w:lvlText w:val="%1."/>
      <w:numFmt w:val="decimal"/>
      <w:start w:val="4"/>
    </w:lvl>
  </w:abstractNum>
  <w:abstractNum w:abstractNumId="26">
    <w:nsid w:val="23F9C13C"/>
    <w:multiLevelType w:val="hybridMultilevel"/>
    <w:lvl w:ilvl="0">
      <w:lvlJc w:val="left"/>
      <w:lvlText w:val="%1."/>
      <w:numFmt w:val="decimal"/>
      <w:start w:val="5"/>
    </w:lvl>
  </w:abstractNum>
  <w:abstractNum w:abstractNumId="27">
    <w:nsid w:val="649BB77C"/>
    <w:multiLevelType w:val="hybridMultilevel"/>
    <w:lvl w:ilvl="0">
      <w:lvlJc w:val="left"/>
      <w:lvlText w:val="(%1)"/>
      <w:numFmt w:val="lowerLetter"/>
      <w:start w:val="1"/>
    </w:lvl>
    <w:lvl w:ilvl="1">
      <w:lvlJc w:val="left"/>
      <w:lvlText w:val="(%2)"/>
      <w:numFmt w:val="lowerRoman"/>
      <w:start w:val="1"/>
    </w:lvl>
  </w:abstractNum>
  <w:abstractNum w:abstractNumId="28">
    <w:nsid w:val="275AC794"/>
    <w:multiLevelType w:val="hybridMultilevel"/>
    <w:lvl w:ilvl="0">
      <w:lvlJc w:val="left"/>
      <w:lvlText w:val="(%1)"/>
      <w:numFmt w:val="lowerLetter"/>
      <w:start w:val="2"/>
    </w:lvl>
  </w:abstractNum>
  <w:abstractNum w:abstractNumId="29">
    <w:nsid w:val="39386575"/>
    <w:multiLevelType w:val="hybridMultilevel"/>
    <w:lvl w:ilvl="0">
      <w:lvlJc w:val="left"/>
      <w:lvlText w:val="(%1)"/>
      <w:numFmt w:val="lowerLetter"/>
      <w:start w:val="3"/>
    </w:lvl>
  </w:abstractNum>
  <w:abstractNum w:abstractNumId="30">
    <w:nsid w:val="1CF10FD8"/>
    <w:multiLevelType w:val="hybridMultilevel"/>
    <w:lvl w:ilvl="0">
      <w:lvlJc w:val="left"/>
      <w:lvlText w:val="%1"/>
      <w:numFmt w:val="decimal"/>
      <w:start w:val="1"/>
    </w:lvl>
    <w:lvl w:ilvl="1">
      <w:lvlJc w:val="left"/>
      <w:lvlText w:val="(%2)"/>
      <w:numFmt w:val="lowerLetter"/>
      <w:start w:val="6"/>
    </w:lvl>
  </w:abstractNum>
  <w:abstractNum w:abstractNumId="31">
    <w:nsid w:val="180115BE"/>
    <w:multiLevelType w:val="hybridMultilevel"/>
    <w:lvl w:ilvl="0">
      <w:lvlJc w:val="left"/>
      <w:lvlText w:val="%1."/>
      <w:numFmt w:val="decimal"/>
      <w:start w:val="6"/>
    </w:lvl>
    <w:lvl w:ilvl="1">
      <w:lvlJc w:val="left"/>
      <w:lvlText w:val="(%2)"/>
      <w:numFmt w:val="lowerLetter"/>
      <w:start w:val="1"/>
    </w:lvl>
  </w:abstractNum>
  <w:abstractNum w:abstractNumId="32">
    <w:nsid w:val="235BA861"/>
    <w:multiLevelType w:val="hybridMultilevel"/>
    <w:lvl w:ilvl="0">
      <w:lvlJc w:val="left"/>
      <w:lvlText w:val="(%1)"/>
      <w:numFmt w:val="lowerLetter"/>
      <w:start w:val="4"/>
    </w:lvl>
  </w:abstractNum>
  <w:abstractNum w:abstractNumId="33">
    <w:nsid w:val="47398C89"/>
    <w:multiLevelType w:val="hybridMultilevel"/>
    <w:lvl w:ilvl="0">
      <w:lvlJc w:val="left"/>
      <w:lvlText w:val="%1"/>
      <w:numFmt w:val="lowerLetter"/>
      <w:start w:val="1"/>
    </w:lvl>
    <w:lvl w:ilvl="1">
      <w:lvlJc w:val="left"/>
      <w:lvlText w:val="(%2)"/>
      <w:numFmt w:val="lowerLetter"/>
      <w:start w:val="7"/>
    </w:lvl>
  </w:abstractNum>
  <w:abstractNum w:abstractNumId="34">
    <w:nsid w:val="354FE9F9"/>
    <w:multiLevelType w:val="hybridMultilevel"/>
    <w:lvl w:ilvl="0">
      <w:lvlJc w:val="left"/>
      <w:lvlText w:val="(%1)"/>
      <w:numFmt w:val="lowerLetter"/>
      <w:start w:val="61"/>
    </w:lvl>
    <w:lvl w:ilvl="1">
      <w:lvlJc w:val="left"/>
      <w:lvlText w:val="%2"/>
      <w:numFmt w:val="lowerLetter"/>
      <w:start w:val="1"/>
    </w:lvl>
  </w:abstractNum>
  <w:abstractNum w:abstractNumId="35">
    <w:nsid w:val="15B5AF5C"/>
    <w:multiLevelType w:val="hybridMultilevel"/>
    <w:lvl w:ilvl="0">
      <w:lvlJc w:val="left"/>
      <w:lvlText w:val="(%1)"/>
      <w:numFmt w:val="lowerLetter"/>
      <w:start w:val="10"/>
    </w:lvl>
  </w:abstractNum>
  <w:abstractNum w:abstractNumId="36">
    <w:nsid w:val="741226BB"/>
    <w:multiLevelType w:val="hybridMultilevel"/>
    <w:lvl w:ilvl="0">
      <w:lvlJc w:val="left"/>
      <w:lvlText w:val="%1"/>
      <w:numFmt w:val="upperLetter"/>
      <w:start w:val="1"/>
    </w:lvl>
    <w:lvl w:ilvl="1">
      <w:lvlJc w:val="left"/>
      <w:lvlText w:val="(%2)"/>
      <w:numFmt w:val="lowerRoman"/>
      <w:start w:val="2"/>
    </w:lvl>
  </w:abstractNum>
  <w:abstractNum w:abstractNumId="37">
    <w:nsid w:val="D34B6A8"/>
    <w:multiLevelType w:val="hybridMultilevel"/>
    <w:lvl w:ilvl="0">
      <w:lvlJc w:val="left"/>
      <w:lvlText w:val="(%1)"/>
      <w:numFmt w:val="upperLetter"/>
      <w:start w:val="3"/>
    </w:lvl>
    <w:lvl w:ilvl="1">
      <w:lvlJc w:val="left"/>
      <w:lvlText w:val="%2"/>
      <w:numFmt w:val="lowerRoman"/>
      <w:start w:val="1"/>
    </w:lvl>
  </w:abstractNum>
  <w:abstractNum w:abstractNumId="38">
    <w:nsid w:val="10233C99"/>
    <w:multiLevelType w:val="hybridMultilevel"/>
    <w:lvl w:ilvl="0">
      <w:lvlJc w:val="left"/>
      <w:lvlText w:val="(%1)"/>
      <w:numFmt w:val="upperLetter"/>
      <w:start w:val="6"/>
    </w:lvl>
    <w:lvl w:ilvl="1">
      <w:lvlJc w:val="left"/>
      <w:lvlText w:val="%2"/>
      <w:numFmt w:val="lowerRoman"/>
      <w:start w:val="1"/>
    </w:lvl>
  </w:abstractNum>
  <w:abstractNum w:abstractNumId="39">
    <w:nsid w:val="3F6AB60F"/>
    <w:multiLevelType w:val="hybridMultilevel"/>
    <w:lvl w:ilvl="0">
      <w:lvlJc w:val="left"/>
      <w:lvlText w:val="%1."/>
      <w:numFmt w:val="decimal"/>
      <w:start w:val="7"/>
    </w:lvl>
    <w:lvl w:ilvl="1">
      <w:lvlJc w:val="left"/>
      <w:lvlText w:val="(%2)"/>
      <w:numFmt w:val="lowerLetter"/>
      <w:start w:val="1"/>
    </w:lvl>
  </w:abstractNum>
  <w:abstractNum w:abstractNumId="40">
    <w:nsid w:val="61574095"/>
    <w:multiLevelType w:val="hybridMultilevel"/>
    <w:lvl w:ilvl="0">
      <w:lvlJc w:val="left"/>
      <w:lvlText w:val="%1"/>
      <w:numFmt w:val="lowerLetter"/>
      <w:start w:val="1"/>
    </w:lvl>
    <w:lvl w:ilvl="1">
      <w:lvlJc w:val="left"/>
      <w:lvlText w:val="(%2)"/>
      <w:numFmt w:val="lowerLetter"/>
      <w:start w:val="2"/>
    </w:lvl>
  </w:abstractNum>
  <w:abstractNum w:abstractNumId="41">
    <w:nsid w:val="7E0C57B1"/>
    <w:multiLevelType w:val="hybridMultilevel"/>
    <w:lvl w:ilvl="0">
      <w:lvlJc w:val="left"/>
      <w:lvlText w:val="(%1)"/>
      <w:numFmt w:val="lowerLetter"/>
      <w:start w:val="35"/>
    </w:lvl>
    <w:lvl w:ilvl="1">
      <w:lvlJc w:val="left"/>
      <w:lvlText w:val="%2"/>
      <w:numFmt w:val="lowerLetter"/>
      <w:start w:val="1"/>
    </w:lvl>
  </w:abstractNum>
  <w:abstractNum w:abstractNumId="42">
    <w:nsid w:val="77AE35EB"/>
    <w:multiLevelType w:val="hybridMultilevel"/>
    <w:lvl w:ilvl="0">
      <w:lvlJc w:val="left"/>
      <w:lvlText w:val="(%1)"/>
      <w:numFmt w:val="lowerLetter"/>
      <w:start w:val="4"/>
    </w:lvl>
  </w:abstractNum>
  <w:abstractNum w:abstractNumId="43">
    <w:nsid w:val="579BE4F1"/>
    <w:multiLevelType w:val="hybridMultilevel"/>
    <w:lvl w:ilvl="0">
      <w:lvlJc w:val="left"/>
      <w:lvlText w:val="%1"/>
      <w:numFmt w:val="lowerLetter"/>
      <w:start w:val="1"/>
    </w:lvl>
    <w:lvl w:ilvl="1">
      <w:lvlJc w:val="left"/>
      <w:lvlText w:val="(%2)"/>
      <w:numFmt w:val="lowerLetter"/>
      <w:start w:val="5"/>
    </w:lvl>
  </w:abstractNum>
  <w:abstractNum w:abstractNumId="44">
    <w:nsid w:val="310C50B3"/>
    <w:multiLevelType w:val="hybridMultilevel"/>
    <w:lvl w:ilvl="0">
      <w:lvlJc w:val="left"/>
      <w:lvlText w:val="(%1)"/>
      <w:numFmt w:val="lowerLetter"/>
      <w:start w:val="35"/>
    </w:lvl>
    <w:lvl w:ilvl="1">
      <w:lvlJc w:val="left"/>
      <w:lvlText w:val="%2"/>
      <w:numFmt w:val="lowerLetter"/>
      <w:start w:val="1"/>
    </w:lvl>
  </w:abstractNum>
  <w:abstractNum w:abstractNumId="45">
    <w:nsid w:val="5FF87E05"/>
    <w:multiLevelType w:val="hybridMultilevel"/>
    <w:lvl w:ilvl="0">
      <w:lvlJc w:val="left"/>
      <w:lvlText w:val="%1."/>
      <w:numFmt w:val="decimal"/>
      <w:start w:val="9"/>
    </w:lvl>
  </w:abstractNum>
  <w:abstractNum w:abstractNumId="46">
    <w:nsid w:val="2F305DEF"/>
    <w:multiLevelType w:val="hybridMultilevel"/>
    <w:lvl w:ilvl="0">
      <w:lvlJc w:val="left"/>
      <w:lvlText w:val="%1."/>
      <w:numFmt w:val="decimal"/>
      <w:start w:val="11"/>
    </w:lvl>
  </w:abstractNum>
  <w:abstractNum w:abstractNumId="47">
    <w:nsid w:val="25A70BF7"/>
    <w:multiLevelType w:val="hybridMultilevel"/>
    <w:lvl w:ilvl="0">
      <w:lvlJc w:val="left"/>
      <w:lvlText w:val="%1"/>
      <w:numFmt w:val="decimal"/>
      <w:start w:val="1"/>
    </w:lvl>
    <w:lvl w:ilvl="1">
      <w:lvlJc w:val="left"/>
      <w:lvlText w:val="(%2)"/>
      <w:numFmt w:val="lowerLetter"/>
      <w:start w:val="2"/>
    </w:lvl>
  </w:abstractNum>
  <w:abstractNum w:abstractNumId="48">
    <w:nsid w:val="1DBABF00"/>
    <w:multiLevelType w:val="hybridMultilevel"/>
    <w:lvl w:ilvl="0">
      <w:lvlJc w:val="left"/>
      <w:lvlText w:val="%1."/>
      <w:numFmt w:val="decimal"/>
      <w:start w:val="12"/>
    </w:lvl>
    <w:lvl w:ilvl="1">
      <w:lvlJc w:val="left"/>
      <w:lvlText w:val="(%2)"/>
      <w:numFmt w:val="lowerLetter"/>
      <w:start w:val="2"/>
    </w:lvl>
  </w:abstractNum>
  <w:abstractNum w:abstractNumId="49">
    <w:nsid w:val="4AD084E9"/>
    <w:multiLevelType w:val="hybridMultilevel"/>
    <w:lvl w:ilvl="0">
      <w:lvlJc w:val="left"/>
      <w:lvlText w:val="%1."/>
      <w:numFmt w:val="decimal"/>
      <w:start w:val="13"/>
    </w:lvl>
  </w:abstractNum>
  <w:abstractNum w:abstractNumId="50">
    <w:nsid w:val="1F48EAA1"/>
    <w:multiLevelType w:val="hybridMultilevel"/>
    <w:lvl w:ilvl="0">
      <w:lvlJc w:val="left"/>
      <w:lvlText w:val="%1."/>
      <w:numFmt w:val="decimal"/>
      <w:start w:val="15"/>
    </w:lvl>
  </w:abstractNum>
  <w:abstractNum w:abstractNumId="51">
    <w:nsid w:val="1381823A"/>
    <w:multiLevelType w:val="hybridMultilevel"/>
    <w:lvl w:ilvl="0">
      <w:lvlJc w:val="left"/>
      <w:lvlText w:val="(%1)"/>
      <w:numFmt w:val="lowerLetter"/>
      <w:start w:val="1"/>
    </w:lvl>
  </w:abstractNum>
  <w:abstractNum w:abstractNumId="52">
    <w:nsid w:val="5DB70AE5"/>
    <w:multiLevelType w:val="hybridMultilevel"/>
    <w:lvl w:ilvl="0">
      <w:lvlJc w:val="left"/>
      <w:lvlText w:val="(%1)"/>
      <w:numFmt w:val="lowerLetter"/>
      <w:start w:val="3"/>
    </w:lvl>
  </w:abstractNum>
  <w:abstractNum w:abstractNumId="53">
    <w:nsid w:val="100F8FCA"/>
    <w:multiLevelType w:val="hybridMultilevel"/>
    <w:lvl w:ilvl="0">
      <w:lvlJc w:val="left"/>
      <w:lvlText w:val="(%1)"/>
      <w:numFmt w:val="lowerLetter"/>
      <w:start w:val="6"/>
    </w:lvl>
  </w:abstractNum>
  <w:abstractNum w:abstractNumId="54">
    <w:nsid w:val="6590700B"/>
    <w:multiLevelType w:val="hybridMultilevel"/>
    <w:lvl w:ilvl="0">
      <w:lvlJc w:val="left"/>
      <w:lvlText w:val="(%1)"/>
      <w:numFmt w:val="lowerLetter"/>
      <w:start w:val="8"/>
    </w:lvl>
  </w:abstractNum>
  <w:abstractNum w:abstractNumId="55">
    <w:nsid w:val="15014ACB"/>
    <w:multiLevelType w:val="hybridMultilevel"/>
    <w:lvl w:ilvl="0">
      <w:lvlJc w:val="left"/>
      <w:lvlText w:val="(%1)"/>
      <w:numFmt w:val="lowerRoman"/>
      <w:start w:val="2"/>
    </w:lvl>
  </w:abstractNum>
  <w:abstractNum w:abstractNumId="56">
    <w:nsid w:val="5F5E7FD0"/>
    <w:multiLevelType w:val="hybridMultilevel"/>
    <w:lvl w:ilvl="0">
      <w:lvlJc w:val="left"/>
      <w:lvlText w:val="(%1)"/>
      <w:numFmt w:val="lowerLetter"/>
      <w:start w:val="1"/>
    </w:lvl>
  </w:abstractNum>
  <w:abstractNum w:abstractNumId="57">
    <w:nsid w:val="98A3148"/>
    <w:multiLevelType w:val="hybridMultilevel"/>
    <w:lvl w:ilvl="0">
      <w:lvlJc w:val="left"/>
      <w:lvlText w:val="(%1)"/>
      <w:numFmt w:val="lowerLetter"/>
      <w:start w:val="8"/>
    </w:lvl>
  </w:abstractNum>
  <w:abstractNum w:abstractNumId="58">
    <w:nsid w:val="799D0247"/>
    <w:multiLevelType w:val="hybridMultilevel"/>
    <w:lvl w:ilvl="0">
      <w:lvlJc w:val="left"/>
      <w:lvlText w:val="%1."/>
      <w:numFmt w:val="decimal"/>
      <w:start w:val="2"/>
    </w:lvl>
  </w:abstractNum>
  <w:abstractNum w:abstractNumId="59">
    <w:nsid w:val="6B94764"/>
    <w:multiLevelType w:val="hybridMultilevel"/>
    <w:lvl w:ilvl="0">
      <w:lvlJc w:val="left"/>
      <w:lvlText w:val="(%1)"/>
      <w:numFmt w:val="lowerLetter"/>
      <w:start w:val="1"/>
    </w:lvl>
  </w:abstractNum>
  <w:abstractNum w:abstractNumId="60">
    <w:nsid w:val="42C296BD"/>
    <w:multiLevelType w:val="hybridMultilevel"/>
    <w:lvl w:ilvl="0">
      <w:lvlJc w:val="left"/>
      <w:lvlText w:val="%1."/>
      <w:numFmt w:val="decimal"/>
      <w:start w:val="5"/>
    </w:lvl>
  </w:abstractNum>
  <w:abstractNum w:abstractNumId="61">
    <w:nsid w:val="168E121F"/>
    <w:multiLevelType w:val="hybridMultilevel"/>
    <w:lvl w:ilvl="0">
      <w:lvlJc w:val="left"/>
      <w:lvlText w:val="(%1)"/>
      <w:numFmt w:val="lowerLetter"/>
      <w:start w:val="1"/>
    </w:lvl>
  </w:abstractNum>
  <w:abstractNum w:abstractNumId="62">
    <w:nsid w:val="1EBA5D23"/>
    <w:multiLevelType w:val="hybridMultilevel"/>
    <w:lvl w:ilvl="0">
      <w:lvlJc w:val="left"/>
      <w:lvlText w:val="(%1)"/>
      <w:numFmt w:val="lowerLetter"/>
      <w:start w:val="2"/>
    </w:lvl>
  </w:abstractNum>
  <w:abstractNum w:abstractNumId="63">
    <w:nsid w:val="661E3F1E"/>
    <w:multiLevelType w:val="hybridMultilevel"/>
    <w:lvl w:ilvl="0">
      <w:lvlJc w:val="left"/>
      <w:lvlText w:val="%1."/>
      <w:numFmt w:val="decimal"/>
      <w:start w:val="6"/>
    </w:lvl>
  </w:abstractNum>
  <w:abstractNum w:abstractNumId="64">
    <w:nsid w:val="5DC79EA8"/>
    <w:multiLevelType w:val="hybridMultilevel"/>
    <w:lvl w:ilvl="0">
      <w:lvlJc w:val="left"/>
      <w:lvlText w:val="%1."/>
      <w:numFmt w:val="decimal"/>
      <w:start w:val="9"/>
    </w:lvl>
  </w:abstractNum>
  <w:abstractNum w:abstractNumId="65">
    <w:nsid w:val="540A471C"/>
    <w:multiLevelType w:val="hybridMultilevel"/>
    <w:lvl w:ilvl="0">
      <w:lvlJc w:val="left"/>
      <w:lvlText w:val="(%1)"/>
      <w:numFmt w:val="lowerLetter"/>
      <w:start w:val="1"/>
    </w:lvl>
  </w:abstractNum>
  <w:abstractNum w:abstractNumId="66">
    <w:nsid w:val="7BD3EE7B"/>
    <w:multiLevelType w:val="hybridMultilevel"/>
    <w:lvl w:ilvl="0">
      <w:lvlJc w:val="left"/>
      <w:lvlText w:val="(%1)"/>
      <w:numFmt w:val="lowerLetter"/>
      <w:start w:val="61"/>
    </w:lvl>
  </w:abstractNum>
  <w:abstractNum w:abstractNumId="67">
    <w:nsid w:val="51D9C564"/>
    <w:multiLevelType w:val="hybridMultilevel"/>
    <w:lvl w:ilvl="0">
      <w:lvlJc w:val="left"/>
      <w:lvlText w:val="(%1)"/>
      <w:numFmt w:val="lowerLetter"/>
      <w:start w:val="3"/>
    </w:lvl>
  </w:abstractNum>
  <w:abstractNum w:abstractNumId="68">
    <w:nsid w:val="613EFDC5"/>
    <w:multiLevelType w:val="hybridMultilevel"/>
    <w:lvl w:ilvl="0">
      <w:lvlJc w:val="left"/>
      <w:lvlText w:val="(%1)"/>
      <w:numFmt w:val="lowerLetter"/>
      <w:start w:val="4"/>
    </w:lvl>
  </w:abstractNum>
  <w:abstractNum w:abstractNumId="69">
    <w:nsid w:val="BF72B14"/>
    <w:multiLevelType w:val="hybridMultilevel"/>
    <w:lvl w:ilvl="0">
      <w:lvlJc w:val="left"/>
      <w:lvlText w:val="%1."/>
      <w:numFmt w:val="decimal"/>
      <w:start w:val="10"/>
    </w:lvl>
  </w:abstractNum>
  <w:abstractNum w:abstractNumId="70">
    <w:nsid w:val="11447B73"/>
    <w:multiLevelType w:val="hybridMultilevel"/>
    <w:lvl w:ilvl="0">
      <w:lvlJc w:val="left"/>
      <w:lvlText w:val="%1."/>
      <w:numFmt w:val="decimal"/>
      <w:start w:val="11"/>
    </w:lvl>
  </w:abstractNum>
  <w:abstractNum w:abstractNumId="71">
    <w:nsid w:val="42963E5A"/>
    <w:multiLevelType w:val="hybridMultilevel"/>
    <w:lvl w:ilvl="0">
      <w:lvlJc w:val="left"/>
      <w:lvlText w:val="(%1)"/>
      <w:numFmt w:val="lowerLetter"/>
      <w:start w:val="1"/>
    </w:lvl>
  </w:abstractNum>
  <w:abstractNum w:abstractNumId="72">
    <w:nsid w:val="A0382C5"/>
    <w:multiLevelType w:val="hybridMultilevel"/>
    <w:lvl w:ilvl="0">
      <w:lvlJc w:val="left"/>
      <w:lvlText w:val="%1."/>
      <w:numFmt w:val="decimal"/>
      <w:start w:val="12"/>
    </w:lvl>
  </w:abstractNum>
  <w:abstractNum w:abstractNumId="73">
    <w:nsid w:val="8F2B15E"/>
    <w:multiLevelType w:val="hybridMultilevel"/>
    <w:lvl w:ilvl="0">
      <w:lvlJc w:val="left"/>
      <w:lvlText w:val="(%1)"/>
      <w:numFmt w:val="lowerRoman"/>
      <w:start w:val="2"/>
    </w:lvl>
  </w:abstractNum>
  <w:abstractNum w:abstractNumId="74">
    <w:nsid w:val="1A32234B"/>
    <w:multiLevelType w:val="hybridMultilevel"/>
    <w:lvl w:ilvl="0">
      <w:lvlJc w:val="left"/>
      <w:lvlText w:val="%1."/>
      <w:numFmt w:val="decimal"/>
      <w:start w:val="14"/>
    </w:lvl>
  </w:abstractNum>
  <w:abstractNum w:abstractNumId="75">
    <w:nsid w:val="3B0FD379"/>
    <w:multiLevelType w:val="hybridMultilevel"/>
    <w:lvl w:ilvl="0">
      <w:lvlJc w:val="left"/>
      <w:lvlText w:val="(%1)"/>
      <w:numFmt w:val="lowerLetter"/>
      <w:start w:val="1"/>
    </w:lvl>
  </w:abstractNum>
  <w:abstractNum w:abstractNumId="76">
    <w:nsid w:val="68EB2F63"/>
    <w:multiLevelType w:val="hybridMultilevel"/>
    <w:lvl w:ilvl="0">
      <w:lvlJc w:val="left"/>
      <w:lvlText w:val="(%1)"/>
      <w:numFmt w:val="lowerRoman"/>
      <w:start w:val="2"/>
    </w:lvl>
  </w:abstractNum>
  <w:abstractNum w:abstractNumId="77">
    <w:nsid w:val="4962813B"/>
    <w:multiLevelType w:val="hybridMultilevel"/>
    <w:lvl w:ilvl="0">
      <w:lvlJc w:val="left"/>
      <w:lvlText w:val="(%1)"/>
      <w:numFmt w:val="lowerLetter"/>
      <w:start w:val="3"/>
    </w:lvl>
  </w:abstractNum>
  <w:abstractNum w:abstractNumId="78">
    <w:nsid w:val="60B6DF70"/>
    <w:multiLevelType w:val="hybridMultilevel"/>
    <w:lvl w:ilvl="0">
      <w:lvlJc w:val="left"/>
      <w:lvlText w:val="(%1)"/>
      <w:numFmt w:val="lowerLetter"/>
      <w:start w:val="4"/>
    </w:lvl>
  </w:abstractNum>
  <w:abstractNum w:abstractNumId="79">
    <w:nsid w:val="6A5EE64"/>
    <w:multiLevelType w:val="hybridMultilevel"/>
    <w:lvl w:ilvl="0">
      <w:lvlJc w:val="left"/>
      <w:lvlText w:val="(%1)"/>
      <w:numFmt w:val="decimal"/>
      <w:start w:val="1"/>
    </w:lvl>
  </w:abstractNum>
  <w:abstractNum w:abstractNumId="80">
    <w:nsid w:val="14330624"/>
    <w:multiLevelType w:val="hybridMultilevel"/>
    <w:lvl w:ilvl="0">
      <w:lvlJc w:val="left"/>
      <w:lvlText w:val="☐"/>
      <w:numFmt w:val="bullet"/>
      <w:start w:val="1"/>
    </w:lvl>
  </w:abstractNum>
  <w:abstractNum w:abstractNumId="81">
    <w:nsid w:val="7FFFCA11"/>
    <w:multiLevelType w:val="hybridMultilevel"/>
    <w:lvl w:ilvl="0">
      <w:lvlJc w:val="left"/>
      <w:lvlText w:val="(%1)"/>
      <w:numFmt w:val="decimal"/>
      <w:start w:val="4"/>
    </w:lvl>
  </w:abstractNum>
  <w:abstractNum w:abstractNumId="82">
    <w:nsid w:val="1A27709E"/>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2024-02-08T07:25:03Z</dcterms:created>
  <dcterms:modified xsi:type="dcterms:W3CDTF">2024-02-08T07:25:03Z</dcterms:modified>
</cp:coreProperties>
</file>