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TENAYA THERAPEUTICS,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214630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208280</wp:posOffset>
            </wp:positionV>
            <wp:extent cx="2331720" cy="8312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3172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171 Oyster Point Boulevard, Suite 500</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(650) 825-6900</w:t>
      </w:r>
    </w:p>
    <w:p>
      <w:pPr>
        <w:spacing w:after="0" w:line="207" w:lineRule="exact"/>
        <w:rPr>
          <w:sz w:val="20"/>
          <w:szCs w:val="20"/>
          <w:color w:val="auto"/>
        </w:rPr>
      </w:pPr>
    </w:p>
    <w:p>
      <w:pPr>
        <w:ind w:left="120"/>
        <w:spacing w:after="0"/>
        <w:tabs>
          <w:tab w:leader="none" w:pos="660" w:val="left"/>
        </w:tabs>
        <w:rPr>
          <w:sz w:val="20"/>
          <w:szCs w:val="20"/>
          <w:color w:val="auto"/>
        </w:rPr>
      </w:pPr>
      <w:r>
        <w:rPr>
          <w:rFonts w:ascii="Times New Roman" w:cs="Times New Roman" w:eastAsia="Times New Roman" w:hAnsi="Times New Roman"/>
          <w:sz w:val="18"/>
          <w:szCs w:val="18"/>
          <w:color w:val="auto"/>
        </w:rPr>
        <w:t>April</w:t>
      </w:r>
      <w:r>
        <w:rPr>
          <w:sz w:val="20"/>
          <w:szCs w:val="20"/>
          <w:color w:val="auto"/>
        </w:rPr>
        <w:tab/>
      </w:r>
      <w:r>
        <w:rPr>
          <w:rFonts w:ascii="Times New Roman" w:cs="Times New Roman" w:eastAsia="Times New Roman" w:hAnsi="Times New Roman"/>
          <w:sz w:val="17"/>
          <w:szCs w:val="17"/>
          <w:color w:val="auto"/>
        </w:rPr>
        <w:t>, 2023</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Fellow Stockholders:</w:t>
      </w:r>
    </w:p>
    <w:p>
      <w:pPr>
        <w:spacing w:after="0" w:line="11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are pleased to invite you to attend the annual meeting of stockholders of Tenaya Therapeutics, Inc. (Tenaya or the Company), to be held on Thursday, June 8, 2023 at 8:00 a.m. Pacific Time. The annual meeting will be conducted virtually this year via a live audio webcast and will afford all of our stockholders the same rights and opportunities to participate as would be available at an in-person meeting. You will be able to attend the annual meeting virtually by visiting www.proxydocs.com/TNYA, where you will be able to listen to the meeting live, submit questions and vote online by entering the control number located on your proxy card.</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attached formal meeting notice and proxy statement contain details of the business to be conducted at the annual meeting.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Your vote is important. Whether or not you attend the annual meeting, it is important that your shares be represented and voted at the annual meeting.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Therefore, we urge you to vote and submit your proxy promptly via the Internet, telephone or mail.</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behalf of our Board of Directors, we would like to express our appreciation for your continued support of and interest in Tenaya.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Faraz Ali, M.B.A.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00"/>
          </w:cols>
          <w:pgMar w:left="320" w:top="455"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120" w:type="dxa"/>
            <w:vAlign w:val="bottom"/>
          </w:tcPr>
          <w:p>
            <w:pPr>
              <w:spacing w:after="0"/>
              <w:rPr>
                <w:sz w:val="17"/>
                <w:szCs w:val="17"/>
                <w:color w:val="auto"/>
              </w:rPr>
            </w:pPr>
          </w:p>
        </w:tc>
        <w:tc>
          <w:tcPr>
            <w:tcW w:w="7100" w:type="dxa"/>
            <w:vAlign w:val="bottom"/>
          </w:tcPr>
          <w:p>
            <w:pPr>
              <w:spacing w:after="0"/>
              <w:rPr>
                <w:sz w:val="17"/>
                <w:szCs w:val="17"/>
                <w:color w:val="auto"/>
              </w:rPr>
            </w:pPr>
          </w:p>
        </w:tc>
      </w:tr>
      <w:tr>
        <w:trPr>
          <w:trHeight w:val="511"/>
        </w:trPr>
        <w:tc>
          <w:tcPr>
            <w:tcW w:w="1360" w:type="dxa"/>
            <w:vAlign w:val="bottom"/>
            <w:tcBorders>
              <w:top w:val="single" w:sz="8" w:color="0000EE"/>
            </w:tcBorders>
          </w:tcPr>
          <w:p>
            <w:pPr>
              <w:spacing w:after="0"/>
              <w:rPr>
                <w:sz w:val="24"/>
                <w:szCs w:val="24"/>
                <w:color w:val="auto"/>
              </w:rPr>
            </w:pPr>
          </w:p>
        </w:tc>
        <w:tc>
          <w:tcPr>
            <w:tcW w:w="1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100" w:type="dxa"/>
            <w:vAlign w:val="bottom"/>
          </w:tcPr>
          <w:p>
            <w:pPr>
              <w:jc w:val="center"/>
              <w:ind w:right="3790"/>
              <w:spacing w:after="0"/>
              <w:rPr>
                <w:sz w:val="20"/>
                <w:szCs w:val="20"/>
                <w:color w:val="auto"/>
              </w:rPr>
            </w:pPr>
            <w:r>
              <w:rPr>
                <w:rFonts w:ascii="Times New Roman" w:cs="Times New Roman" w:eastAsia="Times New Roman" w:hAnsi="Times New Roman"/>
                <w:sz w:val="18"/>
                <w:szCs w:val="18"/>
                <w:b w:val="1"/>
                <w:bCs w:val="1"/>
                <w:color w:val="auto"/>
                <w:w w:val="98"/>
              </w:rPr>
              <w:t>TENAYA THERAPEUTICS, INC.</w:t>
            </w:r>
          </w:p>
        </w:tc>
      </w:tr>
      <w:tr>
        <w:trPr>
          <w:trHeight w:val="216"/>
        </w:trPr>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100" w:type="dxa"/>
            <w:vAlign w:val="bottom"/>
          </w:tcPr>
          <w:p>
            <w:pPr>
              <w:jc w:val="center"/>
              <w:ind w:right="3810"/>
              <w:spacing w:after="0"/>
              <w:rPr>
                <w:sz w:val="20"/>
                <w:szCs w:val="20"/>
                <w:color w:val="auto"/>
              </w:rPr>
            </w:pPr>
            <w:r>
              <w:rPr>
                <w:rFonts w:ascii="Times New Roman" w:cs="Times New Roman" w:eastAsia="Times New Roman" w:hAnsi="Times New Roman"/>
                <w:sz w:val="18"/>
                <w:szCs w:val="18"/>
                <w:b w:val="1"/>
                <w:bCs w:val="1"/>
                <w:color w:val="auto"/>
                <w:w w:val="99"/>
              </w:rPr>
              <w:t>171 Oyster Point Boulevard, Suite 500</w:t>
            </w:r>
          </w:p>
        </w:tc>
      </w:tr>
      <w:tr>
        <w:trPr>
          <w:trHeight w:val="238"/>
        </w:trPr>
        <w:tc>
          <w:tcPr>
            <w:tcW w:w="1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100" w:type="dxa"/>
            <w:vAlign w:val="bottom"/>
          </w:tcPr>
          <w:p>
            <w:pPr>
              <w:jc w:val="center"/>
              <w:ind w:right="3790"/>
              <w:spacing w:after="0"/>
              <w:rPr>
                <w:sz w:val="20"/>
                <w:szCs w:val="20"/>
                <w:color w:val="auto"/>
              </w:rPr>
            </w:pPr>
            <w:r>
              <w:rPr>
                <w:rFonts w:ascii="Times New Roman" w:cs="Times New Roman" w:eastAsia="Times New Roman" w:hAnsi="Times New Roman"/>
                <w:sz w:val="18"/>
                <w:szCs w:val="18"/>
                <w:b w:val="1"/>
                <w:bCs w:val="1"/>
                <w:color w:val="auto"/>
                <w:w w:val="99"/>
              </w:rPr>
              <w:t>South San Francisco, CA 94080</w:t>
            </w:r>
          </w:p>
        </w:tc>
      </w:tr>
      <w:tr>
        <w:trPr>
          <w:trHeight w:val="432"/>
        </w:trPr>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20" w:type="dxa"/>
            <w:vAlign w:val="bottom"/>
            <w:gridSpan w:val="2"/>
          </w:tcPr>
          <w:p>
            <w:pPr>
              <w:jc w:val="center"/>
              <w:ind w:right="2670"/>
              <w:spacing w:after="0"/>
              <w:rPr>
                <w:sz w:val="20"/>
                <w:szCs w:val="20"/>
                <w:color w:val="auto"/>
              </w:rPr>
            </w:pPr>
            <w:r>
              <w:rPr>
                <w:rFonts w:ascii="Times New Roman" w:cs="Times New Roman" w:eastAsia="Times New Roman" w:hAnsi="Times New Roman"/>
                <w:sz w:val="18"/>
                <w:szCs w:val="18"/>
                <w:b w:val="1"/>
                <w:bCs w:val="1"/>
                <w:color w:val="auto"/>
                <w:w w:val="99"/>
              </w:rPr>
              <w:t>NOTICE OF ANNUAL MEETING OF STOCKHOLDERS</w:t>
            </w:r>
          </w:p>
        </w:tc>
      </w:tr>
      <w:tr>
        <w:trPr>
          <w:trHeight w:val="459"/>
        </w:trPr>
        <w:tc>
          <w:tcPr>
            <w:tcW w:w="29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Time and Date</w:t>
            </w:r>
          </w:p>
        </w:tc>
        <w:tc>
          <w:tcPr>
            <w:tcW w:w="8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8:00 a.m. Pacific Time on Thursday, June 8, 2023</w:t>
            </w:r>
          </w:p>
        </w:tc>
      </w:tr>
      <w:tr>
        <w:trPr>
          <w:trHeight w:val="306"/>
        </w:trPr>
        <w:tc>
          <w:tcPr>
            <w:tcW w:w="29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Place</w:t>
            </w:r>
          </w:p>
        </w:tc>
        <w:tc>
          <w:tcPr>
            <w:tcW w:w="8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The annual meeting will be conducted virtually via a live audio webcast. You will be able to attend</w:t>
            </w:r>
          </w:p>
        </w:tc>
      </w:tr>
      <w:tr>
        <w:trPr>
          <w:trHeight w:val="216"/>
        </w:trPr>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the annual meeting virtually by visiting www.proxydocs.com/TNYA, where you will be able to listen</w:t>
            </w:r>
          </w:p>
        </w:tc>
      </w:tr>
      <w:tr>
        <w:trPr>
          <w:trHeight w:val="216"/>
        </w:trPr>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to the meeting live, submit questions and vote online during the meeting by visiting</w:t>
            </w:r>
          </w:p>
        </w:tc>
      </w:tr>
      <w:tr>
        <w:trPr>
          <w:trHeight w:val="234"/>
        </w:trPr>
        <w:tc>
          <w:tcPr>
            <w:tcW w:w="1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www.proxydocs.com/TNYA.</w:t>
            </w:r>
          </w:p>
        </w:tc>
      </w:tr>
      <w:tr>
        <w:trPr>
          <w:trHeight w:val="306"/>
        </w:trPr>
        <w:tc>
          <w:tcPr>
            <w:tcW w:w="29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Items of Business</w:t>
            </w:r>
          </w:p>
        </w:tc>
        <w:tc>
          <w:tcPr>
            <w:tcW w:w="1120" w:type="dxa"/>
            <w:vAlign w:val="bottom"/>
          </w:tcPr>
          <w:p>
            <w:pPr>
              <w:ind w:left="960"/>
              <w:spacing w:after="0"/>
              <w:rPr>
                <w:sz w:val="20"/>
                <w:szCs w:val="20"/>
                <w:color w:val="auto"/>
              </w:rPr>
            </w:pPr>
            <w:r>
              <w:rPr>
                <w:rFonts w:ascii="Times New Roman" w:cs="Times New Roman" w:eastAsia="Times New Roman" w:hAnsi="Times New Roman"/>
                <w:sz w:val="13"/>
                <w:szCs w:val="13"/>
                <w:color w:val="auto"/>
                <w:w w:val="79"/>
              </w:rPr>
              <w:t>• </w:t>
            </w:r>
          </w:p>
        </w:tc>
        <w:tc>
          <w:tcPr>
            <w:tcW w:w="7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 To elect three Class II directors to hold office until our 2026 annual meeting of stockholders and</w:t>
            </w:r>
          </w:p>
        </w:tc>
      </w:tr>
      <w:tr>
        <w:trPr>
          <w:trHeight w:val="234"/>
        </w:trPr>
        <w:tc>
          <w:tcPr>
            <w:tcW w:w="1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until their respective successors are elected and qualified.</w:t>
            </w:r>
          </w:p>
        </w:tc>
      </w:tr>
      <w:tr>
        <w:trPr>
          <w:trHeight w:val="319"/>
        </w:trPr>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20" w:type="dxa"/>
            <w:vAlign w:val="bottom"/>
          </w:tcPr>
          <w:p>
            <w:pPr>
              <w:ind w:left="960"/>
              <w:spacing w:after="0"/>
              <w:rPr>
                <w:sz w:val="20"/>
                <w:szCs w:val="20"/>
                <w:color w:val="auto"/>
              </w:rPr>
            </w:pPr>
            <w:r>
              <w:rPr>
                <w:rFonts w:ascii="Times New Roman" w:cs="Times New Roman" w:eastAsia="Times New Roman" w:hAnsi="Times New Roman"/>
                <w:sz w:val="13"/>
                <w:szCs w:val="13"/>
                <w:color w:val="auto"/>
                <w:w w:val="79"/>
              </w:rPr>
              <w:t>• </w:t>
            </w:r>
          </w:p>
        </w:tc>
        <w:tc>
          <w:tcPr>
            <w:tcW w:w="7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 To ratify the appointment of Deloitte &amp; Touche LLP as our independent registered public</w:t>
            </w:r>
          </w:p>
        </w:tc>
      </w:tr>
      <w:tr>
        <w:trPr>
          <w:trHeight w:val="234"/>
        </w:trPr>
        <w:tc>
          <w:tcPr>
            <w:tcW w:w="1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accounting firm for our fiscal year ending December 31, 2023.</w:t>
            </w:r>
          </w:p>
        </w:tc>
      </w:tr>
      <w:tr>
        <w:trPr>
          <w:trHeight w:val="319"/>
        </w:trPr>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20" w:type="dxa"/>
            <w:vAlign w:val="bottom"/>
          </w:tcPr>
          <w:p>
            <w:pPr>
              <w:ind w:left="960"/>
              <w:spacing w:after="0"/>
              <w:rPr>
                <w:sz w:val="20"/>
                <w:szCs w:val="20"/>
                <w:color w:val="auto"/>
              </w:rPr>
            </w:pPr>
            <w:r>
              <w:rPr>
                <w:rFonts w:ascii="Times New Roman" w:cs="Times New Roman" w:eastAsia="Times New Roman" w:hAnsi="Times New Roman"/>
                <w:sz w:val="13"/>
                <w:szCs w:val="13"/>
                <w:color w:val="auto"/>
                <w:w w:val="79"/>
              </w:rPr>
              <w:t>• </w:t>
            </w:r>
          </w:p>
        </w:tc>
        <w:tc>
          <w:tcPr>
            <w:tcW w:w="7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 To approve an amendment to our Amended and Restated Certificate of Incorporation to reflect</w:t>
            </w:r>
          </w:p>
        </w:tc>
      </w:tr>
      <w:tr>
        <w:trPr>
          <w:trHeight w:val="234"/>
        </w:trPr>
        <w:tc>
          <w:tcPr>
            <w:tcW w:w="1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recently adopted Delaware law provisions regarding officer exculpation.</w:t>
            </w:r>
          </w:p>
        </w:tc>
      </w:tr>
      <w:tr>
        <w:trPr>
          <w:trHeight w:val="319"/>
        </w:trPr>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20" w:type="dxa"/>
            <w:vAlign w:val="bottom"/>
          </w:tcPr>
          <w:p>
            <w:pPr>
              <w:ind w:left="960"/>
              <w:spacing w:after="0"/>
              <w:rPr>
                <w:sz w:val="20"/>
                <w:szCs w:val="20"/>
                <w:color w:val="auto"/>
              </w:rPr>
            </w:pPr>
            <w:r>
              <w:rPr>
                <w:rFonts w:ascii="Times New Roman" w:cs="Times New Roman" w:eastAsia="Times New Roman" w:hAnsi="Times New Roman"/>
                <w:sz w:val="13"/>
                <w:szCs w:val="13"/>
                <w:color w:val="auto"/>
                <w:w w:val="79"/>
              </w:rPr>
              <w:t>• </w:t>
            </w:r>
          </w:p>
        </w:tc>
        <w:tc>
          <w:tcPr>
            <w:tcW w:w="7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 To transact other business that may properly come before the annual meeting or any</w:t>
            </w:r>
          </w:p>
        </w:tc>
      </w:tr>
      <w:tr>
        <w:trPr>
          <w:trHeight w:val="234"/>
        </w:trPr>
        <w:tc>
          <w:tcPr>
            <w:tcW w:w="1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adjournments or postponements thereof.</w:t>
            </w:r>
          </w:p>
        </w:tc>
      </w:tr>
      <w:tr>
        <w:trPr>
          <w:trHeight w:val="337"/>
        </w:trPr>
        <w:tc>
          <w:tcPr>
            <w:tcW w:w="29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8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Monday, April 10, 2023</w:t>
            </w:r>
          </w:p>
        </w:tc>
      </w:tr>
      <w:tr>
        <w:trPr>
          <w:trHeight w:val="319"/>
        </w:trPr>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Only stockholders of record as of Monday, April 10, 2023, at the close of business are entitled to</w:t>
            </w:r>
          </w:p>
        </w:tc>
      </w:tr>
      <w:tr>
        <w:trPr>
          <w:trHeight w:val="234"/>
        </w:trPr>
        <w:tc>
          <w:tcPr>
            <w:tcW w:w="1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notice of and to vote at the annual meeting.</w:t>
            </w:r>
          </w:p>
        </w:tc>
      </w:tr>
      <w:tr>
        <w:trPr>
          <w:trHeight w:val="317"/>
        </w:trPr>
        <w:tc>
          <w:tcPr>
            <w:tcW w:w="29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Availability of Proxy Materials</w:t>
            </w:r>
          </w:p>
        </w:tc>
        <w:tc>
          <w:tcPr>
            <w:tcW w:w="8220" w:type="dxa"/>
            <w:vAlign w:val="bottom"/>
            <w:gridSpan w:val="2"/>
          </w:tcPr>
          <w:p>
            <w:pPr>
              <w:ind w:left="860"/>
              <w:spacing w:after="0"/>
              <w:rPr>
                <w:sz w:val="20"/>
                <w:szCs w:val="20"/>
                <w:color w:val="auto"/>
              </w:rPr>
            </w:pPr>
            <w:r>
              <w:rPr>
                <w:rFonts w:ascii="Times New Roman" w:cs="Times New Roman" w:eastAsia="Times New Roman" w:hAnsi="Times New Roman"/>
                <w:sz w:val="18"/>
                <w:szCs w:val="18"/>
                <w:i w:val="1"/>
                <w:iCs w:val="1"/>
                <w:color w:val="auto"/>
              </w:rPr>
              <w:t>The Notice of Internet Availability of Proxy Materials containing instructions on how to access our</w:t>
            </w:r>
          </w:p>
        </w:tc>
      </w:tr>
      <w:tr>
        <w:trPr>
          <w:trHeight w:val="216"/>
        </w:trPr>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220" w:type="dxa"/>
            <w:vAlign w:val="bottom"/>
            <w:gridSpan w:val="2"/>
          </w:tcPr>
          <w:p>
            <w:pPr>
              <w:ind w:left="860"/>
              <w:spacing w:after="0"/>
              <w:rPr>
                <w:sz w:val="20"/>
                <w:szCs w:val="20"/>
                <w:color w:val="auto"/>
              </w:rPr>
            </w:pPr>
            <w:r>
              <w:rPr>
                <w:rFonts w:ascii="Times New Roman" w:cs="Times New Roman" w:eastAsia="Times New Roman" w:hAnsi="Times New Roman"/>
                <w:sz w:val="18"/>
                <w:szCs w:val="18"/>
                <w:i w:val="1"/>
                <w:iCs w:val="1"/>
                <w:color w:val="auto"/>
              </w:rPr>
              <w:t>proxy statement, notice of annual meeting, form of proxy and our annual report, is first being sent or</w:t>
            </w:r>
          </w:p>
        </w:tc>
      </w:tr>
      <w:tr>
        <w:trPr>
          <w:trHeight w:val="216"/>
        </w:trPr>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220" w:type="dxa"/>
            <w:vAlign w:val="bottom"/>
            <w:gridSpan w:val="2"/>
          </w:tcPr>
          <w:p>
            <w:pPr>
              <w:ind w:left="860"/>
              <w:spacing w:after="0"/>
              <w:rPr>
                <w:sz w:val="20"/>
                <w:szCs w:val="20"/>
                <w:color w:val="auto"/>
              </w:rPr>
            </w:pPr>
            <w:r>
              <w:rPr>
                <w:rFonts w:ascii="Times New Roman" w:cs="Times New Roman" w:eastAsia="Times New Roman" w:hAnsi="Times New Roman"/>
                <w:sz w:val="18"/>
                <w:szCs w:val="18"/>
                <w:i w:val="1"/>
                <w:iCs w:val="1"/>
                <w:color w:val="auto"/>
              </w:rPr>
              <w:t>given on or about April , 2023 to all stockholders entitled to vote at the annual meeting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We are</w:t>
            </w:r>
          </w:p>
        </w:tc>
      </w:tr>
      <w:tr>
        <w:trPr>
          <w:trHeight w:val="216"/>
        </w:trPr>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220" w:type="dxa"/>
            <w:vAlign w:val="bottom"/>
            <w:gridSpan w:val="2"/>
          </w:tcPr>
          <w:p>
            <w:pPr>
              <w:ind w:left="860"/>
              <w:spacing w:after="0"/>
              <w:rPr>
                <w:sz w:val="20"/>
                <w:szCs w:val="20"/>
                <w:color w:val="auto"/>
              </w:rPr>
            </w:pPr>
            <w:r>
              <w:rPr>
                <w:rFonts w:ascii="Times New Roman" w:cs="Times New Roman" w:eastAsia="Times New Roman" w:hAnsi="Times New Roman"/>
                <w:sz w:val="18"/>
                <w:szCs w:val="18"/>
                <w:i w:val="1"/>
                <w:iCs w:val="1"/>
                <w:color w:val="auto"/>
              </w:rPr>
              <w:t>providing access to our proxy materials over the Internet under the rules adopted by the Securities</w:t>
            </w:r>
          </w:p>
        </w:tc>
      </w:tr>
      <w:tr>
        <w:trPr>
          <w:trHeight w:val="236"/>
        </w:trPr>
        <w:tc>
          <w:tcPr>
            <w:tcW w:w="1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220" w:type="dxa"/>
            <w:vAlign w:val="bottom"/>
            <w:gridSpan w:val="2"/>
          </w:tcPr>
          <w:p>
            <w:pPr>
              <w:ind w:left="860"/>
              <w:spacing w:after="0"/>
              <w:rPr>
                <w:sz w:val="20"/>
                <w:szCs w:val="20"/>
                <w:color w:val="auto"/>
              </w:rPr>
            </w:pPr>
            <w:r>
              <w:rPr>
                <w:rFonts w:ascii="Times New Roman" w:cs="Times New Roman" w:eastAsia="Times New Roman" w:hAnsi="Times New Roman"/>
                <w:sz w:val="18"/>
                <w:szCs w:val="18"/>
                <w:i w:val="1"/>
                <w:iCs w:val="1"/>
                <w:color w:val="auto"/>
              </w:rPr>
              <w:t>and Exchange Commission (SEC).</w:t>
            </w:r>
          </w:p>
        </w:tc>
      </w:tr>
      <w:tr>
        <w:trPr>
          <w:trHeight w:val="319"/>
        </w:trPr>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The proxy materials and our annual report can be accessed as of April , 2023 by visiting</w:t>
            </w:r>
          </w:p>
        </w:tc>
      </w:tr>
      <w:tr>
        <w:trPr>
          <w:trHeight w:val="234"/>
        </w:trPr>
        <w:tc>
          <w:tcPr>
            <w:tcW w:w="1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www.proxydocs.com/TNYA.</w:t>
            </w:r>
          </w:p>
        </w:tc>
      </w:tr>
      <w:tr>
        <w:trPr>
          <w:trHeight w:val="319"/>
        </w:trPr>
        <w:tc>
          <w:tcPr>
            <w:tcW w:w="29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Voting</w:t>
            </w:r>
          </w:p>
        </w:tc>
        <w:tc>
          <w:tcPr>
            <w:tcW w:w="822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w w:val="99"/>
              </w:rPr>
              <w:t>Your vote is important</w:t>
            </w:r>
            <w:r>
              <w:rPr>
                <w:rFonts w:ascii="Times New Roman" w:cs="Times New Roman" w:eastAsia="Times New Roman" w:hAnsi="Times New Roman"/>
                <w:sz w:val="18"/>
                <w:szCs w:val="18"/>
                <w:color w:val="auto"/>
                <w:w w:val="99"/>
              </w:rPr>
              <w:t>. Whether or not you plan to attend the annual meeting, we urge you to submit</w:t>
            </w:r>
          </w:p>
        </w:tc>
      </w:tr>
      <w:tr>
        <w:trPr>
          <w:trHeight w:val="234"/>
        </w:trPr>
        <w:tc>
          <w:tcPr>
            <w:tcW w:w="1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w w:val="99"/>
              </w:rPr>
              <w:t>your proxy or voting instructions via the Internet, telephone or mail as soon as possible to ensure your</w:t>
            </w:r>
          </w:p>
        </w:tc>
      </w:tr>
    </w:tbl>
    <w:p>
      <w:pPr>
        <w:ind w:left="37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are represented. For additional instructions for each of these voting options, please refer to the proxy card. Returning your proxy card does not deprive you of your right to attend the annual meeting and to vote your shares at the annual meeting. The proxy statement explains proxy voting and the matters to be voted on in more detail.</w:t>
      </w:r>
    </w:p>
    <w:p>
      <w:pPr>
        <w:spacing w:after="0" w:line="18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39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Faraz Ali, M.B.A.</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South San Francisco, California</w:t>
      </w:r>
    </w:p>
    <w:p>
      <w:pPr>
        <w:spacing w:after="0" w:line="27"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April</w:t>
      </w:r>
      <w:r>
        <w:rPr>
          <w:sz w:val="20"/>
          <w:szCs w:val="20"/>
          <w:color w:val="auto"/>
        </w:rPr>
        <w:tab/>
      </w:r>
      <w:r>
        <w:rPr>
          <w:rFonts w:ascii="Times New Roman" w:cs="Times New Roman" w:eastAsia="Times New Roman" w:hAnsi="Times New Roman"/>
          <w:sz w:val="17"/>
          <w:szCs w:val="17"/>
          <w:color w:val="auto"/>
        </w:rPr>
        <w:t>, 2023</w:t>
      </w:r>
    </w:p>
    <w:p>
      <w:pPr>
        <w:spacing w:after="0" w:line="207" w:lineRule="exact"/>
        <w:rPr>
          <w:sz w:val="20"/>
          <w:szCs w:val="20"/>
          <w:color w:val="auto"/>
        </w:rPr>
      </w:pPr>
    </w:p>
    <w:p>
      <w:pPr>
        <w:jc w:val="center"/>
        <w:ind w:right="-119"/>
        <w:spacing w:after="0"/>
        <w:tabs>
          <w:tab w:leader="none" w:pos="160" w:val="left"/>
        </w:tabs>
        <w:rPr>
          <w:sz w:val="20"/>
          <w:szCs w:val="20"/>
          <w:color w:val="auto"/>
        </w:rPr>
      </w:pPr>
      <w:r>
        <w:rPr>
          <w:rFonts w:ascii="Times New Roman" w:cs="Times New Roman" w:eastAsia="Times New Roman" w:hAnsi="Times New Roman"/>
          <w:sz w:val="18"/>
          <w:szCs w:val="18"/>
          <w:color w:val="auto"/>
        </w:rPr>
        <w:t>This proxy statement is being mailed to stockholders on or about April</w:t>
      </w:r>
      <w:r>
        <w:rPr>
          <w:sz w:val="20"/>
          <w:szCs w:val="20"/>
          <w:color w:val="auto"/>
        </w:rPr>
        <w:tab/>
      </w:r>
      <w:r>
        <w:rPr>
          <w:rFonts w:ascii="Times New Roman" w:cs="Times New Roman" w:eastAsia="Times New Roman" w:hAnsi="Times New Roman"/>
          <w:sz w:val="17"/>
          <w:szCs w:val="17"/>
          <w:color w:val="auto"/>
        </w:rPr>
        <w:t>, 2023.</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20"/>
          </w:cols>
          <w:pgMar w:left="320" w:top="446"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620" w:type="dxa"/>
            <w:vAlign w:val="bottom"/>
            <w:gridSpan w:val="43"/>
            <w:vMerge w:val="restart"/>
          </w:tcPr>
          <w:p>
            <w:pPr>
              <w:spacing w:after="0"/>
              <w:rPr>
                <w:sz w:val="20"/>
                <w:szCs w:val="20"/>
                <w:color w:val="auto"/>
              </w:rPr>
            </w:pPr>
            <w:r>
              <w:rPr>
                <w:rFonts w:ascii="Times New Roman" w:cs="Times New Roman" w:eastAsia="Times New Roman" w:hAnsi="Times New Roman"/>
                <w:sz w:val="18"/>
                <w:szCs w:val="18"/>
                <w:color w:val="0000EE"/>
                <w:w w:val="99"/>
              </w:rPr>
              <w:t>QUESTIONS AND ANSWERS ABOUT THE PROXY MATERIALS AND OUR ANNUAL MEETING</w:t>
            </w:r>
          </w:p>
        </w:tc>
        <w:tc>
          <w:tcPr>
            <w:tcW w:w="3040" w:type="dxa"/>
            <w:vAlign w:val="bottom"/>
            <w:gridSpan w:val="4"/>
            <w:vMerge w:val="restart"/>
          </w:tcPr>
          <w:p>
            <w:pPr>
              <w:spacing w:after="0"/>
              <w:rPr>
                <w:sz w:val="15"/>
                <w:szCs w:val="15"/>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0"/>
        </w:trPr>
        <w:tc>
          <w:tcPr>
            <w:tcW w:w="7620" w:type="dxa"/>
            <w:vAlign w:val="bottom"/>
            <w:tcBorders>
              <w:bottom w:val="single" w:sz="8" w:color="0000EE"/>
            </w:tcBorders>
            <w:gridSpan w:val="43"/>
            <w:vMerge w:val="continue"/>
          </w:tcPr>
          <w:p>
            <w:pPr>
              <w:spacing w:after="0"/>
              <w:rPr>
                <w:sz w:val="13"/>
                <w:szCs w:val="13"/>
                <w:color w:val="auto"/>
              </w:rPr>
            </w:pPr>
          </w:p>
        </w:tc>
        <w:tc>
          <w:tcPr>
            <w:tcW w:w="3040" w:type="dxa"/>
            <w:vAlign w:val="bottom"/>
            <w:gridSpan w:val="4"/>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760" w:type="dxa"/>
            <w:vAlign w:val="bottom"/>
            <w:tcBorders>
              <w:bottom w:val="single" w:sz="8" w:color="0000EE"/>
            </w:tcBorders>
            <w:gridSpan w:val="37"/>
          </w:tcPr>
          <w:p>
            <w:pPr>
              <w:spacing w:after="0"/>
              <w:rPr>
                <w:sz w:val="20"/>
                <w:szCs w:val="20"/>
                <w:color w:val="auto"/>
              </w:rPr>
            </w:pPr>
            <w:r>
              <w:rPr>
                <w:rFonts w:ascii="Times New Roman" w:cs="Times New Roman" w:eastAsia="Times New Roman" w:hAnsi="Times New Roman"/>
                <w:sz w:val="18"/>
                <w:szCs w:val="18"/>
                <w:color w:val="0000EE"/>
                <w:w w:val="99"/>
              </w:rPr>
              <w:t>BOARD OF DIRECTORS AND CORPORATE GOVERNANCE</w:t>
            </w:r>
          </w:p>
        </w:tc>
        <w:tc>
          <w:tcPr>
            <w:tcW w:w="5900" w:type="dxa"/>
            <w:vAlign w:val="bottom"/>
            <w:gridSpan w:val="10"/>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Composition of the Board</w:t>
            </w:r>
          </w:p>
        </w:tc>
        <w:tc>
          <w:tcPr>
            <w:tcW w:w="8420" w:type="dxa"/>
            <w:vAlign w:val="bottom"/>
            <w:gridSpan w:val="3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0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Class II Nominees for Director</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Continuing Directors</w:t>
            </w:r>
          </w:p>
        </w:tc>
        <w:tc>
          <w:tcPr>
            <w:tcW w:w="8080" w:type="dxa"/>
            <w:vAlign w:val="bottom"/>
            <w:gridSpan w:val="2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Director Independence</w:t>
            </w:r>
          </w:p>
        </w:tc>
        <w:tc>
          <w:tcPr>
            <w:tcW w:w="8660" w:type="dxa"/>
            <w:vAlign w:val="bottom"/>
            <w:gridSpan w:val="3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0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Board Leadership Structure</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0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Role of Board in Risk Oversight Process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Board Committees</w:t>
            </w:r>
          </w:p>
        </w:tc>
        <w:tc>
          <w:tcPr>
            <w:tcW w:w="1560" w:type="dxa"/>
            <w:vAlign w:val="bottom"/>
            <w:tcBorders>
              <w:top w:val="single" w:sz="8" w:color="0000EE"/>
            </w:tcBorders>
            <w:gridSpan w:val="17"/>
          </w:tcPr>
          <w:p>
            <w:pPr>
              <w:spacing w:after="0"/>
              <w:rPr>
                <w:sz w:val="17"/>
                <w:szCs w:val="17"/>
                <w:color w:val="auto"/>
              </w:rPr>
            </w:pPr>
          </w:p>
        </w:tc>
        <w:tc>
          <w:tcPr>
            <w:tcW w:w="7380" w:type="dxa"/>
            <w:vAlign w:val="bottom"/>
            <w:gridSpan w:val="2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8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Attendance at Board and Stockholders Meetings</w:t>
            </w:r>
          </w:p>
        </w:tc>
        <w:tc>
          <w:tcPr>
            <w:tcW w:w="6820" w:type="dxa"/>
            <w:vAlign w:val="bottom"/>
            <w:gridSpan w:val="1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60" w:type="dxa"/>
            <w:vAlign w:val="bottom"/>
            <w:tcBorders>
              <w:bottom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w w:val="99"/>
              </w:rPr>
              <w:t>Compensation Committee Interlocks and Insider Participation</w:t>
            </w:r>
          </w:p>
        </w:tc>
        <w:tc>
          <w:tcPr>
            <w:tcW w:w="584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0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Considerations in Evaluating Director Nominees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0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Stockholders Recommendations and Nominations to our Board of Directors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60" w:type="dxa"/>
            <w:vAlign w:val="bottom"/>
            <w:tcBorders>
              <w:top w:val="single" w:sz="8" w:color="0000EE"/>
            </w:tcBorders>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Communications with the Board of Directors</w:t>
            </w:r>
          </w:p>
        </w:tc>
        <w:tc>
          <w:tcPr>
            <w:tcW w:w="484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0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Policy Prohibiting Hedging or Pledging of Securities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520" w:type="dxa"/>
            <w:vAlign w:val="bottom"/>
            <w:tcBorders>
              <w:bottom w:val="single" w:sz="8" w:color="0000EE"/>
            </w:tcBorders>
            <w:gridSpan w:val="39"/>
          </w:tcPr>
          <w:p>
            <w:pPr>
              <w:spacing w:after="0" w:line="196" w:lineRule="exact"/>
              <w:rPr>
                <w:sz w:val="20"/>
                <w:szCs w:val="20"/>
                <w:color w:val="auto"/>
              </w:rPr>
            </w:pPr>
            <w:r>
              <w:rPr>
                <w:rFonts w:ascii="Times New Roman" w:cs="Times New Roman" w:eastAsia="Times New Roman" w:hAnsi="Times New Roman"/>
                <w:sz w:val="18"/>
                <w:szCs w:val="18"/>
                <w:color w:val="0000EE"/>
                <w:w w:val="99"/>
              </w:rPr>
              <w:t>Corporate Governance Guidelines and Code of Business Conduct and Ethics</w:t>
            </w:r>
          </w:p>
        </w:tc>
        <w:tc>
          <w:tcPr>
            <w:tcW w:w="478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Board Diversity</w:t>
            </w:r>
          </w:p>
        </w:tc>
        <w:tc>
          <w:tcPr>
            <w:tcW w:w="9140" w:type="dxa"/>
            <w:vAlign w:val="bottom"/>
            <w:gridSpan w:val="3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Director Compensation</w:t>
            </w:r>
          </w:p>
        </w:tc>
        <w:tc>
          <w:tcPr>
            <w:tcW w:w="8620" w:type="dxa"/>
            <w:vAlign w:val="bottom"/>
            <w:gridSpan w:val="3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1066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PROPOSAL NO. 1: ELECTION OF CLASS I DIRECTORS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40" w:type="dxa"/>
            <w:vAlign w:val="bottom"/>
            <w:tcBorders>
              <w:top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Nominees</w:t>
            </w:r>
          </w:p>
        </w:tc>
        <w:tc>
          <w:tcPr>
            <w:tcW w:w="6260" w:type="dxa"/>
            <w:vAlign w:val="bottom"/>
            <w:gridSpan w:val="1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0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Vote Required</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Board Recommendation</w:t>
            </w:r>
          </w:p>
        </w:tc>
        <w:tc>
          <w:tcPr>
            <w:tcW w:w="8540" w:type="dxa"/>
            <w:vAlign w:val="bottom"/>
            <w:gridSpan w:val="3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066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PROPOSAL NO. 2: RATIFICATION OF APPOINTMENT OF INDEPENDENT REGISTERED PUBLIC ACCOUNTING FIRM</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680" w:type="dxa"/>
            <w:vAlign w:val="bottom"/>
            <w:tcBorders>
              <w:top w:val="single" w:sz="8" w:color="0000EE"/>
              <w:bottom w:val="single" w:sz="8" w:color="0000EE"/>
            </w:tcBorders>
            <w:gridSpan w:val="37"/>
          </w:tcPr>
          <w:p>
            <w:pPr>
              <w:spacing w:after="0" w:line="196" w:lineRule="exact"/>
              <w:rPr>
                <w:sz w:val="20"/>
                <w:szCs w:val="20"/>
                <w:color w:val="auto"/>
              </w:rPr>
            </w:pPr>
            <w:r>
              <w:rPr>
                <w:rFonts w:ascii="Times New Roman" w:cs="Times New Roman" w:eastAsia="Times New Roman" w:hAnsi="Times New Roman"/>
                <w:sz w:val="18"/>
                <w:szCs w:val="18"/>
                <w:color w:val="0000EE"/>
                <w:w w:val="99"/>
              </w:rPr>
              <w:t>Fees Paid to the Independent Registered Public Accounting Firm</w:t>
            </w:r>
          </w:p>
        </w:tc>
        <w:tc>
          <w:tcPr>
            <w:tcW w:w="4380" w:type="dxa"/>
            <w:vAlign w:val="bottom"/>
            <w:tcBorders>
              <w:top w:val="single" w:sz="8" w:color="0000EE"/>
            </w:tcBorders>
            <w:gridSpan w:val="5"/>
          </w:tcPr>
          <w:p>
            <w:pPr>
              <w:spacing w:after="0"/>
              <w:rPr>
                <w:sz w:val="17"/>
                <w:szCs w:val="17"/>
                <w:color w:val="auto"/>
              </w:rPr>
            </w:pPr>
          </w:p>
        </w:tc>
        <w:tc>
          <w:tcPr>
            <w:tcW w:w="124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Auditor Independence</w:t>
            </w:r>
          </w:p>
        </w:tc>
        <w:tc>
          <w:tcPr>
            <w:tcW w:w="8700" w:type="dxa"/>
            <w:vAlign w:val="bottom"/>
            <w:gridSpan w:val="3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60" w:type="dxa"/>
            <w:vAlign w:val="bottom"/>
            <w:tcBorders>
              <w:bottom w:val="single" w:sz="8" w:color="0000EE"/>
            </w:tcBorders>
            <w:gridSpan w:val="44"/>
          </w:tcPr>
          <w:p>
            <w:pPr>
              <w:spacing w:after="0" w:line="196" w:lineRule="exact"/>
              <w:rPr>
                <w:sz w:val="20"/>
                <w:szCs w:val="20"/>
                <w:color w:val="auto"/>
              </w:rPr>
            </w:pPr>
            <w:r>
              <w:rPr>
                <w:rFonts w:ascii="Times New Roman" w:cs="Times New Roman" w:eastAsia="Times New Roman" w:hAnsi="Times New Roman"/>
                <w:sz w:val="18"/>
                <w:szCs w:val="18"/>
                <w:color w:val="0000EE"/>
                <w:w w:val="99"/>
              </w:rPr>
              <w:t>Audit Committee Policy on Pre-Approval of Audit and Permissible Non-Audit Services of Independent Registered Public Accounting</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Firm</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0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Vote Required</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Board Recommendation</w:t>
            </w:r>
          </w:p>
        </w:tc>
        <w:tc>
          <w:tcPr>
            <w:tcW w:w="8540" w:type="dxa"/>
            <w:vAlign w:val="bottom"/>
            <w:gridSpan w:val="3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9720" w:type="dxa"/>
            <w:vAlign w:val="bottom"/>
            <w:tcBorders>
              <w:bottom w:val="single" w:sz="8" w:color="0000EE"/>
            </w:tcBorders>
            <w:gridSpan w:val="45"/>
          </w:tcPr>
          <w:p>
            <w:pPr>
              <w:spacing w:after="0" w:line="196" w:lineRule="exact"/>
              <w:rPr>
                <w:sz w:val="20"/>
                <w:szCs w:val="20"/>
                <w:color w:val="auto"/>
              </w:rPr>
            </w:pPr>
            <w:r>
              <w:rPr>
                <w:rFonts w:ascii="Times New Roman" w:cs="Times New Roman" w:eastAsia="Times New Roman" w:hAnsi="Times New Roman"/>
                <w:sz w:val="18"/>
                <w:szCs w:val="18"/>
                <w:color w:val="0000EE"/>
                <w:w w:val="98"/>
              </w:rPr>
              <w:t>PROPOSAL NO. 3: AMENDMENT OF OUR AMENDED AND RESTATED CERTIFICATE OF INCORPORATION REGARDING</w:t>
            </w:r>
          </w:p>
        </w:tc>
        <w:tc>
          <w:tcPr>
            <w:tcW w:w="94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2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5"/>
              </w:rPr>
              <w:t>EXCULPATION</w:t>
            </w:r>
          </w:p>
        </w:tc>
        <w:tc>
          <w:tcPr>
            <w:tcW w:w="9260" w:type="dxa"/>
            <w:vAlign w:val="bottom"/>
            <w:gridSpan w:val="4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0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Vote Required</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394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Board Recommendation</w:t>
            </w:r>
          </w:p>
        </w:tc>
        <w:tc>
          <w:tcPr>
            <w:tcW w:w="8540" w:type="dxa"/>
            <w:vAlign w:val="bottom"/>
            <w:gridSpan w:val="3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AUDIT COMMITTEE REPORT</w:t>
            </w:r>
          </w:p>
        </w:tc>
        <w:tc>
          <w:tcPr>
            <w:tcW w:w="8260" w:type="dxa"/>
            <w:vAlign w:val="bottom"/>
            <w:gridSpan w:val="2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9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EXECUTIVE OFFICERS</w:t>
            </w:r>
          </w:p>
        </w:tc>
        <w:tc>
          <w:tcPr>
            <w:tcW w:w="8760" w:type="dxa"/>
            <w:vAlign w:val="bottom"/>
            <w:gridSpan w:val="3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8220" w:type="dxa"/>
            <w:vAlign w:val="bottom"/>
            <w:gridSpan w:val="2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40" w:type="dxa"/>
            <w:vAlign w:val="bottom"/>
            <w:tcBorders>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9"/>
              </w:rPr>
              <w:t>Processes and Procedures for Compensation Decisions</w:t>
            </w:r>
          </w:p>
        </w:tc>
        <w:tc>
          <w:tcPr>
            <w:tcW w:w="6360" w:type="dxa"/>
            <w:vAlign w:val="bottom"/>
            <w:gridSpan w:val="1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6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8"/>
              </w:rPr>
              <w:t>Summary Compensation Table for Fiscal 2022</w:t>
            </w:r>
          </w:p>
        </w:tc>
        <w:tc>
          <w:tcPr>
            <w:tcW w:w="6940" w:type="dxa"/>
            <w:vAlign w:val="bottom"/>
            <w:gridSpan w:val="1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0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Employment Arrangements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880" w:type="dxa"/>
            <w:vAlign w:val="bottom"/>
            <w:gridSpan w:val="10"/>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394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0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Executive Change in Control and Severance Plan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Executive Incentive Compensation Plan</w:t>
            </w:r>
          </w:p>
        </w:tc>
        <w:tc>
          <w:tcPr>
            <w:tcW w:w="660" w:type="dxa"/>
            <w:vAlign w:val="bottom"/>
            <w:tcBorders>
              <w:top w:val="single" w:sz="8" w:color="0000EE"/>
            </w:tcBorders>
            <w:gridSpan w:val="6"/>
          </w:tcPr>
          <w:p>
            <w:pPr>
              <w:spacing w:after="0"/>
              <w:rPr>
                <w:sz w:val="17"/>
                <w:szCs w:val="17"/>
                <w:color w:val="auto"/>
              </w:rPr>
            </w:pPr>
          </w:p>
        </w:tc>
        <w:tc>
          <w:tcPr>
            <w:tcW w:w="6760" w:type="dxa"/>
            <w:vAlign w:val="bottom"/>
            <w:gridSpan w:val="1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0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Outstanding Equity Awards at Fiscal 2022 Year-End</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0" w:type="dxa"/>
            <w:vAlign w:val="bottom"/>
            <w:tcBorders>
              <w:top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Equity Compensation Plan Information</w:t>
            </w:r>
          </w:p>
        </w:tc>
        <w:tc>
          <w:tcPr>
            <w:tcW w:w="6500" w:type="dxa"/>
            <w:vAlign w:val="bottom"/>
            <w:gridSpan w:val="1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1220" w:type="dxa"/>
            <w:vAlign w:val="bottom"/>
            <w:gridSpan w:val="1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40" w:type="dxa"/>
            <w:vAlign w:val="bottom"/>
            <w:gridSpan w:val="11"/>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394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6720" w:type="dxa"/>
            <w:vAlign w:val="bottom"/>
            <w:tcBorders>
              <w:top w:val="single" w:sz="8" w:color="0000EE"/>
            </w:tcBorders>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RELATED PERSON TRANSACTIONS</w:t>
            </w:r>
          </w:p>
        </w:tc>
        <w:tc>
          <w:tcPr>
            <w:tcW w:w="394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1220" w:type="dxa"/>
            <w:vAlign w:val="bottom"/>
            <w:gridSpan w:val="1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80" w:type="dxa"/>
            <w:vAlign w:val="bottom"/>
            <w:gridSpan w:val="12"/>
          </w:tcPr>
          <w:p>
            <w:pPr>
              <w:spacing w:after="0" w:line="20" w:lineRule="exact"/>
              <w:rPr>
                <w:sz w:val="1"/>
                <w:szCs w:val="1"/>
                <w:color w:val="auto"/>
              </w:rPr>
            </w:pPr>
          </w:p>
        </w:tc>
        <w:tc>
          <w:tcPr>
            <w:tcW w:w="6240" w:type="dxa"/>
            <w:vAlign w:val="bottom"/>
            <w:gridSpan w:val="11"/>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60" w:type="dxa"/>
            <w:vAlign w:val="bottom"/>
            <w:tcBorders>
              <w:bottom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w w:val="99"/>
              </w:rPr>
              <w:t>Policies and Procedures for Related Person Transactions</w:t>
            </w:r>
          </w:p>
        </w:tc>
        <w:tc>
          <w:tcPr>
            <w:tcW w:w="6240" w:type="dxa"/>
            <w:vAlign w:val="bottom"/>
            <w:gridSpan w:val="1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1066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OTHER MATTERS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1220" w:type="dxa"/>
            <w:vAlign w:val="bottom"/>
            <w:gridSpan w:val="1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900" w:type="dxa"/>
            <w:vAlign w:val="bottom"/>
            <w:gridSpan w:val="2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0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Delinquent Section 16(a) Reports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Fiscal Year 2022 Annual Report</w:t>
            </w:r>
          </w:p>
        </w:tc>
        <w:tc>
          <w:tcPr>
            <w:tcW w:w="80" w:type="dxa"/>
            <w:vAlign w:val="bottom"/>
            <w:tcBorders>
              <w:top w:val="single" w:sz="8" w:color="0000EE"/>
            </w:tcBorders>
          </w:tcPr>
          <w:p>
            <w:pPr>
              <w:spacing w:after="0"/>
              <w:rPr>
                <w:sz w:val="17"/>
                <w:szCs w:val="17"/>
                <w:color w:val="auto"/>
              </w:rPr>
            </w:pPr>
          </w:p>
        </w:tc>
        <w:tc>
          <w:tcPr>
            <w:tcW w:w="7900" w:type="dxa"/>
            <w:vAlign w:val="bottom"/>
            <w:gridSpan w:val="2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FOR THE 2023 ANNUAL MEETING OF STOCKHOLDERS</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To be held at 8:00 a.m. Pacific Time on Thursday, June 8, 2023</w:t>
      </w:r>
    </w:p>
    <w:p>
      <w:pPr>
        <w:spacing w:after="0" w:line="207"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The information provided in the “question and answer” format below is for your convenience only and is merely a summary of the information contained in this proxy statement. You should read this entire proxy statement carefully.</w:t>
      </w:r>
    </w:p>
    <w:p>
      <w:pPr>
        <w:spacing w:after="0" w:line="37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QUESTIONS AND ANSWERS ABOUT THE PROXY MATERIALS AND OUR ANNUAL MEETING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This proxy statement and the form of proxy are furnished in connection with the solicitation of proxies by our board of directors for use at the 2023 annual meeting of stockholders of Tenaya Therapeutics, Inc., a Delaware corporation, and any postponements, adjournments or continuations thereof. The annual meeting will be held on Thursday, June 8, 2023, at 8:00 a.m. Pacific Time. The annual meeting will be conducted virtually via a live audio webcast. You will be able to attend the annual meeting virtually by visiting www.proxydocs.com/TNYA, where you will be able to listen to the meeting live, submit questions and vote online during the meeting by entering the control number on your proxy card.</w:t>
      </w:r>
    </w:p>
    <w:p>
      <w:pPr>
        <w:spacing w:after="0" w:line="183"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Notice of Internet Availability of Proxy Materials, or Notice of Internet Availability, containing instructions on how to access this proxy statement, the accompanying notice of annual meeting and form of proxy, and our annual report, is first being sent or given on or about April , 2023 to all stockholders of record as of the close of business on April 10, 2023. The proxy materials and our annual report can be accessed as of April , 2023 by visiting www.proxydocs.com/TNYA. If you receive a Notice of Internet Availability, then you will not receive a printed copy of the proxy materials or our annual report in the mail unless you specifically request these materials. Instructions for requesting a printed copy of the proxy materials and our annual report are set forth in the Notice of Internet Availability.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proposals will be voted on at the annual meeting?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proposals will be voted on at the annual meeting:</w:t>
      </w:r>
    </w:p>
    <w:p>
      <w:pPr>
        <w:spacing w:after="0" w:line="131" w:lineRule="exact"/>
        <w:rPr>
          <w:sz w:val="20"/>
          <w:szCs w:val="20"/>
          <w:color w:val="auto"/>
        </w:rPr>
      </w:pPr>
    </w:p>
    <w:p>
      <w:pPr>
        <w:ind w:left="10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three Class II directors to hold office until our 2026 annual meeting of stockholders and until their respective successors are elected and qualified;</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Deloitte &amp; Touche LLP as our independent registered public accounting firm for our fiscal year ending December 31, 2023; and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to our Amended and Restated Certificate of Incorporation to reflect recently adopted Delaware law provisions regarding officer exculpation.</w:t>
      </w:r>
    </w:p>
    <w:p>
      <w:pPr>
        <w:spacing w:after="0" w:line="162"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our management and board of directors were not aware of any other matters to be presented at the annual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does the board of directors recommend that I vote on these proposals?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board of directors recommends that you vote your shares:</w:t>
      </w:r>
    </w:p>
    <w:p>
      <w:pPr>
        <w:spacing w:after="0" w:line="131"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each Class II director nominee named in this proxy statement;</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Deloitte &amp; Touche LLP as our independent registered public accounting firm for our fiscal year ending December 31, 2023; and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60"/>
          </w:cols>
          <w:pgMar w:left="320" w:top="455" w:right="5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0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amendment to our Amended and Restated Certificate of Incorporation to reflect recently adopted Delaware law provisions regarding officer exculpation.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121"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Holders of our common stock as of the close of business on April 10, 2023, the record date for the annual meeting, may vote at the annual meeting. As of the record date, there were 66,865,424 shares of our common stock outstanding. Each share of common stock is entitled to one vote on each matter properly brought before the annual meeting. Stockholders are not permitted to cumulate votes with respect to the election of directors.</w:t>
      </w:r>
    </w:p>
    <w:p>
      <w:pPr>
        <w:spacing w:after="0" w:line="174"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i w:val="1"/>
          <w:iCs w:val="1"/>
          <w:color w:val="auto"/>
        </w:rPr>
        <w:t>Stockholders of Record</w:t>
      </w:r>
      <w:r>
        <w:rPr>
          <w:rFonts w:ascii="Times New Roman" w:cs="Times New Roman" w:eastAsia="Times New Roman" w:hAnsi="Times New Roman"/>
          <w:sz w:val="18"/>
          <w:szCs w:val="18"/>
          <w:color w:val="auto"/>
        </w:rPr>
        <w:t>. If your shares of common stock are registered directly in your name with our transfer agent, Computershare Trust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 then you are considered the stockholder of record with respect to those shares, and the Notice of Internet Availability was sent directly to you by us. As a stockholder of record, you have the right to grant your voting proxy directly to the individuals listed on the proxy card or to vote on your own behalf at the annual meeting. Throughout this proxy statement, we refer to these holders as “stockholders of record.”</w:t>
      </w:r>
    </w:p>
    <w:p>
      <w:pPr>
        <w:spacing w:after="0" w:line="180"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i w:val="1"/>
          <w:iCs w:val="1"/>
          <w:color w:val="auto"/>
        </w:rPr>
        <w:t>Street Name Stockholders</w:t>
      </w:r>
      <w:r>
        <w:rPr>
          <w:rFonts w:ascii="Times New Roman" w:cs="Times New Roman" w:eastAsia="Times New Roman" w:hAnsi="Times New Roman"/>
          <w:sz w:val="18"/>
          <w:szCs w:val="18"/>
          <w:color w:val="auto"/>
        </w:rPr>
        <w:t>. If your shares are held in a brokerage account or by a broker, bank or other nominee, then you are considered the beneficial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 of shares held in street name, and the Notice of Internet Availability was forwarded to you by your broker, bank or other nominee, which is considered the stockholder of record with respect to those shares. As a beneficial owner, you have the right to direct your broker, bank or other nominee on how to vote the shares held in your account by following the instructions that your broker, bank or other nominee sent to you. Throughout this proxy statement, we refer to these holders as “street name stockholders.”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 there a list of registered stockholders entitled to vote at the annual meeting?</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A list of registered stockholders entitled to vote at the annual meeting will be made available for examination by any stockholder for any purpose germane to the meeting for a period of at least ten days prior to the meeting between the hours of 9:00 a.m. and 4:30 p.m. Pacific Time at our principal executive offices located at 171 Oyster Point Boulevard, Suite 500, South San Francisco, CA 94080 by contacting our corporate secretary.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quorum requirement for the annual meeting?</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 quorum is the minimum number of shares required to be present or represented at the annual meeting for the meeting to be properly held under our amended and restated bylaws (Bylaws) and Delaware law. The presence, in person (including virtually) or by proxy, of a majority of the voting power of our capital stock issued and outstanding and entitled to vote will constitute a quorum to transact business at the annual meeting. Abstentions, choosing to withhold authority to vote and broker non-votes are counted as present and entitled to vote for purposes of determining a quorum. Whether or not a quorum is present, the chairperson of the meeting may adjourn the meeting to another time or place.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are needed for approval of each proposal?</w:t>
      </w:r>
    </w:p>
    <w:p>
      <w:pPr>
        <w:spacing w:after="0" w:line="133" w:lineRule="exact"/>
        <w:rPr>
          <w:sz w:val="20"/>
          <w:szCs w:val="20"/>
          <w:color w:val="auto"/>
        </w:rPr>
      </w:pPr>
    </w:p>
    <w:p>
      <w:pPr>
        <w:ind w:left="1080" w:right="200" w:hanging="424"/>
        <w:spacing w:after="0" w:line="258"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No. 1</w:t>
      </w:r>
      <w:r>
        <w:rPr>
          <w:rFonts w:ascii="Times New Roman" w:cs="Times New Roman" w:eastAsia="Times New Roman" w:hAnsi="Times New Roman"/>
          <w:sz w:val="18"/>
          <w:szCs w:val="18"/>
          <w:color w:val="auto"/>
        </w:rPr>
        <w:t>: Each director is elected by a plurality of the voting power of the shares present in person (including virtually)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represented by proxy at the annual meeting and entitled to vote on the election of directors. A plurality means that the nominees with the largest number of FOR votes are elected as directors. You may (1) vote FOR the election of all of the director nominees named herein,</w:t>
      </w:r>
    </w:p>
    <w:p>
      <w:pPr>
        <w:ind w:left="1080"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WITHHOLD authority to vote for all such director nominees or (3) vote FOR the election of all such director nominees other than any nominees with respect to whom the vote is specifically WITHHELD by indicating in the space provided on the proxy. Because the outcome of this proposal will be determined by a plurality vote, any shares not voted FOR a particular nominee, whether as a result of choosing to WITHHOLD authority to vote or a broker non-vote, will have no effect on the outcome of the election. If you WITHHOLD your vote as to all nominees, you will be deemed to have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abstained from voting on Proposal No. 1, and such abstention will have no effect on the outcome of the proposal.</w:t>
      </w:r>
    </w:p>
    <w:p>
      <w:pPr>
        <w:spacing w:after="0" w:line="129" w:lineRule="exact"/>
        <w:rPr>
          <w:sz w:val="20"/>
          <w:szCs w:val="20"/>
          <w:color w:val="auto"/>
        </w:rPr>
      </w:pPr>
    </w:p>
    <w:p>
      <w:pPr>
        <w:ind w:left="1080" w:hanging="424"/>
        <w:spacing w:after="0" w:line="255" w:lineRule="auto"/>
        <w:tabs>
          <w:tab w:leader="none" w:pos="1080" w:val="left"/>
        </w:tabs>
        <w:numPr>
          <w:ilvl w:val="0"/>
          <w:numId w:val="9"/>
        </w:numPr>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auto"/>
        </w:rPr>
        <w:t>Proposal No. 2</w:t>
      </w:r>
      <w:r>
        <w:rPr>
          <w:rFonts w:ascii="Times New Roman" w:cs="Times New Roman" w:eastAsia="Times New Roman" w:hAnsi="Times New Roman"/>
          <w:sz w:val="18"/>
          <w:szCs w:val="18"/>
          <w:color w:val="auto"/>
        </w:rPr>
        <w:t>: The ratification of the appointment of Deloitte &amp; Touche LLP as our independent registered public accounting firm for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fiscal year ending December 31, 2023 requires the affirmative vote of a majority of the voting power of the shares present in person (including virtually) or represented by proxy at the annual meeting and entitled to vote thereon. You may vote FOR or AGAINST this proposal, or you may indicate that you wish to ABSTAIN from voting on this proposal. Abstentions will be counted for purposes of determining the presence or absence of a quorum and will also count as votes against this proposal, i.e., will have the same effect as a vote AGAINST this proposal. Because this is a routine proposal, your broker, bank or other nominee will have discretion to vote your shares on </w:t>
      </w:r>
      <w:hyperlink r:id="rId21">
        <w:r>
          <w:rPr>
            <w:rFonts w:ascii="Times New Roman" w:cs="Times New Roman" w:eastAsia="Times New Roman" w:hAnsi="Times New Roman"/>
            <w:sz w:val="18"/>
            <w:szCs w:val="18"/>
            <w:color w:val="auto"/>
          </w:rPr>
          <w:t xml:space="preserve">this routine matter.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0000EE"/>
          </w:rPr>
          <w:t>What if I do not specify how my shares are to be voted or fail to provide timely directions to my broker, bank or</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i w:val="1"/>
            <w:iCs w:val="1"/>
            <w:u w:val="single" w:color="auto"/>
            <w:color w:val="0000EE"/>
          </w:rPr>
          <w:t>other nominee</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color w:val="000000"/>
          </w:rPr>
          <w:t>below. Therefore, we do not expect any broker non-votes on this proposal.</w:t>
        </w:r>
      </w:hyperlink>
    </w:p>
    <w:p>
      <w:pPr>
        <w:spacing w:after="0" w:line="90" w:lineRule="exact"/>
        <w:rPr>
          <w:rFonts w:ascii="Times New Roman" w:cs="Times New Roman" w:eastAsia="Times New Roman" w:hAnsi="Times New Roman"/>
          <w:sz w:val="18"/>
          <w:szCs w:val="18"/>
          <w:i w:val="1"/>
          <w:iCs w:val="1"/>
          <w:color w:val="0000EE"/>
        </w:rPr>
      </w:pPr>
    </w:p>
    <w:p>
      <w:pPr>
        <w:ind w:left="1080" w:right="20" w:hanging="424"/>
        <w:spacing w:after="0" w:line="258"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No. 3</w:t>
      </w:r>
      <w:r>
        <w:rPr>
          <w:rFonts w:ascii="Times New Roman" w:cs="Times New Roman" w:eastAsia="Times New Roman" w:hAnsi="Times New Roman"/>
          <w:sz w:val="18"/>
          <w:szCs w:val="18"/>
          <w:color w:val="auto"/>
        </w:rPr>
        <w:t>: The amendment to our Amended and Restated Certificate of Incorporation to allow for the exculpation of officers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affirmative vote of a majority of the voting power of the shares of capital stock of the Company outstanding as of the record date and entitled to vote thereon. You may vote FOR or AGAINST this proposal, or you may indicate that you wish to ABSTAIN from voting on this proposal. Abstentions and broker non-votes will be counted for purposes of determining the presence or absence of a quorum and will also count as votes against this proposal, i.e., will have the same effect as a vote AGAINST this proposal.</w:t>
      </w:r>
    </w:p>
    <w:p>
      <w:pPr>
        <w:spacing w:after="0" w:line="289"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 and what are the voting deadlines?</w:t>
      </w:r>
    </w:p>
    <w:p>
      <w:pPr>
        <w:spacing w:after="0" w:line="119"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Stockholders of Record</w:t>
      </w:r>
      <w:r>
        <w:rPr>
          <w:rFonts w:ascii="Times New Roman" w:cs="Times New Roman" w:eastAsia="Times New Roman" w:hAnsi="Times New Roman"/>
          <w:sz w:val="18"/>
          <w:szCs w:val="18"/>
          <w:color w:val="auto"/>
        </w:rPr>
        <w:t>. If you are a stockholder of record, you may vote in one of the following ways:</w:t>
      </w:r>
    </w:p>
    <w:p>
      <w:pPr>
        <w:spacing w:after="0" w:line="133"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at www.proxydocs.com/TNYA, 24 hours a day, 7 days a week, until 11:59 p.m. Eastern Time on June 7, 2023. To vote via the Internet prior to the annual meeting, go to www.proxydocs.com/TNYA to complete an electronic proxy card. You will be asked to provide the control number from the proxy card you receive. If you vote via the Internet prior to the annual meeting, you do not need to return a proxy card by mail.</w:t>
      </w:r>
    </w:p>
    <w:p>
      <w:pPr>
        <w:spacing w:after="0" w:line="85"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toll-free telephone at 1-866-475-3780, 24 hours a day, 7 days a week, until 11:59 p.m. Eastern Time on June 7, 2023. You will be asked to provide the control number from the proxy card. If you vote by telephone, you do not need to return a proxy card by mail.</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completing, signing and mailing your proxy card that accompanies this proxy statement, which must be received prior to the annual meeting. The persons named in the proxy card will vote the shares you own in accordance with your instructions on the proxy card you mail. If you return the proxy card, but do not give any instructions on a particular matter to be voted on at the annual meeting, the persons named in the proxy card will vote the shares you own in accordance with the recommendations of our board of directors.</w:t>
      </w:r>
    </w:p>
    <w:p>
      <w:pPr>
        <w:spacing w:after="0" w:line="85"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the annual meeting virtually by visiting www.proxydocs.com/TNYA, where you may vote during the meeting (have your Notice of Internet Availability or proxy card in hand when you visit the website).</w:t>
      </w:r>
    </w:p>
    <w:p>
      <w:pPr>
        <w:spacing w:after="0" w:line="160" w:lineRule="exact"/>
        <w:rPr>
          <w:rFonts w:ascii="Times New Roman" w:cs="Times New Roman" w:eastAsia="Times New Roman" w:hAnsi="Times New Roman"/>
          <w:sz w:val="18"/>
          <w:szCs w:val="18"/>
          <w:color w:val="auto"/>
        </w:rPr>
      </w:pPr>
    </w:p>
    <w:p>
      <w:pPr>
        <w:ind w:left="120" w:right="80"/>
        <w:spacing w:after="0" w:line="257" w:lineRule="auto"/>
        <w:rPr>
          <w:sz w:val="20"/>
          <w:szCs w:val="20"/>
          <w:color w:val="auto"/>
        </w:rPr>
      </w:pPr>
      <w:r>
        <w:rPr>
          <w:rFonts w:ascii="Times New Roman" w:cs="Times New Roman" w:eastAsia="Times New Roman" w:hAnsi="Times New Roman"/>
          <w:sz w:val="18"/>
          <w:szCs w:val="18"/>
          <w:i w:val="1"/>
          <w:iCs w:val="1"/>
          <w:color w:val="auto"/>
        </w:rPr>
        <w:t>Street Name Stockholders</w:t>
      </w:r>
      <w:r>
        <w:rPr>
          <w:rFonts w:ascii="Times New Roman" w:cs="Times New Roman" w:eastAsia="Times New Roman" w:hAnsi="Times New Roman"/>
          <w:sz w:val="18"/>
          <w:szCs w:val="18"/>
          <w:color w:val="auto"/>
        </w:rPr>
        <w:t>. If you are a street name stockholder, then you will receive voting instructions from your broker, bank or other nominee.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availability of Internet and telephone voting options will depend on the voting process of your broker, bank or other nominee. We therefore recommend that you follow the voting instructions in the materials you receive. If your voting instruction form or notice of internet availability of proxy materials indicates that you may vote your shares through the proxyvote.com website, then you may vote those shares at the annual meeting with the control number indicated on that voting instruction form or notice of internet availability of proxy materials. Otherwise, you may not vote your shares at the annual meeting unless</w:t>
      </w:r>
    </w:p>
    <w:p>
      <w:pPr>
        <w:spacing w:after="0" w:line="117"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you obtain a legal proxy from your broker, bank or other nominee. We provide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I do not specify how my shares are to be voted or fail to provide timely directions to my broker, bank or other nominee?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Stockholders of Record</w:t>
      </w:r>
      <w:r>
        <w:rPr>
          <w:rFonts w:ascii="Times New Roman" w:cs="Times New Roman" w:eastAsia="Times New Roman" w:hAnsi="Times New Roman"/>
          <w:sz w:val="18"/>
          <w:szCs w:val="18"/>
          <w:color w:val="auto"/>
        </w:rPr>
        <w:t>. If you are a stockholder of record and you submit a proxy, but you do not provide voting instructions, your shares will be voted:</w:t>
      </w:r>
    </w:p>
    <w:p>
      <w:pPr>
        <w:spacing w:after="0" w:line="133"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each Class II director nominee named in this proxy statement;</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Deloitte &amp; Touche LLP as our independent registered public accounting firm for our fiscal year ending December 31, 2023; and</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amendment to our Amended and Restated Certificate of Incorporation to reflect recently adopted Delaware law provisions regarding officer exculpation.</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addition, if any other matters are properly brought before the annual meeting, the persons named as proxies will be authorized to vote or otherwise act on those matters in accordance with their judgment.</w:t>
      </w:r>
    </w:p>
    <w:p>
      <w:pPr>
        <w:spacing w:after="0" w:line="160"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i w:val="1"/>
          <w:iCs w:val="1"/>
          <w:color w:val="auto"/>
        </w:rPr>
        <w:t>Street Name Stockholders</w:t>
      </w:r>
      <w:r>
        <w:rPr>
          <w:rFonts w:ascii="Times New Roman" w:cs="Times New Roman" w:eastAsia="Times New Roman" w:hAnsi="Times New Roman"/>
          <w:sz w:val="18"/>
          <w:szCs w:val="18"/>
          <w:color w:val="auto"/>
        </w:rPr>
        <w:t>. Brokers, banks and other nominees holding shares of common stock in street name for customers are generally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such shares in the manner directed by their customers. In the absence of timely directions, your broker, bank or other nominee will have discretion to vote your shares on our sole routine matter: the proposal to ratify the appointment of Deloitte &amp; Touche LLP as our independent registered public accounting firm for our fiscal year ending December 31, 2023. Your broker, bank or other nominee will not have discretion to vote on any other proposals, which are considered non-routine matters, absent direction from you. In the event that your broker, bank or other nominee votes your shares on our sole routine matter, but is not able to vote your shares on the non-routine matters, then those shares will be treated as broker non-votes with respect to the non-routine proposals. Accordingly, if you own shares through a nominee, such as a broker or bank, please be sure to instruct your nominee how to vote to ensure that your shares are counted on each of the proposals.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are the effects of abstentions and broker non-votes?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 abstention represents a stockholder’s affirmative choice to decline to vote on a proposal. If a stockholder indicates on its proxy card that it wishes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abstain from voting its shares, or if a broker, bank or other nominee holding its customers’ shares of record causes abstentions to be recorded for shares,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shares will be considered present and entitled to vote at the annual meeting. As a result, abstentions will be counted for purposes of determining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presence or absence of a quorum and will also count as votes against a proposal in cases where approval of the proposal requires the affirmative vote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a majority of the shares present and entitled to vote thereon or a majority of the voting power of the shares of capital stock of the Company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outstanding as of the record date and entitled to vote thereon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Proposals No. 2 and 3, respectively). However, because the outcome of Proposal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No. 1 (election of directors) will be determined by a plurality vote, abstentions will have no impact on the outcome of such proposal as long as a quorum</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exists.</w:t>
      </w:r>
    </w:p>
    <w:p>
      <w:pPr>
        <w:spacing w:after="0" w:line="207"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 broker non-vote occurs when a broker, bank or other nominee holding shares for a beneficial owner does not vote on a particular proposal because the broker, bank or other nominee does not have discretionary voting power with respect to such proposal and has not received voting instructions from the beneficial owner of the shares. Broker non-votes will be counted for purposes of calculating whether a quorum is present at the annual meeting but will not be counted for purposes of determining the number of votes cast. Therefore, a broker non-vote will make a quorum more readily attainable but will not otherwise affect the outcome of the vote on Proposals No. 1 and 2. A broker non-vote will be treated as a vote “AGAINST” Proposal No. 3.</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 I change my vote or revoke my proxy?</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Stockholders of Record</w:t>
      </w:r>
      <w:r>
        <w:rPr>
          <w:rFonts w:ascii="Times New Roman" w:cs="Times New Roman" w:eastAsia="Times New Roman" w:hAnsi="Times New Roman"/>
          <w:sz w:val="18"/>
          <w:szCs w:val="18"/>
          <w:color w:val="auto"/>
        </w:rPr>
        <w:t>. If you are a stockholder of record, you can change your vote or revoke your proxy before the annual meeting by:</w:t>
      </w:r>
    </w:p>
    <w:p>
      <w:pPr>
        <w:spacing w:after="0" w:line="133"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a new vote by Internet or telephone (subject to the applicable deadlines for each method as set forth above);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and returning a later-dated proxy card, which must be received prior to the annual meeting;</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written notice of revocation to our Secretary at Tenaya Therapeutics, Inc., 171 Oyster Point Boulevard, Suite 500, South San Francisco, CA 94080, Attention: Corporate Secretary, which must be received prior to the annual meeting;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virtually and voting at the annual meeting (although attendance at the annual meeting will not, by itself, revoke a proxy).</w:t>
      </w:r>
    </w:p>
    <w:p>
      <w:pPr>
        <w:spacing w:after="0" w:line="223" w:lineRule="exact"/>
        <w:rPr>
          <w:sz w:val="20"/>
          <w:szCs w:val="20"/>
          <w:color w:val="auto"/>
        </w:rPr>
      </w:pPr>
    </w:p>
    <w:p>
      <w:pPr>
        <w:ind w:left="120" w:right="240"/>
        <w:spacing w:after="0" w:line="284" w:lineRule="auto"/>
        <w:rPr>
          <w:sz w:val="20"/>
          <w:szCs w:val="20"/>
          <w:color w:val="auto"/>
        </w:rPr>
      </w:pPr>
      <w:r>
        <w:rPr>
          <w:rFonts w:ascii="Times New Roman" w:cs="Times New Roman" w:eastAsia="Times New Roman" w:hAnsi="Times New Roman"/>
          <w:sz w:val="18"/>
          <w:szCs w:val="18"/>
          <w:i w:val="1"/>
          <w:iCs w:val="1"/>
          <w:color w:val="auto"/>
        </w:rPr>
        <w:t>Street Name Stockholders</w:t>
      </w:r>
      <w:r>
        <w:rPr>
          <w:rFonts w:ascii="Times New Roman" w:cs="Times New Roman" w:eastAsia="Times New Roman" w:hAnsi="Times New Roman"/>
          <w:sz w:val="18"/>
          <w:szCs w:val="18"/>
          <w:color w:val="auto"/>
        </w:rPr>
        <w:t>. If you are a street name stockholder, then your broker, bank or other nominee can provide you with instructions on how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or revoke your proxy.</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 I need to do to attend the annual meeting?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be hosting the annual meeting via a live audio webcast only.</w:t>
      </w:r>
    </w:p>
    <w:p>
      <w:pPr>
        <w:spacing w:after="0" w:line="223"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i w:val="1"/>
          <w:iCs w:val="1"/>
          <w:color w:val="auto"/>
        </w:rPr>
        <w:t>Stockholders of Record</w:t>
      </w:r>
      <w:r>
        <w:rPr>
          <w:rFonts w:ascii="Times New Roman" w:cs="Times New Roman" w:eastAsia="Times New Roman" w:hAnsi="Times New Roman"/>
          <w:sz w:val="18"/>
          <w:szCs w:val="18"/>
          <w:color w:val="auto"/>
        </w:rPr>
        <w:t>. If you were a stockholder of record as of the record date, then you may attend the annual meeting virtually, and will be 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submit your questions during the meeting and vote your shares electronically during the meeting. To attend and participate in the annual meeting, you must register in advance at www.proxydocs.com/TNYA prior to the deadline of 7:59 a.m. Pacific Time on June 7, 2023. Upon completing your registration, you will receive further instructions via email, including your unique link that will allow you to access the annual meeting and to submit questions during the annual meeting. Stockholders are already provided the opportunity to submit questions prior to the annual meeting at the time of registration. The annual meeting via a live audio only webcast will begin promptly at 8:00 a.m. Pacific Time. We encourage you to access the meeting prior to the start time. Online check-in will begin at 7:45 a.m. Pacific Time on June 8, 2023, and you should allow ample time for the check-in procedures.</w:t>
      </w:r>
    </w:p>
    <w:p>
      <w:pPr>
        <w:spacing w:after="0" w:line="185"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i w:val="1"/>
          <w:iCs w:val="1"/>
          <w:color w:val="auto"/>
        </w:rPr>
        <w:t>Street Name Stockholders</w:t>
      </w:r>
      <w:r>
        <w:rPr>
          <w:rFonts w:ascii="Times New Roman" w:cs="Times New Roman" w:eastAsia="Times New Roman" w:hAnsi="Times New Roman"/>
          <w:sz w:val="18"/>
          <w:szCs w:val="18"/>
          <w:color w:val="auto"/>
        </w:rPr>
        <w:t>. If you were a street name stockholder as of the record date and your voting instruction form or notice of internet availability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proxy materials indicates that you may vote your shares through the proxyvote.com website, then you may access and participate in the annual meeting with the control number indicated on that voting instruction form or notice of internet availability of proxy materials. Otherwise, street name stockholders should contact their bank, broker or other nominee and obtain a legal proxy in order to be able to attend and participate in the annual meeting.</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get help if I have trouble checking in or listening to the annual meeting online?</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We will have technicians ready to assist you with any technical difficulties you may have accessing the annual meeting. If you encounter any difficulties accessing the virtual-only annual meeting platform, including any difficulties voting or submitting questions, you may call the technical support number that will be posted in your instructional email.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is the annual meeting held virtually?</w:t>
      </w:r>
    </w:p>
    <w:p>
      <w:pPr>
        <w:spacing w:after="0" w:line="121"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We believe that a virtual annual meeting allows for participation by a broader group of stockholders and reduces the costs to stockholders associated with holding an in-person meeting. The virtual meeting format is intended to facilitate a level of transparency as close as possible to an in-person meeting.</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80"/>
          </w:cols>
          <w:pgMar w:left="320" w:top="455" w:right="4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effect of giving a proxy?</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Proxies are solicited by and on behalf of our board of directors. Faraz Ali, our Chief Executive Officer, Leone D. Patterson, our Chief Financial and Business Officer, and Jennifer Drimmer Rokovich, our General Counsel and Corporate Secretary (the Named Proxies), have been designated as proxy holders for the annual meeting by our board of directors. When proxies are properly dated, executed and returned, the shares represented by such proxies will be voted at the annual meeting in accordance with the instructions of the stockholders. If the proxy is dated and signed, but no specific instructions are given, however, the shares will be voted in accordance with the recommendations of our board of directors on the proposals as described above. If any other matters are properly brought before the annual meeting, then the Named Proxies will use their own judgment to determine how to vote your shares. If the annual meeting is postponed or adjourned, then the Named Proxies can vote your shares on the new meeting date, unless you have properly revoked your proxy, as described above.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will count the votes?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representative of Mediant Communications Inc. will tabulate the votes and act as inspector of election.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contact Tenaya’s transfer agent?</w:t>
      </w:r>
    </w:p>
    <w:p>
      <w:pPr>
        <w:spacing w:after="0" w:line="121"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You may contact our transfer agent, Computershare Trust Company, N.A., by telephone at 800-736-3001, or by writing Computershare Trust Company, N.A, at 150 Royall Street, Canton, Massachusetts 02021. You may also access instructions with respect to certain stockholders matters (e.g., change of address) via the Internet at www-us.computershare.com.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are proxies solicited for the annual meeting and who is paying for such solicitation?</w:t>
      </w:r>
    </w:p>
    <w:p>
      <w:pPr>
        <w:spacing w:after="0" w:line="121"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Our board of directors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communications or other means by our directors, officers or employees. No additional compensation will be paid to these individuals for any such services, although we may reimburse such individuals for their reasonable out-of-pocket expenses in connection with such solicitation.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We will disclose voting results on a Current Report on Form 8-K that we will file with the SEC within four business days after the meeting. If final voting results are not available to us in time to file a Form 8-K, we will file a Form 8-K to publish preliminary results and will provide the final results in an amendment to the Form 8-K as soon as they become available.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did I receive a Notice of Internet Availability instead of a full set of proxy materials?</w:t>
      </w:r>
    </w:p>
    <w:p>
      <w:pPr>
        <w:spacing w:after="0" w:line="12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In accordance with the rules of the SEC we have elected to furnish our proxy materials, including this proxy statement and our annual report, primarily via the Internet. As a result, we are mailing to our stockholders a Notice of Internet Availability instead of a paper copy of the proxy materials. The Notice of Internet Availability contains instructions on how to access our proxy materials on the Internet, how to vote on the proposals, how to request printed copies of the proxy materials and our annual report, and how to request to receive all future proxy materials in printed form by mail or electronically by e-mail. We encourage stockholders to take advantage of the availability of the proxy materials on the Internet to help reduce our costs and the environmental impact of our annual meetings.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 of Internet Availability or more than one set of printed proxy materials?</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If you receive more than one Notice of Internet Availability or more than one set of printed proxy materials, then your shares may be registered in more than one name and/or are registered in different accounts. Please follow the voting instructions on each Notice of Internet Availability or each set of printed proxy materials, as applicable, to ensure that all of your shares are voted.</w:t>
      </w:r>
    </w:p>
    <w:p>
      <w:pPr>
        <w:spacing w:after="0" w:line="280"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color w:val="auto"/>
        </w:rPr>
        <w:t>I share an address with another stockholder, and we received only one paper copy of the Notice of Internet Availability or proxy statement and annual report. How may I obtain an additional copy of the Notice of Internet Availability or proxy statement and annual report?</w:t>
      </w:r>
    </w:p>
    <w:p>
      <w:pPr>
        <w:spacing w:after="0" w:line="51" w:lineRule="exact"/>
        <w:rPr>
          <w:sz w:val="20"/>
          <w:szCs w:val="20"/>
          <w:color w:val="auto"/>
        </w:rPr>
      </w:pPr>
    </w:p>
    <w:p>
      <w:pPr>
        <w:ind w:left="120" w:right="220"/>
        <w:spacing w:after="0" w:line="255" w:lineRule="auto"/>
        <w:rPr>
          <w:sz w:val="20"/>
          <w:szCs w:val="20"/>
          <w:color w:val="auto"/>
        </w:rPr>
      </w:pPr>
      <w:r>
        <w:rPr>
          <w:rFonts w:ascii="Times New Roman" w:cs="Times New Roman" w:eastAsia="Times New Roman" w:hAnsi="Times New Roman"/>
          <w:sz w:val="18"/>
          <w:szCs w:val="18"/>
          <w:color w:val="auto"/>
        </w:rPr>
        <w:t>We have adopted a procedure approved by the SEC called “householding,” under which we can deliver a single copy of the Notice of Internet Availability and, if applicable, the proxy statement and annual report, to multiple stockholders who share the same address unless we receive contrary instructions from one or more stockholders. This procedure reduces our printing and mailing costs. Stockholders who participate in householding will continue to be able to access and receive separate proxy cards. Upon written or oral request, we will deliver promptly a separate copy of the Notice of Internet Availability and, if applicable, the proxy statement and annual report, to any stockholders at a shared address to which we delivered a single copy of these documents. To receive a separate copy, or, if you are receiving multiple copies, to request that we only send a single copy of next year’s Notice of Internet Availability or proxy statement and annual report, as applicable, you may contact us as follows:</w:t>
      </w:r>
    </w:p>
    <w:p>
      <w:pPr>
        <w:spacing w:after="0" w:line="1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171 Oyster Point Boulevard, Suite 500</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Tel: (650) 825-6990</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Street name stockholders may contact their broker, bank or other nominee to request information about householding.</w:t>
      </w:r>
    </w:p>
    <w:p>
      <w:pPr>
        <w:spacing w:after="0" w:line="329"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color w:val="auto"/>
        </w:rPr>
        <w:t>What is the deadline to propose actions for consideration at next year’s annual meeting of stockholders or to nominate individuals to serve as directors?</w:t>
      </w:r>
    </w:p>
    <w:p>
      <w:pPr>
        <w:spacing w:after="0" w:line="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Proposals</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Stockholders may present proper proposals for inclusion in our proxy statement and for consideration at next year’s annual meeting of stockholders by submitting their proposals in writing to our corporate secretary in a timely manner. For a stockholder proposal to be considered for inclusion in our proxy statement for our 2024 annual meeting of stockholders, our corporate secretary must receive the written proposal at our principal executive offices not later than December 29, 2023. In addition, stockholder proposals must comply with the requirements of Rule 14a-8 under the Securities Exchange Act of 1934, as amended (the Exchange Act), regarding the inclusion of stockholder proposals in company-sponsored proxy materials. Stockholder proposals should be addressed to:</w:t>
      </w:r>
    </w:p>
    <w:p>
      <w:pPr>
        <w:spacing w:after="0" w:line="1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171 Oyster Point Boulevard, Suite 500</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207"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is business that is (i) specified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in our proxy materials with respect to such meeting, (ii) otherwise properly brought before the annual meeting by or at the direction of the our board of directors, or (iii) properly brought before the annual meeting by a stockholder of record entitled to vote at the annual meeting who has delivered timely written notice to our corporate secretary, which notice must contain the information specified in our Bylaws, provided that clause (iii) is the exclusive means under our Bylaws for stockholders to propose business other than such proposals as are properly made pursuant to the Exchange Act. To be timely for our 2024 annual meeting of stockholders, our corporate secretary must receive the written notice at our principal executive offices:</w:t>
      </w:r>
    </w:p>
    <w:p>
      <w:pPr>
        <w:spacing w:after="0" w:line="89"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earlier than 8:00 a.m., Eastern time, February 9, 2024;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5:00 p.m., Eastern time, than March 10, 2024.</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the event that we hold our 2024 annual meeting of stockholders more than 25 days before or after the first anniversary of the date of this year’s annual meeting, then notice of a stockholder proposal that is not intended to be included in our proxy statement must be received no earlier than 8:00 a.m., Eastern time, on the 120th day before such annual meeting and no later than 5:00 p.m., Eastern time, on the later of the 90th day prior to the day of the annual meeting, or, if the first public announcement of the date of such annual meeting is less than 100 days prior to the date of such annual meeting, the 10th day following the day on which public announcement of the date of such annual meeting is first made.</w:t>
      </w:r>
    </w:p>
    <w:p>
      <w:pPr>
        <w:spacing w:after="0" w:line="183"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If a stockholder who has notified us of his, her or its intention to present a proposal at an annual meeting does not appear to present his, her or its proposal at such annual meeting, we are not required to present the proposal for a vote at such annual meeting.</w:t>
      </w:r>
    </w:p>
    <w:p>
      <w:pPr>
        <w:spacing w:after="0" w:line="162"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In addition, our Bylaws permit stockholders to nominate directors for election at an annual meeting of stockholders. To nominate a director, the stockholder must provide the information required by our Bylaws and give timely notice to our corporate secretary in accordance with our Bylaws, which, in general, require that the notice be received by our corporate secretary within the time period described above under “Stockholder Proposals” for stockholder proposals that are not intended to be included in a proxy statement.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Availability of Bylaws</w:t>
      </w:r>
    </w:p>
    <w:p>
      <w:pPr>
        <w:spacing w:after="0" w:line="119"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A copy of our Bylaws may be obtained by accessing our public filings on the SEC’s website at http://www.sec.gov. You may also contact our corporate secretary at our principal executive office for a copy of the relevant bylaw provisions regarding the requirements for making stockholder proposals and nominating director candidates.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BOARD OF DIRECTORS AND CORPORATE GOVERNANCE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Composition of the Board</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Our board of directors currently consists of ten (10) directors, nine (9) of whom are independent under the listing standards of The Nasdaq Stock Market LLC, or Nasdaq. Our board of directors is divided into three classes with staggered three-year terms. Thus, at each annual meeting of stockholders, a class of directors will be elected for a three-year term to succeed the class whose term is then expiring.</w:t>
      </w:r>
    </w:p>
    <w:p>
      <w:pPr>
        <w:spacing w:after="0" w:line="176" w:lineRule="exact"/>
        <w:rPr>
          <w:sz w:val="20"/>
          <w:szCs w:val="20"/>
          <w:color w:val="auto"/>
        </w:rPr>
      </w:pPr>
    </w:p>
    <w:p>
      <w:pPr>
        <w:jc w:val="both"/>
        <w:ind w:left="120" w:right="100"/>
        <w:spacing w:after="0" w:line="289" w:lineRule="auto"/>
        <w:rPr>
          <w:sz w:val="20"/>
          <w:szCs w:val="20"/>
          <w:color w:val="auto"/>
        </w:rPr>
      </w:pPr>
      <w:r>
        <w:rPr>
          <w:rFonts w:ascii="Times New Roman" w:cs="Times New Roman" w:eastAsia="Times New Roman" w:hAnsi="Times New Roman"/>
          <w:sz w:val="17"/>
          <w:szCs w:val="17"/>
          <w:color w:val="auto"/>
        </w:rPr>
        <w:t>Upon the recommendation of our corporate governance and nominating committee, we are nominating Amy Burroughs, M.B.A., Jin-Long Chen, Ph.D. and Catherine Stehman-Breen, M.D., as Class II directors at the annual meeting. If elected, Drs. Chen and Stehman-Breen and Ms. Burroughs will each hold office for a three-year term until the annual meeting of stockholders to be held in 2026 or until their successors are duly elected and qualified.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the names, ages as of March 31, 2023, and certain other information for each of our directors and director nominees: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Expiration of</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8"/>
              </w:rPr>
              <w:t>Director</w:t>
            </w:r>
          </w:p>
        </w:tc>
        <w:tc>
          <w:tcPr>
            <w:tcW w:w="680" w:type="dxa"/>
            <w:vAlign w:val="bottom"/>
            <w:gridSpan w:val="2"/>
            <w:vMerge w:val="continue"/>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Term for</w:t>
            </w:r>
          </w:p>
        </w:tc>
        <w:tc>
          <w:tcPr>
            <w:tcW w:w="0" w:type="dxa"/>
            <w:vAlign w:val="bottom"/>
          </w:tcPr>
          <w:p>
            <w:pPr>
              <w:spacing w:after="0"/>
              <w:rPr>
                <w:sz w:val="1"/>
                <w:szCs w:val="1"/>
                <w:color w:val="auto"/>
              </w:rPr>
            </w:pPr>
          </w:p>
        </w:tc>
      </w:tr>
      <w:tr>
        <w:trPr>
          <w:trHeight w:val="148"/>
        </w:trPr>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3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80" w:type="dxa"/>
            <w:vAlign w:val="bottom"/>
          </w:tcPr>
          <w:p>
            <w:pPr>
              <w:spacing w:after="0"/>
              <w:rPr>
                <w:sz w:val="12"/>
                <w:szCs w:val="12"/>
                <w:color w:val="auto"/>
              </w:rPr>
            </w:pPr>
          </w:p>
        </w:tc>
        <w:tc>
          <w:tcPr>
            <w:tcW w:w="3620" w:type="dxa"/>
            <w:vAlign w:val="bottom"/>
            <w:gridSpan w:val="2"/>
            <w:vMerge w:val="restart"/>
          </w:tcPr>
          <w:p>
            <w:pPr>
              <w:ind w:left="144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680" w:type="dxa"/>
            <w:vAlign w:val="bottom"/>
            <w:gridSpan w:val="2"/>
            <w:vMerge w:val="continue"/>
          </w:tcPr>
          <w:p>
            <w:pPr>
              <w:spacing w:after="0"/>
              <w:rPr>
                <w:sz w:val="12"/>
                <w:szCs w:val="12"/>
                <w:color w:val="auto"/>
              </w:rPr>
            </w:pPr>
          </w:p>
        </w:tc>
        <w:tc>
          <w:tcPr>
            <w:tcW w:w="6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Which</w:t>
            </w:r>
          </w:p>
        </w:tc>
        <w:tc>
          <w:tcPr>
            <w:tcW w:w="0" w:type="dxa"/>
            <w:vAlign w:val="bottom"/>
          </w:tcPr>
          <w:p>
            <w:pPr>
              <w:spacing w:after="0"/>
              <w:rPr>
                <w:sz w:val="1"/>
                <w:szCs w:val="1"/>
                <w:color w:val="auto"/>
              </w:rPr>
            </w:pPr>
          </w:p>
        </w:tc>
      </w:tr>
      <w:tr>
        <w:trPr>
          <w:trHeight w:val="173"/>
        </w:trPr>
        <w:tc>
          <w:tcPr>
            <w:tcW w:w="396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3620" w:type="dxa"/>
            <w:vAlign w:val="bottom"/>
            <w:gridSpan w:val="2"/>
            <w:vMerge w:val="continue"/>
          </w:tcPr>
          <w:p>
            <w:pPr>
              <w:spacing w:after="0"/>
              <w:rPr>
                <w:sz w:val="15"/>
                <w:szCs w:val="15"/>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Expires</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Nominated</w:t>
            </w:r>
          </w:p>
        </w:tc>
        <w:tc>
          <w:tcPr>
            <w:tcW w:w="0" w:type="dxa"/>
            <w:vAlign w:val="bottom"/>
          </w:tcPr>
          <w:p>
            <w:pPr>
              <w:spacing w:after="0"/>
              <w:rPr>
                <w:sz w:val="1"/>
                <w:szCs w:val="1"/>
                <w:color w:val="auto"/>
              </w:rPr>
            </w:pPr>
          </w:p>
        </w:tc>
      </w:tr>
      <w:tr>
        <w:trPr>
          <w:trHeight w:val="209"/>
        </w:trPr>
        <w:tc>
          <w:tcPr>
            <w:tcW w:w="3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Nominees for Director</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Amy Burroughs, M.B.A.(1)</w:t>
            </w: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II</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37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2022</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2023</w:t>
            </w:r>
          </w:p>
        </w:tc>
        <w:tc>
          <w:tcPr>
            <w:tcW w:w="880" w:type="dxa"/>
            <w:vAlign w:val="bottom"/>
            <w:gridSpan w:val="2"/>
          </w:tcPr>
          <w:p>
            <w:pPr>
              <w:jc w:val="center"/>
              <w:ind w:left="315"/>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Jin-Long Chen, Ph.D.(3)</w:t>
            </w:r>
          </w:p>
        </w:tc>
        <w:tc>
          <w:tcPr>
            <w:tcW w:w="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II</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37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2016</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2023</w:t>
            </w:r>
          </w:p>
        </w:tc>
        <w:tc>
          <w:tcPr>
            <w:tcW w:w="880" w:type="dxa"/>
            <w:vAlign w:val="bottom"/>
            <w:gridSpan w:val="2"/>
            <w:shd w:val="clear" w:color="auto" w:fill="CCEEFF"/>
          </w:tcPr>
          <w:p>
            <w:pPr>
              <w:jc w:val="center"/>
              <w:ind w:left="315"/>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Catherine Stehman-Breen, M.D.(2)</w:t>
            </w: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II</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37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2020</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2023</w:t>
            </w:r>
          </w:p>
        </w:tc>
        <w:tc>
          <w:tcPr>
            <w:tcW w:w="880" w:type="dxa"/>
            <w:vAlign w:val="bottom"/>
            <w:gridSpan w:val="2"/>
          </w:tcPr>
          <w:p>
            <w:pPr>
              <w:jc w:val="center"/>
              <w:ind w:left="315"/>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Continuing Directors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Faraz Ali, M.B.A.</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III</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37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2018</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2024</w:t>
            </w:r>
          </w:p>
        </w:tc>
        <w:tc>
          <w:tcPr>
            <w:tcW w:w="880" w:type="dxa"/>
            <w:vAlign w:val="bottom"/>
            <w:gridSpan w:val="2"/>
          </w:tcPr>
          <w:p>
            <w:pPr>
              <w:jc w:val="center"/>
              <w:ind w:left="295"/>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Lee, M.D.</w:t>
            </w: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III</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37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2021</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2024</w:t>
            </w:r>
          </w:p>
        </w:tc>
        <w:tc>
          <w:tcPr>
            <w:tcW w:w="880" w:type="dxa"/>
            <w:vAlign w:val="bottom"/>
            <w:gridSpan w:val="2"/>
            <w:shd w:val="clear" w:color="auto" w:fill="CCEEFF"/>
          </w:tcPr>
          <w:p>
            <w:pPr>
              <w:jc w:val="center"/>
              <w:ind w:left="295"/>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Deepak Srivastava, M.D.(3)</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III</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w:t>
            </w:r>
          </w:p>
        </w:tc>
        <w:tc>
          <w:tcPr>
            <w:tcW w:w="37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2016</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2024</w:t>
            </w:r>
          </w:p>
        </w:tc>
        <w:tc>
          <w:tcPr>
            <w:tcW w:w="880" w:type="dxa"/>
            <w:vAlign w:val="bottom"/>
            <w:gridSpan w:val="2"/>
          </w:tcPr>
          <w:p>
            <w:pPr>
              <w:jc w:val="center"/>
              <w:ind w:left="295"/>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Goeddel, Ph.D.(3)</w:t>
            </w: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37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Chair and Director</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2016</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2025</w:t>
            </w:r>
          </w:p>
        </w:tc>
        <w:tc>
          <w:tcPr>
            <w:tcW w:w="880" w:type="dxa"/>
            <w:vAlign w:val="bottom"/>
            <w:gridSpan w:val="2"/>
            <w:shd w:val="clear" w:color="auto" w:fill="CCEEFF"/>
          </w:tcPr>
          <w:p>
            <w:pPr>
              <w:jc w:val="center"/>
              <w:ind w:left="295"/>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Karah Parschauer, J.D.(1)</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c>
          <w:tcPr>
            <w:tcW w:w="37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2021</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2025</w:t>
            </w:r>
          </w:p>
        </w:tc>
        <w:tc>
          <w:tcPr>
            <w:tcW w:w="880" w:type="dxa"/>
            <w:vAlign w:val="bottom"/>
            <w:gridSpan w:val="2"/>
          </w:tcPr>
          <w:p>
            <w:pPr>
              <w:jc w:val="center"/>
              <w:ind w:left="295"/>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T. Walsh, M.B.A.(1)(2)</w:t>
            </w: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37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2020</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2025</w:t>
            </w:r>
          </w:p>
        </w:tc>
        <w:tc>
          <w:tcPr>
            <w:tcW w:w="880" w:type="dxa"/>
            <w:vAlign w:val="bottom"/>
            <w:gridSpan w:val="2"/>
            <w:shd w:val="clear" w:color="auto" w:fill="CCEEFF"/>
          </w:tcPr>
          <w:p>
            <w:pPr>
              <w:jc w:val="center"/>
              <w:ind w:left="295"/>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 Sanders Williams, M.D.(2)</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w:t>
            </w:r>
          </w:p>
        </w:tc>
        <w:tc>
          <w:tcPr>
            <w:tcW w:w="37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2016</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2025</w:t>
            </w:r>
          </w:p>
        </w:tc>
        <w:tc>
          <w:tcPr>
            <w:tcW w:w="880" w:type="dxa"/>
            <w:vAlign w:val="bottom"/>
            <w:gridSpan w:val="2"/>
          </w:tcPr>
          <w:p>
            <w:pPr>
              <w:jc w:val="center"/>
              <w:ind w:left="295"/>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6" w:lineRule="exact"/>
        <w:rPr>
          <w:sz w:val="20"/>
          <w:szCs w:val="20"/>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audit committee</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compensation committee</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corporate governance and nominating committee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II Nominees for Director</w:t>
      </w:r>
    </w:p>
    <w:p>
      <w:pPr>
        <w:spacing w:after="0" w:line="117"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Amy Burroughs, M.B.A., </w:t>
      </w:r>
      <w:r>
        <w:rPr>
          <w:rFonts w:ascii="Times New Roman" w:cs="Times New Roman" w:eastAsia="Times New Roman" w:hAnsi="Times New Roman"/>
          <w:sz w:val="18"/>
          <w:szCs w:val="18"/>
          <w:color w:val="auto"/>
        </w:rPr>
        <w:t>has served as a member of our board of directors since December 2022. Since April 2019, Ms. Burroughs has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and Chief Executive Officer and director of Cleave Therapeutics, Inc., a privately-held biopharmaceutical company focused on valosin-containing protein as a novel target in oncology and neurodegenerative diseases. From December 2017 to March 2019, Ms. Burroughs served as Executive in Residence at 5AM Ventures, and during such tenure from March 2018 to April 2019, served as Senior Advisor to Crinetics Pharmaceuticals, Inc., a 5AM portfolio company focused on the development of therapies for people with rare endocrine diseases. From May 2015 to December 2017, Ms. Burroughs served as founder and managing partner of The Ventral Group, a strategic life sciences consulting and investor advisory firm. Roles earlier in Ms. Burroughs’ career included leadership development, talent and governance at Egon Zehnder International, chief commercial officer and head of business development for APT Pharmaceuticals,</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55"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commercial leadership roles at Genentech and brand management at Procter &amp; Gamble. From July 2021 to March 2023, she was a member of the board of directors of DiaMedica Therapeutics, Inc., a publicly-traded biotechnology company. Ms. Burroughs holds a Bachelor of Arts in Computer Science and a minor in Economics from Dartmouth College and an MBA from Harvard Business School where she graduated as a Baker Scholar.</w:t>
      </w:r>
    </w:p>
    <w:p>
      <w:pPr>
        <w:spacing w:after="0" w:line="176"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We believe Ms. Burroughs is qualified to serve on our board of directors because of her knowledge and experience in the biotechnology and pharmaceutical industries and her broad leadership experience resulting from service as an executive of biopharmaceutical companies and service as a public company board member within the life sciences industry.</w:t>
      </w:r>
    </w:p>
    <w:p>
      <w:pPr>
        <w:spacing w:after="0" w:line="172"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Jin-Long Chen, Ph.D.</w:t>
      </w:r>
      <w:r>
        <w:rPr>
          <w:rFonts w:ascii="Times New Roman" w:cs="Times New Roman" w:eastAsia="Times New Roman" w:hAnsi="Times New Roman"/>
          <w:sz w:val="18"/>
          <w:szCs w:val="18"/>
          <w:color w:val="auto"/>
        </w:rPr>
        <w:t>, has served as member of our board of directors since October 2016. Dr. Chen was the founder of NGM Biopharmaceuticals, Inc.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(NGM), a publicly traded biopharmaceutical company, and served as a member of the NGM board of directors and as Chief Scientific Officer from January 2008 to April 2023. He was also NGM’s President until November 2014. Previously, Dr. Chen held various positions at Amgen, Inc. (Amgen), a publicly traded biopharmaceutical company, most recently as Vice President, Metabolic Disorders. Prior to joining Amgen. Dr. Chen served as Vice President of Biology at Tularik, Inc. (Tularik), prior to Amgen’s acquisition of Tularik in 2004. Dr. Chen received a B.S. in nutrition and food science from Fu-Jen Catholic University and a Ph.D. in molecular and cell biology from the University of California, Berkeley.</w:t>
      </w:r>
    </w:p>
    <w:p>
      <w:pPr>
        <w:spacing w:after="0" w:line="186"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believe Dr. Chen is qualified to serve on our board because of his extensive medical research experience, and his experience as a founder, executive, and director of a public biopharmaceutical company.</w:t>
      </w:r>
    </w:p>
    <w:p>
      <w:pPr>
        <w:spacing w:after="0" w:line="158"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Catherine Stehman-Breen, M.D., </w:t>
      </w:r>
      <w:r>
        <w:rPr>
          <w:rFonts w:ascii="Times New Roman" w:cs="Times New Roman" w:eastAsia="Times New Roman" w:hAnsi="Times New Roman"/>
          <w:sz w:val="18"/>
          <w:szCs w:val="18"/>
          <w:color w:val="auto"/>
        </w:rPr>
        <w:t>has served as a member of our board of directors since June 2020. Since December 2020, Dr. Stehman-Breen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the Chief Executive Officer and a member of the board of directors of Chroma Medicine, a private biotechnology company. Previously, she served as the Chief Research and Development Officer of Obsidian Therapeutics, Inc., a private biotechnology company, from July 2019 to December 2020, and as an entrepreneur-in-residence at Atlas Ventures, serving as Chief Medical Officer of both Dyne Therapeutics, Inc., a biotechnology company, from March 2018 to July 2019 and Disarm Therapeutics, Inc., a biotechnology company, from April 2018 to July 2019. Dr. Stehman-Breen also served as Chief Medical Officer of Sarepta Therapeutics, Inc., a publicly traded biopharmaceutical company, from March 2017 to December 2017. Prior to that, she served as Vice President, Clinical Development and Regulatory Affairs at Regeneron Pharmaceuticals, Inc., a publicly traded biotechnology company, from January 2015 to March 2017. From 2003 to 2015, Dr. Stehman-Breen held senior leadership roles at Amgen, Inc. including Vice President, Global Development, leading the neuroscience, nephrology and bone therapeutic areas. She has also served on the boards of directors of Dyne Therapeutics, Inc. since June 2019 and Generation Bio Co., a publicly traded biotechnology company, since December 2017.</w:t>
      </w:r>
    </w:p>
    <w:p>
      <w:pPr>
        <w:ind w:left="120" w:right="180"/>
        <w:spacing w:after="0" w:line="260" w:lineRule="auto"/>
        <w:rPr>
          <w:sz w:val="20"/>
          <w:szCs w:val="20"/>
          <w:color w:val="auto"/>
        </w:rPr>
      </w:pPr>
      <w:r>
        <w:rPr>
          <w:rFonts w:ascii="Times New Roman" w:cs="Times New Roman" w:eastAsia="Times New Roman" w:hAnsi="Times New Roman"/>
          <w:sz w:val="18"/>
          <w:szCs w:val="18"/>
          <w:color w:val="auto"/>
        </w:rPr>
        <w:t>Dr. Stehman-Breen earned a B.A. in biology and psychology from Colby College, an M.S. in epidemiology from the University of Washington, where she also completed her residency and fellowship training, and an M.D. from the University of Chicago.</w:t>
      </w:r>
    </w:p>
    <w:p>
      <w:pPr>
        <w:spacing w:after="0" w:line="18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We believe Dr. Stehman-Breen is qualified to serve on our board based on her medical expertise, her experience with clinical development and regulatory affairs in many therapeutic areas, her expertise as an executive in the biotechnology industry and her experience as a public company board member, including within the biotechnology industry.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Continuing Directors</w:t>
      </w:r>
    </w:p>
    <w:p>
      <w:pPr>
        <w:spacing w:after="0" w:line="117" w:lineRule="exact"/>
        <w:rPr>
          <w:sz w:val="20"/>
          <w:szCs w:val="20"/>
          <w:color w:val="auto"/>
        </w:rPr>
      </w:pPr>
    </w:p>
    <w:p>
      <w:pPr>
        <w:ind w:left="120"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Faraz Ali, M.B.A.</w:t>
      </w:r>
      <w:r>
        <w:rPr>
          <w:rFonts w:ascii="Times New Roman" w:cs="Times New Roman" w:eastAsia="Times New Roman" w:hAnsi="Times New Roman"/>
          <w:sz w:val="18"/>
          <w:szCs w:val="18"/>
          <w:color w:val="auto"/>
        </w:rPr>
        <w:t>, has served as our Chief Executive Officer since June 2018 and as a member of our board of directors since September 2018. Prior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joining us, Mr. Ali was Chief Business Officer at REGENXBIO, a publicly traded biotechnology company, from February 2016 to January 2018. From May 2011 to February 2016, he served as Vice President, Global Commercial Development and External Affairs at bluebird bio, a publicly traded biotechnology company. From August 2001 to November 2010, Mr. Ali held various roles at Genzyme,</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including Head of U.S. Marketing and Strategic Planning for the rare disease business unit. Prior to Genzyme, he served in leadership roles at GE Corporate and GE Healthcare. Mr. Ali is a member of the Board of Directors of the Alliance for Regenerative Medicine. He holds a B.S. in Electrical Engineering from Stanford University and an M.B.A. with distinction from Harvard Business School.</w:t>
      </w:r>
    </w:p>
    <w:p>
      <w:pPr>
        <w:spacing w:after="0" w:line="176"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We believe Mr. Ali is qualified to serve on our board of directors because of the perspective and experience he brings as our Chief Executive Officer, his experience in leadership and corporate development positions in the biotechnology industry and with companies focused on gene therapies and therapies for rare and orphan diseases, and his educational background.</w:t>
      </w:r>
    </w:p>
    <w:p>
      <w:pPr>
        <w:spacing w:after="0" w:line="172"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June Lee, M.D.</w:t>
      </w:r>
      <w:r>
        <w:rPr>
          <w:rFonts w:ascii="Times New Roman" w:cs="Times New Roman" w:eastAsia="Times New Roman" w:hAnsi="Times New Roman"/>
          <w:sz w:val="18"/>
          <w:szCs w:val="18"/>
          <w:color w:val="auto"/>
        </w:rPr>
        <w:t>, has served as a member of our board of directors since November 2021. Dr. Lee joined 5AM Ventures as a Venture Partner in July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From February 2021 to November 2021, Dr. Lee served as Founder and Chief Executive Officer at Alumis Inc. (formerly known as Esker Therapeutics), a precision medicine company developing treatments for autoimmune diseases. From January 2017 until June 2020, Dr. Lee was Chief Development Officer and Chief Operating Officer of MyoKardia, Inc. (MyoKardia), a clinical stage biotechnology company with a focus on precision cardiovascular medicines. Prior to MyoKardia, from April 2011 to January 2017, Dr. Lee was Professor of Medicine at the University of California, San Francisco (UCSF) School of Medicine, where she served as Director of Translational Research. She is also the founding chair of the University of California Drug, Device, Discovery and Development Group. Previously, from March 2004 to April 2011, she was therapeutic area head in early clinical development in cardiovascular, metabolism, respiratory, and infectious diseases at Genentech. Dr. Lee is a member of the Board of Directors of Eledon Pharmaceuticals, Inc., a publicly traded biotechnology company and GenEdit, a privately held biotechnology company. She previously served as a member of the Board of Directors of CinCor Pharma, a publicly traded biotechnology company, from January 2022 until its acquisition by AstraZeneca Finance and Holdings Inc. in February 2023. Dr. Lee is also a member of and the Council of Korean Americans, of which she previously served as Chair. She is a founding member of the Translational Research Advisory Council of South Korea’s MOGAM Research Institute, and the MTRAC for Life Sciences Innovation Hub Therapeutic/Diagnostic Oversight Committee, a unit associated with the University of Michigan Medical School. Dr. Lee currently serves on Johns Hopkins University Center for Therapeutic Translation’s Advisory Board, and on the Scientific Advisory Boards for Aer Therapeutics, Inc. and Foresite Labs. She completed a Bachelor of Science in chemistry at the Johns Hopkins University, an M.D. at the School of Medicine at University of California, Davis, and her clinical training in internal medicine and pulmonary and critical care at the University of California, Los Angeles and UCSF.</w:t>
      </w:r>
    </w:p>
    <w:p>
      <w:pPr>
        <w:spacing w:after="0" w:line="197"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We believe Dr. Lee is qualified to serve on our board of directors because of her extensive scientific background, medical training, expertise in the cardiovascular field, and executive leadership experience in our industry.</w:t>
      </w:r>
    </w:p>
    <w:p>
      <w:pPr>
        <w:spacing w:after="0" w:line="158"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Deepak Srivastava, M.D.</w:t>
      </w:r>
      <w:r>
        <w:rPr>
          <w:rFonts w:ascii="Times New Roman" w:cs="Times New Roman" w:eastAsia="Times New Roman" w:hAnsi="Times New Roman"/>
          <w:sz w:val="18"/>
          <w:szCs w:val="18"/>
          <w:color w:val="auto"/>
        </w:rPr>
        <w:t>, has served as a member of our board of directors since October 2016. He has been a consultant for our company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2016 and Chairman of our Scientific Advisory Board since October 2016. Dr. Srivastava has served as President of Gladstone Institutes since January 2018. He is currently the Younger Family Professor and a senior investigator at the Gladstone Institute of Cardiovascular Disease and director of the Roddenberry Stem Cell Center. Since 2005, Dr. Srivastava has been a professor in the Departments of Pediatrics and Biochemistry and Biophysics at the University of California, San Francisco, and he is the Wilma and Adeline Pirag Distinguished Professor in pediatric developmental cardiology. He is the immediate past-president of the International Society for Stem Cell Research. Dr. Srivastava is a member of the American Academy of Arts and Sciences and the National Academy of Medicine. He received a B.S. from Rice University and an M.D. from the University of Texas. He trained in pediatrics at the University of California, San Francisco, and in pediatric cardiology at Harvard Medical School.</w:t>
      </w:r>
    </w:p>
    <w:p>
      <w:pPr>
        <w:spacing w:after="0" w:line="189" w:lineRule="exact"/>
        <w:rPr>
          <w:sz w:val="20"/>
          <w:szCs w:val="20"/>
          <w:color w:val="auto"/>
        </w:rPr>
      </w:pPr>
    </w:p>
    <w:p>
      <w:pPr>
        <w:ind w:left="120" w:right="440"/>
        <w:spacing w:after="0" w:line="266" w:lineRule="auto"/>
        <w:rPr>
          <w:sz w:val="20"/>
          <w:szCs w:val="20"/>
          <w:color w:val="auto"/>
        </w:rPr>
      </w:pPr>
      <w:r>
        <w:rPr>
          <w:rFonts w:ascii="Times New Roman" w:cs="Times New Roman" w:eastAsia="Times New Roman" w:hAnsi="Times New Roman"/>
          <w:sz w:val="18"/>
          <w:szCs w:val="18"/>
          <w:color w:val="auto"/>
        </w:rPr>
        <w:t>We believe Dr. Srivastava is qualified to serve on our board because of his scientific and educational background and his extensive expertise in the cardiovascular field and as a co-founder of the Company with specific expertise in the science of using direct in vivo reprogramming approach to cellular regeneration and human iPS-derived cardiomyocytes for drug discovery.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David Goeddel, Ph.D.</w:t>
      </w:r>
      <w:r>
        <w:rPr>
          <w:rFonts w:ascii="Times New Roman" w:cs="Times New Roman" w:eastAsia="Times New Roman" w:hAnsi="Times New Roman"/>
          <w:sz w:val="18"/>
          <w:szCs w:val="18"/>
          <w:color w:val="auto"/>
        </w:rPr>
        <w:t>, has served as a member of our board of directors since August 2016. Dr. Goeddel has served as a Managing Partner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Column Group, a venture capital firm, since 2007. Dr. Goeddel is a member of the board of directors of NGM, as well as A2 Biotherapeutics, Inc. (Chairman) and Hexagon Bio, Inc. (Chairman), both privately held biopharmaceutical companies. He previously served as a member of the board of directors for multiple other publicly and privately held companies, including most recently, RAPT Therapeutics, Inc., Nura Bio Inc., Surrozen, Inc. Exonics Therapeutics, Inc. and, Peloton Therapeutics, Inc. Dr. Goeddel co-founded Tularik in November 1991, was Vice President of Research until 1996, and served as Chief Executive Officer from 1996 until 2004. He then served as the first Senior Vice President of Amgen until May 2006. Prior to Tularik, he was the first scientist hired by Genentech, and from 1978 to 1993 served in various positions, including Fellow, Staff Scientist and Director of Molecular Biology. He is a member of the National Academy of Sciences and the American Academy of Arts and Sciences. He holds a B.A. in chemistry from the University of California, San Diego and a Ph.D. in biochemistry from the University of Colorado.</w:t>
      </w:r>
    </w:p>
    <w:p>
      <w:pPr>
        <w:spacing w:after="0" w:line="192"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We believe Dr. Goeddel is qualified to serve on our board of directors because of his experience serving as a board member of public and private life sciences companies, his experience as a founder and Chief Executive Officer of a public biopharmaceutical company, his depth of knowledge and substantial experience as a research scientist, his extensive experience in investing in diverse biotechnology companies and his experience as a public company board member, including within the biotechnology industry.</w:t>
      </w:r>
    </w:p>
    <w:p>
      <w:pPr>
        <w:spacing w:after="0" w:line="176"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Karah Parschauer, J.D.</w:t>
      </w:r>
      <w:r>
        <w:rPr>
          <w:rFonts w:ascii="Times New Roman" w:cs="Times New Roman" w:eastAsia="Times New Roman" w:hAnsi="Times New Roman"/>
          <w:sz w:val="18"/>
          <w:szCs w:val="18"/>
          <w:color w:val="auto"/>
        </w:rPr>
        <w:t>, has served as a member of our board of directors since December 2021. In June 2016, Ms. Parschauer began serving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Counsel and Executive Vice President and is currently serving as Chief Legal Officer and Executive Vice President of Ultragenyx Pharmaceutical Inc., a publicly traded biopharmaceutical company developing treatments for rare and ultra-rare genetic diseases. From June 2005 to June 2016, Ms. Parschauer served in various executive capacities, and most recently as Vice President, Associate General Counsel, at Allergan plc, a pharmaceutical company. Before Allergan, Ms. Parschauer was an attorney at Latham &amp; Watkins LLP, where she practiced in the areas of mergers and acquisitions, securities offerings and corporate governance. Ms. Parschauer is a member of the board of directors of Evolus, Inc., a publicly traded performance beauty company and Anebulo Pharmaceuticals, a publicly traded biotechnology company. From June 2019 to August 2021, she was a member of the board of directors of Arcturus Therapeutics Holdings Inc., a public RNA medicines company. Ms. Parschauer holds a B.A. in biology from Miami University and a J.D. from Harvard Law School.</w:t>
      </w:r>
    </w:p>
    <w:p>
      <w:pPr>
        <w:spacing w:after="0" w:line="19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believe Ms. Parschauer is qualified to serve on our board of directors because of her extensive experience as an executive in the life sciences sector, her legal expertise, and her experience as a public company board member within the life sciences industry.</w:t>
      </w:r>
    </w:p>
    <w:p>
      <w:pPr>
        <w:spacing w:after="0" w:line="15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Jeffrey T. Walsh, M.B.A.</w:t>
      </w:r>
      <w:r>
        <w:rPr>
          <w:rFonts w:ascii="Times New Roman" w:cs="Times New Roman" w:eastAsia="Times New Roman" w:hAnsi="Times New Roman"/>
          <w:sz w:val="18"/>
          <w:szCs w:val="18"/>
          <w:color w:val="auto"/>
        </w:rPr>
        <w:t>, has served as a member of our board of directors since March 2020. From January 2022 through April 2023, Mr. Walsh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a part-time venture partner at Third Rock Ventures. Previously, between May 2011 and March 2021, he served in various roles at bluebird bio, Inc., including most recently as Strategic Advisor, and previously as Chief Operating Officer, Chief Financial Officer, and Chief Strategy Officer. From 2008 to 2011, Mr. Walsh served as Chief Business Officer of Taligen Therapeutics, Inc. until it was acquired by Alexion Pharmaceuticals, Inc.</w:t>
      </w:r>
    </w:p>
    <w:p>
      <w:pPr>
        <w:spacing w:after="0" w:line="3" w:lineRule="exact"/>
        <w:rPr>
          <w:sz w:val="20"/>
          <w:szCs w:val="20"/>
          <w:color w:val="auto"/>
        </w:rPr>
      </w:pPr>
    </w:p>
    <w:p>
      <w:pPr>
        <w:ind w:left="120" w:right="200"/>
        <w:spacing w:after="0" w:line="253" w:lineRule="auto"/>
        <w:rPr>
          <w:sz w:val="20"/>
          <w:szCs w:val="20"/>
          <w:color w:val="auto"/>
        </w:rPr>
      </w:pPr>
      <w:r>
        <w:rPr>
          <w:rFonts w:ascii="Times New Roman" w:cs="Times New Roman" w:eastAsia="Times New Roman" w:hAnsi="Times New Roman"/>
          <w:sz w:val="18"/>
          <w:szCs w:val="18"/>
          <w:color w:val="auto"/>
        </w:rPr>
        <w:t>Mr. Walsh started his career at SmithKline Beecham Corporation in finance and worldwide business development roles from 1987 to 1995. He subsequently held senior business development, finance, sales and operations roles at Allscripts Healthcare Solutions Inc. from 1995 to 1998, PathoGenesis Corp. from 1998 to 2000, EXACT Sciences Corporation from 2000 to 2004, and Inotek Pharmaceuticals Corp. from 2004 to 2008. Mr. Walsh serves as a member of the Board of Tevard Biosciences, a private biotechnology company. He received a B.A. in sociology and economics from Yale University and an M.B.A. from the Kellogg Graduate School of Management at Northwestern University.</w:t>
      </w:r>
    </w:p>
    <w:p>
      <w:pPr>
        <w:spacing w:after="0" w:line="187" w:lineRule="exact"/>
        <w:rPr>
          <w:sz w:val="20"/>
          <w:szCs w:val="20"/>
          <w:color w:val="auto"/>
        </w:rPr>
      </w:pPr>
    </w:p>
    <w:p>
      <w:pPr>
        <w:ind w:left="120" w:right="240"/>
        <w:spacing w:after="0" w:line="312" w:lineRule="auto"/>
        <w:rPr>
          <w:sz w:val="20"/>
          <w:szCs w:val="20"/>
          <w:color w:val="auto"/>
        </w:rPr>
      </w:pPr>
      <w:r>
        <w:rPr>
          <w:rFonts w:ascii="Times New Roman" w:cs="Times New Roman" w:eastAsia="Times New Roman" w:hAnsi="Times New Roman"/>
          <w:sz w:val="17"/>
          <w:szCs w:val="17"/>
          <w:color w:val="auto"/>
        </w:rPr>
        <w:t>We believe that Mr. Walsh’s qualifications to serve on our board of directors include his leadership and management experience in the biotechnology industry and his experience in finance and business development and strategic planning as an executive officer at multiple healthcare companies.</w:t>
      </w:r>
    </w:p>
    <w:p>
      <w:pPr>
        <w:spacing w:after="0" w:line="7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55"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4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R. Sanders (Sandy) Williams, M.D., </w:t>
      </w:r>
      <w:r>
        <w:rPr>
          <w:rFonts w:ascii="Times New Roman" w:cs="Times New Roman" w:eastAsia="Times New Roman" w:hAnsi="Times New Roman"/>
          <w:sz w:val="17"/>
          <w:szCs w:val="17"/>
          <w:color w:val="auto"/>
        </w:rPr>
        <w:t>has served as a member of our board of directors since October 2016. Dr. Williams has served as the President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Emeritus of Gladstone Institutes, a non-profit biomedical research enterprise since January 2018 and previously served as its President from November 2009 to December 2017. Dr. Williams also served as the Chief Executive Officer of Gladstone Foundation, a not-for-profit organization supporting Gladstone Institutes from January 2016 to December 2018. Since January 2018, Dr. Williams has served as Professor of Medicine and Senior Advisor for Science &amp; Technology at Duke University and, from February 2021-January 2022 as its Interim Vice President for Research and Innovation.</w:t>
      </w:r>
    </w:p>
    <w:p>
      <w:pPr>
        <w:spacing w:after="0" w:line="3"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Dr. Williams has also served as a Professor of Medicine at the University of California, San Francisco since 2010. From 2010 to 2017, Dr. Williams was the President and the Robert W. and Linda L. Mahley Distinguished Professor of Medicine of Gladstone Institutes. Prior to this, Dr. Williams served in various roles, including as Dean and Senior Vice Chancellor of the Duke University School of Medicine, from 2001 to 2010. He was the founding Dean of the Duke-NUS Graduate Medical School, Singapore, from 2003 to 2008 and served on its Governing Board from 2003 to 2010. From 1990 to 2001, Dr. Williams was Chief of Cardiology and Director of the Ryburn Center for Molecular Cardiology at the University of Texas, Southwestern Medical Center. Dr. Williams is a member of the board of directors of the Laboratory Corporation of America Holdings, a publicly traded diagnostic technologies company and Amgen. Dr. Williams was elected to the National Academy of Medicine in 2002. Dr. Williams received an A.B. from Princeton University and an M.D. from Duke University.</w:t>
      </w:r>
    </w:p>
    <w:p>
      <w:pPr>
        <w:spacing w:after="0" w:line="194" w:lineRule="exact"/>
        <w:rPr>
          <w:sz w:val="20"/>
          <w:szCs w:val="20"/>
          <w:color w:val="auto"/>
        </w:rPr>
      </w:pPr>
    </w:p>
    <w:p>
      <w:pPr>
        <w:ind w:left="120" w:right="820"/>
        <w:spacing w:after="0" w:line="282" w:lineRule="auto"/>
        <w:rPr>
          <w:sz w:val="20"/>
          <w:szCs w:val="20"/>
          <w:color w:val="auto"/>
        </w:rPr>
      </w:pPr>
      <w:r>
        <w:rPr>
          <w:rFonts w:ascii="Times New Roman" w:cs="Times New Roman" w:eastAsia="Times New Roman" w:hAnsi="Times New Roman"/>
          <w:sz w:val="18"/>
          <w:szCs w:val="18"/>
          <w:color w:val="auto"/>
        </w:rPr>
        <w:t>We believe Dr. Williams is qualified to serve on our board because of his scientific and educational background, his extensive expertise in the cardiovascular field, and his experience as a public company board member, including within the biotechnology industry.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rules of Nasdaq, independent directors must comprise a majority of a listed company’s board of directors within one year of the completion of its initial public offering. Under Nasdaq listing rules, a director will only qualify as an independent director if, in the opinion of that listed company’s board of directors, the director does not have a relationship that would interfere with the exercise of independent judgment in carrying out the responsibilities of a director. In addition, the Nasdaq listing rules require that, subject to specified exceptions, each member of our audit, compensation and corporate governance and nominating committees be independent.</w:t>
      </w:r>
    </w:p>
    <w:p>
      <w:pPr>
        <w:spacing w:after="0" w:line="183"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Audit committee members must also satisfy the additional independence criteria set forth in Rule 10A-3 under the Exchange Act, and Nasdaq listing rules applicable to audit committee members. Compensation committee members must also satisfy the additional independence criteria set forth in Rule 10C-1 under the Exchange Act and Nasdaq listing rules applicable to compensation committee members.</w:t>
      </w:r>
    </w:p>
    <w:p>
      <w:pPr>
        <w:spacing w:after="0" w:line="176"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each of our directors. Based on information provided by each director concerning his or her background, employment and affiliations, our board of directors has determined that each of Drs. Chen, Goeddel, Lee, Srivastava, Stehman-Breen and Williams, Mses. Burroughs and Parschauer and Mr. Walsh, representing nine of our ten directors, do not have a relationship that would interfere with the exercise of independent judgment in carrying out the responsibilities of a director and that each of these directors is an “independent director” as defined under the listing standards of Nasdaq. Mr. Ali is not considered an independent director because of his position as our Chief Executive Officer.</w:t>
      </w:r>
    </w:p>
    <w:p>
      <w:pPr>
        <w:spacing w:after="0" w:line="187"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In making these determinations, our board of directors considered the current and prior relationships that each non-employee director has with our company and all other facts and circumstances that our board of directors deemed relevant in determining their independence, including the beneficial ownership of our capital stock by each non-employee director, and the transactions involving them described in the section titled “Related Person Transactions.”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director nominees or executive officers.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55"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Our board of directors is currently chaired by Dr. Goeddel. As a general policy, our board of directors believes that separation of the positions of Chair of our board of directors and Chief Executive Officer reinforces the independence of our board of directors from management, creates an environment that encourages objective oversight of management’s performance and enhances the effectiveness of our board of directors as a whole. As such, Mr. Ali serves as our Chief Executive Officer while Dr. Goeddel serves as the Chair of our board of directors but is not an officer. We currently expect and intend the positions of Chair of our board of directors and Chief Executive Officer to continue to be held by two individuals in the future.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Board in Risk Oversight Process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Risk is inherent with every business, and we face a number of risks, including strategic, financial, business and operational, legal and compliance and reputational. We have designed and implemented processes to manage risk in our operations. Management is responsible for the day-to-day management of risks the company faces, while our board of directors, as a whole and assisted by its committees, has responsibility for the oversight of risk management. Our board reviews strategic and operational risk in the context of discussions, question and answer sessions, and reports from the management team at each regular board meeting, receives reports on all significant committee activities at each regular board meeting, and evaluates the risks inherent in significant transactions.</w:t>
      </w:r>
    </w:p>
    <w:p>
      <w:pPr>
        <w:spacing w:after="0" w:line="187"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In addition, our board has tasked designated standing committees with oversight of certain categories of risk management. Our audit committee assists our board in fulfilling its oversight responsibilities with respect to risk management in the areas of internal control over financial reporting and disclosure controls and procedures, legal and regulatory compliance, and also, among other things, discusses with management and the independent auditor guidelines and policies with respect to risk assessment and risk management. Our compensation committee assesses risks relating to our executive compensation plans and arrangements, and whether our compensation policies and programs have the potential to encourage excessive risk taking. Our corporate governance and nominating committee assesses risks relating to our corporate governance practices, the independence of the board and potential conflicts of interest.</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board of directors believes its current leadership structure supports the risk oversight function of the board.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left="120" w:right="340"/>
        <w:spacing w:after="0" w:line="312" w:lineRule="auto"/>
        <w:rPr>
          <w:sz w:val="20"/>
          <w:szCs w:val="20"/>
          <w:color w:val="auto"/>
        </w:rPr>
      </w:pPr>
      <w:r>
        <w:rPr>
          <w:rFonts w:ascii="Times New Roman" w:cs="Times New Roman" w:eastAsia="Times New Roman" w:hAnsi="Times New Roman"/>
          <w:sz w:val="17"/>
          <w:szCs w:val="17"/>
          <w:color w:val="auto"/>
        </w:rPr>
        <w:t>Our board of directors has established the following standing committees of the board: audit committee; compensation committee; and corporate governance and nominating committee. The composition and responsibilities of each of the committees of our board of directors is described below.</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The current members of our audit committee are Mses. Burroughs and Parschauer and Mr. Walsh. Mr. Walsh is the chairperson of our audit committee. Our board of directors has determined that each member of our audit committee meets the requirements for independence of audit committee members under the rules and regulations of the SEC and the listing standards of Nasdaq, and also meets the financial literacy requirements of the listing standards of Nasdaq. Our board of directors has determined that Mr. Walsh is an audit committee financial expert within the meaning of Item 407(d) of Regulation S-K. Our audit committee is responsible for, among other things:</w:t>
      </w:r>
    </w:p>
    <w:p>
      <w:pPr>
        <w:spacing w:after="0" w:line="89" w:lineRule="exact"/>
        <w:rPr>
          <w:sz w:val="20"/>
          <w:szCs w:val="20"/>
          <w:color w:val="auto"/>
        </w:rPr>
      </w:pPr>
    </w:p>
    <w:p>
      <w:pPr>
        <w:ind w:left="1080" w:right="7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retaining, compensating, evaluating, overseeing and, where appropriate, terminating our independent registered public accounting firm;</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scope and plans for the audits and the audit fees and approving all non-audit and tax services to be performed by the independent auditor;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independence and qualifications of our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financial statements, and discussing with management and our independent registered public accounting firm the results of the annual audit and the quarterly reviews;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the quality and adequacy of our internal controls and our disclosure controls and procedures;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our procedures regarding the presentation of our financial information, and reviewing earnings press releases and guidance;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design, implementation and performance of our internal audit function, if any;</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hiring policies with regard to the hiring of employees and former employees of our independent auditor and overseeing compliance with such policies;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and monitoring related party transactions;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and overseeing procedures to address complaints regarding accounting, internal accounting controls and auditing matters, including confidential, anonymous submissions by our employees of concerns regarding questionable accounting or auditing matters;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auditor the adequacy and effectiveness of our legal, regulatory and ethical compliance programs; and</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auditor our guidelines and policies to identify, monitor and address enterprise risks.</w:t>
      </w:r>
    </w:p>
    <w:p>
      <w:pPr>
        <w:spacing w:after="0" w:line="16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Our audit committee operates under a written charter that satisfies the applicable rules and regulations of the SEC and the listing standards of Nasdaq. A copy of the charter of our audit committee is available on our website at https://investors.tenayatherapeutics.com/corporate-governance/governance-overview. During 2022, our audit committee held four meetings.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current members of our compensation committee are Drs. Stehman-Breen and Williams and Mr. Walsh. Dr. Williams is the chairperson of our compensation committee. Our board of directors has determined that each member of our compensation committee meets the requirements for independence for compensation committee members under the rules and regulations of the SEC and the listing standards of Nasdaq. Each member of the compensation committee is also a non-employee director, as defined pursuant to Rule 16b-3 promulgated under the Exchange Act. Our compensation committee is responsible for, among other things:</w:t>
      </w:r>
    </w:p>
    <w:p>
      <w:pPr>
        <w:spacing w:after="0" w:line="89" w:lineRule="exact"/>
        <w:rPr>
          <w:sz w:val="20"/>
          <w:szCs w:val="20"/>
          <w:color w:val="auto"/>
        </w:rPr>
      </w:pPr>
    </w:p>
    <w:p>
      <w:pPr>
        <w:ind w:left="1080" w:right="6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or making recommendations to our board of directors regarding the compensation for our executive officers, including our chief executive officer;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and administering our employee benefit and equity incentive plans;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reviewing the compensation plans and programs of our employees, and ensuring that they are consistent with our general compensation strategy;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making recommendations to our board of directors regarding the creation or revision of any clawback policy;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of directors regarding non-employee director compensation;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compensation policies and practices to determine whether any policies are reasonably likely to have a material adverse effect on us.</w:t>
      </w:r>
    </w:p>
    <w:p>
      <w:pPr>
        <w:spacing w:after="0" w:line="162"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Our compensation committee operates under a written charter that satisfies the applicable rules and regulations of the SEC and the listing standards of Nasdaq. A copy of the charter of our compensation committee is available on our website at https://investors.tenayatherapeutics.com/corporate-governance/governance-overview. During 2022, our compensation committee held five meetings.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and Nominating Committee</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current members of our corporate governance and nominating committee are Drs. Chen, Goeddel, and Srivastava. Dr. Srivastava is the chairperson of our corporate governance and nominating committee. Our board of directors has determined that each member of our corporate governance and nominating committee meets the requirements for independence for corporate governance and nominating committee members under the listing standards of Nasdaq. Our corporate governance and nominating committee is responsible for, among other things:</w:t>
      </w:r>
    </w:p>
    <w:p>
      <w:pPr>
        <w:spacing w:after="0" w:line="85" w:lineRule="exact"/>
        <w:rPr>
          <w:sz w:val="20"/>
          <w:szCs w:val="20"/>
          <w:color w:val="auto"/>
        </w:rPr>
      </w:pPr>
    </w:p>
    <w:p>
      <w:pPr>
        <w:ind w:left="1080" w:right="8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and making recommendations to our board of directors regarding desired qualifications, expertise and characteristics sought of board members;</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selecting or making recommendations to our board of directors regarding nominees for election to our board of directors;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policies and procedures for considering stockholder nominees for election to our board of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succession planning process for our chief executive officer and any other members of our executive management team;</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regarding the composition, organization and governance our board of directors and its committees;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directors regarding our corporate governance guidelines and corporate governance framework;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director orientation for new directors and continuing education for our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the performance of our board of directors and its committees; and</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compliance with our code of business conduct and ethics, and reviewing conflicts of interest of our board members and officers other than related party transactions reviewed by our audit committee.</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Our corporate governance and nominating committee operates under a written charter that satisfies the applicable listing standards of Nasdaq. A copy of the charter of our corporate governance and nominating committee is available on our website at https://investors.tenayatherapeutics.com/corporate-governance/governance-overview. During 2022, our corporate governance and nominating committee held three meetings.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Attendance at Board and Stockholders Meetings</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During our fiscal year ended December 31, 2022, our board of directors held six meetings (including regularly scheduled and special meetings), and each director, other than Dr. Srivastava, attended at least 75% of the aggregate of (1) the total number of meetings of the board of directors held during the period for which he or she has been a director and (2) the total number of meetings held by all committees on which he or she served during the periods that he or she served. Dr. Srivastava’s absences were due principally to scheduling conflicts with certain activities and meetings in connection with his service as President of the J. David Gladstone Institutes.</w:t>
      </w:r>
    </w:p>
    <w:p>
      <w:pPr>
        <w:spacing w:after="0" w:line="183" w:lineRule="exact"/>
        <w:rPr>
          <w:sz w:val="20"/>
          <w:szCs w:val="20"/>
          <w:color w:val="auto"/>
        </w:rPr>
      </w:pPr>
    </w:p>
    <w:p>
      <w:pPr>
        <w:ind w:left="120" w:right="220"/>
        <w:spacing w:after="0" w:line="312" w:lineRule="auto"/>
        <w:rPr>
          <w:sz w:val="20"/>
          <w:szCs w:val="20"/>
          <w:color w:val="auto"/>
        </w:rPr>
      </w:pPr>
      <w:r>
        <w:rPr>
          <w:rFonts w:ascii="Times New Roman" w:cs="Times New Roman" w:eastAsia="Times New Roman" w:hAnsi="Times New Roman"/>
          <w:sz w:val="17"/>
          <w:szCs w:val="17"/>
          <w:color w:val="auto"/>
        </w:rPr>
        <w:t>Although we do not have a formal policy regarding attendance by members of our board of directors at the annual meetings of stockholders, we encourage, but do not require, directors to attend. All our directors serving at the time were in attendance at the 2022 annual meeting of stockholders.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During 2022, the members of our compensation committee were Drs. Stehman-Breen and Williams and Mr. Walsh. None of the members of our compensation committee is or has been an officer or employee of our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80"/>
          </w:cols>
          <w:pgMar w:left="320" w:top="455"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company. None of our executive officers currently serves, or in the past fiscal year has served, as a member of the board of directors or compensation committee (or other board committee performing equivalent functions) of any entity that has one or more executive officers serving on our board of directors or compensation committee.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Considerations in Evaluating Director Nominees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Our corporate governance and nominating committee uses a variety of methods for identifying and evaluating potential director nominees. In its evaluation of director candidates, including the current directors eligible for re-election, our corporate governance and nominating committee will consider the current size and composition of our board of directors and the needs of our board of directors and the respective committees of our board of directors and other director qualifications. While our board has not established minimum qualifications for board members, some of the factors that our corporate governance and nominating committee considers in assessing director nominee qualifications include, without limitation, issues of character, professional ethics and integrity, judgment, business experience and diversity, and with respect to diversity, such factors as race, ethnicity, gender, differences in professional background, age and geography, as well as other individual qualities and attributes that contribute to the total mix of viewpoints and experience represented on our board. Although our board of directors does not maintain a specific policy with respect to board diversity, our board of directors believes that the board should be a diverse body, and the corporate governance and nominating committee considers a broad range of perspectives, backgrounds and experiences.</w:t>
      </w:r>
    </w:p>
    <w:p>
      <w:pPr>
        <w:spacing w:after="0" w:line="19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If our corporate governance and nominating committee determines that an additional or replacement director is required, then the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or management.</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After completing its review and evaluation of director candidates, our corporate governance and nominating committee recommends to our full board of directors the director nominees for selection. Our corporate governance and nominating committee has discretion to decide which individuals to recommend for nomination as directors and our board of directors has the final authority in determining the selection of director candidates for nomination to our board.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Stockholders Recommendations and Nominations to our Board of Directors</w:t>
      </w:r>
    </w:p>
    <w:p>
      <w:pPr>
        <w:spacing w:after="0" w:line="12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Our corporate governance and nominating committee will consider recommendations and nominations for candidates to our board of directors from stockholders in the same manner as candidates recommended to the committee from other sources, so long as such recommendations and nominations comply with our Amended and Restated Certificate of Incorporation and Bylaws, all applicable company policies and all applicable laws, rules and regulations, including those promulgated by the SEC. Our corporate governance and nominating committee will evaluate such recommendations in accordance with its charter, our Bylaws and corporate governance guidelines and the director nominee criteria described above.</w:t>
      </w:r>
    </w:p>
    <w:p>
      <w:pPr>
        <w:spacing w:after="0" w:line="183"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A stockholder who wants to recommend a candidate to our board of directors should direct the recommendation in writing by letter to our corporate secretary at Tenaya Therapeutics, Inc., 171 Oyster Point Boulevard, Suite 500, South San Francisco, CA 94080, Attention: Corporate Secretary. Such recommendation must include the candidate’s name, home and business contact information, detailed biographical data, relevant qualifications, a signed letter from the candidate confirming willingness to serve, information regarding any relationships between the candidate and us and evidence of the recommending stockholders’ ownership of our capital stock. Such recommendation must also include a statement from the recommending stockholder(s) in support of the candidate. Our corporate governance and nominating committee has discretion to decide which individuals to recommend for nomination as directors.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Under our Bylaws, stockholders may also directly nominate persons for our board of directors. Any nomination must comply with the requirements set forth in our Bylaws and the rules and regulations of the SEC and should be sent in writing to our corporate secretary at the address above. To be timely for our 2024 annual meeting of stockholders, nominations must be received by our corporate secretary observing the deadlines discussed above under “</w:t>
      </w:r>
      <w:r>
        <w:rPr>
          <w:rFonts w:ascii="Times New Roman" w:cs="Times New Roman" w:eastAsia="Times New Roman" w:hAnsi="Times New Roman"/>
          <w:sz w:val="18"/>
          <w:szCs w:val="18"/>
          <w:i w:val="1"/>
          <w:iCs w:val="1"/>
          <w:color w:val="auto"/>
        </w:rPr>
        <w:t>Questions and Answers About The Proxy Materials—What is the deadline to propose actions for consideration at next year’s annual meeting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stockholders or to nominate individuals to serve as directors?</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Communications with the Board of Directors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Stockholders and other interested parties wishing to communicate directly with our non-management directors, may do so by writing and sending the correspondence to our corporate secretary by mail to our principal executive offices at 171 Oyster Point Boulevard, Suite 500, South San Francisco, CA 94080, Attention: Corporate Secretary. Our corporate secretary, in consultation with appropriate directors as necessary, will review all incoming communications and screen for communications that (1) are solicitations for products and services, (2) relate to matters of a personal nature not relevant for our stockholders to act on or for our board to consider and (3) matters that are of a type that are improper or irrelevant to the functioning of our board or our business, for example, mass mailings, job inquiries and business solicitations. If appropriate, our corporate secretary will route such communications to the appropriate director(s) or, if none is specified, then to the chairperson of the board. These policies and procedures do not apply to</w:t>
      </w:r>
    </w:p>
    <w:p>
      <w:pPr>
        <w:spacing w:after="0" w:line="3" w:lineRule="exact"/>
        <w:rPr>
          <w:sz w:val="20"/>
          <w:szCs w:val="20"/>
          <w:color w:val="auto"/>
        </w:rPr>
      </w:pPr>
    </w:p>
    <w:p>
      <w:pPr>
        <w:ind w:left="120" w:right="180" w:hanging="4"/>
        <w:spacing w:after="0" w:line="255" w:lineRule="auto"/>
        <w:tabs>
          <w:tab w:leader="none" w:pos="3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communications to non-management directors from our officers or directors who are stockholders, (b) stockholder proposals submitted pursuant to Rule 14a-8 under the Exchange Act, or (c) communications to our audit committee pursuant to our complaint procedures for accounting and audit matters.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Policy Prohibiting Hedging or Pledging of Securities</w:t>
      </w:r>
    </w:p>
    <w:p>
      <w:pPr>
        <w:spacing w:after="0" w:line="121" w:lineRule="exact"/>
        <w:rPr>
          <w:sz w:val="20"/>
          <w:szCs w:val="20"/>
          <w:color w:val="auto"/>
        </w:rPr>
      </w:pPr>
    </w:p>
    <w:p>
      <w:pPr>
        <w:ind w:left="120" w:right="40"/>
        <w:spacing w:after="0" w:line="272" w:lineRule="auto"/>
        <w:rPr>
          <w:sz w:val="20"/>
          <w:szCs w:val="20"/>
          <w:color w:val="auto"/>
        </w:rPr>
      </w:pPr>
      <w:r>
        <w:rPr>
          <w:rFonts w:ascii="Times New Roman" w:cs="Times New Roman" w:eastAsia="Times New Roman" w:hAnsi="Times New Roman"/>
          <w:sz w:val="17"/>
          <w:szCs w:val="17"/>
          <w:color w:val="auto"/>
        </w:rPr>
        <w:t>Under our insider trading policy, our employees, including our executive officers, and the members of our board of directors are prohibited from, directly or indirectly, among other things, (1) engaging in short sales, (2) trading in publicly-traded options, such as puts and calls, and other derivative securities with respect to our securities (other than stock options, restricted stock units and other compensatory awards issued to such individuals by us),</w:t>
      </w:r>
    </w:p>
    <w:p>
      <w:pPr>
        <w:spacing w:after="0" w:line="2" w:lineRule="exact"/>
        <w:rPr>
          <w:sz w:val="20"/>
          <w:szCs w:val="20"/>
          <w:color w:val="auto"/>
        </w:rPr>
      </w:pPr>
    </w:p>
    <w:p>
      <w:pPr>
        <w:jc w:val="both"/>
        <w:ind w:left="120" w:hanging="4"/>
        <w:spacing w:after="0" w:line="253" w:lineRule="auto"/>
        <w:tabs>
          <w:tab w:leader="none" w:pos="3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financial instruments (including prepaid variable forward contracts, equity swaps, collars and exchange funds), or otherwise engaging in transactions that hedge or offset, or are designed to hedge or offset, any decrease in the market value of equity securities granted to them by us as part of their compensation or held, directly or indirectly, by them, (4) pledging any of our securities as collateral for any loans and (5) holding our securities in a margin account.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 Guidelines and Code of Business Conduct and Ethics</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Our board of directors has adopted corporate governance guidelines. These guidelines address, among other items, the qualifications and responsibilities of our directors and director candidates, the structure and composition of our board of directors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code of business conduct and ethics are available on our website at https://investors.tenayatherapeutics.com/corporate-governance/governance-overview. We will post amendments to our code of business conduct and ethics or any waivers of our code of business conduct and ethics for directors and executive officers on the same website.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corporate governance and nominating committee is committed to continuing to identify and recruit highly qualified director candidates with diverse experiences, perspectives, and backgrounds to join our board of directors. The table below provides certain information regarding the composition of our board of directors. As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shown below in the board diversity matrix, the Company is currently in compliance with the diversity requirements of Nasdaq Rule 5605(f) and Sections 301.3 and 301.4 of the California Corporations Code.</w:t>
      </w:r>
    </w:p>
    <w:p>
      <w:pPr>
        <w:spacing w:after="0" w:line="1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Board Diversity Matrix</w:t>
      </w:r>
    </w:p>
    <w:p>
      <w:pPr>
        <w:spacing w:after="0" w:line="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(as of December 31, 2022)</w:t>
      </w:r>
    </w:p>
    <w:p>
      <w:pPr>
        <w:spacing w:after="0" w:line="8" w:lineRule="exact"/>
        <w:rPr>
          <w:sz w:val="20"/>
          <w:szCs w:val="20"/>
          <w:color w:val="auto"/>
        </w:rPr>
      </w:pPr>
    </w:p>
    <w:tbl>
      <w:tblPr>
        <w:tblLayout w:type="fixed"/>
        <w:tblInd w:w="1440" w:type="dxa"/>
        <w:tblCellMar>
          <w:top w:w="0" w:type="dxa"/>
          <w:left w:w="0" w:type="dxa"/>
          <w:bottom w:w="0" w:type="dxa"/>
          <w:right w:w="0" w:type="dxa"/>
        </w:tblCellMar>
      </w:tblPr>
      <w:tr>
        <w:trPr>
          <w:trHeight w:val="209"/>
        </w:trPr>
        <w:tc>
          <w:tcPr>
            <w:tcW w:w="6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Number of Directors</w:t>
            </w: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365"/>
        </w:trPr>
        <w:tc>
          <w:tcPr>
            <w:tcW w:w="6880" w:type="dxa"/>
            <w:vAlign w:val="bottom"/>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6"/>
              </w:rPr>
              <w:t>Female</w:t>
            </w:r>
          </w:p>
        </w:tc>
        <w:tc>
          <w:tcPr>
            <w:tcW w:w="580" w:type="dxa"/>
            <w:vAlign w:val="bottom"/>
          </w:tcPr>
          <w:p>
            <w:pPr>
              <w:spacing w:after="0"/>
              <w:rPr>
                <w:sz w:val="24"/>
                <w:szCs w:val="24"/>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2"/>
              </w:rPr>
              <w:t>Male</w:t>
            </w:r>
          </w:p>
        </w:tc>
      </w:tr>
      <w:tr>
        <w:trPr>
          <w:trHeight w:val="196"/>
        </w:trPr>
        <w:tc>
          <w:tcPr>
            <w:tcW w:w="68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Part I: Gender Identity</w:t>
            </w: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Directors</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Asian</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White</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Under our Outside Director Compensation Policy, non-employee directors receive compensation in the form of cash and equity, as described below. We also reimburse our non-employee directors for expenses incurred in connection with attending board and committee meetings, as well as continuing director education.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Compensation</w:t>
      </w:r>
    </w:p>
    <w:p>
      <w:pPr>
        <w:spacing w:after="0" w:line="119"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The Outside Director Compensation Policy provides for each non-employee director to be paid an annual cash retainer of $35,000. In addition, each non-employee director who serves as a chair or chair or member of a committee will be entitled to receive the following cash compensation for his or her services:</w:t>
      </w:r>
    </w:p>
    <w:p>
      <w:pPr>
        <w:spacing w:after="0" w:line="81"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 per year for service as non-executive chair of our board of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per year for service as a lead independent director;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 per year for service as chair of the audit committee;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 per year for service as a member of the audit committee;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per year for service as chair of the compensation committee;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 per year for service as a member of the compensation committee;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 per year for service as chair of the corporate governance and nominating committee;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 per year for service as a member of the corporate governance and nominating committee.</w:t>
      </w:r>
    </w:p>
    <w:p>
      <w:pPr>
        <w:spacing w:after="0" w:line="225"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Each non-employee director who serves as a committee chair will receive only the cash retainer fee as the chair of the committee but not the cash retainer fee as a member of that committee. These fees to our non-employee directors are paid quarterly in arrears on a prorated basis. Under our Outside Director Compensation Policy, we also will reimburse our non-employee directors for reasonable travel expenses to attend meetings of our board of directors and its committees.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Equity Compensation</w:t>
      </w:r>
    </w:p>
    <w:p>
      <w:pPr>
        <w:spacing w:after="0" w:line="117"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i w:val="1"/>
          <w:iCs w:val="1"/>
          <w:color w:val="auto"/>
        </w:rPr>
        <w:t>Initial Award</w:t>
      </w:r>
      <w:r>
        <w:rPr>
          <w:rFonts w:ascii="Times New Roman" w:cs="Times New Roman" w:eastAsia="Times New Roman" w:hAnsi="Times New Roman"/>
          <w:sz w:val="18"/>
          <w:szCs w:val="18"/>
          <w:color w:val="auto"/>
        </w:rPr>
        <w:t>. Pursuant to our Outside Director Compensation Policy as it was in effect prior to December 5, 2022, each person who first became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non-employee director after the initial effective date of such policy would receive, on the first trading day on or after the date that the person first becomes a non-employee director, an initial award, or the Initial Award, of stock options to purchase shares of our common stock with a grant date fair value as determined in accordance with U.S. GAAP equal to $320,000. However, our Outside Director Compensation Policy was amended and restated in December 2022 to provide that, notwithstanding the foregoing, with respect to Initial Awards granted on or following the December 2022 restatement date, no more</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80"/>
          </w:cols>
          <w:pgMar w:left="320" w:top="455"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than 40,000 shares of our common stock could be subject to an Initial Award, and was restated again in March 2023 to change this Initial Award limit to 68,000 shares for Initial Awards granted on or after the March 2023 restatement date. The Initial Award will be scheduled to vest in equal installments as to one thirty-sixth of the shares of our common stock subject at grant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non-employee director due to termination of employment will not entitle the person to an Initial Award.</w:t>
      </w:r>
    </w:p>
    <w:p>
      <w:pPr>
        <w:spacing w:after="0" w:line="185"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i w:val="1"/>
          <w:iCs w:val="1"/>
          <w:color w:val="auto"/>
        </w:rPr>
        <w:t>Annual Award</w:t>
      </w:r>
      <w:r>
        <w:rPr>
          <w:rFonts w:ascii="Times New Roman" w:cs="Times New Roman" w:eastAsia="Times New Roman" w:hAnsi="Times New Roman"/>
          <w:sz w:val="18"/>
          <w:szCs w:val="18"/>
          <w:color w:val="auto"/>
        </w:rPr>
        <w:t>. Pursuant to our Outside Director Compensation Policy as it was in effect prior to December 5, 2022, each non-employee director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served continuously as an outside director for no less than 6 months as of the date of the annual meeting of our stockholders would automatically receive, on the first trading day immediately after the date of each annual meeting of our stockholders that occurred following the initial effective date of our Outside Director Compensation Policy, an annual award, or the Annual Award, of stock options to purchase shares of our common stock with a grant date fair value as determined in accordance with U.S. GAAP equal to $160,000. In December 2022, our Outside Director Compensation Policy was amended and restated with respect to Annual Awards granted on or after the restatement date, to remove the requirement that the outside director serve continuously as an outside director for no less than 6 months as of the date of the annual meeting of our stockholders in order to receive an Annual Award and instead provide that, in the case of a director who joined our board after the immediately preceding annual meeting of stockholders, the number of shares subject to his or her first Annual Award will be prorated for the months the director served prior to and including the date of the annual meeting at which the Annual Award is to be granted. The December 2022 amendment and restatement of our Outside Director Compensation Policy provided that, notwithstanding the formula stated above, with respect to Annual Awards granted on or following the December 2022 restatement date, no more than 20,000 shares of our common stock could be subject to an Annual Award, and the March 2023 restatement changed this Annual Award limit to 34,000 shares for Annual Awards granted on or after the March 2023 restatement date. Each Annual Award will be scheduled to vest in full upon the first anniversary of the date of the grant, or if earlier, the day immediately before the date of the next annual meeting that occurs after the Annual Award’s grant date, subject to the outside director remaining a service provider through the applicable vesting date.</w:t>
      </w:r>
    </w:p>
    <w:p>
      <w:pPr>
        <w:spacing w:after="0" w:line="196" w:lineRule="exact"/>
        <w:rPr>
          <w:sz w:val="20"/>
          <w:szCs w:val="20"/>
          <w:color w:val="auto"/>
        </w:rPr>
      </w:pPr>
    </w:p>
    <w:p>
      <w:pPr>
        <w:ind w:left="120" w:right="100"/>
        <w:spacing w:after="0" w:line="267" w:lineRule="auto"/>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In the event of a change in control, as defined in our 2021 Equity Incentive Plan, each non-employee director’s then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awards covering shares of our common stock will accelerate vesting in full, provided that he or she remains a non-employee director through the date of our change in control.</w:t>
      </w:r>
    </w:p>
    <w:p>
      <w:pPr>
        <w:spacing w:after="0" w:line="173" w:lineRule="exact"/>
        <w:rPr>
          <w:sz w:val="20"/>
          <w:szCs w:val="20"/>
          <w:color w:val="auto"/>
        </w:rPr>
      </w:pPr>
    </w:p>
    <w:p>
      <w:pPr>
        <w:ind w:left="120" w:right="240"/>
        <w:spacing w:after="0" w:line="267" w:lineRule="auto"/>
        <w:rPr>
          <w:sz w:val="20"/>
          <w:szCs w:val="20"/>
          <w:color w:val="auto"/>
        </w:rPr>
      </w:pPr>
      <w:r>
        <w:rPr>
          <w:rFonts w:ascii="Times New Roman" w:cs="Times New Roman" w:eastAsia="Times New Roman" w:hAnsi="Times New Roman"/>
          <w:sz w:val="18"/>
          <w:szCs w:val="18"/>
          <w:i w:val="1"/>
          <w:iCs w:val="1"/>
          <w:color w:val="auto"/>
        </w:rPr>
        <w:t>Other Award Terms</w:t>
      </w:r>
      <w:r>
        <w:rPr>
          <w:rFonts w:ascii="Times New Roman" w:cs="Times New Roman" w:eastAsia="Times New Roman" w:hAnsi="Times New Roman"/>
          <w:sz w:val="18"/>
          <w:szCs w:val="18"/>
          <w:color w:val="auto"/>
        </w:rPr>
        <w:t>. Each Initial Award and Annual Award will be granted under our 2021 Equity Incentive Plan (or its successor plan, as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form of award agreement under such plan. These awards will have a maximum term of ten years from their grant and a per-share exercise price equal to 100% of the fair market value of a share of our common stock on the award’s grant date.</w:t>
      </w:r>
    </w:p>
    <w:p>
      <w:pPr>
        <w:spacing w:after="0" w:line="173"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i w:val="1"/>
          <w:iCs w:val="1"/>
          <w:color w:val="auto"/>
        </w:rPr>
        <w:t>Director Compensation Limits</w:t>
      </w:r>
      <w:r>
        <w:rPr>
          <w:rFonts w:ascii="Times New Roman" w:cs="Times New Roman" w:eastAsia="Times New Roman" w:hAnsi="Times New Roman"/>
          <w:sz w:val="18"/>
          <w:szCs w:val="18"/>
          <w:color w:val="auto"/>
        </w:rPr>
        <w:t>. Our Outside Director Compensation Policy provides that in any fiscal year, a non-employee director may be paid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granted equity awards with an aggregate value of no more than $500,000 (with the value of equity awards based on its grant date fair value determined in accordance with U.S. GAAP for purposes of this limit). Equity awards granted or other compensation provided to a non-employee director while he or she was an employee or consultant (other than a non-employee director) do not count toward this annual limit.</w:t>
      </w:r>
    </w:p>
    <w:p>
      <w:pPr>
        <w:spacing w:after="0" w:line="180" w:lineRule="exact"/>
        <w:rPr>
          <w:sz w:val="20"/>
          <w:szCs w:val="20"/>
          <w:color w:val="auto"/>
        </w:rPr>
      </w:pPr>
    </w:p>
    <w:p>
      <w:pPr>
        <w:jc w:val="both"/>
        <w:ind w:left="120" w:right="240"/>
        <w:spacing w:after="0" w:line="267" w:lineRule="auto"/>
        <w:rPr>
          <w:sz w:val="20"/>
          <w:szCs w:val="20"/>
          <w:color w:val="auto"/>
        </w:rPr>
      </w:pPr>
      <w:r>
        <w:rPr>
          <w:rFonts w:ascii="Times New Roman" w:cs="Times New Roman" w:eastAsia="Times New Roman" w:hAnsi="Times New Roman"/>
          <w:sz w:val="18"/>
          <w:szCs w:val="18"/>
          <w:i w:val="1"/>
          <w:iCs w:val="1"/>
          <w:color w:val="auto"/>
        </w:rPr>
        <w:t>One-Time Supplemental Outside Director Grant</w:t>
      </w:r>
      <w:r>
        <w:rPr>
          <w:rFonts w:ascii="Times New Roman" w:cs="Times New Roman" w:eastAsia="Times New Roman" w:hAnsi="Times New Roman"/>
          <w:sz w:val="18"/>
          <w:szCs w:val="18"/>
          <w:color w:val="auto"/>
        </w:rPr>
        <w:t>. On September 8, 2022, our board of directors granted a one-time supplemental stock option grant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Karah Parschauer to purchase 20,000 shares of our common stock. This option is scheduled to vest in full upon the first anniversary of the date of the grant, or if earlier, the day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immediately before the date of the next annual meeting that occurs after the grant date, subject to Ms. Parschauer remaining a service provider through the applicable vesting date, and subject to the change in control-related acceleration provisions described above. The option was granted under our 2021 Equity Incentive Plan and an award agreement thereunder, with a maximum of term of ten years from its grant and a per-share exercise price equal to 100% of the fair market value of a share of our common stock on the award’s grant date. Ms. Parschauer joined our board of directors in December 2021, and in accordance with the terms of our Outside Director Compensation Policy then in effect, was not eligible to receive an Annual Award in connection with our 2022 annual meeting of stockholders, as she had not continuously served as an outside director for six months prior to such annual meeting. Therefore, our board of directors provided her with this one-time supplemental grant in order to align Ms. Parschauer’s director compensation with the then-contemplated changes to the Annual Award structure, which changes were implemented in December 2022, as described above.</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for Fiscal 2022</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regarding the total compensation awarded to, earned by or paid to our non-employee directors for their service on our board of directors, for the fiscal year ended December 31, 2022. Directors who are also our employees receive no additional compensation for their service as directors. During 2022, Mr. Ali was an employee and executive officer of the company and therefore, did not receive compensation as a director. See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for additional information regarding Mr. Ali’s compensation.</w:t>
      </w:r>
    </w:p>
    <w:p>
      <w:pPr>
        <w:spacing w:after="0" w:line="18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6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Fees Paid or</w:t>
            </w:r>
          </w:p>
        </w:tc>
        <w:tc>
          <w:tcPr>
            <w:tcW w:w="10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60" w:type="dxa"/>
            <w:vAlign w:val="bottom"/>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Earned in</w:t>
            </w:r>
          </w:p>
        </w:tc>
        <w:tc>
          <w:tcPr>
            <w:tcW w:w="10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3"/>
        </w:trPr>
        <w:tc>
          <w:tcPr>
            <w:tcW w:w="58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9"/>
              </w:rPr>
              <w:t>Cash ($)</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)(1)(2)</w:t>
            </w:r>
          </w:p>
        </w:tc>
        <w:tc>
          <w:tcPr>
            <w:tcW w:w="4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Amy Burroughs, M.B.A(3)</w:t>
            </w:r>
          </w:p>
        </w:tc>
        <w:tc>
          <w:tcPr>
            <w:tcW w:w="3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5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74,844</w:t>
            </w:r>
          </w:p>
        </w:tc>
        <w:tc>
          <w:tcPr>
            <w:tcW w:w="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77,929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Eli Casdin, M.B.A(4)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39,415</w:t>
            </w:r>
          </w:p>
        </w:tc>
        <w:tc>
          <w:tcPr>
            <w:tcW w:w="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159,925</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Jin-Long Chen, Ph.D.</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159,925</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David Goeddel, Ph.D.</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69,000</w:t>
            </w:r>
          </w:p>
        </w:tc>
        <w:tc>
          <w:tcPr>
            <w:tcW w:w="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159,925</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Karah Parschauer, J.D.(6)</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73,644</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Catherine Stehman-Breen, M.D.</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159,925</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Lee, M.D.</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159,925</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Deepak Srivastava, M.D.</w:t>
            </w:r>
          </w:p>
        </w:tc>
        <w:tc>
          <w:tcPr>
            <w:tcW w:w="16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118,000(5)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159,925</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T. Walsh, M.B.A.</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159,925</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 Sanders Williams, M.D.</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5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159,925</w:t>
            </w:r>
          </w:p>
        </w:tc>
        <w:tc>
          <w:tcPr>
            <w:tcW w:w="4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right="20" w:hanging="424"/>
        <w:spacing w:after="0" w:line="253"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reflects the aggregate grant date fair value of option awards granted to the directors in the applicable fiscal year, computed in accordance with Financial Accounting Standards Board (FASB), Accounting Standards Codification Topic 718 (ASC 718). See Note 8 to our financial statements for the year ended December 31, 2022 included in our Annual Report on Form 10-K for the year ended December 31, 2022 filed with the SEC on March 8, 2023 for a discussion of the assumptions made by us in determining the grant date fair value of our equity awards. Our directors will only realize compensation to the extent the trading price of our common stock is greater than the exercise price of such stock options.</w:t>
      </w:r>
    </w:p>
    <w:p>
      <w:pPr>
        <w:spacing w:after="0" w:line="5" w:lineRule="exact"/>
        <w:rPr>
          <w:rFonts w:ascii="Times New Roman" w:cs="Times New Roman" w:eastAsia="Times New Roman" w:hAnsi="Times New Roman"/>
          <w:sz w:val="18"/>
          <w:szCs w:val="18"/>
          <w:color w:val="auto"/>
        </w:rPr>
      </w:pPr>
    </w:p>
    <w:p>
      <w:pPr>
        <w:jc w:val="both"/>
        <w:ind w:left="540" w:right="260" w:hanging="424"/>
        <w:spacing w:after="0" w:line="250"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subject to all stock options held by each of our current non-employee directors as of December 31, 2022, is as follows: Ms. Burroughs—40,000; Dr. Chen—44,727; Dr. Goeddel—39,727; Dr. Lee—58,664; Ms. Parschauer—39,495 Dr. Stehman-Breen— 61,602; Dr. Srivastava—77,227; Mr. Walsh—79,727; and Dr. Williams—39,727.</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Amy Burroughs, M.B.A., joined our board of directors on December 5, 2022</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 Casdin, M.B.A., resigned from our board of directors on December 5, 2022.</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disclosed includes $75,000 paid pursuant to our consulting agreement with Dr. Srivastava.</w:t>
      </w:r>
    </w:p>
    <w:p>
      <w:pPr>
        <w:spacing w:after="0" w:line="9" w:lineRule="exact"/>
        <w:rPr>
          <w:rFonts w:ascii="Times New Roman" w:cs="Times New Roman" w:eastAsia="Times New Roman" w:hAnsi="Times New Roman"/>
          <w:sz w:val="18"/>
          <w:szCs w:val="18"/>
          <w:color w:val="auto"/>
        </w:rPr>
      </w:pPr>
    </w:p>
    <w:p>
      <w:pPr>
        <w:ind w:left="540" w:right="360" w:hanging="424"/>
        <w:spacing w:after="0" w:line="260"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disclosed includes the one-time supplemental option grant of 20,000 shares of common stock to Ms. Parschauer on September 8, 2022.</w:t>
      </w:r>
    </w:p>
    <w:p>
      <w:pPr>
        <w:spacing w:after="0" w:line="1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55"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ELECTION OF CLASS II DIRECTORS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board of directors currently consists of ten members. In accordance with our Amended and Restated Certificate of Incorporation, our board of directors is divided into three classes with staggered three-year terms. At the annual meeting, three Class II directors will be elected for a three-year term to succeed the same class whose term is then expiring. Each director’s term continues until the expiration of the term for which such director was elected and until such director’s successor is elected and qualified or until such director’s earlier death, resignation or removal.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Our corporate governance and nominating committee has recommended, and our board of directors has approved, Amy Burroughs, M.B.A., Jin-Long Chen, Ph.D. and Catherine Stehman-Breen, M.D., as nominees for election as Class II directors at the annual meeting. If elected, each of Drs. Chen and Stehman-Breen and Ms. Burroughs will serve as a Class II director until the 2026 annual meeting of stockholders and until his or her respective successor is elected and qualified or until his or her earlier death, resignation or removal. For more information concerning the nominees, please see the section titled “</w:t>
      </w:r>
      <w:r>
        <w:rPr>
          <w:rFonts w:ascii="Times New Roman" w:cs="Times New Roman" w:eastAsia="Times New Roman" w:hAnsi="Times New Roman"/>
          <w:sz w:val="18"/>
          <w:szCs w:val="18"/>
          <w:i w:val="1"/>
          <w:iCs w:val="1"/>
          <w:color w:val="auto"/>
        </w:rPr>
        <w:t>Board of Directors and Corporate Governance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Each of Drs. Chen and Stehman-Breen and Ms. Burroughs have agreed to serve as directors if elected, and management has no reason to believe that they will be unavailable to serve. In the event a nominee is unable or declines to serve as a director at the time of the annual meeting, proxies will be voted for any nominee designated by the present board of directors to fill the vacancy.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Each director is elected by a plurality of the voting power of the shares present in person (including virtually) or represented by proxy at the meeting and entitled to vote on the election of directors. Because the outcome of this proposal will be determined by a plurality vote, any shares not voted FOR a particular nominee, whether as a result of choosing to WITHHOLD authority to vote or a broker non-vote, will have no effect on the outcome of the election.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jc w:val="center"/>
        <w:ind w:left="460"/>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RECOMMENDS A VOTE “FOR” THE ELECTION OF EACH OF THE DIRECTOR NOMINEES NAMED ABOVE.</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RATIFICATION OF APPOINTMENT OF</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Our audit committee has appointed Deloitte &amp; Touche LLP as our independent registered public accounting firm to audit our financial statements for our fiscal year ending December 31, 2023. Deloitte &amp; Touche LLP served as our independent registered public accounting firm for the fiscal year ended December 31, 2022.</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At the annual meeting, we are asking our stockholders to ratify the appointment of Deloitte &amp; Touche LLP as our independent registered public accounting firm for our fiscal year ending December 31, 2023. Our audit committee is submitting the appointment of Deloitte &amp; Touche LLP to our stockholders because we value our stockholders’ views on our independent registered public accounting firm and as a matter of good corporate governance. Notwithstanding the appointment of Deloitte &amp; Touche LLP,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If our stockholders do not ratify the appointment of Deloitte &amp; Touche LLP, then our audit committee may reconsider the appointment. One or more representatives of Deloitte &amp; Touche LLP are expected to be present at the annual meeting, and they will have an opportunity to make a statement and are expected to be available to respond to appropriate questions from our stockholders.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Paid to the Independent Registered Public Accounting Firm</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following table presents fees for professional audit services and other services rendered to us by Deloitte &amp; Touche LLP for our fiscal years ended December 31, 2022, and 2021.</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5"/>
                <w:szCs w:val="15"/>
                <w:color w:val="auto"/>
              </w:rPr>
            </w:pPr>
          </w:p>
        </w:tc>
        <w:tc>
          <w:tcPr>
            <w:tcW w:w="1140" w:type="dxa"/>
            <w:vAlign w:val="bottom"/>
            <w:gridSpan w:val="2"/>
          </w:tcPr>
          <w:p>
            <w:pPr>
              <w:jc w:val="center"/>
              <w:ind w:left="1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5"/>
                <w:szCs w:val="15"/>
                <w:color w:val="auto"/>
              </w:rPr>
            </w:pPr>
          </w:p>
        </w:tc>
      </w:tr>
      <w:tr>
        <w:trPr>
          <w:trHeight w:val="210"/>
        </w:trPr>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Fees(1)</w:t>
            </w: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$ 1,158,224</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$ 1,547,870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11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8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Fees</w:t>
            </w:r>
          </w:p>
        </w:tc>
        <w:tc>
          <w:tcPr>
            <w:tcW w:w="11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rPr>
              <w:t>$ 1,158,224</w:t>
            </w:r>
          </w:p>
        </w:tc>
        <w:tc>
          <w:tcPr>
            <w:tcW w:w="1200" w:type="dxa"/>
            <w:vAlign w:val="bottom"/>
            <w:gridSpan w:val="3"/>
            <w:shd w:val="clear" w:color="auto" w:fill="CCEEFF"/>
          </w:tcPr>
          <w:p>
            <w:pPr>
              <w:jc w:val="center"/>
              <w:ind w:left="139"/>
              <w:spacing w:after="0"/>
              <w:rPr>
                <w:sz w:val="20"/>
                <w:szCs w:val="20"/>
                <w:color w:val="auto"/>
              </w:rPr>
            </w:pPr>
            <w:r>
              <w:rPr>
                <w:rFonts w:ascii="Times New Roman" w:cs="Times New Roman" w:eastAsia="Times New Roman" w:hAnsi="Times New Roman"/>
                <w:sz w:val="18"/>
                <w:szCs w:val="18"/>
                <w:color w:val="auto"/>
              </w:rPr>
              <w:t>$ 1,547,870</w:t>
            </w:r>
          </w:p>
        </w:tc>
      </w:tr>
      <w:tr>
        <w:trPr>
          <w:trHeight w:val="20"/>
        </w:trPr>
        <w:tc>
          <w:tcPr>
            <w:tcW w:w="60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right="240" w:hanging="424"/>
        <w:spacing w:after="0" w:line="258"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billed for professional services rendered for the audit of our consolidated financial statements and review of the interim financial statements included in quarterly reports and services that are normally provided by Deloitte &amp; Touche LLP in connection with statutory and regulatory filings and other engagements such as consents and review of documents filed with the SEC. The fees for 2021 include services associated with the filing of our S-1 and initial public offering in August 2021. The fees for 2022 include services associated with the filing of our S-3 in August 2022 and our public offering in November 2022.</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Auditor Independence</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In 2022, there were no other professional services provided by Deloitte &amp; Touche LLP, other than those listed above, that would have required our audit committee to consider their compatibility with maintaining the independence of Deloitte &amp; Touche LLP.</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 Policy on Pre-Approval of Audit and Permissible Non-Audit Services of Independent Registered Public Accounting Firm</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Our audit committee has established a policy governing our use of the services of our independent registered public accounting firm. Under this policy, our audit committee is required to pre-approve all services performed by our independent registered public accounting firm in order to ensure that the provision of such services does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920"/>
        <w:spacing w:after="0" w:line="282" w:lineRule="auto"/>
        <w:rPr>
          <w:sz w:val="20"/>
          <w:szCs w:val="20"/>
          <w:color w:val="auto"/>
        </w:rPr>
      </w:pPr>
      <w:r>
        <w:rPr>
          <w:rFonts w:ascii="Times New Roman" w:cs="Times New Roman" w:eastAsia="Times New Roman" w:hAnsi="Times New Roman"/>
          <w:sz w:val="18"/>
          <w:szCs w:val="18"/>
          <w:color w:val="auto"/>
        </w:rPr>
        <w:t>not impair such accounting firm’s independence. All fees paid to Deloitte &amp; Touche LLP for our fiscal year ended December 31, 2022, were pre-approved by our audit committee.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ratification of the appointment of Deloitte &amp; Touche LLP as our independent registered public accounting firm for our fiscal year ending</w:t>
      </w:r>
    </w:p>
    <w:p>
      <w:pPr>
        <w:spacing w:after="0" w:line="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December 31, 2023, requires the affirmative vote of a majority of the voting power of the shares present in person (including virtually) or represented by proxy at the annual meeting and entitled to vote thereon. Abstentions will have the same effect as a vote AGAINST this proposal. Because this is a routine proposal, your broker, bank or other nominee will have discretion to vote your shares on this routine matter. See “</w:t>
      </w:r>
      <w:r>
        <w:rPr>
          <w:rFonts w:ascii="Times New Roman" w:cs="Times New Roman" w:eastAsia="Times New Roman" w:hAnsi="Times New Roman"/>
          <w:sz w:val="18"/>
          <w:szCs w:val="18"/>
          <w:i w:val="1"/>
          <w:iCs w:val="1"/>
          <w:color w:val="auto"/>
        </w:rPr>
        <w:t>What if I do not specify how my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 are to be voted or fail to provide timely directions to my broker, bank or other nominee?</w:t>
      </w:r>
      <w:r>
        <w:rPr>
          <w:rFonts w:ascii="Times New Roman" w:cs="Times New Roman" w:eastAsia="Times New Roman" w:hAnsi="Times New Roman"/>
          <w:sz w:val="18"/>
          <w:szCs w:val="18"/>
          <w:color w:val="auto"/>
        </w:rPr>
        <w:t>” above. Therefore, we do not expect any broker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non-votes on this proposal.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jc w:val="center"/>
        <w:ind w:left="420" w:right="220"/>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RECOMMENDS A VOTE “FOR” THE RATIFICATION OF THE APPOINTMENT OF DELOITTE &amp; TOUCHE LLP AS OUR INDEPENDENT REGISTERED PUBLIC ACCOUNTING FIRM FOR OUR FISCAL YEAR ENDING DECEMBER 31, 2023.</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4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225" w:lineRule="exact"/>
        <w:rPr>
          <w:sz w:val="20"/>
          <w:szCs w:val="20"/>
          <w:color w:val="auto"/>
        </w:rPr>
      </w:pPr>
    </w:p>
    <w:p>
      <w:pPr>
        <w:jc w:val="center"/>
        <w:ind w:left="500" w:right="100"/>
        <w:spacing w:after="0" w:line="286" w:lineRule="auto"/>
        <w:rPr>
          <w:sz w:val="20"/>
          <w:szCs w:val="20"/>
          <w:color w:val="auto"/>
        </w:rPr>
      </w:pPr>
      <w:r>
        <w:rPr>
          <w:rFonts w:ascii="Times New Roman" w:cs="Times New Roman" w:eastAsia="Times New Roman" w:hAnsi="Times New Roman"/>
          <w:sz w:val="18"/>
          <w:szCs w:val="18"/>
          <w:b w:val="1"/>
          <w:bCs w:val="1"/>
          <w:color w:val="auto"/>
        </w:rPr>
        <w:t>AMENDMENT OF OUR AMENDED AND RESTATED CERTIFICATE OF INCORPORATION TO REFLECT RECENTLY ADOPTED DELAWARE LAW PROVISIONS REGARDING OFFICER EXCULPATION</w:t>
      </w:r>
    </w:p>
    <w:p>
      <w:pPr>
        <w:spacing w:after="0" w:line="15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Effective August 2022, the State of Delaware, which is the Company’s state of incorporation, enacted legislation that enables Delaware corporations to limit the liability of certain of their officers in limited circumstances. In light of this update in the law, we are proposing to amend our Amended and Restated Certificate of Incorporation to exculpate certain of the Company’s officers from liability in specific circumstances, as permitted by Delaware law. The Delaware statute only permits exculpation for direct claims (and not for derivative claims made by stockholders on behalf of the corporation) and would not apply to breaches of the duty of loyalty, acts or omissions not in good faith or that involve intentional misconduct or a knowing violation of law, or any transaction in which the officer derived an improper personal benefit.</w:t>
      </w:r>
    </w:p>
    <w:p>
      <w:pPr>
        <w:spacing w:after="0" w:line="187" w:lineRule="exact"/>
        <w:rPr>
          <w:sz w:val="20"/>
          <w:szCs w:val="20"/>
          <w:color w:val="auto"/>
        </w:rPr>
      </w:pPr>
    </w:p>
    <w:p>
      <w:pPr>
        <w:ind w:left="120" w:right="240"/>
        <w:spacing w:after="0" w:line="255" w:lineRule="auto"/>
        <w:rPr>
          <w:sz w:val="20"/>
          <w:szCs w:val="20"/>
          <w:color w:val="auto"/>
        </w:rPr>
      </w:pPr>
      <w:r>
        <w:rPr>
          <w:rFonts w:ascii="Times New Roman" w:cs="Times New Roman" w:eastAsia="Times New Roman" w:hAnsi="Times New Roman"/>
          <w:sz w:val="18"/>
          <w:szCs w:val="18"/>
          <w:color w:val="auto"/>
        </w:rPr>
        <w:t>Our proposed amendment would only permit exculpation to the extent permitted under Delaware law. After considering the benefits and the consequences of these updates, our board of directors believes amending our Amended and Restated Certificate of Incorporation to provide for such exculpation ameliorates the inconsistent treatment of officers and directors under Delaware law notwithstanding that both officers and directors have similar fiduciary duties. Our board of directors also believes this proposed amendment will strike a balance between stockholders’ interest in accountability and their interest in the Company being able to attract and retain quality officers to work on its behalf. Further, our board of directors considered the extent of exculpation provided under the law and, accordingly, under our proposed amendment, and believes that it is reasonable and does not unduly impact stockholder rights.</w:t>
      </w:r>
    </w:p>
    <w:p>
      <w:pPr>
        <w:spacing w:after="0" w:line="18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Therefore, taking into account the narrow class and type of claims for which officers’ liability would be exculpated, and the benefits our board of directors believes would accrue to the Company and its stockholders in the form of an enhanced ability to attract and retain talented officers, our board of directors has unanimously approved the amendment of our Amended and Restated Certificate of Incorporation, which amendment is subject to stockholders’ approval. Our board of directors has unanimously determined that it is advisable and in the best interests of the Company and our stockholders to amend our Amended and Restated Certificate of Incorporation to provide such exculpation to the extent permitted by Delaware law, and in accordance with Delaware law, hereby seeks approval of the amendment of our Amended and Restated Certificate of Incorporation to reflect recently adopted Delaware law provisions regarding officer exculpation.</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Accordingly, we ask our stockholders to vote on the following resolution:</w:t>
      </w:r>
    </w:p>
    <w:p>
      <w:pPr>
        <w:spacing w:after="0" w:line="221"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Company’s stockholders approve an amendment to the Company’s Amended and Restated Certificate of Incorporation to amend and restate Section 1 of Article IX in its entirety to read as follows:</w:t>
      </w:r>
    </w:p>
    <w:p>
      <w:pPr>
        <w:spacing w:after="0" w:line="37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Section 1. To the fullest extent permitted by the DGCL as the same exists or as may hereafter be amended from time to time, a director or officer of the Company shall not be personally liable to the Company or its stockholders for monetary damages for breach of fiduciary duty as a director or officer. If the DGCL is amended to authorize corporate action further eliminating or limiting the personal liability of directors or officers, then the liability of a director or officer of the Company shall be eliminated or limited to the fullest extent permitted by the DGCL, as so amended.”</w:t>
      </w:r>
    </w:p>
    <w:p>
      <w:pPr>
        <w:spacing w:after="0" w:line="180"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In order to effect the amendment to the Company’s Amended and Restated Certificate of Incorporation to reflect Delaware law provisions regarding officer exculpation, if approved by the stockholders, the Company would then file the Certificate of Amendment to the Amended and Restated Certificate of Incorporation. Our board of</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60"/>
          </w:cols>
          <w:pgMar w:left="320" w:top="455" w:right="5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directors may elect to abandon the amendment without further action by the stockholders at any time prior to the effectiveness of such filing with the Secretary of State of the State of Delaware, notwithstanding stockholder approval of this Proposal.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approval of an amendment to our Amended and Restated Certificate of Incorporation to reflect recently adopted Delaware law provisions regarding officer exculpation requires the affirmative vote of a majority of the voting power of the outstanding shares of capital stock of the Company entitled to vote thereon. Abstentions and broker non-votes will have the same effect as a vote AGAINST this proposal. Your failure to vote or instruct your broker or bank how to vote will have the same effect as voting “AGAINST” this proposal.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jc w:val="center"/>
        <w:ind w:left="500" w:right="40"/>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RECOMMENDS A VOTE “FOR” THE APPROVAL OF THE AMENDMENT OF OUR AMENDED AND RESTATED CERTIFICATE OF INCORPORATION TO REFLECT RECENTLY ADOPTED DELAWARE LAW PROVISIONS REGARDING OFFICER EXCULPATION.</w:t>
      </w:r>
    </w:p>
    <w:p>
      <w:pPr>
        <w:spacing w:after="0" w:line="1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60"/>
          </w:cols>
          <w:pgMar w:left="320" w:top="455" w:right="5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audit committee is a committee of the board of directors comprised solely of independent directors as required by the listing standards of the Nasdaq Stock Market LLC and the rules and regulations of the Securities and Exchange Commission (the SEC). The composition of the audit committee, the attributes of its members and the responsibilities of the audit committee, as reflected in its charter, are intended to be in accordance with applicable requirements for corporate audit committees. The audit committee operates under a written charter approved by the board of directors. The audit committee reviews and assesses the adequacy of its charter and the audit committee’s performance on an annual basis.</w:t>
      </w:r>
    </w:p>
    <w:p>
      <w:pPr>
        <w:spacing w:after="0" w:line="183"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With respect to the Company’s financial reporting process, the Company’s management is responsible for (1) establishing and maintaining internal controls and (2) preparing the Company’s financial statements. The Company’s independent registered public accounting firm, Deloitte &amp; Touche LLP (Deloitte), is responsible for performing an independent audit of the Company’s financial statements. It is the responsibility of the audit committee to oversee these activities. It is not the responsibility of the audit committee to prepare the Company’s financial statements. These are the fundamental responsibilities of management.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performance of its oversight function, the audit committee has:</w:t>
      </w:r>
    </w:p>
    <w:p>
      <w:pPr>
        <w:spacing w:after="0" w:line="252"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the audited financial statements with management and Deloitte;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Deloitte the matters required to be discussed by the applicable requirements of the Public Company Accounting Oversight Board (PCAOB) and the SEC;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the written disclosures and the letter from Deloitte required by applicable requirements of the PCAOB regarding the independent accountant’s communications with the audit committee concerning independence and has discussed with Deloitte its independence.</w:t>
      </w:r>
    </w:p>
    <w:p>
      <w:pPr>
        <w:spacing w:after="0" w:line="162"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Based on the audit committee’s review and discussions with management and Deloitte, the audit committee recommended to the board of directors that the audited financial statements be included in the Company’s Annual Report on Form 10-K for the fiscal year ended December 31, 2022 for filing with the SEC.</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Respectfully submitted by the members of the audit committee of the board of directors: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Jeffrey T. Walsh (Chair)</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Amy Burroughs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Karah Parschauer</w:t>
      </w:r>
    </w:p>
    <w:p>
      <w:pPr>
        <w:spacing w:after="0" w:line="11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i w:val="1"/>
          <w:iCs w:val="1"/>
          <w:color w:val="auto"/>
        </w:rPr>
        <w:t>This audit committee report shall not be deemed to be “soliciting material” or to be “filed” with the SEC or subject to Regulation 14A promulgated by the SEC or to the liabilities of Section 18 of the Exchange Act, and shall not be deemed incorporated by reference into any prior or subsequent filing by the Company under the Securities Act of 1933, as amended, or the Exchange Act, except to the extent the Company specifically requests that the information be treated as “soliciting material” or specifically incorporates it by reference.</w:t>
      </w:r>
    </w:p>
    <w:p>
      <w:pPr>
        <w:spacing w:after="0" w:line="1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60"/>
          </w:cols>
          <w:pgMar w:left="320" w:top="455" w:right="5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certain information about our executive officers as of March 31, 2023.</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87"/>
        </w:trPr>
        <w:tc>
          <w:tcPr>
            <w:tcW w:w="5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4440" w:type="dxa"/>
            <w:vAlign w:val="bottom"/>
          </w:tcPr>
          <w:p>
            <w:pPr>
              <w:ind w:left="19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9"/>
        </w:trPr>
        <w:tc>
          <w:tcPr>
            <w:tcW w:w="4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Faraz Ali, M.B.A.</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tcBorders>
              <w:top w:val="single" w:sz="8" w:color="CCEEFF"/>
            </w:tcBorders>
            <w:shd w:val="clear" w:color="auto" w:fill="CCEEFF"/>
          </w:tcPr>
          <w:p>
            <w:pPr>
              <w:spacing w:after="0"/>
              <w:rPr>
                <w:sz w:val="18"/>
                <w:szCs w:val="18"/>
                <w:color w:val="auto"/>
              </w:rPr>
            </w:pPr>
          </w:p>
        </w:tc>
        <w:tc>
          <w:tcPr>
            <w:tcW w:w="4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Leone D. Patterson, M.B.A.</w:t>
            </w: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60</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and Business Officer</w:t>
            </w:r>
          </w:p>
        </w:tc>
      </w:tr>
      <w:tr>
        <w:trPr>
          <w:trHeight w:val="216"/>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Hoey, Ph.D.</w:t>
            </w:r>
          </w:p>
        </w:tc>
        <w:tc>
          <w:tcPr>
            <w:tcW w:w="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64</w:t>
            </w: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Scientific Officer</w:t>
            </w:r>
          </w:p>
        </w:tc>
      </w:tr>
      <w:tr>
        <w:trPr>
          <w:trHeight w:val="234"/>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Whittemore (Whit) Tingley, M.D., Ph.D.</w:t>
            </w: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55</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Medical Officer</w:t>
            </w:r>
          </w:p>
        </w:tc>
      </w:tr>
    </w:tbl>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biography of Mr. Ali, please see “</w:t>
      </w:r>
      <w:r>
        <w:rPr>
          <w:rFonts w:ascii="Times New Roman" w:cs="Times New Roman" w:eastAsia="Times New Roman" w:hAnsi="Times New Roman"/>
          <w:sz w:val="18"/>
          <w:szCs w:val="18"/>
          <w:i w:val="1"/>
          <w:iCs w:val="1"/>
          <w:color w:val="auto"/>
        </w:rPr>
        <w:t>Board of Directors and Corporate Governance—Continuing Directors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Leone D. Patterson, M.B.A.</w:t>
      </w:r>
      <w:r>
        <w:rPr>
          <w:rFonts w:ascii="Times New Roman" w:cs="Times New Roman" w:eastAsia="Times New Roman" w:hAnsi="Times New Roman"/>
          <w:sz w:val="18"/>
          <w:szCs w:val="18"/>
          <w:color w:val="auto"/>
        </w:rPr>
        <w:t>, began serving as our Chief Financial and Business Officer in June 2021. Prior to joining us, Ms. Patterson joined Adverum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Biotechnologies, Inc., a public clinical-stage gene therapy company, in June 2016 as the Chief Financial Officer and also served as Chief Executive Officer from May 2018 to June 2020, director from October 2018 to June 2020, and President from December 2019 to June 2021. Ms. Patterson has held various senior positions at Diadexus, Inc., Transcept Pharmaceuticals, Inc., NetApp, Inc., Exelixis, Inc., Novartis AG, Chiron (acquired by Novartis AG), and KPMG. Ms. Patterson currently serves on the board of directors and as the Chair of the audit committee of Nkarta, Inc. a publicly traded biotechnology company. She previously served as a member of the board of directors of Eliem Therapeutics, Inc., a publicly traded biotechnology company. Ms. Patterson holds a B.S. in Business Administration and Accounting from Chapman University and an Executive M.B.A. from St. Mary’s College. Ms. Patterson is also a Certified Public Accountant (inactive status).</w:t>
      </w:r>
    </w:p>
    <w:p>
      <w:pPr>
        <w:spacing w:after="0" w:line="185" w:lineRule="exact"/>
        <w:rPr>
          <w:sz w:val="20"/>
          <w:szCs w:val="20"/>
          <w:color w:val="auto"/>
        </w:rPr>
      </w:pPr>
    </w:p>
    <w:p>
      <w:pPr>
        <w:ind w:left="120"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Timothy Hoey, Ph.D.</w:t>
      </w:r>
      <w:r>
        <w:rPr>
          <w:rFonts w:ascii="Times New Roman" w:cs="Times New Roman" w:eastAsia="Times New Roman" w:hAnsi="Times New Roman"/>
          <w:sz w:val="18"/>
          <w:szCs w:val="18"/>
          <w:color w:val="auto"/>
        </w:rPr>
        <w:t>, has served as our Chief Scientific Officer since August 2017. From 2005 to June 2017, he held various roles at OncoMed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Pharmaceuticals, a public biotechnology company (acquired by Mereo BioPharma Group), including as the Senior Vice-President, Cancer Biology and co-Chief Scientific Officer from January 2016 to June 2017. From 1993 to 2005, Dr. Hoey served in various roles at Tularik, including as Director, Biology Department at both Tularik and Amgen. Dr. Hoey received a B.S. in Biology from the University of Michigan and a Ph.D. in Biological Sciences from Columbia University.</w:t>
      </w:r>
    </w:p>
    <w:p>
      <w:pPr>
        <w:spacing w:after="0" w:line="17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Whittemore (Whit) Tingley, M.D., Ph.D.</w:t>
      </w:r>
      <w:r>
        <w:rPr>
          <w:rFonts w:ascii="Times New Roman" w:cs="Times New Roman" w:eastAsia="Times New Roman" w:hAnsi="Times New Roman"/>
          <w:sz w:val="18"/>
          <w:szCs w:val="18"/>
          <w:color w:val="auto"/>
        </w:rPr>
        <w:t>, has served as our Chief Medical Officer since December 2018. Before joining us, he served as the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of Clinical Research, Cardiology, at Cytokinetics, a publicly traded biotechnology company, from September 2017 to December 2018. From 2009 to September 2017, Dr. Tingley held various medical director and group medical director roles at Genentech. Before that, Dr. Tingley was adjunct assistant professor of medicine in the cardiology division at the University of California, San Francisco (UCSF), and was an attending cardiologist in the UCSF Cardiology Faculty Practice. Dr. Tingley earned a B.A. degree from Brown University and an M.D. and a Ph.D. from the Johns Hopkins University School of Medicine. He completed internship and residency programs at the Johns Hopkins Hospital, a cardiology fellowship at UCSF and post-doctoral research at Gladstone Institutes.</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Processes and Procedures for Compensation Decisions</w:t>
      </w:r>
    </w:p>
    <w:p>
      <w:pPr>
        <w:spacing w:after="0" w:line="12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Our compensation committee is responsible for the executive compensation programs for our executive officers and reports to our board of directors on its discussions, decisions and other actions. Typically, our chief executive officer makes recommendations to our compensation committee, often attends committee meetings and is involved in the determination of compensation for the respective executive officers who report to him, except that the chief executive officer does not make recommendations as to his own compensation. Our chief executive officer makes recommendations to our compensation committee regarding short- and long-term incentive compensation for all executive officers (other than himself) based on our results, an individual executive officer’s contribution toward these results and performance toward individual goal achievement. Our compensation committee then reviews the recommendations and other data furnished by its independent compensation consultant. Our compensation committee makes decisions as to total compensation for each executive officer other than the chief executive officer, although it may instead, in its discretion, make recommendations to our board of directors regarding executive compensation for its approval. Our compensation committee makes recommendations to our board of directors regarding our chief executive officer’s compensation and our board of directors makes decisions as to such compensation.</w:t>
      </w:r>
    </w:p>
    <w:p>
      <w:pPr>
        <w:spacing w:after="0" w:line="194"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color w:val="auto"/>
        </w:rPr>
        <w:t>Our compensation committee is authorized to retain the services of one or more executive compensation advisors, as it sees fit, in connection with the establishment of our compensation programs and related policies. In 2022, our compensation committee retained Compensia, a national compensation consultant, to provide it with information, recommendations and other advice relating to executive compensation on an ongoing basis. Compensia served at the discretion of our compensation committee. As part of its engagement, Compensia assisted our compensation committee in developing a group of peer companies to help us determine the appropriate level of overall compensation for our executive officers, as well as assess each separate element of compensation, with a goal of ensuring that the compensation we offer to our executive officers is competitive and fair. Beginning in August 2022, the compensation committee retained Pearl Meyer, an independent compensation and leadership consulting firm, to succeed Compensia as the compensation committee’s external compensation consultant with respect to executive and non-employee director compensation matters.</w:t>
      </w:r>
    </w:p>
    <w:p>
      <w:pPr>
        <w:spacing w:after="0" w:line="192"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Our named executive officers, consisting of our principal executive officer and the two most highly compensated executive officers (other than our principal executive officer), as of December 31, 2022, were:</w:t>
      </w:r>
    </w:p>
    <w:p>
      <w:pPr>
        <w:spacing w:after="0" w:line="67"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Faraz Ali, M.B.A., our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Whittemore (Whit) Tingley, M.D., Ph.D., our Chief Medical Officer;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Timothy Hoey, Ph.D., our Chief Scientific Officer.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reportable for our named executive officers for the years ended December 31, 2022, and 2021.</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00" w:type="dxa"/>
            <w:vAlign w:val="bottom"/>
            <w:gridSpan w:val="2"/>
            <w:vMerge w:val="continue"/>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6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7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20" w:type="dxa"/>
            <w:vAlign w:val="bottom"/>
            <w:gridSpan w:val="2"/>
            <w:vMerge w:val="continue"/>
          </w:tcPr>
          <w:p>
            <w:pPr>
              <w:spacing w:after="0"/>
              <w:rPr>
                <w:sz w:val="12"/>
                <w:szCs w:val="12"/>
                <w:color w:val="auto"/>
              </w:rPr>
            </w:pPr>
          </w:p>
        </w:tc>
        <w:tc>
          <w:tcPr>
            <w:tcW w:w="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6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6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64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($)(1)</w:t>
            </w:r>
          </w:p>
        </w:tc>
        <w:tc>
          <w:tcPr>
            <w:tcW w:w="22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220" w:type="dxa"/>
            <w:vAlign w:val="bottom"/>
          </w:tcPr>
          <w:p>
            <w:pPr>
              <w:spacing w:after="0"/>
              <w:rPr>
                <w:sz w:val="15"/>
                <w:szCs w:val="15"/>
                <w:color w:val="auto"/>
              </w:rPr>
            </w:pPr>
          </w:p>
        </w:tc>
        <w:tc>
          <w:tcPr>
            <w:tcW w:w="8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($)(3)</w:t>
            </w:r>
          </w:p>
        </w:tc>
        <w:tc>
          <w:tcPr>
            <w:tcW w:w="2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7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Faraz Ali, M.B.A.</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2022</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571,459</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4,751,013</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242,700</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5,567,400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2021</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493,750</w:t>
            </w:r>
          </w:p>
        </w:tc>
        <w:tc>
          <w:tcPr>
            <w:tcW w:w="6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4,259,989</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216,120</w:t>
            </w:r>
          </w:p>
        </w:tc>
        <w:tc>
          <w:tcPr>
            <w:tcW w:w="11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896</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4,970,756</w:t>
            </w:r>
          </w:p>
        </w:tc>
        <w:tc>
          <w:tcPr>
            <w:tcW w:w="0" w:type="dxa"/>
            <w:vAlign w:val="bottom"/>
          </w:tcPr>
          <w:p>
            <w:pPr>
              <w:spacing w:after="0"/>
              <w:rPr>
                <w:sz w:val="1"/>
                <w:szCs w:val="1"/>
                <w:color w:val="auto"/>
              </w:rPr>
            </w:pPr>
          </w:p>
        </w:tc>
      </w:tr>
      <w:tr>
        <w:trPr>
          <w:trHeight w:val="198"/>
        </w:trPr>
        <w:tc>
          <w:tcPr>
            <w:tcW w:w="2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Timothy Hoey, Ph.D.</w:t>
            </w:r>
          </w:p>
        </w:tc>
        <w:tc>
          <w:tcPr>
            <w:tcW w:w="800" w:type="dxa"/>
            <w:vAlign w:val="bottom"/>
            <w:gridSpan w:val="3"/>
          </w:tcPr>
          <w:p>
            <w:pPr>
              <w:ind w:left="220"/>
              <w:spacing w:after="0" w:line="198" w:lineRule="exact"/>
              <w:rPr>
                <w:sz w:val="20"/>
                <w:szCs w:val="20"/>
                <w:color w:val="auto"/>
              </w:rPr>
            </w:pPr>
            <w:r>
              <w:rPr>
                <w:rFonts w:ascii="Times New Roman" w:cs="Times New Roman" w:eastAsia="Times New Roman" w:hAnsi="Times New Roman"/>
                <w:sz w:val="18"/>
                <w:szCs w:val="18"/>
                <w:color w:val="auto"/>
              </w:rPr>
              <w:t>2022</w:t>
            </w:r>
          </w:p>
        </w:tc>
        <w:tc>
          <w:tcPr>
            <w:tcW w:w="86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420,459</w:t>
            </w:r>
          </w:p>
        </w:tc>
        <w:tc>
          <w:tcPr>
            <w:tcW w:w="600" w:type="dxa"/>
            <w:vAlign w:val="bottom"/>
            <w:gridSpan w:val="2"/>
          </w:tcPr>
          <w:p>
            <w:pPr>
              <w:jc w:val="center"/>
              <w:ind w:right="180"/>
              <w:spacing w:after="0" w:line="198" w:lineRule="exact"/>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1,988,515</w:t>
            </w:r>
          </w:p>
        </w:tc>
        <w:tc>
          <w:tcPr>
            <w:tcW w:w="110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147,000</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5,544</w:t>
            </w:r>
          </w:p>
        </w:tc>
        <w:tc>
          <w:tcPr>
            <w:tcW w:w="84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2,561,519</w:t>
            </w: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p>
        </w:tc>
        <w:tc>
          <w:tcPr>
            <w:tcW w:w="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2021</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387,083</w:t>
            </w: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93,996</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134,000</w:t>
            </w:r>
          </w:p>
        </w:tc>
        <w:tc>
          <w:tcPr>
            <w:tcW w:w="11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4,227</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619,307</w:t>
            </w:r>
          </w:p>
        </w:tc>
        <w:tc>
          <w:tcPr>
            <w:tcW w:w="0" w:type="dxa"/>
            <w:vAlign w:val="bottom"/>
          </w:tcPr>
          <w:p>
            <w:pPr>
              <w:spacing w:after="0"/>
              <w:rPr>
                <w:sz w:val="1"/>
                <w:szCs w:val="1"/>
                <w:color w:val="auto"/>
              </w:rPr>
            </w:pPr>
          </w:p>
        </w:tc>
      </w:tr>
      <w:tr>
        <w:trPr>
          <w:trHeight w:val="198"/>
        </w:trPr>
        <w:tc>
          <w:tcPr>
            <w:tcW w:w="2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Whittemore (Whit) Tingley, M.D.,</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Ph.D.</w:t>
            </w:r>
          </w:p>
        </w:tc>
        <w:tc>
          <w:tcPr>
            <w:tcW w:w="8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2022</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455,609</w:t>
            </w:r>
          </w:p>
        </w:tc>
        <w:tc>
          <w:tcPr>
            <w:tcW w:w="6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1,668,932</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162,000</w:t>
            </w: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4,366</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2,290,907</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2021</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402,947</w:t>
            </w:r>
          </w:p>
        </w:tc>
        <w:tc>
          <w:tcPr>
            <w:tcW w:w="6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1,146,080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146,000</w:t>
            </w:r>
          </w:p>
        </w:tc>
        <w:tc>
          <w:tcPr>
            <w:tcW w:w="11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1,697,258</w:t>
            </w:r>
          </w:p>
        </w:tc>
        <w:tc>
          <w:tcPr>
            <w:tcW w:w="0" w:type="dxa"/>
            <w:vAlign w:val="bottom"/>
          </w:tcPr>
          <w:p>
            <w:pPr>
              <w:spacing w:after="0"/>
              <w:rPr>
                <w:sz w:val="1"/>
                <w:szCs w:val="1"/>
                <w:color w:val="auto"/>
              </w:rPr>
            </w:pPr>
          </w:p>
        </w:tc>
      </w:tr>
      <w:tr>
        <w:trPr>
          <w:trHeight w:val="365"/>
        </w:trPr>
        <w:tc>
          <w:tcPr>
            <w:tcW w:w="2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302260</wp:posOffset>
            </wp:positionV>
            <wp:extent cx="771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hanging="424"/>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in this column represent the amount actually earned by each named executive officer for the indicated fiscal year.</w:t>
      </w:r>
    </w:p>
    <w:p>
      <w:pPr>
        <w:spacing w:after="0" w:line="27" w:lineRule="exact"/>
        <w:rPr>
          <w:rFonts w:ascii="Times New Roman" w:cs="Times New Roman" w:eastAsia="Times New Roman" w:hAnsi="Times New Roman"/>
          <w:sz w:val="18"/>
          <w:szCs w:val="18"/>
          <w:color w:val="auto"/>
        </w:rPr>
      </w:pPr>
    </w:p>
    <w:p>
      <w:pPr>
        <w:ind w:left="540" w:right="160" w:hanging="424"/>
        <w:spacing w:after="0" w:line="250"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reflects the aggregate grant date fair value of option awards granted to the officer in the applicable fiscal year, computed in accordance with FASB ASC Topic 718. See Note 8 to our financial statements for the year ended December 31, 2022, included in our Annual Report on Form 10-K for the year ended December 31, 2022, filed with the SEC on March 8, 2023, for a discussion of the assumptions made by us in determining the grant date fair value of our equity awards. Our named executive officers will only realize compensation to the extent the trading price of our common stock is greater than the exercise price of such stock options.</w:t>
      </w:r>
    </w:p>
    <w:p>
      <w:pPr>
        <w:spacing w:after="0" w:line="1" w:lineRule="exact"/>
        <w:rPr>
          <w:rFonts w:ascii="Times New Roman" w:cs="Times New Roman" w:eastAsia="Times New Roman" w:hAnsi="Times New Roman"/>
          <w:sz w:val="18"/>
          <w:szCs w:val="18"/>
          <w:color w:val="auto"/>
        </w:rPr>
      </w:pPr>
    </w:p>
    <w:p>
      <w:pPr>
        <w:ind w:left="540" w:right="140" w:hanging="424"/>
        <w:spacing w:after="0" w:line="260"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the portion of the cash bonuses awarded under our Executive Incentive Compensation Plan that was based on the compensation committee’s assessment of the achievement of pre-determined corporate goals.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of our current executive officers has executed our standard form of confidential information, invention assignment and arbitration agreement.</w:t>
      </w:r>
    </w:p>
    <w:p>
      <w:pPr>
        <w:spacing w:after="0" w:line="225"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We have entered into an employment offer letter agreement with each of our executive officers in connection with his or her employment with us. These offer letters provide for “at will” employment.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Faraz Ali, M.B.A.</w:t>
      </w:r>
    </w:p>
    <w:p>
      <w:pPr>
        <w:spacing w:after="0" w:line="121" w:lineRule="exact"/>
        <w:rPr>
          <w:sz w:val="20"/>
          <w:szCs w:val="20"/>
          <w:color w:val="auto"/>
        </w:rPr>
      </w:pPr>
    </w:p>
    <w:p>
      <w:pPr>
        <w:ind w:left="120" w:right="40"/>
        <w:spacing w:after="0" w:line="312" w:lineRule="auto"/>
        <w:rPr>
          <w:sz w:val="20"/>
          <w:szCs w:val="20"/>
          <w:color w:val="auto"/>
        </w:rPr>
      </w:pPr>
      <w:r>
        <w:rPr>
          <w:rFonts w:ascii="Times New Roman" w:cs="Times New Roman" w:eastAsia="Times New Roman" w:hAnsi="Times New Roman"/>
          <w:sz w:val="17"/>
          <w:szCs w:val="17"/>
          <w:color w:val="auto"/>
        </w:rPr>
        <w:t>We have entered into a confirmatory employment letter with Mr. Ali, our Chief Executive Officer. The confirmatory employment letter has no specific term and provides for at-will employment. Mr. Ali’s current annual base salary is $593,800 and his annual target bonus is 55% of his annual base salary.</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Leone D. Patterson, M.B.A.</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We have entered into an employment letter with Ms. Patterson, our Chief Financial and Business Officer. Ms. Patterson began employment in June 2021. The employment letter has no specific term and provides for at-will employment. Ms. Patterson’s current annual base salary is $455,000 and her annual target bonus is 40% of her annual base salary.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Timothy Hoey, Ph.D.</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have entered into a confirmatory employment letter with Dr. Hoey, our Chief Scientific Officer. The confirmatory employment letter has no specific term and provides for at-will employment. Dr. Hoey’s current annual base salary is $436,000 and his annual target bonus is 40% of his annual base salary.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Whittemore (Whit) Tingley, M.D., Ph.D.</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have entered into a confirmatory employment letter with Dr. Tingley, our Chief Medical Officer. The confirmatory employment letter has no specific term and provides for at-will employment. Dr. Tingley’s current annual base salary is $475,000 and his annual target bonus is 40% of his annual base salary.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Change in Control and Severance Plan</w:t>
      </w:r>
    </w:p>
    <w:p>
      <w:pPr>
        <w:spacing w:after="0" w:line="121"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Our board of directors adopted an Executive Change in Control and Severance Plan, or the Executive Severance Plan, pursuant to which our named executive officers and certain other key employees are eligible to receive severance benefits, as specified in and subject to the employee signing a participation agreement under our Executive Severance Plan. This Executive Severance Plan was developed with input from Compensia regarding severance practices at comparable companies. It is designed to attract, retain and reward senior level employees.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Executive Severance Plan will be in lieu of any other severance payments and benefits to which such key employee was entitled prior to signing the participation agreement.</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Each of our named executive officers has signed a participation agreement under our Executive Severance Plan providing for the rights to the applicable payments and benefits described below.</w:t>
      </w:r>
    </w:p>
    <w:p>
      <w:pPr>
        <w:spacing w:after="0" w:line="162"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In the event of a “qualifying termination” of the employment of a named executive officer, which generally includes a termination of employment by us for a reason other than “cause” or the named executive officer’s death or “disability” (as such terms are defined in our Executive Severance Plan), but in the case of Mr. Ali includes a termination of employment by him for “good reason” or by us for a reason other than “cause” or his death or disability, in all cases, that occurs outside the change in control period (as described below), then the named executive officer will be entitled to the following payments and benefits:</w:t>
      </w:r>
    </w:p>
    <w:p>
      <w:pPr>
        <w:spacing w:after="0" w:line="89" w:lineRule="exact"/>
        <w:rPr>
          <w:sz w:val="20"/>
          <w:szCs w:val="20"/>
          <w:color w:val="auto"/>
        </w:rPr>
      </w:pPr>
    </w:p>
    <w:p>
      <w:pPr>
        <w:ind w:left="1080" w:right="1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nine months of the named executive officer’s annual base salary as in effect immediately prior to his or her qualifying termination of employment, or twelve months in the case of Mr. Ali; and</w:t>
      </w:r>
    </w:p>
    <w:p>
      <w:pPr>
        <w:spacing w:after="0" w:line="67"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health coverage under COBRA or a lump sum payment equal to the premium cost of continued health coverage under the Consolidated Omnibus Reconciliation Act of 1985 as amended, or COBRA, for a period of twelve months.</w:t>
      </w:r>
    </w:p>
    <w:p>
      <w:pPr>
        <w:spacing w:after="0" w:line="162" w:lineRule="exact"/>
        <w:rPr>
          <w:sz w:val="20"/>
          <w:szCs w:val="20"/>
          <w:color w:val="auto"/>
        </w:rPr>
      </w:pPr>
    </w:p>
    <w:p>
      <w:pPr>
        <w:ind w:left="120" w:right="300"/>
        <w:spacing w:after="0" w:line="258" w:lineRule="auto"/>
        <w:rPr>
          <w:sz w:val="20"/>
          <w:szCs w:val="20"/>
          <w:color w:val="auto"/>
        </w:rPr>
      </w:pPr>
      <w:r>
        <w:rPr>
          <w:rFonts w:ascii="Times New Roman" w:cs="Times New Roman" w:eastAsia="Times New Roman" w:hAnsi="Times New Roman"/>
          <w:sz w:val="18"/>
          <w:szCs w:val="18"/>
          <w:color w:val="auto"/>
        </w:rPr>
        <w:t>In the event of a termination of employment by the named executive officer for “good reason” or by us for a reason other than “cause” or the named executive officer’s death or disability, in each case, within a period beginning upon and ending twelve months following a “change in control” (as defined in our Executive Severance Plan), or in the case of Mr. Ali beginning three months prior to and ending 18 months following a “change in control” (such period, in either case, the “change in control period”), then the named executive officer will be entitled to the following payments and benefits:</w:t>
      </w:r>
    </w:p>
    <w:p>
      <w:pPr>
        <w:spacing w:after="0" w:line="89" w:lineRule="exact"/>
        <w:rPr>
          <w:sz w:val="20"/>
          <w:szCs w:val="20"/>
          <w:color w:val="auto"/>
        </w:rPr>
      </w:pPr>
    </w:p>
    <w:p>
      <w:pPr>
        <w:ind w:left="1080" w:right="3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12 months of the named executive officer’s annual base salary as in effect immediately prior to his or her qualifying termination of employment;</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health coverage under COBRA or a lump sum payment equal to the cost of continued health coverage under COBRA for a period of 12 months;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accelerated vesting of all outstanding equity awards, and, with respect to equity awards with performance-based vesting, all performance goals or other vesting criteria will be deemed achieved at 100% of target levels for the relevant performance period(s); and</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Mr. Ali, a lump sum payment equal to 100% of his target annual bonus for the year in which the qualifying termination occurs.</w:t>
      </w:r>
    </w:p>
    <w:p>
      <w:pPr>
        <w:spacing w:after="0" w:line="162" w:lineRule="exact"/>
        <w:rPr>
          <w:sz w:val="20"/>
          <w:szCs w:val="20"/>
          <w:color w:val="auto"/>
        </w:rPr>
      </w:pPr>
    </w:p>
    <w:p>
      <w:pPr>
        <w:ind w:left="120"/>
        <w:spacing w:after="0" w:line="230" w:lineRule="auto"/>
        <w:rPr>
          <w:sz w:val="20"/>
          <w:szCs w:val="20"/>
          <w:color w:val="auto"/>
        </w:rPr>
      </w:pPr>
      <w:r>
        <w:rPr>
          <w:rFonts w:ascii="Times New Roman" w:cs="Times New Roman" w:eastAsia="Times New Roman" w:hAnsi="Times New Roman"/>
          <w:sz w:val="18"/>
          <w:szCs w:val="18"/>
          <w:color w:val="auto"/>
        </w:rPr>
        <w:t>The receipt of the payments and benefits provided for under the Executive Severance Plan described above is conditioned on the named executive officer signing and not revoking a separation and release of claims agreement and such release becoming effective and irrevocable no later than the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the named executive officer’s involuntary termination of employment, as well as continued compliance with the invention assignment and confidentiality agreement applicable to the named executive officer.</w:t>
      </w:r>
    </w:p>
    <w:p>
      <w:pPr>
        <w:spacing w:after="0" w:line="198"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In addition, if any of the payments or benefits provided for under the Executive Severance Plan or otherwise payable to a named executive officer would constitute “parachute payments” within the meaning of Section 280G of the Code and could be subject to the related excise tax, the named executive officer will receive either full payment of such payments and benefits or such lesser amount that would result in no portion of the payments and benefits being subject to the excise tax, whichever results in the greater amount of after-tax benefits to them. The Executive Severance Plan does not require us to provide any tax gross-up payments to the named executive officers.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Incentive Compensation Plan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board of directors adopted the Executive Incentive Compensation Plan, or the Incentive Compensation Plan, and bonuses to our named executive officers for 2022 were subject to the terms and conditions of, and were paid under this plan. Our Incentive Compensation Plan allows our compensation committee to grant incentive awards, generally payable in cash, to employees selected by our compensation committee, including our executive officers, based upon performance goals established by our compensation committee.</w:t>
      </w:r>
    </w:p>
    <w:p>
      <w:pPr>
        <w:spacing w:after="0" w:line="180" w:lineRule="exact"/>
        <w:rPr>
          <w:sz w:val="20"/>
          <w:szCs w:val="20"/>
          <w:color w:val="auto"/>
        </w:rPr>
      </w:pPr>
    </w:p>
    <w:p>
      <w:pPr>
        <w:ind w:left="120" w:right="220"/>
        <w:spacing w:after="0" w:line="256" w:lineRule="auto"/>
        <w:rPr>
          <w:sz w:val="20"/>
          <w:szCs w:val="20"/>
          <w:color w:val="auto"/>
        </w:rPr>
      </w:pPr>
      <w:r>
        <w:rPr>
          <w:rFonts w:ascii="Times New Roman" w:cs="Times New Roman" w:eastAsia="Times New Roman" w:hAnsi="Times New Roman"/>
          <w:sz w:val="18"/>
          <w:szCs w:val="18"/>
          <w:color w:val="auto"/>
        </w:rPr>
        <w:t>Under our Incentive Compensation Plan, our compensation committee will determine the performance goals, if any, applicable to any award, which goals may include, without limitation, goals related to research and development, regulatory milestones or regulatory-related goals, gross margin, financial milestones, new product or business development, operating margin, product release timelines or other product release milestones, publications, cash flow, procurement, savings, internal structure, leadership development, project, function or portfolio-specific milestones, license or research collaboration agreements, capital raising, initial public offering preparations, patentability and individual objectives such as peer reviews or other subjective or objective criteria. The performance goals may differ from participant to participant and from award to award.</w:t>
      </w:r>
    </w:p>
    <w:p>
      <w:pPr>
        <w:spacing w:after="0" w:line="187" w:lineRule="exact"/>
        <w:rPr>
          <w:sz w:val="20"/>
          <w:szCs w:val="20"/>
          <w:color w:val="auto"/>
        </w:rPr>
      </w:pPr>
    </w:p>
    <w:p>
      <w:pPr>
        <w:jc w:val="both"/>
        <w:ind w:left="120" w:right="200"/>
        <w:spacing w:after="0" w:line="258" w:lineRule="auto"/>
        <w:rPr>
          <w:sz w:val="20"/>
          <w:szCs w:val="20"/>
          <w:color w:val="auto"/>
        </w:rPr>
      </w:pPr>
      <w:r>
        <w:rPr>
          <w:rFonts w:ascii="Times New Roman" w:cs="Times New Roman" w:eastAsia="Times New Roman" w:hAnsi="Times New Roman"/>
          <w:sz w:val="18"/>
          <w:szCs w:val="18"/>
          <w:color w:val="auto"/>
        </w:rPr>
        <w:t>The compensation committee of our board of directors administers our Incentive Compensation Plan and may, in its sole discretion and at any time, increase, reduce or eliminate a participant’s actual award, and/or increase, reduce or eliminate the amount allocated to the bonus pool for a particular performance period. The actual award may be below, at or above a participant’s target award, in the discretion of the administrator. The administrator may determine the amount of any increase, reduction or elimination on the basis of such factors as it deems relevant, and it is not required to establish any allocation or weighting with respect to the factors it considers.</w:t>
      </w:r>
    </w:p>
    <w:p>
      <w:pPr>
        <w:spacing w:after="0" w:line="183"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Actual awards generally will be paid in cash (or its equivalent) only after they are earned, and, unless otherwise determined by the administrator, to earn an actual award a participant must be employed by us through the date the actual award is paid. The compensation committee may reserve the right to settle an actual award with a grant of an equity award under our then-current equity compensation plan, which equity award may have such terms and conditions, including vesting, as the compensation committee determines. Payment of awards will occur as soon as practicable after they are earned, but no later than the dates set forth in our Incentive Compensation Plan.</w:t>
      </w:r>
    </w:p>
    <w:p>
      <w:pPr>
        <w:spacing w:after="0" w:line="183"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Our board of directors and our compensation committee have the authority to amend, suspend or terminate our Incentive Compensation Plan, provided such action does not impair the existing rights of any participant with respect to any earned awards.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We maintain a 401(k) retirement savings plan, or 401(k) plan, for the benefit of our employees, including our named executive officers, who satisfy certain eligibility requirements. Our 401(k) plan provides eligible employees with an opportunity to save for retirement on a tax-advantaged basis. Under our 401(k) plan, eligible employees may elect to defer a portion of their compensation, within the limits prescribed by the Code and the applicable limits under the 401(k) plan (generally, up to 90% of the employee’s eligible compensation), on a pre-tax or after-tax (Roth) basis, through contributions to the 401(k) plan. All of a participant’s contributions into the 401(k) plan are 100% vested when contributed. The 401(k) plan permits us to make matching contributions and profit-sharing contributions to eligible participants. For 2022, we matched pre-tax contributions dollar-for-dollar up to $1,000.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2022 Year-End</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outstanding equity awards held by our named executive officers as of December 31, 2022.</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5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20" w:type="dxa"/>
            <w:vAlign w:val="bottom"/>
            <w:gridSpan w:val="2"/>
            <w:vMerge w:val="restart"/>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520" w:type="dxa"/>
            <w:vAlign w:val="bottom"/>
            <w:gridSpan w:val="2"/>
          </w:tcPr>
          <w:p>
            <w:pPr>
              <w:jc w:val="center"/>
              <w:ind w:right="408"/>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520" w:type="dxa"/>
            <w:vAlign w:val="bottom"/>
            <w:gridSpan w:val="2"/>
          </w:tcPr>
          <w:p>
            <w:pPr>
              <w:jc w:val="center"/>
              <w:ind w:right="388"/>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00" w:type="dxa"/>
            <w:vAlign w:val="bottom"/>
            <w:gridSpan w:val="2"/>
            <w:vMerge w:val="continue"/>
          </w:tcPr>
          <w:p>
            <w:pPr>
              <w:spacing w:after="0"/>
              <w:rPr>
                <w:sz w:val="12"/>
                <w:szCs w:val="12"/>
                <w:color w:val="auto"/>
              </w:rPr>
            </w:pPr>
          </w:p>
        </w:tc>
        <w:tc>
          <w:tcPr>
            <w:tcW w:w="9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520" w:type="dxa"/>
            <w:vAlign w:val="bottom"/>
            <w:gridSpan w:val="2"/>
          </w:tcPr>
          <w:p>
            <w:pPr>
              <w:jc w:val="center"/>
              <w:ind w:right="388"/>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520" w:type="dxa"/>
            <w:vAlign w:val="bottom"/>
            <w:gridSpan w:val="2"/>
          </w:tcPr>
          <w:p>
            <w:pPr>
              <w:jc w:val="center"/>
              <w:ind w:right="388"/>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8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9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73"/>
        </w:trPr>
        <w:tc>
          <w:tcPr>
            <w:tcW w:w="43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52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Unexercisable(1)</w:t>
            </w: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09"/>
        </w:trPr>
        <w:tc>
          <w:tcPr>
            <w:tcW w:w="4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Faraz Ali, M.B.A.</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09/06/2018</w:t>
            </w:r>
          </w:p>
        </w:tc>
        <w:tc>
          <w:tcPr>
            <w:tcW w:w="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2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09/05/2028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03/10/2020</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28,645</w:t>
            </w:r>
          </w:p>
        </w:tc>
        <w:tc>
          <w:tcPr>
            <w:tcW w:w="152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13,021(2)</w:t>
            </w:r>
          </w:p>
        </w:tc>
        <w:tc>
          <w:tcPr>
            <w:tcW w:w="10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2.70</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03/09/2030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02/27/2021</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199,652</w:t>
            </w:r>
          </w:p>
        </w:tc>
        <w:tc>
          <w:tcPr>
            <w:tcW w:w="152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217,014(2)</w:t>
            </w:r>
          </w:p>
        </w:tc>
        <w:tc>
          <w:tcPr>
            <w:tcW w:w="10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5.64</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02/26/2031</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06/17/2021</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62,499</w:t>
            </w:r>
          </w:p>
        </w:tc>
        <w:tc>
          <w:tcPr>
            <w:tcW w:w="152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104,167(2)</w:t>
            </w:r>
          </w:p>
        </w:tc>
        <w:tc>
          <w:tcPr>
            <w:tcW w:w="10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9.36</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06/16/2031</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02/15/2022</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83,622</w:t>
            </w:r>
          </w:p>
        </w:tc>
        <w:tc>
          <w:tcPr>
            <w:tcW w:w="152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317,768(2)</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15.19</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02/14/2032</w:t>
            </w:r>
          </w:p>
        </w:tc>
        <w:tc>
          <w:tcPr>
            <w:tcW w:w="0" w:type="dxa"/>
            <w:vAlign w:val="bottom"/>
          </w:tcPr>
          <w:p>
            <w:pPr>
              <w:spacing w:after="0"/>
              <w:rPr>
                <w:sz w:val="1"/>
                <w:szCs w:val="1"/>
                <w:color w:val="auto"/>
              </w:rPr>
            </w:pPr>
          </w:p>
        </w:tc>
      </w:tr>
      <w:tr>
        <w:trPr>
          <w:trHeight w:val="198"/>
        </w:trPr>
        <w:tc>
          <w:tcPr>
            <w:tcW w:w="4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Timothy Hoey, Ph.D.</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2/7/2020</w:t>
            </w:r>
          </w:p>
        </w:tc>
        <w:tc>
          <w:tcPr>
            <w:tcW w:w="280" w:type="dxa"/>
            <w:vAlign w:val="bottom"/>
          </w:tcPr>
          <w:p>
            <w:pPr>
              <w:spacing w:after="0"/>
              <w:rPr>
                <w:sz w:val="17"/>
                <w:szCs w:val="17"/>
                <w:color w:val="auto"/>
              </w:rPr>
            </w:pPr>
          </w:p>
        </w:tc>
        <w:tc>
          <w:tcPr>
            <w:tcW w:w="102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7,291</w:t>
            </w:r>
          </w:p>
        </w:tc>
        <w:tc>
          <w:tcPr>
            <w:tcW w:w="1520" w:type="dxa"/>
            <w:vAlign w:val="bottom"/>
            <w:gridSpan w:val="2"/>
          </w:tcPr>
          <w:p>
            <w:pPr>
              <w:jc w:val="right"/>
              <w:ind w:right="188"/>
              <w:spacing w:after="0" w:line="198" w:lineRule="exact"/>
              <w:rPr>
                <w:sz w:val="20"/>
                <w:szCs w:val="20"/>
                <w:color w:val="auto"/>
              </w:rPr>
            </w:pPr>
            <w:r>
              <w:rPr>
                <w:rFonts w:ascii="Times New Roman" w:cs="Times New Roman" w:eastAsia="Times New Roman" w:hAnsi="Times New Roman"/>
                <w:sz w:val="18"/>
                <w:szCs w:val="18"/>
                <w:color w:val="auto"/>
              </w:rPr>
              <w:t>2,709(3)</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2.70</w:t>
            </w:r>
          </w:p>
        </w:tc>
        <w:tc>
          <w:tcPr>
            <w:tcW w:w="94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2/6/2030</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3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1/19/2021</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7,985</w:t>
            </w:r>
          </w:p>
        </w:tc>
        <w:tc>
          <w:tcPr>
            <w:tcW w:w="152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8,681(2)</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5.64</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1/18/2031</w:t>
            </w: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p>
        </w:tc>
        <w:tc>
          <w:tcPr>
            <w:tcW w:w="13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2/15/2022</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35,000</w:t>
            </w:r>
          </w:p>
        </w:tc>
        <w:tc>
          <w:tcPr>
            <w:tcW w:w="152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133,000(2)</w:t>
            </w: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15.19</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2/14/2032</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Whittemore (Whit) Tingley, M.D., Ph.D.</w:t>
            </w:r>
          </w:p>
        </w:tc>
        <w:tc>
          <w:tcPr>
            <w:tcW w:w="13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12/10/2018</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75,000</w:t>
            </w:r>
          </w:p>
        </w:tc>
        <w:tc>
          <w:tcPr>
            <w:tcW w:w="152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0.78</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12/9/2028</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1/19/2021</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11,979</w:t>
            </w:r>
          </w:p>
        </w:tc>
        <w:tc>
          <w:tcPr>
            <w:tcW w:w="152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13,021(2)</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5.64</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1/18/2031</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6/17/2021</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40,624</w:t>
            </w:r>
          </w:p>
        </w:tc>
        <w:tc>
          <w:tcPr>
            <w:tcW w:w="152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67,709(2)</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9.36</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6/16/2031</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2/15/2022</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29,375</w:t>
            </w:r>
          </w:p>
        </w:tc>
        <w:tc>
          <w:tcPr>
            <w:tcW w:w="152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111,625(2)</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15.19</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2/14/2032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480" w:hanging="424"/>
        <w:spacing w:after="0" w:line="261"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of all options issued to our named executive officers are subject to acceleration as described under the caption “Executive Change in Control and Severance Plan.”</w:t>
      </w:r>
    </w:p>
    <w:p>
      <w:pPr>
        <w:ind w:left="540" w:right="140" w:hanging="424"/>
        <w:spacing w:after="0" w:line="250"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vests as to 1/48th of the total number of shares subject to the option on the one-month anniversary of the grant date and 1/48th of the total number of shares subject to the option on each monthly anniversary thereafter until fully-vested.</w:t>
      </w:r>
    </w:p>
    <w:p>
      <w:pPr>
        <w:ind w:left="540" w:right="380" w:hanging="424"/>
        <w:spacing w:after="0" w:line="260"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vests as to 1/48th of the total number of shares subject to the option on the last day of February 2020 and 1/48th of the total number of shares subject to the option on each monthly anniversary thereafter until fully-vested.</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equity compensation plan information as of December 31, 2022. Information is included for equity compensation plans approved by our stockholders. We do not have any equity compensation plans not approved by our stockholders.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 Number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 Number of</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Remaining</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2"/>
            <w:vMerge w:val="restart"/>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(b) Weighted-</w:t>
            </w:r>
          </w:p>
        </w:tc>
        <w:tc>
          <w:tcPr>
            <w:tcW w:w="14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14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Issuance Under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2"/>
          </w:tcPr>
          <w:p>
            <w:pPr>
              <w:jc w:val="center"/>
              <w:ind w:right="1000"/>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4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360" w:type="dxa"/>
            <w:vAlign w:val="bottom"/>
          </w:tcPr>
          <w:p>
            <w:pPr>
              <w:spacing w:after="0"/>
              <w:rPr>
                <w:sz w:val="12"/>
                <w:szCs w:val="12"/>
                <w:color w:val="auto"/>
              </w:rPr>
            </w:pPr>
          </w:p>
        </w:tc>
        <w:tc>
          <w:tcPr>
            <w:tcW w:w="22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Price of Outstanding</w:t>
            </w:r>
          </w:p>
        </w:tc>
        <w:tc>
          <w:tcPr>
            <w:tcW w:w="14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5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6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360" w:type="dxa"/>
            <w:vAlign w:val="bottom"/>
          </w:tcPr>
          <w:p>
            <w:pPr>
              <w:spacing w:after="0"/>
              <w:rPr>
                <w:sz w:val="12"/>
                <w:szCs w:val="12"/>
                <w:color w:val="auto"/>
              </w:rPr>
            </w:pPr>
          </w:p>
        </w:tc>
        <w:tc>
          <w:tcPr>
            <w:tcW w:w="2200" w:type="dxa"/>
            <w:vAlign w:val="bottom"/>
            <w:gridSpan w:val="3"/>
          </w:tcPr>
          <w:p>
            <w:pPr>
              <w:jc w:val="center"/>
              <w:ind w:right="90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4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w:t>
            </w:r>
          </w:p>
        </w:tc>
        <w:tc>
          <w:tcPr>
            <w:tcW w:w="0" w:type="dxa"/>
            <w:vAlign w:val="bottom"/>
          </w:tcPr>
          <w:p>
            <w:pPr>
              <w:spacing w:after="0"/>
              <w:rPr>
                <w:sz w:val="1"/>
                <w:szCs w:val="1"/>
                <w:color w:val="auto"/>
              </w:rPr>
            </w:pPr>
          </w:p>
        </w:tc>
      </w:tr>
      <w:tr>
        <w:trPr>
          <w:trHeight w:val="173"/>
        </w:trPr>
        <w:tc>
          <w:tcPr>
            <w:tcW w:w="5360" w:type="dxa"/>
            <w:vAlign w:val="bottom"/>
            <w:gridSpan w:val="3"/>
            <w:vMerge w:val="continue"/>
          </w:tcPr>
          <w:p>
            <w:pPr>
              <w:spacing w:after="0"/>
              <w:rPr>
                <w:sz w:val="15"/>
                <w:szCs w:val="15"/>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14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Column (a))</w:t>
            </w: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6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2021</w:t>
            </w:r>
          </w:p>
        </w:tc>
        <w:tc>
          <w:tcPr>
            <w:tcW w:w="5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Equity Incentive Plan(1)</w:t>
            </w: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3,381,369</w:t>
            </w: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11.62(2)</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2,318,761</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4"/>
              </w:rPr>
              <w:t>2021</w:t>
            </w:r>
          </w:p>
        </w:tc>
        <w:tc>
          <w:tcPr>
            <w:tcW w:w="5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Employee Stock Purchase Plan(3)</w:t>
            </w:r>
          </w:p>
        </w:tc>
        <w:tc>
          <w:tcPr>
            <w:tcW w:w="16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1,106,721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2016</w:t>
            </w:r>
          </w:p>
        </w:tc>
        <w:tc>
          <w:tcPr>
            <w:tcW w:w="5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Equity Incentive Plan(4)</w:t>
            </w: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2,288,005</w:t>
            </w: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5.62</w:t>
            </w: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5,669,374</w:t>
            </w: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9.20</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3,425,482</w:t>
            </w: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jc w:val="right"/>
              <w:ind w:right="1020"/>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302260</wp:posOffset>
            </wp:positionV>
            <wp:extent cx="7715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left="540" w:hanging="424"/>
        <w:spacing w:after="0" w:line="257"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available for issuance under our 2021 Equity Incentive Plan (2021 Plan) will automatically increase on the first day of each fiscal year, in an amount equal to the lesser of: 4,000,000 shares; 4% of our outstanding shares of common stock as of the last day of the immediately preceding year; or such other amount as our board of directors may determine.</w:t>
      </w:r>
    </w:p>
    <w:p>
      <w:pPr>
        <w:spacing w:after="0" w:line="1" w:lineRule="exact"/>
        <w:rPr>
          <w:rFonts w:ascii="Times New Roman" w:cs="Times New Roman" w:eastAsia="Times New Roman" w:hAnsi="Times New Roman"/>
          <w:sz w:val="18"/>
          <w:szCs w:val="18"/>
          <w:color w:val="auto"/>
        </w:rPr>
      </w:pPr>
    </w:p>
    <w:p>
      <w:pPr>
        <w:ind w:left="540" w:right="700" w:hanging="424"/>
        <w:spacing w:after="0" w:line="25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exercise price takes into account the shares subject to outstanding RSU awards, which have no exercise price. The weighted-average exercise price, excluding such outstanding RSU awards, is $13.45.</w:t>
      </w:r>
    </w:p>
    <w:p>
      <w:pPr>
        <w:jc w:val="both"/>
        <w:ind w:left="540" w:right="300" w:hanging="424"/>
        <w:spacing w:after="0" w:line="25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available for issuance under our 2021 Employee Stock Purchase Plan (2021 ESPP) will automatically increase on the first day of each fiscal year in an amount equal to the lesser of: 800,000 shares; 1% of the outstanding shares of the Company’s common stock as of the last day of the immediately preceding year; or such other amount as the board of directors may determine.</w:t>
      </w:r>
    </w:p>
    <w:p>
      <w:pPr>
        <w:spacing w:after="0" w:line="1" w:lineRule="exact"/>
        <w:rPr>
          <w:rFonts w:ascii="Times New Roman" w:cs="Times New Roman" w:eastAsia="Times New Roman" w:hAnsi="Times New Roman"/>
          <w:sz w:val="18"/>
          <w:szCs w:val="18"/>
          <w:color w:val="auto"/>
        </w:rPr>
      </w:pPr>
    </w:p>
    <w:p>
      <w:pPr>
        <w:ind w:left="540" w:right="200" w:hanging="424"/>
        <w:spacing w:after="0" w:line="255"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no longer grant awards under the 2016 Equity Incentive Plan (2016 Plan); however, all outstanding options issued pursuant to the 2016 Plan continue to be governed by their existing terms. To the extent that any such awards are forfeited or lapse unexercised or are repurchased, the shares of common stock subject to such awards will become available for issuance under the 2021 Plan.</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the beneficial ownership of our common stock as of March 31, 2023, by:</w:t>
      </w:r>
    </w:p>
    <w:p>
      <w:pPr>
        <w:spacing w:after="0" w:line="131"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nominees for director;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thus it represents sole or shared voting or investment power with respect to our securities. Unless otherwise indicated, to our knowledge, the persons or entities identified in the table have sole voting power and sole investment power with respect to all shares shown as beneficially owned by them, subject to community property laws where applicable.</w:t>
      </w:r>
    </w:p>
    <w:p>
      <w:pPr>
        <w:spacing w:after="0" w:line="176"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We have based our calculation of the percentage of beneficial ownership on 66,865,424 shares of our common stock outstanding as of March 31, 2023. We have deemed shares of our common stock subject to stock options that are currently exercisable or exercisable within 60 days of March 31, 2023,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180"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for each person or entity listed in the table is c/o Tenaya Therapeutics, Inc., 171 Oyster Point Boulevard, Suite 500, South San Francisco, CA 94080.</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18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0" w:type="dxa"/>
            <w:vAlign w:val="bottom"/>
          </w:tcPr>
          <w:p>
            <w:pPr>
              <w:spacing w:after="0"/>
              <w:rPr>
                <w:sz w:val="1"/>
                <w:szCs w:val="1"/>
                <w:color w:val="auto"/>
              </w:rPr>
            </w:pPr>
          </w:p>
        </w:tc>
      </w:tr>
      <w:tr>
        <w:trPr>
          <w:trHeight w:val="142"/>
        </w:trPr>
        <w:tc>
          <w:tcPr>
            <w:tcW w:w="6180" w:type="dxa"/>
            <w:vAlign w:val="bottom"/>
            <w:gridSpan w:val="2"/>
            <w:vMerge w:val="continue"/>
          </w:tcPr>
          <w:p>
            <w:pPr>
              <w:spacing w:after="0"/>
              <w:rPr>
                <w:sz w:val="12"/>
                <w:szCs w:val="12"/>
                <w:color w:val="auto"/>
              </w:rPr>
            </w:pPr>
          </w:p>
        </w:tc>
        <w:tc>
          <w:tcPr>
            <w:tcW w:w="1440" w:type="dxa"/>
            <w:vAlign w:val="bottom"/>
            <w:tcBorders>
              <w:top w:val="single" w:sz="8" w:color="auto"/>
            </w:tcBorders>
            <w:gridSpan w:val="2"/>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or Greater Stockholders:</w:t>
            </w:r>
          </w:p>
        </w:tc>
        <w:tc>
          <w:tcPr>
            <w:tcW w:w="5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The Column Group(1)</w:t>
            </w: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20,777,343</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31.07</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RA Capital Management(2)</w:t>
            </w:r>
          </w:p>
        </w:tc>
        <w:tc>
          <w:tcPr>
            <w:tcW w:w="14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6,428,483</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Casdin Group(3)</w:t>
            </w: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6,427,200</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 Rowe Price Associates, Inc.(4)</w:t>
            </w:r>
          </w:p>
        </w:tc>
        <w:tc>
          <w:tcPr>
            <w:tcW w:w="14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4,472,202</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r>
              <w:rPr>
                <w:rFonts w:ascii="Times New Roman" w:cs="Times New Roman" w:eastAsia="Times New Roman" w:hAnsi="Times New Roman"/>
                <w:sz w:val="18"/>
                <w:szCs w:val="18"/>
                <w:b w:val="1"/>
                <w:bCs w:val="1"/>
                <w:color w:val="auto"/>
              </w:rPr>
              <w:t>:</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Faraz Ali, M.B.A.(5)</w:t>
            </w:r>
          </w:p>
        </w:tc>
        <w:tc>
          <w:tcPr>
            <w:tcW w:w="14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948,521</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Hoey, Ph.D.(6)</w:t>
            </w: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279,929</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Whittemore (Whit) Tingley, M.D., Ph.D.(7)</w:t>
            </w:r>
          </w:p>
        </w:tc>
        <w:tc>
          <w:tcPr>
            <w:tcW w:w="14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198,366</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Amy Burroughs, M.B.A.(8)</w:t>
            </w: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5,555</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Jin-Long Chen, Ph.D.(9)</w:t>
            </w:r>
          </w:p>
        </w:tc>
        <w:tc>
          <w:tcPr>
            <w:tcW w:w="14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30,000</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Goeddel, Ph.D.(1)</w:t>
            </w: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20,777,343</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31.07</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Karah Parschauer, J.D.(10)</w:t>
            </w:r>
          </w:p>
        </w:tc>
        <w:tc>
          <w:tcPr>
            <w:tcW w:w="14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9,205</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Catherine Stehman-Breen, M.D.(11)</w:t>
            </w: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21,875</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Lee, M.D.(12)</w:t>
            </w:r>
          </w:p>
        </w:tc>
        <w:tc>
          <w:tcPr>
            <w:tcW w:w="14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9,468</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Deepak Srivastava, M.D.(13)</w:t>
            </w: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594,656</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T. Walsh, M.B.A.(14)</w:t>
            </w:r>
          </w:p>
        </w:tc>
        <w:tc>
          <w:tcPr>
            <w:tcW w:w="14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33,750</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 Sanders Williams, M.D.</w:t>
            </w: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29,999</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(13 persons)(15)</w:t>
            </w:r>
          </w:p>
        </w:tc>
        <w:tc>
          <w:tcPr>
            <w:tcW w:w="14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23,142,871</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1%.</w:t>
      </w:r>
    </w:p>
    <w:p>
      <w:pPr>
        <w:spacing w:after="0" w:line="27" w:lineRule="exact"/>
        <w:rPr>
          <w:sz w:val="20"/>
          <w:szCs w:val="20"/>
          <w:color w:val="auto"/>
        </w:rPr>
      </w:pPr>
    </w:p>
    <w:p>
      <w:pPr>
        <w:ind w:left="540" w:right="700" w:hanging="424"/>
        <w:spacing w:after="0" w:line="260"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taken from the Form 4 filed on March 14, 2023, consists of 11,337,053 shares held directly by The Column Group Opportunity III, LP (TCG Opportunity III LP), 4,414,720 shares held</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80"/>
          </w:cols>
          <w:pgMar w:left="320" w:top="455" w:right="4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40"/>
        <w:spacing w:after="0" w:line="252" w:lineRule="auto"/>
        <w:rPr>
          <w:sz w:val="20"/>
          <w:szCs w:val="20"/>
          <w:color w:val="auto"/>
        </w:rPr>
      </w:pPr>
      <w:r>
        <w:rPr>
          <w:rFonts w:ascii="Times New Roman" w:cs="Times New Roman" w:eastAsia="Times New Roman" w:hAnsi="Times New Roman"/>
          <w:sz w:val="18"/>
          <w:szCs w:val="18"/>
          <w:color w:val="auto"/>
        </w:rPr>
        <w:t>directly by The Column Group III, LP (TCG III LP) and 4,985,570 shares held directly by The Column Group III-A, LP (TCG III-A LP). The Column Group Opportunity III, GP, LP (TCG Opportunity III GP LP) is the general partner of TCG Opportunity III LP and may be deemed to have voting, investment and dispositive power with respect to the shares held by TCG Opportunity III LP. The Column Group III GP, LP (TCG III GP) is the general partner of both TCG III LP and TCG III-A LP and may be deemed to have voting, investment and dispositive power with respect to the shares held by TCG III LP and TCG III-A LP. The managing partners of TCG Opportunity III GP LP and TCG III GP are David V. Goeddel, Peter Svennilson and Tim Kutzkey who may be deemed to share voting and investment power with respect to the shares, and each of whom disclaim beneficial ownership of the shares held by TCG Opportunity III LP, TCG III LP and TCG III LP except to the extent of their pecuniary interests therein, if any. Dr. Goeddel is a member of our board of directors. The address of TCG Opportunity III LP, TCG III LP and TCG III-A LP is 1 Letterman Drive, Building D, Suite M-900, San Francisco, California 94129.</w:t>
      </w:r>
    </w:p>
    <w:p>
      <w:pPr>
        <w:spacing w:after="0" w:line="6" w:lineRule="exact"/>
        <w:rPr>
          <w:sz w:val="20"/>
          <w:szCs w:val="20"/>
          <w:color w:val="auto"/>
        </w:rPr>
      </w:pPr>
    </w:p>
    <w:p>
      <w:pPr>
        <w:ind w:left="540" w:hanging="424"/>
        <w:spacing w:after="0" w:line="250"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taken from the Schedule 13G/A filed on February 14, 2023, on behalf of RA Capital Management, L.P., Peter Kolchinsky, Rajeev Shah, and RA Capital Healthcare Fund, L.P. (collectively, RA Capital). RA Capital Healthcare Fund, L.P. directly holds 5,943,938 shares and pre-funded warrants to purchase 4,882,582 shares, and RA Capital Nexus Fund II, L.P. directly holds 123,545 shares. RA Capital Healthcare Fund GP, LLC is the general partner of the Fund and RA Capital Nexus Fund II GP, LLC is the general partner of the Nexus Fund II. The general partner of RA Capital is RA Capital Management GP, LLC, of which Peter Kolchinsky and Rajeev Shah are the controlling persons. RA Capital serves as investment adviser for the Fund and the Nexus Fund II and may be deemed to be the beneficial owner of these shares and exercise shared voting and investment control over these shares. The 13G/A states that the pre-funded warrants can only be exercised to such an extent that the exercise of the warrants would not cause RA Capital and its affiliates to own more than 9.99% of our outstanding common stock.</w:t>
      </w:r>
    </w:p>
    <w:p>
      <w:pPr>
        <w:spacing w:after="0" w:line="3"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taken from the Schedule 13D filed on December 7, 2022. These 6,427,200 shares are held by various entities affiliated with Casdin Capital, LLC (Casdin Capital). Casdin Capital may be deemed to be the beneficial owner of these shares and exercises shared voting and investment control over these shares. Eli Casdin, is the managing member of Casdin Capital and may be deemed to have voting and investment power with respect to the shares and disclaims beneficial ownership of the shares except to the extent of his pecuniary interests therein, if any. The address of Casdin Capital and Eli Casdin is 1350 Avenue of the Americas, Suite 2600, New York, NY 10019. The 13G/A states that Casdin Capital holds pre-funded warrants to purchase 1,354,111 which can only be exercised to such an extent that the exercise of the warrants would not cause Casdin Capital and to own more than 9.99% of our outstanding common stock.</w:t>
      </w:r>
    </w:p>
    <w:p>
      <w:pPr>
        <w:spacing w:after="0" w:line="2" w:lineRule="exact"/>
        <w:rPr>
          <w:rFonts w:ascii="Times New Roman" w:cs="Times New Roman" w:eastAsia="Times New Roman" w:hAnsi="Times New Roman"/>
          <w:sz w:val="18"/>
          <w:szCs w:val="18"/>
          <w:color w:val="auto"/>
        </w:rPr>
      </w:pPr>
    </w:p>
    <w:p>
      <w:pPr>
        <w:jc w:val="both"/>
        <w:ind w:left="540" w:right="480" w:hanging="424"/>
        <w:spacing w:after="0" w:line="265" w:lineRule="auto"/>
        <w:tabs>
          <w:tab w:leader="none" w:pos="5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information taken from the Schedule 13G filed on February 14, 2023. T. Rowe Price Associates, Inc. holds sole voting power over 738,693 shares and dispositive power over 4,472,202 shares. The address of this entity is 100 East Pratt Street, Baltimore, Maryland, 21202.</w:t>
      </w: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948,521 shares subject to outstanding options exercisable within 60 days of March 31, 2023.</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81,283 shares subject to outstanding options exercisable within 60 days of March 31, 2023.</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198,366 shares subject to outstanding options exercisable within 60 days of March 31, 2023.</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5,555 shares subject to outstanding options exercisable within 60 days of March 31, 2023.</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5,000 shares subject to outstanding options exercisable within 60 days of March 31, 2023.</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9,205 shares subject to outstanding options exercisable within 60 days of March 31, 2023.</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13,750 shares subject to outstanding options exercisable within 60 days of March 31, 2023.</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9,468 shares subject to outstanding options exercisable within 60 days of March 31, 2023.</w:t>
      </w:r>
    </w:p>
    <w:p>
      <w:pPr>
        <w:spacing w:after="0" w:line="9"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372,435 shares of common stock held by The J. David Gladstone Institute for which Dr. Srivastava serves as President and 30,555 shares subject to outstanding options exercisable within 60 days of March 31, 2023.</w:t>
      </w: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33,750 shares subject to outstanding options exercisable within 60 days of March 31, 2023.</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1,537,657 shares subject to outstanding options exercisable within 60 days of March 31, 2023.</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55"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RELATED PERSON TRANSACTIONS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is a description of each transaction since the beginning of our last fiscal year, and each currently proposed transaction, in which:</w:t>
      </w:r>
    </w:p>
    <w:p>
      <w:pPr>
        <w:spacing w:after="0" w:line="131"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or are to be a participant;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exceeds $120,000;</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(including director nominees), executive officers, or beneficial holders of more than 5% of any class of our voting securities, or any immediate family member of, or person sharing the household with, any of these individuals or entities, had or will have a direct or indirect material interest.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Investors’ Rights Agreement</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We are party to an investors’ rights agreement, as amended and restated, with certain holders of our capital stock, including entities affiliated with The Column Group III, LP, The Column Group III-A, LP, Casdin Partners Master Fund, L.P., and Casdin Private Growth Equity Fund, L.P. Under our investors’ rights agreement, among other things, certain holders of our capital stock have the right to demand that we file a registration statement or request that their shares of our capital stock be covered by a registration statement that we are otherwise filing.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 and Pre-funded Warrant Issuances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In November 2022, we issued and sold an aggregate of 25,429,716 shares of our common stock at a purchase price of $2.60 per share and, to certain investors in lieu of common stock, pre-funded warrants to purchase 6,236,693 shares of our common stock at a price of $2.599 per pre-funded warrant. We received total net proceeds of $76.9 million after deducting underwriting discounts and commissions of $4.9 million and offering expenses of $0.5 million.</w:t>
      </w:r>
    </w:p>
    <w:p>
      <w:pPr>
        <w:spacing w:after="0" w:line="180" w:lineRule="exact"/>
        <w:rPr>
          <w:sz w:val="20"/>
          <w:szCs w:val="20"/>
          <w:color w:val="auto"/>
        </w:rPr>
      </w:pPr>
    </w:p>
    <w:p>
      <w:pPr>
        <w:jc w:val="both"/>
        <w:ind w:left="120" w:right="420"/>
        <w:spacing w:after="0" w:line="266" w:lineRule="auto"/>
        <w:rPr>
          <w:sz w:val="20"/>
          <w:szCs w:val="20"/>
          <w:color w:val="auto"/>
        </w:rPr>
      </w:pPr>
      <w:r>
        <w:rPr>
          <w:rFonts w:ascii="Times New Roman" w:cs="Times New Roman" w:eastAsia="Times New Roman" w:hAnsi="Times New Roman"/>
          <w:sz w:val="18"/>
          <w:szCs w:val="18"/>
          <w:color w:val="auto"/>
        </w:rPr>
        <w:t>Purchasers of our stock and pre-funded warrants include venture capital funds that beneficially own more than 5% of our outstanding capital stock and/or are or were represented on our board of directors. The following table presents the number of shares and preferred stock warrants and total purchase price paid by these entities.</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94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Pre-funded</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Investor</w:t>
            </w: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73"/>
        </w:trPr>
        <w:tc>
          <w:tcPr>
            <w:tcW w:w="5540" w:type="dxa"/>
            <w:vAlign w:val="bottom"/>
            <w:gridSpan w:val="2"/>
            <w:vMerge w:val="continue"/>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4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10"/>
        </w:trPr>
        <w:tc>
          <w:tcPr>
            <w:tcW w:w="5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Funds Affiliated with The Column Group(1)</w:t>
            </w:r>
          </w:p>
        </w:tc>
        <w:tc>
          <w:tcPr>
            <w:tcW w:w="2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9,615,384</w:t>
            </w:r>
          </w:p>
        </w:tc>
        <w:tc>
          <w:tcPr>
            <w:tcW w:w="3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24,999,998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Funds Affiliated with Casdin Capital LLC(2)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2,492,042</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1,354,111</w:t>
            </w:r>
          </w:p>
        </w:tc>
        <w:tc>
          <w:tcPr>
            <w:tcW w:w="5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9,998,643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Funds Affiliated with RA Capital Management(3)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4,732,803</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4,882,582</w:t>
            </w:r>
          </w:p>
        </w:tc>
        <w:tc>
          <w:tcPr>
            <w:tcW w:w="5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24,995,119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200" w:hanging="424"/>
        <w:spacing w:after="0" w:line="257"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The Column Group holding our securities are aggregated for reporting ownership information and include The Column Group Opportunity III, LP, The Column Group III, LP and The Column Group III-A, LP. David Goeddel, a member of our board of directors is the Managing Partner of The Column Group.</w:t>
      </w:r>
    </w:p>
    <w:p>
      <w:pPr>
        <w:spacing w:after="0" w:line="1"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Casdin Capital LLC holding our securities are aggregated for reporting ownership information and include Casdin Partners Master Fund, L.P. and Casdin Private Growth Equity Fund, L.P. Eli Casdin, a former member of our board of directors at the time of the offering and the Chief Investment Officer of Casdin Capital LLC and the managing member of Casdin Partners GP, LLC.</w:t>
      </w:r>
    </w:p>
    <w:p>
      <w:pPr>
        <w:spacing w:after="0" w:line="1" w:lineRule="exact"/>
        <w:rPr>
          <w:rFonts w:ascii="Times New Roman" w:cs="Times New Roman" w:eastAsia="Times New Roman" w:hAnsi="Times New Roman"/>
          <w:sz w:val="18"/>
          <w:szCs w:val="18"/>
          <w:color w:val="auto"/>
        </w:rPr>
      </w:pPr>
    </w:p>
    <w:p>
      <w:pPr>
        <w:ind w:left="540" w:hanging="424"/>
        <w:spacing w:after="0" w:line="26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RA Capital Management holding our securities are aggregated for reporting ownership information and include RA Capital Management, L.P. and RA Capital Nexus Fund II, L.P.</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80"/>
          </w:cols>
          <w:pgMar w:left="320" w:top="455"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limiting the liability of the members of our board of directors, and our Bylaws provide that we will indemnify each of our officers and the members of our board of directors to the fullest extent permitted under Delaware law, subject to certain exceptions. Our Amended and Restated Certificate of Incorporation and Bylaws also provide our board of directors with discretion to indemnify our employees and other agents when it determines to be appropriate. In addition, we have entered into an indemnification agreement with each of our executive officers and the members of our board of directors requiring us to indemnify them.</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Our audit committee will have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The charter of our audit committee provides that our audit committee shall review and approve in advance any related party transaction.</w:t>
      </w:r>
    </w:p>
    <w:p>
      <w:pPr>
        <w:spacing w:after="0" w:line="18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Our board of directors adopted a formal written policy governing our entry into any transaction that exceeds $120,000 and in which any related person has a direct or indirect material interest. The policy provides that management shall present related party transactions to the audit committee for approval. The policy does not prevent management from entering into any related party transaction without prior approval of the audit committee, so long as such related party transaction is thereafter presented to the audit committee for ratification.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w:t>
      </w:r>
    </w:p>
    <w:p>
      <w:pPr>
        <w:spacing w:after="0" w:line="12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60"/>
          </w:cols>
          <w:pgMar w:left="320" w:top="455" w:right="6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ind w:left="120" w:right="80"/>
        <w:spacing w:after="0" w:line="272" w:lineRule="auto"/>
        <w:rPr>
          <w:sz w:val="20"/>
          <w:szCs w:val="20"/>
          <w:color w:val="auto"/>
        </w:rPr>
      </w:pPr>
      <w:r>
        <w:rPr>
          <w:rFonts w:ascii="Times New Roman" w:cs="Times New Roman" w:eastAsia="Times New Roman" w:hAnsi="Times New Roman"/>
          <w:sz w:val="17"/>
          <w:szCs w:val="17"/>
          <w:color w:val="auto"/>
        </w:rPr>
        <w:t>Section 16(a) of the Exchange Act requires that our directors and executive officers, and persons who own more than 10% of our common stock, file reports of ownership and changes in ownership with the SEC. Based on our review of such filings and written representations from certain reporting persons that no Form 5 is required, we believe that during the fiscal year ended December 31, 2022, all directors, executive officers and greater than 10% stockholders complied with all Section 16(a) filing requirements applicable to them, except as follows: (a) Dr. Srivastava, who serves as President of the J. David Gladstone Institutes, failed to timely file a Form 4 relating to the purchase of Tenaya common stock by the J. David Gladstone Institutes on November 21, 2022, in connection with our public offering. A Form 4 was subsequently filed on December 9, 2022; and (b) Mr. Casdin, who serves the Managing Member of Casdin Capital, LLC, failed to timely file a Form 4 relating to the purchase of Tenaya common stock by the Casdin Capital, LLC on November 21, 2022, in connection with our public offering. A Form 4 was subsequently filed on November 25, 2022.</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2022 Annual Report and SEC Filings</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 xml:space="preserve">Our financial statements for our fiscal year ended December 31, 2022, are included in our annual report, which we will make available to stockholders at the same time as this proxy statement. Our proxy materials and our annual report are posted on our website at www.tenayatherapeutics.com and are available from the SEC at its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You may also obtain a copy of our annual report, free of charge, by sending a written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request to:</w:t>
      </w:r>
    </w:p>
    <w:p>
      <w:pPr>
        <w:spacing w:after="0" w:line="1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171 Oyster Point Boulevard, Suite 500</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207"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board of directors does not know of any other matters to be presented at the annual meeting. If any additional matters are properly presented at the annual meeting, the persons named in the proxy will have discretion to vote the shares of our common stock they represent in accordance with their own judgment on such matters.</w:t>
      </w:r>
    </w:p>
    <w:p>
      <w:pPr>
        <w:spacing w:after="0" w:line="176"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It is important that your shares be represented at the annual meeting, regardless of the number of shares that you hold. You are, therefore, urged to vote as promptly as possible to ensure your vote is recorded.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BOARD OF DIRECTORS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South San Francisco, California</w:t>
      </w:r>
    </w:p>
    <w:p>
      <w:pPr>
        <w:spacing w:after="0" w:line="27" w:lineRule="exact"/>
        <w:rPr>
          <w:sz w:val="20"/>
          <w:szCs w:val="20"/>
          <w:color w:val="auto"/>
        </w:rPr>
      </w:pPr>
    </w:p>
    <w:p>
      <w:pPr>
        <w:ind w:left="120"/>
        <w:spacing w:after="0"/>
        <w:tabs>
          <w:tab w:leader="none" w:pos="700" w:val="left"/>
        </w:tabs>
        <w:rPr>
          <w:sz w:val="20"/>
          <w:szCs w:val="20"/>
          <w:color w:val="auto"/>
        </w:rPr>
      </w:pPr>
      <w:r>
        <w:rPr>
          <w:rFonts w:ascii="Times New Roman" w:cs="Times New Roman" w:eastAsia="Times New Roman" w:hAnsi="Times New Roman"/>
          <w:sz w:val="18"/>
          <w:szCs w:val="18"/>
          <w:color w:val="auto"/>
        </w:rPr>
        <w:t>April</w:t>
        <w:tab/>
        <w:t>, 2023</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215265</wp:posOffset>
            </wp:positionV>
            <wp:extent cx="5829300" cy="7543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215265</wp:posOffset>
            </wp:positionV>
            <wp:extent cx="5829300" cy="75438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1)"/>
      <w:numFmt w:val="lowerLetter"/>
      <w:start w:val="1"/>
    </w:lvl>
  </w:abstractNum>
  <w:abstractNum w:abstractNumId="19">
    <w:nsid w:val="2CA88611"/>
    <w:multiLevelType w:val="hybridMultilevel"/>
    <w:lvl w:ilvl="0">
      <w:lvlJc w:val="left"/>
      <w:lvlText w:val="(%1)"/>
      <w:numFmt w:val="decimal"/>
      <w:start w:val="3"/>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decimal"/>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abstractNum>
  <w:abstractNum w:abstractNumId="33">
    <w:nsid w:val="5577F8E1"/>
    <w:multiLevelType w:val="hybridMultilevel"/>
    <w:lvl w:ilvl="0">
      <w:lvlJc w:val="left"/>
      <w:lvlText w:val="(%1)"/>
      <w:numFmt w:val="decimal"/>
      <w:start w:val="2"/>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jpeg"/><Relationship Id="rId66" Type="http://schemas.openxmlformats.org/officeDocument/2006/relationships/image" Target="media/image58.png"/><Relationship Id="rId67" Type="http://schemas.openxmlformats.org/officeDocument/2006/relationships/image" Target="media/image59.jpeg"/><Relationship Id="rId21" Type="http://schemas.openxmlformats.org/officeDocument/2006/relationships/hyperlink" Target="http://www.sec.gov/Archives/edgar/data/939767/000119312521117232/d63026ddef14a.htm#tx63026_a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2023-04-17T17:14:48Z</dcterms:created>
  <dcterms:modified xsi:type="dcterms:W3CDTF">2023-04-17T17:14:48Z</dcterms:modified>
</cp:coreProperties>
</file>