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August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Tenaya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001-40656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81-3789973</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171 Oyster Point Boulevard, 5th Floor</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(650) 825-6990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TNYA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5.03 Amendments to Articles of Incorporation or Bylaws.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August 3, 2021, Tenaya Therapeutics, Inc. (Company) filed an amended and restated certificate of incorporation (Restated Certificate) with the Secretary of State of the State of Delaware in connection with the completion of the Company’s initial public offering (IPO). A description of the Restated Certificate is set forth in the sections entitled “Risk Factors” and “Description of Capital Stock” of the Company’s Prospectus (Prospectus) filed with the Securities and Exchange Commission on July 30, 2021 pursuant to Rule 424(b) under the Securities Act of 1933, as amended (Securities Act), relating to the Registration Statements on Form S-1, as amended (Registration Nos. 333-257820 and 333-258285). The description of the Restated Certificate is qualified in its entirety by reference to the full text of the Restated Certificate filed herewith as Exhibit 3.1 and incorporated herein by reference.</w:t>
      </w:r>
    </w:p>
    <w:p>
      <w:pPr>
        <w:spacing w:after="0" w:line="1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Effective as of August 3, 2021, the Company adopted amended and restated bylaws (Restated Bylaws) in connection with the completion of the IPO. A description of the Restated Bylaws is set forth in the sections of the Prospectus entitled “Risk Factors” and “Description of Capital Stock.” The description of the Restated Bylaws is qualified in its entirety by reference to the full text of the Restated Bylaws filed herewith as Exhibit 3.2 and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Press Release</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August 3, 2021, the Company issued a press release announcing the closing of its IPO of 13,800,000 shares of its common stock (which includes 1,800,000 shares that were offered and sold pursuant to the full exercise of the underwriters’ option to purchase additional shares). A copy of the press release is attached hereto as Exhibit 99.1.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Channels for Disclosure of Information</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Investors and others should note that the Company may announce material information to the public through filings with the Securities and Exchange Commission, its website (www.tenayatherapeutics.com), press releases, public conference calls, and public webcasts. The Company uses these channels, as well as social media, to communicate with the public about the Company, its product candidates and other matters. As such, investors, the media and others are encouraged to review the information disclosed through the Company’s social media and other channels listed above as such information could be deemed to be material information. Please note that this list may be updated from time to time.</w:t>
      </w:r>
    </w:p>
    <w:p>
      <w:pPr>
        <w:spacing w:after="0" w:line="1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information furnished pursuant to Item 7.01 on this Form 8-K, including Exhibit 99.1 attached hereto, shall not be deemed “filed” for purposes of Section 18 of the Securities Exchange Act of 1934, as amended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ind w:left="8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4">
        <w:r>
          <w:rPr>
            <w:rFonts w:ascii="Arial" w:cs="Arial" w:eastAsia="Arial" w:hAnsi="Arial"/>
            <w:sz w:val="16"/>
            <w:szCs w:val="16"/>
            <w:u w:val="single" w:color="auto"/>
            <w:color w:val="0000EE"/>
          </w:rPr>
          <w:t>Amended and Restated Certificate of Incorporation of the Registrant.</w:t>
        </w:r>
      </w:hyperlink>
    </w:p>
    <w:p>
      <w:pPr>
        <w:spacing w:after="0" w:line="117" w:lineRule="exact"/>
        <w:rPr>
          <w:sz w:val="20"/>
          <w:szCs w:val="20"/>
          <w:color w:val="auto"/>
        </w:rPr>
      </w:pPr>
    </w:p>
    <w:p>
      <w:pPr>
        <w:ind w:left="8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w:anchor="page10">
        <w:r>
          <w:rPr>
            <w:rFonts w:ascii="Arial" w:cs="Arial" w:eastAsia="Arial" w:hAnsi="Arial"/>
            <w:sz w:val="16"/>
            <w:szCs w:val="16"/>
            <w:u w:val="single" w:color="auto"/>
            <w:color w:val="0000EE"/>
          </w:rPr>
          <w:t>Amended and Restated Bylaws of the Registrant.</w:t>
        </w:r>
      </w:hyperlink>
    </w:p>
    <w:p>
      <w:pPr>
        <w:spacing w:after="0" w:line="117"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38">
        <w:r>
          <w:rPr>
            <w:rFonts w:ascii="Arial" w:cs="Arial" w:eastAsia="Arial" w:hAnsi="Arial"/>
            <w:sz w:val="15"/>
            <w:szCs w:val="15"/>
            <w:u w:val="single" w:color="auto"/>
            <w:color w:val="0000EE"/>
          </w:rPr>
          <w:t>Press Release, dated August 3, 2021.</w:t>
        </w:r>
      </w:hyperlink>
    </w:p>
    <w:p>
      <w:pPr>
        <w:sectPr>
          <w:pgSz w:w="11900" w:h="16838" w:orient="portrait"/>
          <w:cols w:equalWidth="0" w:num="1">
            <w:col w:w="11000"/>
          </w:cols>
          <w:pgMar w:left="440" w:top="270"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TENAYA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Faraz Ali, M.B.A.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25"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Tenaya Therapeutics, Inc., a corporation organized and existing under the laws of the State of Delaware (the “</w:t>
      </w:r>
      <w:r>
        <w:rPr>
          <w:rFonts w:ascii="Arial" w:cs="Arial" w:eastAsia="Arial" w:hAnsi="Arial"/>
          <w:sz w:val="18"/>
          <w:szCs w:val="18"/>
          <w:b w:val="1"/>
          <w:bCs w:val="1"/>
          <w:color w:val="auto"/>
        </w:rPr>
        <w:t>Company</w:t>
      </w:r>
      <w:r>
        <w:rPr>
          <w:rFonts w:ascii="Arial" w:cs="Arial" w:eastAsia="Arial" w:hAnsi="Arial"/>
          <w:sz w:val="18"/>
          <w:szCs w:val="18"/>
          <w:color w:val="auto"/>
        </w:rPr>
        <w:t>”), does hereby certify as follows: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The original Certificate of Incorporation of the Company was filed with the Secretary of State of the State of Delaware on August 18, 2016.</w:t>
      </w:r>
    </w:p>
    <w:p>
      <w:pPr>
        <w:spacing w:after="0" w:line="23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B. This Amended and Restated Certificate of Incorporation was duly adopted in accordance with Sections 242 and 245 of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by the Board of Directors of the Company (the “</w:t>
      </w:r>
      <w:r>
        <w:rPr>
          <w:rFonts w:ascii="Arial" w:cs="Arial" w:eastAsia="Arial" w:hAnsi="Arial"/>
          <w:sz w:val="18"/>
          <w:szCs w:val="18"/>
          <w:b w:val="1"/>
          <w:bCs w:val="1"/>
          <w:color w:val="auto"/>
        </w:rPr>
        <w:t>Board of Directors</w:t>
      </w:r>
      <w:r>
        <w:rPr>
          <w:rFonts w:ascii="Arial" w:cs="Arial" w:eastAsia="Arial" w:hAnsi="Arial"/>
          <w:sz w:val="18"/>
          <w:szCs w:val="18"/>
          <w:color w:val="auto"/>
        </w:rPr>
        <w:t>”) and has been duly approved by the written consent of the stockholders of the Company in accordance with Section 228 of the DGCL.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 The text of the Amended and Restated Certificate of Incorporation is hereby amended and restated in its entirety to read as follows: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Company is Tenaya Therapeutics,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address of the Company’s registered office in the State of Delaware is 1209 Orange Street, in the City of Wilmington, County of New Castle, Delaware 19801. The name of its registered agent at such address is The Corporation Trust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The nature of the business or purposes to be conducted or promoted by the Company is to engage in any lawful act or activity for which corporations may be organized under the DGCL.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Section 1. This Company is authorized to issue two classes of stock, to be designated, respectively, Common Stock and Preferred Stock. The total number of shares of stock that the Company shall have authority to issue is 1,200,000,000 shares, of which 1,000,000,000 shares are Common Stock, $0.0001 par value per share, and 200,000,000 shares are Preferred Stock, $0.0001 par value per share.</w:t>
      </w:r>
    </w:p>
    <w:p>
      <w:pPr>
        <w:spacing w:after="0" w:line="16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Section 2. Each share of Common Stock outstanding as of the applicable record date shall entitle the holder thereof to one (1) vote on any matter submitted to a vote at a meeting of stockholders.</w:t>
      </w:r>
    </w:p>
    <w:p>
      <w:pPr>
        <w:spacing w:after="0" w:line="170"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Section 3.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w:t>
      </w:r>
    </w:p>
    <w:p>
      <w:pPr>
        <w:sectPr>
          <w:pgSz w:w="11900" w:h="16838" w:orient="portrait"/>
          <w:cols w:equalWidth="0" w:num="1">
            <w:col w:w="11020"/>
          </w:cols>
          <w:pgMar w:left="440" w:top="121" w:right="439" w:bottom="1440" w:gutter="0" w:footer="0" w:header="0"/>
        </w:sectPr>
      </w:pPr>
    </w:p>
    <w:bookmarkStart w:id="4" w:name="page5"/>
    <w:bookmarkEnd w:id="4"/>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this Amended and Restated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pacing w:after="0" w:line="196"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Section 4. Except as otherwise required by law or provided in this Amended and Restated Certificate of Incorporation,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161"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Section 5. 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Section 1. Subject to the rights of holders of Preferred Stock, the number of directors that constitutes the entire Board of Directors of the Company shall be fixed only by resolution of the Board of Directors acting pursuant to a resolution adopted by a majority of the Whole Board. For the purposes of this Amended and Restated Certificate of Incorporation, the term “</w:t>
      </w:r>
      <w:r>
        <w:rPr>
          <w:rFonts w:ascii="Arial" w:cs="Arial" w:eastAsia="Arial" w:hAnsi="Arial"/>
          <w:sz w:val="18"/>
          <w:szCs w:val="18"/>
          <w:b w:val="1"/>
          <w:bCs w:val="1"/>
          <w:color w:val="auto"/>
        </w:rPr>
        <w:t>Whole Board</w:t>
      </w:r>
      <w:r>
        <w:rPr>
          <w:rFonts w:ascii="Arial" w:cs="Arial" w:eastAsia="Arial" w:hAnsi="Arial"/>
          <w:sz w:val="18"/>
          <w:szCs w:val="18"/>
          <w:color w:val="auto"/>
        </w:rPr>
        <w:t>” 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9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Section 2. From and after the effectiveness of this Amended and Restated Certificate of Incorporation, the directors of the Company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274" w:right="459" w:bottom="1440" w:gutter="0" w:footer="0" w:header="0"/>
        </w:sectPr>
      </w:pPr>
    </w:p>
    <w:bookmarkStart w:id="5" w:name="page6"/>
    <w:bookmarkEnd w:id="5"/>
    <w:p>
      <w:pPr>
        <w:ind w:right="1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decrease in the number of directors constituting the Board of Directors shall shorten the term of any incumbent director.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1. From and after the effectiveness of this Amended and Restated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a majority of the voting power of the issued and outstanding capital stock of the Company entitled to vote in the election of directors.</w:t>
      </w:r>
    </w:p>
    <w:p>
      <w:pPr>
        <w:spacing w:after="0" w:line="187"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 The Company is to have perpetual existence.</w:t>
      </w:r>
    </w:p>
    <w:p>
      <w:pPr>
        <w:spacing w:after="0" w:line="225"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Section 2. The business and affairs of the Company shall be managed by or under the direction of the Board of Directors. In addition to the powers and authority expressly conferred upon them by statute or by this Amended and Restated Certificate of Incorporation or the Bylaws of the Company, the directors are hereby empowered to exercise all such powers and do all such acts and things as may be exercised or done by the Company.</w:t>
      </w:r>
    </w:p>
    <w:p>
      <w:pPr>
        <w:spacing w:after="0" w:line="149"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Notwithstanding the above or any other provision of this Amended and Restated Certificate of Incorporation, the Bylaws of the Company may not be amended, altered or repealed except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4" w:right="45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 The election of directors need not be by written ballot unless the Bylaws of the Company shall so provide.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5. No stockholder will be permitted to cumulate votes at any election of directors.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Section 1. From and after the closing of a firm commitment underwritten initial public offering of securities of the Company pursuant to an effective registration statement filed under the Securities Act of 1933, as amended,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87"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Section 2. 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88"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Section 3. Advance notice of stockholder nominations for the election of directors and of business to be brought by stockholders before any meeting of the stockholders of the Company shall be given in the manner and to the extent provided in the Bylaws of the Company.</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Section 1. 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8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Section 2. 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4" w:right="459" w:bottom="1440" w:gutter="0" w:footer="0" w:header="0"/>
        </w:sectPr>
      </w:pPr>
    </w:p>
    <w:bookmarkStart w:id="7" w:name="page8"/>
    <w:bookmarkEnd w:id="7"/>
    <w:p>
      <w:pPr>
        <w:ind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 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6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Section 4. Neither any amendment nor repeal of any Section of this ARTICLE IX, nor the adoption of any provision of this Amended and Restated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or adoption of an inconsistent provision.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 xml:space="preserve">The Company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any other provision of this Amended and Restated Certificate of Incorporation or any provision of law that might</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Amended and Restated Certificate of Incorporation.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0"/>
          </w:cols>
          <w:pgMar w:left="440" w:top="274" w:right="459" w:bottom="1440" w:gutter="0" w:footer="0" w:header="0"/>
        </w:sectPr>
      </w:pPr>
    </w:p>
    <w:bookmarkStart w:id="8" w:name="page9"/>
    <w:bookmarkEnd w:id="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Tenaya Therapeutics, Inc. has caused this Amended and Restated Certificate of Incorporation to be signed by the Chief Executive Officer of the Company on this 3rd day of August, 2021.</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Faraz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Faraz Ali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274" w:right="4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AMENDED AND RESTATED BYLAWS OF</w:t>
      </w:r>
    </w:p>
    <w:p>
      <w:pPr>
        <w:spacing w:after="0" w:line="23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TENAYA THERAPEUTICS, INC.</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(initially adopted on August 18, 2016)</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(as amended and restated on August 3, 2021)</w:t>
      </w:r>
    </w:p>
    <w:p>
      <w:pPr>
        <w:sectPr>
          <w:pgSz w:w="11900" w:h="16838" w:orient="portrait"/>
          <w:cols w:equalWidth="0" w:num="1">
            <w:col w:w="10020"/>
          </w:cols>
          <w:pgMar w:left="1440" w:top="121"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7900" w:type="dxa"/>
            <w:vAlign w:val="bottom"/>
          </w:tcPr>
          <w:p>
            <w:pPr>
              <w:ind w:left="3520"/>
              <w:spacing w:after="0"/>
              <w:rPr>
                <w:sz w:val="20"/>
                <w:szCs w:val="20"/>
                <w:color w:val="auto"/>
              </w:rPr>
            </w:pPr>
            <w:r>
              <w:rPr>
                <w:rFonts w:ascii="Arial" w:cs="Arial" w:eastAsia="Arial" w:hAnsi="Arial"/>
                <w:sz w:val="18"/>
                <w:szCs w:val="18"/>
                <w:b w:val="1"/>
                <w:bCs w:val="1"/>
                <w:color w:val="auto"/>
              </w:rPr>
              <w:t>TABLE OF CONTENTS</w:t>
            </w:r>
          </w:p>
        </w:tc>
        <w:tc>
          <w:tcPr>
            <w:tcW w:w="2040" w:type="dxa"/>
            <w:vAlign w:val="bottom"/>
          </w:tcPr>
          <w:p>
            <w:pPr>
              <w:spacing w:after="0"/>
              <w:rPr>
                <w:sz w:val="20"/>
                <w:szCs w:val="20"/>
                <w:color w:val="auto"/>
              </w:rPr>
            </w:pPr>
          </w:p>
        </w:tc>
      </w:tr>
      <w:tr>
        <w:trPr>
          <w:trHeight w:val="406"/>
        </w:trPr>
        <w:tc>
          <w:tcPr>
            <w:tcW w:w="10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Page</w:t>
            </w:r>
          </w:p>
        </w:tc>
      </w:tr>
      <w:tr>
        <w:trPr>
          <w:trHeight w:val="309"/>
        </w:trPr>
        <w:tc>
          <w:tcPr>
            <w:tcW w:w="8920" w:type="dxa"/>
            <w:vAlign w:val="bottom"/>
            <w:gridSpan w:val="2"/>
          </w:tcPr>
          <w:p>
            <w:pPr>
              <w:spacing w:after="0"/>
              <w:rPr>
                <w:sz w:val="20"/>
                <w:szCs w:val="20"/>
                <w:color w:val="auto"/>
              </w:rPr>
            </w:pPr>
            <w:r>
              <w:rPr>
                <w:rFonts w:ascii="Arial" w:cs="Arial" w:eastAsia="Arial" w:hAnsi="Arial"/>
                <w:sz w:val="18"/>
                <w:szCs w:val="18"/>
                <w:color w:val="auto"/>
              </w:rPr>
              <w:t>ARTICLE I - CORPORATE OFFICES</w:t>
            </w: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020" w:type="dxa"/>
            <w:vAlign w:val="bottom"/>
          </w:tcPr>
          <w:p>
            <w:pPr>
              <w:ind w:left="540"/>
              <w:spacing w:after="0"/>
              <w:rPr>
                <w:sz w:val="20"/>
                <w:szCs w:val="20"/>
                <w:color w:val="auto"/>
              </w:rPr>
            </w:pPr>
            <w:r>
              <w:rPr>
                <w:rFonts w:ascii="Arial" w:cs="Arial" w:eastAsia="Arial" w:hAnsi="Arial"/>
                <w:sz w:val="18"/>
                <w:szCs w:val="18"/>
                <w:color w:val="auto"/>
              </w:rPr>
              <w:t>1.1</w:t>
            </w:r>
          </w:p>
        </w:tc>
        <w:tc>
          <w:tcPr>
            <w:tcW w:w="7900" w:type="dxa"/>
            <w:vAlign w:val="bottom"/>
          </w:tcPr>
          <w:p>
            <w:pPr>
              <w:ind w:left="160"/>
              <w:spacing w:after="0"/>
              <w:rPr>
                <w:sz w:val="20"/>
                <w:szCs w:val="20"/>
                <w:color w:val="auto"/>
              </w:rPr>
            </w:pPr>
            <w:r>
              <w:rPr>
                <w:rFonts w:ascii="Arial" w:cs="Arial" w:eastAsia="Arial" w:hAnsi="Arial"/>
                <w:sz w:val="18"/>
                <w:szCs w:val="18"/>
                <w:color w:val="auto"/>
              </w:rPr>
              <w:t>REGISTERED OFFICE</w:t>
            </w: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20" w:type="dxa"/>
            <w:vAlign w:val="bottom"/>
          </w:tcPr>
          <w:p>
            <w:pPr>
              <w:ind w:left="540"/>
              <w:spacing w:after="0"/>
              <w:rPr>
                <w:sz w:val="20"/>
                <w:szCs w:val="20"/>
                <w:color w:val="auto"/>
              </w:rPr>
            </w:pPr>
            <w:r>
              <w:rPr>
                <w:rFonts w:ascii="Arial" w:cs="Arial" w:eastAsia="Arial" w:hAnsi="Arial"/>
                <w:sz w:val="18"/>
                <w:szCs w:val="18"/>
                <w:color w:val="auto"/>
              </w:rPr>
              <w:t>1.2</w:t>
            </w:r>
          </w:p>
        </w:tc>
        <w:tc>
          <w:tcPr>
            <w:tcW w:w="7900" w:type="dxa"/>
            <w:vAlign w:val="bottom"/>
          </w:tcPr>
          <w:p>
            <w:pPr>
              <w:ind w:left="160"/>
              <w:spacing w:after="0"/>
              <w:rPr>
                <w:sz w:val="20"/>
                <w:szCs w:val="20"/>
                <w:color w:val="auto"/>
              </w:rPr>
            </w:pPr>
            <w:r>
              <w:rPr>
                <w:rFonts w:ascii="Arial" w:cs="Arial" w:eastAsia="Arial" w:hAnsi="Arial"/>
                <w:sz w:val="18"/>
                <w:szCs w:val="18"/>
                <w:color w:val="auto"/>
              </w:rPr>
              <w:t>OTHER OFFICES</w:t>
            </w: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II - MEETINGS OF STOCKHOLDERS</w:t>
            </w: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020" w:type="dxa"/>
            <w:vAlign w:val="bottom"/>
          </w:tcPr>
          <w:p>
            <w:pPr>
              <w:ind w:left="540"/>
              <w:spacing w:after="0"/>
              <w:rPr>
                <w:sz w:val="20"/>
                <w:szCs w:val="20"/>
                <w:color w:val="auto"/>
              </w:rPr>
            </w:pPr>
            <w:r>
              <w:rPr>
                <w:rFonts w:ascii="Arial" w:cs="Arial" w:eastAsia="Arial" w:hAnsi="Arial"/>
                <w:sz w:val="18"/>
                <w:szCs w:val="18"/>
                <w:color w:val="auto"/>
              </w:rPr>
              <w:t>2.1</w:t>
            </w:r>
          </w:p>
        </w:tc>
        <w:tc>
          <w:tcPr>
            <w:tcW w:w="7900" w:type="dxa"/>
            <w:vAlign w:val="bottom"/>
          </w:tcPr>
          <w:p>
            <w:pPr>
              <w:ind w:left="160"/>
              <w:spacing w:after="0"/>
              <w:rPr>
                <w:sz w:val="20"/>
                <w:szCs w:val="20"/>
                <w:color w:val="auto"/>
              </w:rPr>
            </w:pPr>
            <w:r>
              <w:rPr>
                <w:rFonts w:ascii="Arial" w:cs="Arial" w:eastAsia="Arial" w:hAnsi="Arial"/>
                <w:sz w:val="18"/>
                <w:szCs w:val="18"/>
                <w:color w:val="auto"/>
              </w:rPr>
              <w:t>PLACE OF MEETINGS</w:t>
            </w: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2.2</w:t>
            </w:r>
          </w:p>
        </w:tc>
        <w:tc>
          <w:tcPr>
            <w:tcW w:w="7900" w:type="dxa"/>
            <w:vAlign w:val="bottom"/>
          </w:tcPr>
          <w:p>
            <w:pPr>
              <w:ind w:left="160"/>
              <w:spacing w:after="0"/>
              <w:rPr>
                <w:sz w:val="20"/>
                <w:szCs w:val="20"/>
                <w:color w:val="auto"/>
              </w:rPr>
            </w:pPr>
            <w:r>
              <w:rPr>
                <w:rFonts w:ascii="Arial" w:cs="Arial" w:eastAsia="Arial" w:hAnsi="Arial"/>
                <w:sz w:val="18"/>
                <w:szCs w:val="18"/>
                <w:color w:val="auto"/>
              </w:rPr>
              <w:t>ANNUAL MEETING</w:t>
            </w: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2.3</w:t>
            </w:r>
          </w:p>
        </w:tc>
        <w:tc>
          <w:tcPr>
            <w:tcW w:w="7900" w:type="dxa"/>
            <w:vAlign w:val="bottom"/>
          </w:tcPr>
          <w:p>
            <w:pPr>
              <w:ind w:left="160"/>
              <w:spacing w:after="0"/>
              <w:rPr>
                <w:sz w:val="20"/>
                <w:szCs w:val="20"/>
                <w:color w:val="auto"/>
              </w:rPr>
            </w:pPr>
            <w:r>
              <w:rPr>
                <w:rFonts w:ascii="Arial" w:cs="Arial" w:eastAsia="Arial" w:hAnsi="Arial"/>
                <w:sz w:val="18"/>
                <w:szCs w:val="18"/>
                <w:color w:val="auto"/>
              </w:rPr>
              <w:t>SPECIAL MEETING</w:t>
            </w: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2.4</w:t>
            </w:r>
          </w:p>
        </w:tc>
        <w:tc>
          <w:tcPr>
            <w:tcW w:w="7900" w:type="dxa"/>
            <w:vAlign w:val="bottom"/>
          </w:tcPr>
          <w:p>
            <w:pPr>
              <w:ind w:left="160"/>
              <w:spacing w:after="0"/>
              <w:rPr>
                <w:sz w:val="20"/>
                <w:szCs w:val="20"/>
                <w:color w:val="auto"/>
              </w:rPr>
            </w:pPr>
            <w:r>
              <w:rPr>
                <w:rFonts w:ascii="Arial" w:cs="Arial" w:eastAsia="Arial" w:hAnsi="Arial"/>
                <w:sz w:val="18"/>
                <w:szCs w:val="18"/>
                <w:color w:val="auto"/>
              </w:rPr>
              <w:t>ADVANCE NOTICE PROCEDURES</w:t>
            </w:r>
          </w:p>
        </w:tc>
        <w:tc>
          <w:tcPr>
            <w:tcW w:w="2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2.5</w:t>
            </w:r>
          </w:p>
        </w:tc>
        <w:tc>
          <w:tcPr>
            <w:tcW w:w="7900" w:type="dxa"/>
            <w:vAlign w:val="bottom"/>
          </w:tcPr>
          <w:p>
            <w:pPr>
              <w:ind w:left="160"/>
              <w:spacing w:after="0"/>
              <w:rPr>
                <w:sz w:val="20"/>
                <w:szCs w:val="20"/>
                <w:color w:val="auto"/>
              </w:rPr>
            </w:pPr>
            <w:r>
              <w:rPr>
                <w:rFonts w:ascii="Arial" w:cs="Arial" w:eastAsia="Arial" w:hAnsi="Arial"/>
                <w:sz w:val="18"/>
                <w:szCs w:val="18"/>
                <w:color w:val="auto"/>
              </w:rPr>
              <w:t>NOTICE OF STOCKHOLDERS’ MEETINGS</w:t>
            </w:r>
          </w:p>
        </w:tc>
        <w:tc>
          <w:tcPr>
            <w:tcW w:w="2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2.6</w:t>
            </w:r>
          </w:p>
        </w:tc>
        <w:tc>
          <w:tcPr>
            <w:tcW w:w="7900" w:type="dxa"/>
            <w:vAlign w:val="bottom"/>
          </w:tcPr>
          <w:p>
            <w:pPr>
              <w:ind w:left="160"/>
              <w:spacing w:after="0"/>
              <w:rPr>
                <w:sz w:val="20"/>
                <w:szCs w:val="20"/>
                <w:color w:val="auto"/>
              </w:rPr>
            </w:pPr>
            <w:r>
              <w:rPr>
                <w:rFonts w:ascii="Arial" w:cs="Arial" w:eastAsia="Arial" w:hAnsi="Arial"/>
                <w:sz w:val="18"/>
                <w:szCs w:val="18"/>
                <w:color w:val="auto"/>
              </w:rPr>
              <w:t>QUORUM</w:t>
            </w:r>
          </w:p>
        </w:tc>
        <w:tc>
          <w:tcPr>
            <w:tcW w:w="2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2.7</w:t>
            </w:r>
          </w:p>
        </w:tc>
        <w:tc>
          <w:tcPr>
            <w:tcW w:w="7900" w:type="dxa"/>
            <w:vAlign w:val="bottom"/>
          </w:tcPr>
          <w:p>
            <w:pPr>
              <w:ind w:left="160"/>
              <w:spacing w:after="0"/>
              <w:rPr>
                <w:sz w:val="20"/>
                <w:szCs w:val="20"/>
                <w:color w:val="auto"/>
              </w:rPr>
            </w:pPr>
            <w:r>
              <w:rPr>
                <w:rFonts w:ascii="Arial" w:cs="Arial" w:eastAsia="Arial" w:hAnsi="Arial"/>
                <w:sz w:val="18"/>
                <w:szCs w:val="18"/>
                <w:color w:val="auto"/>
              </w:rPr>
              <w:t>ADJOURNED MEETING; NOTICE</w:t>
            </w:r>
          </w:p>
        </w:tc>
        <w:tc>
          <w:tcPr>
            <w:tcW w:w="2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2.8</w:t>
            </w:r>
          </w:p>
        </w:tc>
        <w:tc>
          <w:tcPr>
            <w:tcW w:w="7900" w:type="dxa"/>
            <w:vAlign w:val="bottom"/>
          </w:tcPr>
          <w:p>
            <w:pPr>
              <w:ind w:left="160"/>
              <w:spacing w:after="0"/>
              <w:rPr>
                <w:sz w:val="20"/>
                <w:szCs w:val="20"/>
                <w:color w:val="auto"/>
              </w:rPr>
            </w:pPr>
            <w:r>
              <w:rPr>
                <w:rFonts w:ascii="Arial" w:cs="Arial" w:eastAsia="Arial" w:hAnsi="Arial"/>
                <w:sz w:val="18"/>
                <w:szCs w:val="18"/>
                <w:color w:val="auto"/>
              </w:rPr>
              <w:t>CONDUCT OF BUSINESS</w:t>
            </w:r>
          </w:p>
        </w:tc>
        <w:tc>
          <w:tcPr>
            <w:tcW w:w="2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2.9</w:t>
            </w:r>
          </w:p>
        </w:tc>
        <w:tc>
          <w:tcPr>
            <w:tcW w:w="7900" w:type="dxa"/>
            <w:vAlign w:val="bottom"/>
          </w:tcPr>
          <w:p>
            <w:pPr>
              <w:ind w:left="160"/>
              <w:spacing w:after="0"/>
              <w:rPr>
                <w:sz w:val="20"/>
                <w:szCs w:val="20"/>
                <w:color w:val="auto"/>
              </w:rPr>
            </w:pPr>
            <w:r>
              <w:rPr>
                <w:rFonts w:ascii="Arial" w:cs="Arial" w:eastAsia="Arial" w:hAnsi="Arial"/>
                <w:sz w:val="18"/>
                <w:szCs w:val="18"/>
                <w:color w:val="auto"/>
              </w:rPr>
              <w:t>VOTING</w:t>
            </w:r>
          </w:p>
        </w:tc>
        <w:tc>
          <w:tcPr>
            <w:tcW w:w="2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2.10</w:t>
            </w:r>
          </w:p>
        </w:tc>
        <w:tc>
          <w:tcPr>
            <w:tcW w:w="7900" w:type="dxa"/>
            <w:vAlign w:val="bottom"/>
          </w:tcPr>
          <w:p>
            <w:pPr>
              <w:ind w:left="160"/>
              <w:spacing w:after="0"/>
              <w:rPr>
                <w:sz w:val="20"/>
                <w:szCs w:val="20"/>
                <w:color w:val="auto"/>
              </w:rPr>
            </w:pPr>
            <w:r>
              <w:rPr>
                <w:rFonts w:ascii="Arial" w:cs="Arial" w:eastAsia="Arial" w:hAnsi="Arial"/>
                <w:sz w:val="18"/>
                <w:szCs w:val="18"/>
                <w:color w:val="auto"/>
              </w:rPr>
              <w:t>STOCKHOLDER ACTION BY WRITTEN CONSENT WITHOUT A MEETING</w:t>
            </w:r>
          </w:p>
        </w:tc>
        <w:tc>
          <w:tcPr>
            <w:tcW w:w="2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20" w:type="dxa"/>
            <w:vAlign w:val="bottom"/>
          </w:tcPr>
          <w:p>
            <w:pPr>
              <w:ind w:left="560"/>
              <w:spacing w:after="0"/>
              <w:rPr>
                <w:sz w:val="20"/>
                <w:szCs w:val="20"/>
                <w:color w:val="auto"/>
              </w:rPr>
            </w:pPr>
            <w:r>
              <w:rPr>
                <w:rFonts w:ascii="Arial" w:cs="Arial" w:eastAsia="Arial" w:hAnsi="Arial"/>
                <w:sz w:val="18"/>
                <w:szCs w:val="18"/>
                <w:color w:val="auto"/>
              </w:rPr>
              <w:t>2.11</w:t>
            </w:r>
          </w:p>
        </w:tc>
        <w:tc>
          <w:tcPr>
            <w:tcW w:w="7900" w:type="dxa"/>
            <w:vAlign w:val="bottom"/>
          </w:tcPr>
          <w:p>
            <w:pPr>
              <w:ind w:left="160"/>
              <w:spacing w:after="0"/>
              <w:rPr>
                <w:sz w:val="20"/>
                <w:szCs w:val="20"/>
                <w:color w:val="auto"/>
              </w:rPr>
            </w:pPr>
            <w:r>
              <w:rPr>
                <w:rFonts w:ascii="Arial" w:cs="Arial" w:eastAsia="Arial" w:hAnsi="Arial"/>
                <w:sz w:val="18"/>
                <w:szCs w:val="18"/>
                <w:color w:val="auto"/>
              </w:rPr>
              <w:t>RECORD DATES</w:t>
            </w:r>
          </w:p>
        </w:tc>
        <w:tc>
          <w:tcPr>
            <w:tcW w:w="2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2.12</w:t>
            </w:r>
          </w:p>
        </w:tc>
        <w:tc>
          <w:tcPr>
            <w:tcW w:w="7900" w:type="dxa"/>
            <w:vAlign w:val="bottom"/>
          </w:tcPr>
          <w:p>
            <w:pPr>
              <w:ind w:left="160"/>
              <w:spacing w:after="0"/>
              <w:rPr>
                <w:sz w:val="20"/>
                <w:szCs w:val="20"/>
                <w:color w:val="auto"/>
              </w:rPr>
            </w:pPr>
            <w:r>
              <w:rPr>
                <w:rFonts w:ascii="Arial" w:cs="Arial" w:eastAsia="Arial" w:hAnsi="Arial"/>
                <w:sz w:val="18"/>
                <w:szCs w:val="18"/>
                <w:color w:val="auto"/>
              </w:rPr>
              <w:t>PROXIES</w:t>
            </w:r>
          </w:p>
        </w:tc>
        <w:tc>
          <w:tcPr>
            <w:tcW w:w="2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2.13</w:t>
            </w:r>
          </w:p>
        </w:tc>
        <w:tc>
          <w:tcPr>
            <w:tcW w:w="7900" w:type="dxa"/>
            <w:vAlign w:val="bottom"/>
          </w:tcPr>
          <w:p>
            <w:pPr>
              <w:ind w:left="160"/>
              <w:spacing w:after="0"/>
              <w:rPr>
                <w:sz w:val="20"/>
                <w:szCs w:val="20"/>
                <w:color w:val="auto"/>
              </w:rPr>
            </w:pPr>
            <w:r>
              <w:rPr>
                <w:rFonts w:ascii="Arial" w:cs="Arial" w:eastAsia="Arial" w:hAnsi="Arial"/>
                <w:sz w:val="18"/>
                <w:szCs w:val="18"/>
                <w:color w:val="auto"/>
              </w:rPr>
              <w:t>LIST OF STOCKHOLDERS ENTITLED TO VOTE</w:t>
            </w:r>
          </w:p>
        </w:tc>
        <w:tc>
          <w:tcPr>
            <w:tcW w:w="2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20" w:type="dxa"/>
            <w:vAlign w:val="bottom"/>
          </w:tcPr>
          <w:p>
            <w:pPr>
              <w:ind w:left="540"/>
              <w:spacing w:after="0"/>
              <w:rPr>
                <w:sz w:val="20"/>
                <w:szCs w:val="20"/>
                <w:color w:val="auto"/>
              </w:rPr>
            </w:pPr>
            <w:r>
              <w:rPr>
                <w:rFonts w:ascii="Arial" w:cs="Arial" w:eastAsia="Arial" w:hAnsi="Arial"/>
                <w:sz w:val="18"/>
                <w:szCs w:val="18"/>
                <w:color w:val="auto"/>
              </w:rPr>
              <w:t>2.14</w:t>
            </w:r>
          </w:p>
        </w:tc>
        <w:tc>
          <w:tcPr>
            <w:tcW w:w="7900" w:type="dxa"/>
            <w:vAlign w:val="bottom"/>
          </w:tcPr>
          <w:p>
            <w:pPr>
              <w:ind w:left="160"/>
              <w:spacing w:after="0"/>
              <w:rPr>
                <w:sz w:val="20"/>
                <w:szCs w:val="20"/>
                <w:color w:val="auto"/>
              </w:rPr>
            </w:pPr>
            <w:r>
              <w:rPr>
                <w:rFonts w:ascii="Arial" w:cs="Arial" w:eastAsia="Arial" w:hAnsi="Arial"/>
                <w:sz w:val="18"/>
                <w:szCs w:val="18"/>
                <w:color w:val="auto"/>
              </w:rPr>
              <w:t>INSPECTORS OF ELECTION</w:t>
            </w:r>
          </w:p>
        </w:tc>
        <w:tc>
          <w:tcPr>
            <w:tcW w:w="2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III - DIRECTORS</w:t>
            </w:r>
          </w:p>
        </w:tc>
        <w:tc>
          <w:tcPr>
            <w:tcW w:w="2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020" w:type="dxa"/>
            <w:vAlign w:val="bottom"/>
          </w:tcPr>
          <w:p>
            <w:pPr>
              <w:ind w:left="540"/>
              <w:spacing w:after="0"/>
              <w:rPr>
                <w:sz w:val="20"/>
                <w:szCs w:val="20"/>
                <w:color w:val="auto"/>
              </w:rPr>
            </w:pPr>
            <w:r>
              <w:rPr>
                <w:rFonts w:ascii="Arial" w:cs="Arial" w:eastAsia="Arial" w:hAnsi="Arial"/>
                <w:sz w:val="18"/>
                <w:szCs w:val="18"/>
                <w:color w:val="auto"/>
              </w:rPr>
              <w:t>3.1</w:t>
            </w:r>
          </w:p>
        </w:tc>
        <w:tc>
          <w:tcPr>
            <w:tcW w:w="7900" w:type="dxa"/>
            <w:vAlign w:val="bottom"/>
          </w:tcPr>
          <w:p>
            <w:pPr>
              <w:ind w:left="160"/>
              <w:spacing w:after="0"/>
              <w:rPr>
                <w:sz w:val="20"/>
                <w:szCs w:val="20"/>
                <w:color w:val="auto"/>
              </w:rPr>
            </w:pPr>
            <w:r>
              <w:rPr>
                <w:rFonts w:ascii="Arial" w:cs="Arial" w:eastAsia="Arial" w:hAnsi="Arial"/>
                <w:sz w:val="18"/>
                <w:szCs w:val="18"/>
                <w:color w:val="auto"/>
              </w:rPr>
              <w:t>POWERS</w:t>
            </w:r>
          </w:p>
        </w:tc>
        <w:tc>
          <w:tcPr>
            <w:tcW w:w="2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3.2</w:t>
            </w:r>
          </w:p>
        </w:tc>
        <w:tc>
          <w:tcPr>
            <w:tcW w:w="7900" w:type="dxa"/>
            <w:vAlign w:val="bottom"/>
          </w:tcPr>
          <w:p>
            <w:pPr>
              <w:ind w:left="160"/>
              <w:spacing w:after="0"/>
              <w:rPr>
                <w:sz w:val="20"/>
                <w:szCs w:val="20"/>
                <w:color w:val="auto"/>
              </w:rPr>
            </w:pPr>
            <w:r>
              <w:rPr>
                <w:rFonts w:ascii="Arial" w:cs="Arial" w:eastAsia="Arial" w:hAnsi="Arial"/>
                <w:sz w:val="18"/>
                <w:szCs w:val="18"/>
                <w:color w:val="auto"/>
              </w:rPr>
              <w:t>NUMBER OF DIRECTORS</w:t>
            </w:r>
          </w:p>
        </w:tc>
        <w:tc>
          <w:tcPr>
            <w:tcW w:w="2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3.3</w:t>
            </w:r>
          </w:p>
        </w:tc>
        <w:tc>
          <w:tcPr>
            <w:tcW w:w="7900" w:type="dxa"/>
            <w:vAlign w:val="bottom"/>
          </w:tcPr>
          <w:p>
            <w:pPr>
              <w:ind w:left="160"/>
              <w:spacing w:after="0"/>
              <w:rPr>
                <w:sz w:val="20"/>
                <w:szCs w:val="20"/>
                <w:color w:val="auto"/>
              </w:rPr>
            </w:pPr>
            <w:r>
              <w:rPr>
                <w:rFonts w:ascii="Arial" w:cs="Arial" w:eastAsia="Arial" w:hAnsi="Arial"/>
                <w:sz w:val="18"/>
                <w:szCs w:val="18"/>
                <w:color w:val="auto"/>
              </w:rPr>
              <w:t>ELECTION, QUALIFICATION AND TERM OF OFFICE OF DIRECTORS</w:t>
            </w:r>
          </w:p>
        </w:tc>
        <w:tc>
          <w:tcPr>
            <w:tcW w:w="2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3.4</w:t>
            </w:r>
          </w:p>
        </w:tc>
        <w:tc>
          <w:tcPr>
            <w:tcW w:w="7900" w:type="dxa"/>
            <w:vAlign w:val="bottom"/>
          </w:tcPr>
          <w:p>
            <w:pPr>
              <w:ind w:left="160"/>
              <w:spacing w:after="0"/>
              <w:rPr>
                <w:sz w:val="20"/>
                <w:szCs w:val="20"/>
                <w:color w:val="auto"/>
              </w:rPr>
            </w:pPr>
            <w:r>
              <w:rPr>
                <w:rFonts w:ascii="Arial" w:cs="Arial" w:eastAsia="Arial" w:hAnsi="Arial"/>
                <w:sz w:val="18"/>
                <w:szCs w:val="18"/>
                <w:color w:val="auto"/>
              </w:rPr>
              <w:t>RESIGNATION AND VACANCIES</w:t>
            </w:r>
          </w:p>
        </w:tc>
        <w:tc>
          <w:tcPr>
            <w:tcW w:w="2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3.5</w:t>
            </w:r>
          </w:p>
        </w:tc>
        <w:tc>
          <w:tcPr>
            <w:tcW w:w="7900" w:type="dxa"/>
            <w:vAlign w:val="bottom"/>
          </w:tcPr>
          <w:p>
            <w:pPr>
              <w:ind w:left="160"/>
              <w:spacing w:after="0"/>
              <w:rPr>
                <w:sz w:val="20"/>
                <w:szCs w:val="20"/>
                <w:color w:val="auto"/>
              </w:rPr>
            </w:pPr>
            <w:r>
              <w:rPr>
                <w:rFonts w:ascii="Arial" w:cs="Arial" w:eastAsia="Arial" w:hAnsi="Arial"/>
                <w:sz w:val="18"/>
                <w:szCs w:val="18"/>
                <w:color w:val="auto"/>
              </w:rPr>
              <w:t>PLACE OF MEETINGS; MEETINGS BY TELEPHONE</w:t>
            </w:r>
          </w:p>
        </w:tc>
        <w:tc>
          <w:tcPr>
            <w:tcW w:w="2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3.6</w:t>
            </w:r>
          </w:p>
        </w:tc>
        <w:tc>
          <w:tcPr>
            <w:tcW w:w="7900" w:type="dxa"/>
            <w:vAlign w:val="bottom"/>
          </w:tcPr>
          <w:p>
            <w:pPr>
              <w:ind w:left="160"/>
              <w:spacing w:after="0"/>
              <w:rPr>
                <w:sz w:val="20"/>
                <w:szCs w:val="20"/>
                <w:color w:val="auto"/>
              </w:rPr>
            </w:pPr>
            <w:r>
              <w:rPr>
                <w:rFonts w:ascii="Arial" w:cs="Arial" w:eastAsia="Arial" w:hAnsi="Arial"/>
                <w:sz w:val="18"/>
                <w:szCs w:val="18"/>
                <w:color w:val="auto"/>
              </w:rPr>
              <w:t>REGULAR MEETINGS</w:t>
            </w:r>
          </w:p>
        </w:tc>
        <w:tc>
          <w:tcPr>
            <w:tcW w:w="2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3.7</w:t>
            </w:r>
          </w:p>
        </w:tc>
        <w:tc>
          <w:tcPr>
            <w:tcW w:w="7900" w:type="dxa"/>
            <w:vAlign w:val="bottom"/>
          </w:tcPr>
          <w:p>
            <w:pPr>
              <w:ind w:left="160"/>
              <w:spacing w:after="0"/>
              <w:rPr>
                <w:sz w:val="20"/>
                <w:szCs w:val="20"/>
                <w:color w:val="auto"/>
              </w:rPr>
            </w:pPr>
            <w:r>
              <w:rPr>
                <w:rFonts w:ascii="Arial" w:cs="Arial" w:eastAsia="Arial" w:hAnsi="Arial"/>
                <w:sz w:val="18"/>
                <w:szCs w:val="18"/>
                <w:color w:val="auto"/>
              </w:rPr>
              <w:t>SPECIAL MEETINGS; NOTICE</w:t>
            </w:r>
          </w:p>
        </w:tc>
        <w:tc>
          <w:tcPr>
            <w:tcW w:w="2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3.8</w:t>
            </w:r>
          </w:p>
        </w:tc>
        <w:tc>
          <w:tcPr>
            <w:tcW w:w="7900" w:type="dxa"/>
            <w:vAlign w:val="bottom"/>
          </w:tcPr>
          <w:p>
            <w:pPr>
              <w:ind w:left="160"/>
              <w:spacing w:after="0"/>
              <w:rPr>
                <w:sz w:val="20"/>
                <w:szCs w:val="20"/>
                <w:color w:val="auto"/>
              </w:rPr>
            </w:pPr>
            <w:r>
              <w:rPr>
                <w:rFonts w:ascii="Arial" w:cs="Arial" w:eastAsia="Arial" w:hAnsi="Arial"/>
                <w:sz w:val="18"/>
                <w:szCs w:val="18"/>
                <w:color w:val="auto"/>
              </w:rPr>
              <w:t>QUORUM; VOTING</w:t>
            </w:r>
          </w:p>
        </w:tc>
        <w:tc>
          <w:tcPr>
            <w:tcW w:w="2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3.9</w:t>
            </w:r>
          </w:p>
        </w:tc>
        <w:tc>
          <w:tcPr>
            <w:tcW w:w="7900" w:type="dxa"/>
            <w:vAlign w:val="bottom"/>
          </w:tcPr>
          <w:p>
            <w:pPr>
              <w:ind w:left="160"/>
              <w:spacing w:after="0"/>
              <w:rPr>
                <w:sz w:val="20"/>
                <w:szCs w:val="20"/>
                <w:color w:val="auto"/>
              </w:rPr>
            </w:pPr>
            <w:r>
              <w:rPr>
                <w:rFonts w:ascii="Arial" w:cs="Arial" w:eastAsia="Arial" w:hAnsi="Arial"/>
                <w:sz w:val="18"/>
                <w:szCs w:val="18"/>
                <w:color w:val="auto"/>
              </w:rPr>
              <w:t>BOARD ACTION BY WRITTEN CONSENT WITHOUT A MEETING</w:t>
            </w:r>
          </w:p>
        </w:tc>
        <w:tc>
          <w:tcPr>
            <w:tcW w:w="2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3.10</w:t>
            </w:r>
          </w:p>
        </w:tc>
        <w:tc>
          <w:tcPr>
            <w:tcW w:w="7900" w:type="dxa"/>
            <w:vAlign w:val="bottom"/>
          </w:tcPr>
          <w:p>
            <w:pPr>
              <w:ind w:left="160"/>
              <w:spacing w:after="0"/>
              <w:rPr>
                <w:sz w:val="20"/>
                <w:szCs w:val="20"/>
                <w:color w:val="auto"/>
              </w:rPr>
            </w:pPr>
            <w:r>
              <w:rPr>
                <w:rFonts w:ascii="Arial" w:cs="Arial" w:eastAsia="Arial" w:hAnsi="Arial"/>
                <w:sz w:val="18"/>
                <w:szCs w:val="18"/>
                <w:color w:val="auto"/>
              </w:rPr>
              <w:t>FEES AND COMPENSATION OF DIRECTORS</w:t>
            </w:r>
          </w:p>
        </w:tc>
        <w:tc>
          <w:tcPr>
            <w:tcW w:w="2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020" w:type="dxa"/>
            <w:vAlign w:val="bottom"/>
          </w:tcPr>
          <w:p>
            <w:pPr>
              <w:ind w:left="560"/>
              <w:spacing w:after="0"/>
              <w:rPr>
                <w:sz w:val="20"/>
                <w:szCs w:val="20"/>
                <w:color w:val="auto"/>
              </w:rPr>
            </w:pPr>
            <w:r>
              <w:rPr>
                <w:rFonts w:ascii="Arial" w:cs="Arial" w:eastAsia="Arial" w:hAnsi="Arial"/>
                <w:sz w:val="18"/>
                <w:szCs w:val="18"/>
                <w:color w:val="auto"/>
              </w:rPr>
              <w:t>3.11</w:t>
            </w:r>
          </w:p>
        </w:tc>
        <w:tc>
          <w:tcPr>
            <w:tcW w:w="7900" w:type="dxa"/>
            <w:vAlign w:val="bottom"/>
          </w:tcPr>
          <w:p>
            <w:pPr>
              <w:ind w:left="160"/>
              <w:spacing w:after="0"/>
              <w:rPr>
                <w:sz w:val="20"/>
                <w:szCs w:val="20"/>
                <w:color w:val="auto"/>
              </w:rPr>
            </w:pPr>
            <w:r>
              <w:rPr>
                <w:rFonts w:ascii="Arial" w:cs="Arial" w:eastAsia="Arial" w:hAnsi="Arial"/>
                <w:sz w:val="18"/>
                <w:szCs w:val="18"/>
                <w:color w:val="auto"/>
              </w:rPr>
              <w:t>REMOVAL OF DIRECTORS</w:t>
            </w:r>
          </w:p>
        </w:tc>
        <w:tc>
          <w:tcPr>
            <w:tcW w:w="2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IV - COMMITTEES</w:t>
            </w:r>
          </w:p>
        </w:tc>
        <w:tc>
          <w:tcPr>
            <w:tcW w:w="2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020" w:type="dxa"/>
            <w:vAlign w:val="bottom"/>
          </w:tcPr>
          <w:p>
            <w:pPr>
              <w:ind w:left="540"/>
              <w:spacing w:after="0"/>
              <w:rPr>
                <w:sz w:val="20"/>
                <w:szCs w:val="20"/>
                <w:color w:val="auto"/>
              </w:rPr>
            </w:pPr>
            <w:r>
              <w:rPr>
                <w:rFonts w:ascii="Arial" w:cs="Arial" w:eastAsia="Arial" w:hAnsi="Arial"/>
                <w:sz w:val="18"/>
                <w:szCs w:val="18"/>
                <w:color w:val="auto"/>
              </w:rPr>
              <w:t>4.1</w:t>
            </w:r>
          </w:p>
        </w:tc>
        <w:tc>
          <w:tcPr>
            <w:tcW w:w="7900" w:type="dxa"/>
            <w:vAlign w:val="bottom"/>
          </w:tcPr>
          <w:p>
            <w:pPr>
              <w:ind w:left="160"/>
              <w:spacing w:after="0"/>
              <w:rPr>
                <w:sz w:val="20"/>
                <w:szCs w:val="20"/>
                <w:color w:val="auto"/>
              </w:rPr>
            </w:pPr>
            <w:r>
              <w:rPr>
                <w:rFonts w:ascii="Arial" w:cs="Arial" w:eastAsia="Arial" w:hAnsi="Arial"/>
                <w:sz w:val="18"/>
                <w:szCs w:val="18"/>
                <w:color w:val="auto"/>
              </w:rPr>
              <w:t>COMMITTEES OF DIRECTORS</w:t>
            </w:r>
          </w:p>
        </w:tc>
        <w:tc>
          <w:tcPr>
            <w:tcW w:w="2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4.2</w:t>
            </w:r>
          </w:p>
        </w:tc>
        <w:tc>
          <w:tcPr>
            <w:tcW w:w="7900" w:type="dxa"/>
            <w:vAlign w:val="bottom"/>
          </w:tcPr>
          <w:p>
            <w:pPr>
              <w:ind w:left="160"/>
              <w:spacing w:after="0"/>
              <w:rPr>
                <w:sz w:val="20"/>
                <w:szCs w:val="20"/>
                <w:color w:val="auto"/>
              </w:rPr>
            </w:pPr>
            <w:r>
              <w:rPr>
                <w:rFonts w:ascii="Arial" w:cs="Arial" w:eastAsia="Arial" w:hAnsi="Arial"/>
                <w:sz w:val="18"/>
                <w:szCs w:val="18"/>
                <w:color w:val="auto"/>
              </w:rPr>
              <w:t>COMMITTEE MINUTES</w:t>
            </w:r>
          </w:p>
        </w:tc>
        <w:tc>
          <w:tcPr>
            <w:tcW w:w="2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4.3</w:t>
            </w:r>
          </w:p>
        </w:tc>
        <w:tc>
          <w:tcPr>
            <w:tcW w:w="7900" w:type="dxa"/>
            <w:vAlign w:val="bottom"/>
          </w:tcPr>
          <w:p>
            <w:pPr>
              <w:ind w:left="160"/>
              <w:spacing w:after="0"/>
              <w:rPr>
                <w:sz w:val="20"/>
                <w:szCs w:val="20"/>
                <w:color w:val="auto"/>
              </w:rPr>
            </w:pPr>
            <w:r>
              <w:rPr>
                <w:rFonts w:ascii="Arial" w:cs="Arial" w:eastAsia="Arial" w:hAnsi="Arial"/>
                <w:sz w:val="18"/>
                <w:szCs w:val="18"/>
                <w:color w:val="auto"/>
              </w:rPr>
              <w:t>MEETINGS AND ACTION OF COMMITTEES</w:t>
            </w:r>
          </w:p>
        </w:tc>
        <w:tc>
          <w:tcPr>
            <w:tcW w:w="2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020" w:type="dxa"/>
            <w:vAlign w:val="bottom"/>
          </w:tcPr>
          <w:p>
            <w:pPr>
              <w:ind w:left="540"/>
              <w:spacing w:after="0"/>
              <w:rPr>
                <w:sz w:val="20"/>
                <w:szCs w:val="20"/>
                <w:color w:val="auto"/>
              </w:rPr>
            </w:pPr>
            <w:r>
              <w:rPr>
                <w:rFonts w:ascii="Arial" w:cs="Arial" w:eastAsia="Arial" w:hAnsi="Arial"/>
                <w:sz w:val="18"/>
                <w:szCs w:val="18"/>
                <w:color w:val="auto"/>
              </w:rPr>
              <w:t>4.4</w:t>
            </w:r>
          </w:p>
        </w:tc>
        <w:tc>
          <w:tcPr>
            <w:tcW w:w="7900" w:type="dxa"/>
            <w:vAlign w:val="bottom"/>
          </w:tcPr>
          <w:p>
            <w:pPr>
              <w:ind w:left="160"/>
              <w:spacing w:after="0"/>
              <w:rPr>
                <w:sz w:val="20"/>
                <w:szCs w:val="20"/>
                <w:color w:val="auto"/>
              </w:rPr>
            </w:pPr>
            <w:r>
              <w:rPr>
                <w:rFonts w:ascii="Arial" w:cs="Arial" w:eastAsia="Arial" w:hAnsi="Arial"/>
                <w:sz w:val="18"/>
                <w:szCs w:val="18"/>
                <w:color w:val="auto"/>
              </w:rPr>
              <w:t>SUBCOMMITTEES</w:t>
            </w:r>
          </w:p>
        </w:tc>
        <w:tc>
          <w:tcPr>
            <w:tcW w:w="2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V - OFFICERS</w:t>
            </w:r>
          </w:p>
        </w:tc>
        <w:tc>
          <w:tcPr>
            <w:tcW w:w="2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020" w:type="dxa"/>
            <w:vAlign w:val="bottom"/>
          </w:tcPr>
          <w:p>
            <w:pPr>
              <w:ind w:left="540"/>
              <w:spacing w:after="0"/>
              <w:rPr>
                <w:sz w:val="20"/>
                <w:szCs w:val="20"/>
                <w:color w:val="auto"/>
              </w:rPr>
            </w:pPr>
            <w:r>
              <w:rPr>
                <w:rFonts w:ascii="Arial" w:cs="Arial" w:eastAsia="Arial" w:hAnsi="Arial"/>
                <w:sz w:val="18"/>
                <w:szCs w:val="18"/>
                <w:color w:val="auto"/>
              </w:rPr>
              <w:t>5.1</w:t>
            </w:r>
          </w:p>
        </w:tc>
        <w:tc>
          <w:tcPr>
            <w:tcW w:w="7900" w:type="dxa"/>
            <w:vAlign w:val="bottom"/>
          </w:tcPr>
          <w:p>
            <w:pPr>
              <w:ind w:left="160"/>
              <w:spacing w:after="0"/>
              <w:rPr>
                <w:sz w:val="20"/>
                <w:szCs w:val="20"/>
                <w:color w:val="auto"/>
              </w:rPr>
            </w:pPr>
            <w:r>
              <w:rPr>
                <w:rFonts w:ascii="Arial" w:cs="Arial" w:eastAsia="Arial" w:hAnsi="Arial"/>
                <w:sz w:val="18"/>
                <w:szCs w:val="18"/>
                <w:color w:val="auto"/>
              </w:rPr>
              <w:t>OFFICERS</w:t>
            </w:r>
          </w:p>
        </w:tc>
        <w:tc>
          <w:tcPr>
            <w:tcW w:w="2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5.2</w:t>
            </w:r>
          </w:p>
        </w:tc>
        <w:tc>
          <w:tcPr>
            <w:tcW w:w="7900" w:type="dxa"/>
            <w:vAlign w:val="bottom"/>
          </w:tcPr>
          <w:p>
            <w:pPr>
              <w:ind w:left="160"/>
              <w:spacing w:after="0"/>
              <w:rPr>
                <w:sz w:val="20"/>
                <w:szCs w:val="20"/>
                <w:color w:val="auto"/>
              </w:rPr>
            </w:pPr>
            <w:r>
              <w:rPr>
                <w:rFonts w:ascii="Arial" w:cs="Arial" w:eastAsia="Arial" w:hAnsi="Arial"/>
                <w:sz w:val="18"/>
                <w:szCs w:val="18"/>
                <w:color w:val="auto"/>
              </w:rPr>
              <w:t>APPOINTMENT OF OFFICERS</w:t>
            </w:r>
          </w:p>
        </w:tc>
        <w:tc>
          <w:tcPr>
            <w:tcW w:w="2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020" w:type="dxa"/>
            <w:vAlign w:val="bottom"/>
          </w:tcPr>
          <w:p>
            <w:pPr>
              <w:ind w:left="540"/>
              <w:spacing w:after="0"/>
              <w:rPr>
                <w:sz w:val="20"/>
                <w:szCs w:val="20"/>
                <w:color w:val="auto"/>
              </w:rPr>
            </w:pPr>
            <w:r>
              <w:rPr>
                <w:rFonts w:ascii="Arial" w:cs="Arial" w:eastAsia="Arial" w:hAnsi="Arial"/>
                <w:sz w:val="18"/>
                <w:szCs w:val="18"/>
                <w:color w:val="auto"/>
              </w:rPr>
              <w:t>5.3</w:t>
            </w:r>
          </w:p>
        </w:tc>
        <w:tc>
          <w:tcPr>
            <w:tcW w:w="7900" w:type="dxa"/>
            <w:vAlign w:val="bottom"/>
          </w:tcPr>
          <w:p>
            <w:pPr>
              <w:ind w:left="160"/>
              <w:spacing w:after="0"/>
              <w:rPr>
                <w:sz w:val="20"/>
                <w:szCs w:val="20"/>
                <w:color w:val="auto"/>
              </w:rPr>
            </w:pPr>
            <w:r>
              <w:rPr>
                <w:rFonts w:ascii="Arial" w:cs="Arial" w:eastAsia="Arial" w:hAnsi="Arial"/>
                <w:sz w:val="18"/>
                <w:szCs w:val="18"/>
                <w:color w:val="auto"/>
              </w:rPr>
              <w:t>SUBORDINATE OFFICERS</w:t>
            </w:r>
          </w:p>
        </w:tc>
        <w:tc>
          <w:tcPr>
            <w:tcW w:w="204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Page</w:t>
            </w:r>
          </w:p>
        </w:tc>
      </w:tr>
      <w:tr>
        <w:trPr>
          <w:trHeight w:val="295"/>
        </w:trPr>
        <w:tc>
          <w:tcPr>
            <w:tcW w:w="1020" w:type="dxa"/>
            <w:vAlign w:val="bottom"/>
          </w:tcPr>
          <w:p>
            <w:pPr>
              <w:ind w:left="540"/>
              <w:spacing w:after="0"/>
              <w:rPr>
                <w:sz w:val="20"/>
                <w:szCs w:val="20"/>
                <w:color w:val="auto"/>
              </w:rPr>
            </w:pPr>
            <w:r>
              <w:rPr>
                <w:rFonts w:ascii="Arial" w:cs="Arial" w:eastAsia="Arial" w:hAnsi="Arial"/>
                <w:sz w:val="18"/>
                <w:szCs w:val="18"/>
                <w:color w:val="auto"/>
              </w:rPr>
              <w:t>5.4</w:t>
            </w:r>
          </w:p>
        </w:tc>
        <w:tc>
          <w:tcPr>
            <w:tcW w:w="9260" w:type="dxa"/>
            <w:vAlign w:val="bottom"/>
          </w:tcPr>
          <w:p>
            <w:pPr>
              <w:ind w:left="160"/>
              <w:spacing w:after="0"/>
              <w:rPr>
                <w:sz w:val="20"/>
                <w:szCs w:val="20"/>
                <w:color w:val="auto"/>
              </w:rPr>
            </w:pPr>
            <w:r>
              <w:rPr>
                <w:rFonts w:ascii="Arial" w:cs="Arial" w:eastAsia="Arial" w:hAnsi="Arial"/>
                <w:sz w:val="18"/>
                <w:szCs w:val="18"/>
                <w:color w:val="auto"/>
              </w:rPr>
              <w:t>REMOVAL AND RESIGNATION OF OFFICERS</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5.5</w:t>
            </w:r>
          </w:p>
        </w:tc>
        <w:tc>
          <w:tcPr>
            <w:tcW w:w="9260" w:type="dxa"/>
            <w:vAlign w:val="bottom"/>
          </w:tcPr>
          <w:p>
            <w:pPr>
              <w:ind w:left="160"/>
              <w:spacing w:after="0"/>
              <w:rPr>
                <w:sz w:val="20"/>
                <w:szCs w:val="20"/>
                <w:color w:val="auto"/>
              </w:rPr>
            </w:pPr>
            <w:r>
              <w:rPr>
                <w:rFonts w:ascii="Arial" w:cs="Arial" w:eastAsia="Arial" w:hAnsi="Arial"/>
                <w:sz w:val="18"/>
                <w:szCs w:val="18"/>
                <w:color w:val="auto"/>
              </w:rPr>
              <w:t>VACANCIES IN OFFICES</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5.6</w:t>
            </w:r>
          </w:p>
        </w:tc>
        <w:tc>
          <w:tcPr>
            <w:tcW w:w="9260" w:type="dxa"/>
            <w:vAlign w:val="bottom"/>
          </w:tcPr>
          <w:p>
            <w:pPr>
              <w:ind w:left="160"/>
              <w:spacing w:after="0"/>
              <w:rPr>
                <w:sz w:val="20"/>
                <w:szCs w:val="20"/>
                <w:color w:val="auto"/>
              </w:rPr>
            </w:pPr>
            <w:r>
              <w:rPr>
                <w:rFonts w:ascii="Arial" w:cs="Arial" w:eastAsia="Arial" w:hAnsi="Arial"/>
                <w:sz w:val="18"/>
                <w:szCs w:val="18"/>
                <w:color w:val="auto"/>
              </w:rPr>
              <w:t>REPRESENTATION OF SECURITIES OF OTHER ENTITIES</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020" w:type="dxa"/>
            <w:vAlign w:val="bottom"/>
          </w:tcPr>
          <w:p>
            <w:pPr>
              <w:ind w:left="540"/>
              <w:spacing w:after="0"/>
              <w:rPr>
                <w:sz w:val="20"/>
                <w:szCs w:val="20"/>
                <w:color w:val="auto"/>
              </w:rPr>
            </w:pPr>
            <w:r>
              <w:rPr>
                <w:rFonts w:ascii="Arial" w:cs="Arial" w:eastAsia="Arial" w:hAnsi="Arial"/>
                <w:sz w:val="18"/>
                <w:szCs w:val="18"/>
                <w:color w:val="auto"/>
              </w:rPr>
              <w:t>5.7</w:t>
            </w:r>
          </w:p>
        </w:tc>
        <w:tc>
          <w:tcPr>
            <w:tcW w:w="9260" w:type="dxa"/>
            <w:vAlign w:val="bottom"/>
          </w:tcPr>
          <w:p>
            <w:pPr>
              <w:ind w:left="160"/>
              <w:spacing w:after="0"/>
              <w:rPr>
                <w:sz w:val="20"/>
                <w:szCs w:val="20"/>
                <w:color w:val="auto"/>
              </w:rPr>
            </w:pPr>
            <w:r>
              <w:rPr>
                <w:rFonts w:ascii="Arial" w:cs="Arial" w:eastAsia="Arial" w:hAnsi="Arial"/>
                <w:sz w:val="18"/>
                <w:szCs w:val="18"/>
                <w:color w:val="auto"/>
              </w:rPr>
              <w:t>AUTHORITY AND DUTIES OF OFFICERS</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280" w:type="dxa"/>
            <w:vAlign w:val="bottom"/>
            <w:gridSpan w:val="2"/>
          </w:tcPr>
          <w:p>
            <w:pPr>
              <w:spacing w:after="0"/>
              <w:rPr>
                <w:sz w:val="20"/>
                <w:szCs w:val="20"/>
                <w:color w:val="auto"/>
              </w:rPr>
            </w:pPr>
            <w:r>
              <w:rPr>
                <w:rFonts w:ascii="Arial" w:cs="Arial" w:eastAsia="Arial" w:hAnsi="Arial"/>
                <w:sz w:val="18"/>
                <w:szCs w:val="18"/>
                <w:color w:val="auto"/>
              </w:rPr>
              <w:t>ARTICLE VI - STOCK</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1020" w:type="dxa"/>
            <w:vAlign w:val="bottom"/>
          </w:tcPr>
          <w:p>
            <w:pPr>
              <w:ind w:left="540"/>
              <w:spacing w:after="0"/>
              <w:rPr>
                <w:sz w:val="20"/>
                <w:szCs w:val="20"/>
                <w:color w:val="auto"/>
              </w:rPr>
            </w:pPr>
            <w:r>
              <w:rPr>
                <w:rFonts w:ascii="Arial" w:cs="Arial" w:eastAsia="Arial" w:hAnsi="Arial"/>
                <w:sz w:val="18"/>
                <w:szCs w:val="18"/>
                <w:color w:val="auto"/>
              </w:rPr>
              <w:t>6.1</w:t>
            </w:r>
          </w:p>
        </w:tc>
        <w:tc>
          <w:tcPr>
            <w:tcW w:w="9260" w:type="dxa"/>
            <w:vAlign w:val="bottom"/>
          </w:tcPr>
          <w:p>
            <w:pPr>
              <w:ind w:left="160"/>
              <w:spacing w:after="0"/>
              <w:rPr>
                <w:sz w:val="20"/>
                <w:szCs w:val="20"/>
                <w:color w:val="auto"/>
              </w:rPr>
            </w:pPr>
            <w:r>
              <w:rPr>
                <w:rFonts w:ascii="Arial" w:cs="Arial" w:eastAsia="Arial" w:hAnsi="Arial"/>
                <w:sz w:val="18"/>
                <w:szCs w:val="18"/>
                <w:color w:val="auto"/>
              </w:rPr>
              <w:t>STOCK CERTIFICATES; PARTLY PAID SHARES</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6.2</w:t>
            </w:r>
          </w:p>
        </w:tc>
        <w:tc>
          <w:tcPr>
            <w:tcW w:w="9260" w:type="dxa"/>
            <w:vAlign w:val="bottom"/>
          </w:tcPr>
          <w:p>
            <w:pPr>
              <w:ind w:left="160"/>
              <w:spacing w:after="0"/>
              <w:rPr>
                <w:sz w:val="20"/>
                <w:szCs w:val="20"/>
                <w:color w:val="auto"/>
              </w:rPr>
            </w:pPr>
            <w:r>
              <w:rPr>
                <w:rFonts w:ascii="Arial" w:cs="Arial" w:eastAsia="Arial" w:hAnsi="Arial"/>
                <w:sz w:val="18"/>
                <w:szCs w:val="18"/>
                <w:color w:val="auto"/>
              </w:rPr>
              <w:t>SPECIAL DESIGNATION ON CERTIFICATES</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6.3</w:t>
            </w:r>
          </w:p>
        </w:tc>
        <w:tc>
          <w:tcPr>
            <w:tcW w:w="9260" w:type="dxa"/>
            <w:vAlign w:val="bottom"/>
          </w:tcPr>
          <w:p>
            <w:pPr>
              <w:ind w:left="160"/>
              <w:spacing w:after="0"/>
              <w:rPr>
                <w:sz w:val="20"/>
                <w:szCs w:val="20"/>
                <w:color w:val="auto"/>
              </w:rPr>
            </w:pPr>
            <w:r>
              <w:rPr>
                <w:rFonts w:ascii="Arial" w:cs="Arial" w:eastAsia="Arial" w:hAnsi="Arial"/>
                <w:sz w:val="18"/>
                <w:szCs w:val="18"/>
                <w:color w:val="auto"/>
              </w:rPr>
              <w:t>LOST CERTIFICATES</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6.4</w:t>
            </w:r>
          </w:p>
        </w:tc>
        <w:tc>
          <w:tcPr>
            <w:tcW w:w="926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6.5</w:t>
            </w:r>
          </w:p>
        </w:tc>
        <w:tc>
          <w:tcPr>
            <w:tcW w:w="9260" w:type="dxa"/>
            <w:vAlign w:val="bottom"/>
          </w:tcPr>
          <w:p>
            <w:pPr>
              <w:ind w:left="160"/>
              <w:spacing w:after="0"/>
              <w:rPr>
                <w:sz w:val="20"/>
                <w:szCs w:val="20"/>
                <w:color w:val="auto"/>
              </w:rPr>
            </w:pPr>
            <w:r>
              <w:rPr>
                <w:rFonts w:ascii="Arial" w:cs="Arial" w:eastAsia="Arial" w:hAnsi="Arial"/>
                <w:sz w:val="18"/>
                <w:szCs w:val="18"/>
                <w:color w:val="auto"/>
              </w:rPr>
              <w:t>TRANSFER OF STOCK</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6.6</w:t>
            </w:r>
          </w:p>
        </w:tc>
        <w:tc>
          <w:tcPr>
            <w:tcW w:w="9260" w:type="dxa"/>
            <w:vAlign w:val="bottom"/>
          </w:tcPr>
          <w:p>
            <w:pPr>
              <w:ind w:left="160"/>
              <w:spacing w:after="0"/>
              <w:rPr>
                <w:sz w:val="20"/>
                <w:szCs w:val="20"/>
                <w:color w:val="auto"/>
              </w:rPr>
            </w:pPr>
            <w:r>
              <w:rPr>
                <w:rFonts w:ascii="Arial" w:cs="Arial" w:eastAsia="Arial" w:hAnsi="Arial"/>
                <w:sz w:val="18"/>
                <w:szCs w:val="18"/>
                <w:color w:val="auto"/>
              </w:rPr>
              <w:t>STOCK TRANSFER AGREEMENTS</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020" w:type="dxa"/>
            <w:vAlign w:val="bottom"/>
          </w:tcPr>
          <w:p>
            <w:pPr>
              <w:ind w:left="540"/>
              <w:spacing w:after="0"/>
              <w:rPr>
                <w:sz w:val="20"/>
                <w:szCs w:val="20"/>
                <w:color w:val="auto"/>
              </w:rPr>
            </w:pPr>
            <w:r>
              <w:rPr>
                <w:rFonts w:ascii="Arial" w:cs="Arial" w:eastAsia="Arial" w:hAnsi="Arial"/>
                <w:sz w:val="18"/>
                <w:szCs w:val="18"/>
                <w:color w:val="auto"/>
              </w:rPr>
              <w:t>6.7</w:t>
            </w:r>
          </w:p>
        </w:tc>
        <w:tc>
          <w:tcPr>
            <w:tcW w:w="9260" w:type="dxa"/>
            <w:vAlign w:val="bottom"/>
          </w:tcPr>
          <w:p>
            <w:pPr>
              <w:ind w:left="160"/>
              <w:spacing w:after="0"/>
              <w:rPr>
                <w:sz w:val="20"/>
                <w:szCs w:val="20"/>
                <w:color w:val="auto"/>
              </w:rPr>
            </w:pPr>
            <w:r>
              <w:rPr>
                <w:rFonts w:ascii="Arial" w:cs="Arial" w:eastAsia="Arial" w:hAnsi="Arial"/>
                <w:sz w:val="18"/>
                <w:szCs w:val="18"/>
                <w:color w:val="auto"/>
              </w:rPr>
              <w:t>REGISTERED STOCKHOLDERS</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28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020" w:type="dxa"/>
            <w:vAlign w:val="bottom"/>
          </w:tcPr>
          <w:p>
            <w:pPr>
              <w:ind w:left="540"/>
              <w:spacing w:after="0"/>
              <w:rPr>
                <w:sz w:val="20"/>
                <w:szCs w:val="20"/>
                <w:color w:val="auto"/>
              </w:rPr>
            </w:pPr>
            <w:r>
              <w:rPr>
                <w:rFonts w:ascii="Arial" w:cs="Arial" w:eastAsia="Arial" w:hAnsi="Arial"/>
                <w:sz w:val="18"/>
                <w:szCs w:val="18"/>
                <w:color w:val="auto"/>
              </w:rPr>
              <w:t>7.1</w:t>
            </w:r>
          </w:p>
        </w:tc>
        <w:tc>
          <w:tcPr>
            <w:tcW w:w="9260" w:type="dxa"/>
            <w:vAlign w:val="bottom"/>
          </w:tcPr>
          <w:p>
            <w:pPr>
              <w:ind w:left="160"/>
              <w:spacing w:after="0"/>
              <w:rPr>
                <w:sz w:val="20"/>
                <w:szCs w:val="20"/>
                <w:color w:val="auto"/>
              </w:rPr>
            </w:pPr>
            <w:r>
              <w:rPr>
                <w:rFonts w:ascii="Arial" w:cs="Arial" w:eastAsia="Arial" w:hAnsi="Arial"/>
                <w:sz w:val="18"/>
                <w:szCs w:val="18"/>
                <w:color w:val="auto"/>
              </w:rPr>
              <w:t>NOTICE OF STOCKHOLDERS’ MEETINGS</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7.2</w:t>
            </w:r>
          </w:p>
        </w:tc>
        <w:tc>
          <w:tcPr>
            <w:tcW w:w="9260" w:type="dxa"/>
            <w:vAlign w:val="bottom"/>
          </w:tcPr>
          <w:p>
            <w:pPr>
              <w:ind w:left="160"/>
              <w:spacing w:after="0"/>
              <w:rPr>
                <w:sz w:val="20"/>
                <w:szCs w:val="20"/>
                <w:color w:val="auto"/>
              </w:rPr>
            </w:pPr>
            <w:r>
              <w:rPr>
                <w:rFonts w:ascii="Arial" w:cs="Arial" w:eastAsia="Arial" w:hAnsi="Arial"/>
                <w:sz w:val="18"/>
                <w:szCs w:val="18"/>
                <w:color w:val="auto"/>
              </w:rPr>
              <w:t>NOTICE TO STOCKHOLDERS SHARING AN ADDRESS</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7.3</w:t>
            </w:r>
          </w:p>
        </w:tc>
        <w:tc>
          <w:tcPr>
            <w:tcW w:w="9260" w:type="dxa"/>
            <w:vAlign w:val="bottom"/>
          </w:tcPr>
          <w:p>
            <w:pPr>
              <w:ind w:left="160"/>
              <w:spacing w:after="0"/>
              <w:rPr>
                <w:sz w:val="20"/>
                <w:szCs w:val="20"/>
                <w:color w:val="auto"/>
              </w:rPr>
            </w:pPr>
            <w:r>
              <w:rPr>
                <w:rFonts w:ascii="Arial" w:cs="Arial" w:eastAsia="Arial" w:hAnsi="Arial"/>
                <w:sz w:val="18"/>
                <w:szCs w:val="18"/>
                <w:color w:val="auto"/>
              </w:rPr>
              <w:t>NOTICE TO PERSON WITH WHOM COMMUNICATION IS UNLAWFUL</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020" w:type="dxa"/>
            <w:vAlign w:val="bottom"/>
          </w:tcPr>
          <w:p>
            <w:pPr>
              <w:ind w:left="540"/>
              <w:spacing w:after="0"/>
              <w:rPr>
                <w:sz w:val="20"/>
                <w:szCs w:val="20"/>
                <w:color w:val="auto"/>
              </w:rPr>
            </w:pPr>
            <w:r>
              <w:rPr>
                <w:rFonts w:ascii="Arial" w:cs="Arial" w:eastAsia="Arial" w:hAnsi="Arial"/>
                <w:sz w:val="18"/>
                <w:szCs w:val="18"/>
                <w:color w:val="auto"/>
              </w:rPr>
              <w:t>7.4</w:t>
            </w:r>
          </w:p>
        </w:tc>
        <w:tc>
          <w:tcPr>
            <w:tcW w:w="9260" w:type="dxa"/>
            <w:vAlign w:val="bottom"/>
          </w:tcPr>
          <w:p>
            <w:pPr>
              <w:ind w:left="160"/>
              <w:spacing w:after="0"/>
              <w:rPr>
                <w:sz w:val="20"/>
                <w:szCs w:val="20"/>
                <w:color w:val="auto"/>
              </w:rPr>
            </w:pPr>
            <w:r>
              <w:rPr>
                <w:rFonts w:ascii="Arial" w:cs="Arial" w:eastAsia="Arial" w:hAnsi="Arial"/>
                <w:sz w:val="18"/>
                <w:szCs w:val="18"/>
                <w:color w:val="auto"/>
              </w:rPr>
              <w:t>WAIVER OF NOTICE</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280" w:type="dxa"/>
            <w:vAlign w:val="bottom"/>
            <w:gridSpan w:val="2"/>
          </w:tcPr>
          <w:p>
            <w:pPr>
              <w:spacing w:after="0"/>
              <w:rPr>
                <w:sz w:val="20"/>
                <w:szCs w:val="20"/>
                <w:color w:val="auto"/>
              </w:rPr>
            </w:pPr>
            <w:r>
              <w:rPr>
                <w:rFonts w:ascii="Arial" w:cs="Arial" w:eastAsia="Arial" w:hAnsi="Arial"/>
                <w:sz w:val="18"/>
                <w:szCs w:val="18"/>
                <w:color w:val="auto"/>
              </w:rPr>
              <w:t>ARTICLE VIII - INDEMNIFICATION</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1020" w:type="dxa"/>
            <w:vAlign w:val="bottom"/>
          </w:tcPr>
          <w:p>
            <w:pPr>
              <w:ind w:left="540"/>
              <w:spacing w:after="0"/>
              <w:rPr>
                <w:sz w:val="20"/>
                <w:szCs w:val="20"/>
                <w:color w:val="auto"/>
              </w:rPr>
            </w:pPr>
            <w:r>
              <w:rPr>
                <w:rFonts w:ascii="Arial" w:cs="Arial" w:eastAsia="Arial" w:hAnsi="Arial"/>
                <w:sz w:val="18"/>
                <w:szCs w:val="18"/>
                <w:color w:val="auto"/>
              </w:rPr>
              <w:t>8.1</w:t>
            </w:r>
          </w:p>
        </w:tc>
        <w:tc>
          <w:tcPr>
            <w:tcW w:w="9260" w:type="dxa"/>
            <w:vAlign w:val="bottom"/>
          </w:tcPr>
          <w:p>
            <w:pPr>
              <w:ind w:left="160"/>
              <w:spacing w:after="0"/>
              <w:rPr>
                <w:sz w:val="20"/>
                <w:szCs w:val="20"/>
                <w:color w:val="auto"/>
              </w:rPr>
            </w:pPr>
            <w:r>
              <w:rPr>
                <w:rFonts w:ascii="Arial" w:cs="Arial" w:eastAsia="Arial" w:hAnsi="Arial"/>
                <w:sz w:val="18"/>
                <w:szCs w:val="18"/>
                <w:color w:val="auto"/>
              </w:rPr>
              <w:t>INDEMNIFICATION OF DIRECTORS AND OFFICERS IN THIRD PARTY PROCEEDINGS</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8.2</w:t>
            </w:r>
          </w:p>
        </w:tc>
        <w:tc>
          <w:tcPr>
            <w:tcW w:w="9260" w:type="dxa"/>
            <w:vAlign w:val="bottom"/>
          </w:tcPr>
          <w:p>
            <w:pPr>
              <w:ind w:left="160"/>
              <w:spacing w:after="0"/>
              <w:rPr>
                <w:sz w:val="20"/>
                <w:szCs w:val="20"/>
                <w:color w:val="auto"/>
              </w:rPr>
            </w:pPr>
            <w:r>
              <w:rPr>
                <w:rFonts w:ascii="Arial" w:cs="Arial" w:eastAsia="Arial" w:hAnsi="Arial"/>
                <w:sz w:val="18"/>
                <w:szCs w:val="18"/>
                <w:color w:val="auto"/>
              </w:rPr>
              <w:t>INDEMNIFICATION OF DIRECTORS AND OFFICERS IN ACTIONS BY OR IN THE RIGHT OF THE COMPANY</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8.3</w:t>
            </w:r>
          </w:p>
        </w:tc>
        <w:tc>
          <w:tcPr>
            <w:tcW w:w="9260" w:type="dxa"/>
            <w:vAlign w:val="bottom"/>
          </w:tcPr>
          <w:p>
            <w:pPr>
              <w:ind w:left="160"/>
              <w:spacing w:after="0"/>
              <w:rPr>
                <w:sz w:val="20"/>
                <w:szCs w:val="20"/>
                <w:color w:val="auto"/>
              </w:rPr>
            </w:pPr>
            <w:r>
              <w:rPr>
                <w:rFonts w:ascii="Arial" w:cs="Arial" w:eastAsia="Arial" w:hAnsi="Arial"/>
                <w:sz w:val="18"/>
                <w:szCs w:val="18"/>
                <w:color w:val="auto"/>
              </w:rPr>
              <w:t>SUCCESSFUL DEFENSE</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8.4</w:t>
            </w:r>
          </w:p>
        </w:tc>
        <w:tc>
          <w:tcPr>
            <w:tcW w:w="9260" w:type="dxa"/>
            <w:vAlign w:val="bottom"/>
          </w:tcPr>
          <w:p>
            <w:pPr>
              <w:ind w:left="160"/>
              <w:spacing w:after="0"/>
              <w:rPr>
                <w:sz w:val="20"/>
                <w:szCs w:val="20"/>
                <w:color w:val="auto"/>
              </w:rPr>
            </w:pPr>
            <w:r>
              <w:rPr>
                <w:rFonts w:ascii="Arial" w:cs="Arial" w:eastAsia="Arial" w:hAnsi="Arial"/>
                <w:sz w:val="18"/>
                <w:szCs w:val="18"/>
                <w:color w:val="auto"/>
              </w:rPr>
              <w:t>INDEMNIFICATION OF OTHERS</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8.5</w:t>
            </w:r>
          </w:p>
        </w:tc>
        <w:tc>
          <w:tcPr>
            <w:tcW w:w="9260" w:type="dxa"/>
            <w:vAlign w:val="bottom"/>
          </w:tcPr>
          <w:p>
            <w:pPr>
              <w:ind w:left="160"/>
              <w:spacing w:after="0"/>
              <w:rPr>
                <w:sz w:val="20"/>
                <w:szCs w:val="20"/>
                <w:color w:val="auto"/>
              </w:rPr>
            </w:pPr>
            <w:r>
              <w:rPr>
                <w:rFonts w:ascii="Arial" w:cs="Arial" w:eastAsia="Arial" w:hAnsi="Arial"/>
                <w:sz w:val="18"/>
                <w:szCs w:val="18"/>
                <w:color w:val="auto"/>
              </w:rPr>
              <w:t>ADVANCED PAYMENT OF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8.6</w:t>
            </w:r>
          </w:p>
        </w:tc>
        <w:tc>
          <w:tcPr>
            <w:tcW w:w="9260" w:type="dxa"/>
            <w:vAlign w:val="bottom"/>
          </w:tcPr>
          <w:p>
            <w:pPr>
              <w:ind w:left="160"/>
              <w:spacing w:after="0"/>
              <w:rPr>
                <w:sz w:val="20"/>
                <w:szCs w:val="20"/>
                <w:color w:val="auto"/>
              </w:rPr>
            </w:pPr>
            <w:r>
              <w:rPr>
                <w:rFonts w:ascii="Arial" w:cs="Arial" w:eastAsia="Arial" w:hAnsi="Arial"/>
                <w:sz w:val="18"/>
                <w:szCs w:val="18"/>
                <w:color w:val="auto"/>
              </w:rPr>
              <w:t>LIMITATION ON INDEMNIFICATION</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8.7</w:t>
            </w:r>
          </w:p>
        </w:tc>
        <w:tc>
          <w:tcPr>
            <w:tcW w:w="9260" w:type="dxa"/>
            <w:vAlign w:val="bottom"/>
          </w:tcPr>
          <w:p>
            <w:pPr>
              <w:ind w:left="160"/>
              <w:spacing w:after="0"/>
              <w:rPr>
                <w:sz w:val="20"/>
                <w:szCs w:val="20"/>
                <w:color w:val="auto"/>
              </w:rPr>
            </w:pPr>
            <w:r>
              <w:rPr>
                <w:rFonts w:ascii="Arial" w:cs="Arial" w:eastAsia="Arial" w:hAnsi="Arial"/>
                <w:sz w:val="18"/>
                <w:szCs w:val="18"/>
                <w:color w:val="auto"/>
              </w:rPr>
              <w:t>DETERMINATION; CLAIM</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8.8</w:t>
            </w:r>
          </w:p>
        </w:tc>
        <w:tc>
          <w:tcPr>
            <w:tcW w:w="9260" w:type="dxa"/>
            <w:vAlign w:val="bottom"/>
          </w:tcPr>
          <w:p>
            <w:pPr>
              <w:ind w:left="160"/>
              <w:spacing w:after="0"/>
              <w:rPr>
                <w:sz w:val="20"/>
                <w:szCs w:val="20"/>
                <w:color w:val="auto"/>
              </w:rPr>
            </w:pPr>
            <w:r>
              <w:rPr>
                <w:rFonts w:ascii="Arial" w:cs="Arial" w:eastAsia="Arial" w:hAnsi="Arial"/>
                <w:sz w:val="18"/>
                <w:szCs w:val="18"/>
                <w:color w:val="auto"/>
              </w:rPr>
              <w:t>NON-EXCLUSIVITY OF RIGHTS</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8.9</w:t>
            </w:r>
          </w:p>
        </w:tc>
        <w:tc>
          <w:tcPr>
            <w:tcW w:w="926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8.10</w:t>
            </w:r>
          </w:p>
        </w:tc>
        <w:tc>
          <w:tcPr>
            <w:tcW w:w="9260" w:type="dxa"/>
            <w:vAlign w:val="bottom"/>
          </w:tcPr>
          <w:p>
            <w:pPr>
              <w:ind w:left="160"/>
              <w:spacing w:after="0"/>
              <w:rPr>
                <w:sz w:val="20"/>
                <w:szCs w:val="20"/>
                <w:color w:val="auto"/>
              </w:rPr>
            </w:pPr>
            <w:r>
              <w:rPr>
                <w:rFonts w:ascii="Arial" w:cs="Arial" w:eastAsia="Arial" w:hAnsi="Arial"/>
                <w:sz w:val="18"/>
                <w:szCs w:val="18"/>
                <w:color w:val="auto"/>
              </w:rPr>
              <w:t>SURVIVAL</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20" w:type="dxa"/>
            <w:vAlign w:val="bottom"/>
          </w:tcPr>
          <w:p>
            <w:pPr>
              <w:ind w:left="560"/>
              <w:spacing w:after="0"/>
              <w:rPr>
                <w:sz w:val="20"/>
                <w:szCs w:val="20"/>
                <w:color w:val="auto"/>
              </w:rPr>
            </w:pPr>
            <w:r>
              <w:rPr>
                <w:rFonts w:ascii="Arial" w:cs="Arial" w:eastAsia="Arial" w:hAnsi="Arial"/>
                <w:sz w:val="18"/>
                <w:szCs w:val="18"/>
                <w:color w:val="auto"/>
              </w:rPr>
              <w:t>8.11</w:t>
            </w:r>
          </w:p>
        </w:tc>
        <w:tc>
          <w:tcPr>
            <w:tcW w:w="9260" w:type="dxa"/>
            <w:vAlign w:val="bottom"/>
          </w:tcPr>
          <w:p>
            <w:pPr>
              <w:ind w:left="160"/>
              <w:spacing w:after="0"/>
              <w:rPr>
                <w:sz w:val="20"/>
                <w:szCs w:val="20"/>
                <w:color w:val="auto"/>
              </w:rPr>
            </w:pPr>
            <w:r>
              <w:rPr>
                <w:rFonts w:ascii="Arial" w:cs="Arial" w:eastAsia="Arial" w:hAnsi="Arial"/>
                <w:sz w:val="18"/>
                <w:szCs w:val="18"/>
                <w:color w:val="auto"/>
              </w:rPr>
              <w:t>EFFECT OF REPEAL OR MODIFICATION</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020" w:type="dxa"/>
            <w:vAlign w:val="bottom"/>
          </w:tcPr>
          <w:p>
            <w:pPr>
              <w:ind w:left="540"/>
              <w:spacing w:after="0"/>
              <w:rPr>
                <w:sz w:val="20"/>
                <w:szCs w:val="20"/>
                <w:color w:val="auto"/>
              </w:rPr>
            </w:pPr>
            <w:r>
              <w:rPr>
                <w:rFonts w:ascii="Arial" w:cs="Arial" w:eastAsia="Arial" w:hAnsi="Arial"/>
                <w:sz w:val="18"/>
                <w:szCs w:val="18"/>
                <w:color w:val="auto"/>
              </w:rPr>
              <w:t>8.12</w:t>
            </w:r>
          </w:p>
        </w:tc>
        <w:tc>
          <w:tcPr>
            <w:tcW w:w="9260" w:type="dxa"/>
            <w:vAlign w:val="bottom"/>
          </w:tcPr>
          <w:p>
            <w:pPr>
              <w:ind w:left="160"/>
              <w:spacing w:after="0"/>
              <w:rPr>
                <w:sz w:val="20"/>
                <w:szCs w:val="20"/>
                <w:color w:val="auto"/>
              </w:rPr>
            </w:pPr>
            <w:r>
              <w:rPr>
                <w:rFonts w:ascii="Arial" w:cs="Arial" w:eastAsia="Arial" w:hAnsi="Arial"/>
                <w:sz w:val="18"/>
                <w:szCs w:val="18"/>
                <w:color w:val="auto"/>
              </w:rPr>
              <w:t>CERTAIN DEFINITIONS</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IX - GENERAL MATTERS</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1020" w:type="dxa"/>
            <w:vAlign w:val="bottom"/>
          </w:tcPr>
          <w:p>
            <w:pPr>
              <w:ind w:left="540"/>
              <w:spacing w:after="0"/>
              <w:rPr>
                <w:sz w:val="20"/>
                <w:szCs w:val="20"/>
                <w:color w:val="auto"/>
              </w:rPr>
            </w:pPr>
            <w:r>
              <w:rPr>
                <w:rFonts w:ascii="Arial" w:cs="Arial" w:eastAsia="Arial" w:hAnsi="Arial"/>
                <w:sz w:val="18"/>
                <w:szCs w:val="18"/>
                <w:color w:val="auto"/>
              </w:rPr>
              <w:t>9.1</w:t>
            </w:r>
          </w:p>
        </w:tc>
        <w:tc>
          <w:tcPr>
            <w:tcW w:w="9260" w:type="dxa"/>
            <w:vAlign w:val="bottom"/>
          </w:tcPr>
          <w:p>
            <w:pPr>
              <w:ind w:left="160"/>
              <w:spacing w:after="0"/>
              <w:rPr>
                <w:sz w:val="20"/>
                <w:szCs w:val="20"/>
                <w:color w:val="auto"/>
              </w:rPr>
            </w:pPr>
            <w:r>
              <w:rPr>
                <w:rFonts w:ascii="Arial" w:cs="Arial" w:eastAsia="Arial" w:hAnsi="Arial"/>
                <w:sz w:val="18"/>
                <w:szCs w:val="18"/>
                <w:color w:val="auto"/>
              </w:rPr>
              <w:t>EXECUTION OF CORPORATE CONTRACTS AND INSTRUMENTS</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9.2</w:t>
            </w:r>
          </w:p>
        </w:tc>
        <w:tc>
          <w:tcPr>
            <w:tcW w:w="9260" w:type="dxa"/>
            <w:vAlign w:val="bottom"/>
          </w:tcPr>
          <w:p>
            <w:pPr>
              <w:ind w:left="160"/>
              <w:spacing w:after="0"/>
              <w:rPr>
                <w:sz w:val="20"/>
                <w:szCs w:val="20"/>
                <w:color w:val="auto"/>
              </w:rPr>
            </w:pPr>
            <w:r>
              <w:rPr>
                <w:rFonts w:ascii="Arial" w:cs="Arial" w:eastAsia="Arial" w:hAnsi="Arial"/>
                <w:sz w:val="18"/>
                <w:szCs w:val="18"/>
                <w:color w:val="auto"/>
              </w:rPr>
              <w:t>FISCAL YEAR</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9.3</w:t>
            </w:r>
          </w:p>
        </w:tc>
        <w:tc>
          <w:tcPr>
            <w:tcW w:w="9260" w:type="dxa"/>
            <w:vAlign w:val="bottom"/>
          </w:tcPr>
          <w:p>
            <w:pPr>
              <w:ind w:left="160"/>
              <w:spacing w:after="0"/>
              <w:rPr>
                <w:sz w:val="20"/>
                <w:szCs w:val="20"/>
                <w:color w:val="auto"/>
              </w:rPr>
            </w:pPr>
            <w:r>
              <w:rPr>
                <w:rFonts w:ascii="Arial" w:cs="Arial" w:eastAsia="Arial" w:hAnsi="Arial"/>
                <w:sz w:val="18"/>
                <w:szCs w:val="18"/>
                <w:color w:val="auto"/>
              </w:rPr>
              <w:t>SEAL</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9.4</w:t>
            </w:r>
          </w:p>
        </w:tc>
        <w:tc>
          <w:tcPr>
            <w:tcW w:w="9260" w:type="dxa"/>
            <w:vAlign w:val="bottom"/>
          </w:tcPr>
          <w:p>
            <w:pPr>
              <w:ind w:left="160"/>
              <w:spacing w:after="0"/>
              <w:rPr>
                <w:sz w:val="20"/>
                <w:szCs w:val="20"/>
                <w:color w:val="auto"/>
              </w:rPr>
            </w:pPr>
            <w:r>
              <w:rPr>
                <w:rFonts w:ascii="Arial" w:cs="Arial" w:eastAsia="Arial" w:hAnsi="Arial"/>
                <w:sz w:val="18"/>
                <w:szCs w:val="18"/>
                <w:color w:val="auto"/>
              </w:rPr>
              <w:t>CONSTRUCTION; DEFINITIONS</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020" w:type="dxa"/>
            <w:vAlign w:val="bottom"/>
          </w:tcPr>
          <w:p>
            <w:pPr>
              <w:ind w:left="540"/>
              <w:spacing w:after="0"/>
              <w:rPr>
                <w:sz w:val="20"/>
                <w:szCs w:val="20"/>
                <w:color w:val="auto"/>
              </w:rPr>
            </w:pPr>
            <w:r>
              <w:rPr>
                <w:rFonts w:ascii="Arial" w:cs="Arial" w:eastAsia="Arial" w:hAnsi="Arial"/>
                <w:sz w:val="18"/>
                <w:szCs w:val="18"/>
                <w:color w:val="auto"/>
              </w:rPr>
              <w:t>9.5</w:t>
            </w:r>
          </w:p>
        </w:tc>
        <w:tc>
          <w:tcPr>
            <w:tcW w:w="9260" w:type="dxa"/>
            <w:vAlign w:val="bottom"/>
          </w:tcPr>
          <w:p>
            <w:pPr>
              <w:ind w:left="160"/>
              <w:spacing w:after="0"/>
              <w:rPr>
                <w:sz w:val="20"/>
                <w:szCs w:val="20"/>
                <w:color w:val="auto"/>
              </w:rPr>
            </w:pPr>
            <w:r>
              <w:rPr>
                <w:rFonts w:ascii="Arial" w:cs="Arial" w:eastAsia="Arial" w:hAnsi="Arial"/>
                <w:sz w:val="18"/>
                <w:szCs w:val="18"/>
                <w:color w:val="auto"/>
              </w:rPr>
              <w:t>FORUM SELECTION</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280" w:type="dxa"/>
            <w:vAlign w:val="bottom"/>
            <w:gridSpan w:val="2"/>
          </w:tcPr>
          <w:p>
            <w:pPr>
              <w:spacing w:after="0"/>
              <w:rPr>
                <w:sz w:val="20"/>
                <w:szCs w:val="20"/>
                <w:color w:val="auto"/>
              </w:rPr>
            </w:pPr>
            <w:r>
              <w:rPr>
                <w:rFonts w:ascii="Arial" w:cs="Arial" w:eastAsia="Arial" w:hAnsi="Arial"/>
                <w:sz w:val="18"/>
                <w:szCs w:val="18"/>
                <w:color w:val="auto"/>
              </w:rPr>
              <w:t>ARTICLE X - AMENDMENTS</w:t>
            </w: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65"/>
        </w:trPr>
        <w:tc>
          <w:tcPr>
            <w:tcW w:w="1020" w:type="dxa"/>
            <w:vAlign w:val="bottom"/>
          </w:tcPr>
          <w:p>
            <w:pPr>
              <w:spacing w:after="0"/>
              <w:rPr>
                <w:sz w:val="24"/>
                <w:szCs w:val="24"/>
                <w:color w:val="auto"/>
              </w:rPr>
            </w:pPr>
          </w:p>
        </w:tc>
        <w:tc>
          <w:tcPr>
            <w:tcW w:w="9260" w:type="dxa"/>
            <w:vAlign w:val="bottom"/>
          </w:tcPr>
          <w:p>
            <w:pPr>
              <w:ind w:left="4380"/>
              <w:spacing w:after="0"/>
              <w:rPr>
                <w:sz w:val="20"/>
                <w:szCs w:val="20"/>
                <w:color w:val="auto"/>
              </w:rPr>
            </w:pPr>
            <w:r>
              <w:rPr>
                <w:rFonts w:ascii="Arial" w:cs="Arial" w:eastAsia="Arial" w:hAnsi="Arial"/>
                <w:sz w:val="18"/>
                <w:szCs w:val="18"/>
                <w:color w:val="auto"/>
              </w:rPr>
              <w:t>-ii-</w:t>
            </w:r>
          </w:p>
        </w:tc>
        <w:tc>
          <w:tcPr>
            <w:tcW w:w="68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12" w:name="page13"/>
    <w:bookmarkEnd w:id="1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BYLAWS OF TENAYA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 - CORPORATE OFFICES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 REGISTERED OFFICE</w:t>
      </w:r>
    </w:p>
    <w:p>
      <w:pPr>
        <w:spacing w:after="0" w:line="221"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color w:val="auto"/>
        </w:rPr>
        <w:t>The registered office of Tenaya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 shall be fixed in the Company’s certificate of incorporation, as the same may be amended from time to time.</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 OTHER OFFICES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may at any time establish other offices.</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 - MEETINGS OF STOCKHOLDERS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2.1 PLACE OF MEETINGS</w:t>
      </w:r>
    </w:p>
    <w:p>
      <w:pPr>
        <w:spacing w:after="0" w:line="225"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Meetings of stockholders shall be held at a place, if any, within or outside the State of Delaware, determined by the board of directors of the Company (the “</w:t>
      </w:r>
      <w:r>
        <w:rPr>
          <w:rFonts w:ascii="Arial" w:cs="Arial" w:eastAsia="Arial" w:hAnsi="Arial"/>
          <w:sz w:val="18"/>
          <w:szCs w:val="18"/>
          <w:b w:val="1"/>
          <w:bCs w:val="1"/>
          <w:color w:val="auto"/>
        </w:rPr>
        <w:t>Board of Directors</w:t>
      </w:r>
      <w:r>
        <w:rPr>
          <w:rFonts w:ascii="Arial" w:cs="Arial" w:eastAsia="Arial" w:hAnsi="Arial"/>
          <w:sz w:val="18"/>
          <w:szCs w:val="18"/>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In the absence of any such designation or determination, stockholders’ meetings shall be held at the Company’s principal executive office.</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2.2 ANNUAL MEETING</w:t>
      </w:r>
    </w:p>
    <w:p>
      <w:pPr>
        <w:spacing w:after="0" w:line="225"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Arial" w:cs="Arial" w:eastAsia="Arial" w:hAnsi="Arial"/>
          <w:sz w:val="18"/>
          <w:szCs w:val="18"/>
          <w:b w:val="1"/>
          <w:bCs w:val="1"/>
          <w:color w:val="auto"/>
        </w:rPr>
        <w:t>Whole Board</w:t>
      </w:r>
      <w:r>
        <w:rPr>
          <w:rFonts w:ascii="Arial" w:cs="Arial" w:eastAsia="Arial" w:hAnsi="Arial"/>
          <w:sz w:val="18"/>
          <w:szCs w:val="18"/>
          <w:color w:val="auto"/>
        </w:rPr>
        <w:t>” shall mean the total number of authorized directorships whether or not there exist any vacancies or other unfilled seats in previously authorized directorships.</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2.3 SPECIAL MEETING</w:t>
      </w:r>
    </w:p>
    <w:p>
      <w:pPr>
        <w:spacing w:after="0" w:line="225" w:lineRule="exact"/>
        <w:rPr>
          <w:sz w:val="20"/>
          <w:szCs w:val="20"/>
          <w:color w:val="auto"/>
        </w:rPr>
      </w:pPr>
    </w:p>
    <w:p>
      <w:pPr>
        <w:ind w:left="4" w:right="140" w:firstLine="987"/>
        <w:spacing w:after="0" w:line="291" w:lineRule="auto"/>
        <w:tabs>
          <w:tab w:leader="none" w:pos="1240" w:val="left"/>
        </w:tabs>
        <w:numPr>
          <w:ilvl w:val="1"/>
          <w:numId w:val="2"/>
        </w:numPr>
        <w:rPr>
          <w:rFonts w:ascii="Arial" w:cs="Arial" w:eastAsia="Arial" w:hAnsi="Arial"/>
          <w:sz w:val="16"/>
          <w:szCs w:val="16"/>
          <w:color w:val="auto"/>
        </w:rPr>
      </w:pPr>
      <w:r>
        <w:rPr>
          <w:rFonts w:ascii="Arial" w:cs="Arial" w:eastAsia="Arial" w:hAnsi="Arial"/>
          <w:sz w:val="16"/>
          <w:szCs w:val="16"/>
          <w:color w:val="auto"/>
        </w:rPr>
        <w:t>A special meeting of the stockholders, other than as required by statute, may be called at any time by (i) the Board of Directors acting pursuant to a resolution adopted by a majority of the Whole Board, (ii) the chairperson of the Board of Directors, (iii) the chief executive officer or</w:t>
      </w:r>
    </w:p>
    <w:p>
      <w:pPr>
        <w:ind w:left="4" w:right="360" w:hanging="4"/>
        <w:spacing w:after="0" w:line="253" w:lineRule="auto"/>
        <w:tabs>
          <w:tab w:leader="none" w:pos="30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25" w:lineRule="exact"/>
        <w:rPr>
          <w:rFonts w:ascii="Arial" w:cs="Arial" w:eastAsia="Arial" w:hAnsi="Arial"/>
          <w:sz w:val="18"/>
          <w:szCs w:val="18"/>
          <w:color w:val="auto"/>
        </w:rPr>
      </w:pPr>
    </w:p>
    <w:p>
      <w:pPr>
        <w:ind w:left="5464" w:hanging="106"/>
        <w:spacing w:after="0"/>
        <w:tabs>
          <w:tab w:leader="none" w:pos="5464" w:val="left"/>
        </w:tabs>
        <w:numPr>
          <w:ilvl w:val="2"/>
          <w:numId w:val="3"/>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004"/>
          </w:cols>
          <w:pgMar w:left="436" w:top="270" w:right="459" w:bottom="1440" w:gutter="0" w:footer="0" w:header="0"/>
        </w:sectPr>
      </w:pPr>
    </w:p>
    <w:bookmarkStart w:id="13" w:name="page14"/>
    <w:bookmarkEnd w:id="13"/>
    <w:p>
      <w:pPr>
        <w:ind w:left="4" w:firstLine="987"/>
        <w:spacing w:after="0" w:line="279" w:lineRule="auto"/>
        <w:tabs>
          <w:tab w:leader="none" w:pos="1250" w:val="left"/>
        </w:tabs>
        <w:numPr>
          <w:ilvl w:val="0"/>
          <w:numId w:val="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2.4 ADVANCE NOTICE PROCEDURES</w:t>
      </w:r>
    </w:p>
    <w:p>
      <w:pPr>
        <w:spacing w:after="0" w:line="225" w:lineRule="exact"/>
        <w:rPr>
          <w:sz w:val="20"/>
          <w:szCs w:val="20"/>
          <w:color w:val="auto"/>
        </w:rPr>
      </w:pPr>
    </w:p>
    <w:p>
      <w:pPr>
        <w:ind w:left="1244" w:hanging="253"/>
        <w:spacing w:after="0"/>
        <w:tabs>
          <w:tab w:leader="none" w:pos="1244"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Annual Meetings of Stockholders.</w:t>
      </w:r>
    </w:p>
    <w:p>
      <w:pPr>
        <w:spacing w:after="0" w:line="225" w:lineRule="exact"/>
        <w:rPr>
          <w:rFonts w:ascii="Arial" w:cs="Arial" w:eastAsia="Arial" w:hAnsi="Arial"/>
          <w:sz w:val="18"/>
          <w:szCs w:val="18"/>
          <w:color w:val="auto"/>
        </w:rPr>
      </w:pPr>
    </w:p>
    <w:p>
      <w:pPr>
        <w:ind w:left="4" w:right="420" w:firstLine="1428"/>
        <w:spacing w:after="0" w:line="291" w:lineRule="auto"/>
        <w:tabs>
          <w:tab w:leader="none" w:pos="1651" w:val="left"/>
        </w:tabs>
        <w:numPr>
          <w:ilvl w:val="2"/>
          <w:numId w:val="5"/>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or the proposal of other business to be transacted by the stockholders at an annual meeting of stockholders may be made only (1) pursuant to the Company’s notice of meeting (or any supplement thereto);</w:t>
      </w:r>
    </w:p>
    <w:p>
      <w:pPr>
        <w:ind w:left="264" w:hanging="264"/>
        <w:spacing w:after="0"/>
        <w:tabs>
          <w:tab w:leader="none" w:pos="264" w:val="left"/>
        </w:tabs>
        <w:numPr>
          <w:ilvl w:val="0"/>
          <w:numId w:val="6"/>
        </w:numPr>
        <w:rPr>
          <w:rFonts w:ascii="Arial" w:cs="Arial" w:eastAsia="Arial" w:hAnsi="Arial"/>
          <w:sz w:val="16"/>
          <w:szCs w:val="16"/>
          <w:color w:val="auto"/>
        </w:rPr>
      </w:pPr>
      <w:r>
        <w:rPr>
          <w:rFonts w:ascii="Arial" w:cs="Arial" w:eastAsia="Arial" w:hAnsi="Arial"/>
          <w:sz w:val="16"/>
          <w:szCs w:val="16"/>
          <w:color w:val="auto"/>
        </w:rPr>
        <w:t>by or at the direction of the Board of Directors; (3) as may be provided in the certificate of designations for any class or series of preferred stock; or</w:t>
      </w:r>
    </w:p>
    <w:p>
      <w:pPr>
        <w:spacing w:after="0" w:line="32" w:lineRule="exact"/>
        <w:rPr>
          <w:rFonts w:ascii="Arial" w:cs="Arial" w:eastAsia="Arial" w:hAnsi="Arial"/>
          <w:sz w:val="16"/>
          <w:szCs w:val="16"/>
          <w:color w:val="auto"/>
        </w:rPr>
      </w:pPr>
    </w:p>
    <w:p>
      <w:pPr>
        <w:jc w:val="both"/>
        <w:ind w:left="4" w:right="60" w:hanging="4"/>
        <w:spacing w:after="0" w:line="253"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192" w:lineRule="exact"/>
        <w:rPr>
          <w:rFonts w:ascii="Arial" w:cs="Arial" w:eastAsia="Arial" w:hAnsi="Arial"/>
          <w:sz w:val="18"/>
          <w:szCs w:val="18"/>
          <w:color w:val="auto"/>
        </w:rPr>
      </w:pPr>
    </w:p>
    <w:p>
      <w:pPr>
        <w:ind w:left="4" w:firstLine="1428"/>
        <w:spacing w:after="0" w:line="267" w:lineRule="auto"/>
        <w:tabs>
          <w:tab w:leader="none" w:pos="1701" w:val="left"/>
        </w:tabs>
        <w:numPr>
          <w:ilvl w:val="2"/>
          <w:numId w:val="7"/>
        </w:numPr>
        <w:rPr>
          <w:rFonts w:ascii="Arial" w:cs="Arial" w:eastAsia="Arial" w:hAnsi="Arial"/>
          <w:sz w:val="17"/>
          <w:szCs w:val="17"/>
          <w:color w:val="auto"/>
        </w:rPr>
      </w:pPr>
      <w:r>
        <w:rPr>
          <w:rFonts w:ascii="Arial" w:cs="Arial" w:eastAsia="Arial" w:hAnsi="Arial"/>
          <w:sz w:val="17"/>
          <w:szCs w:val="17"/>
          <w:color w:val="auto"/>
        </w:rPr>
        <w:t>For nominations or other business to be properly brought before an annual meeting of stockholders by a stockholder pursuant to clause (4) of Section 2.4(a)(i), the stockholder must have given timely notice in writing to the secretary and any such nomination or proposed business must constitute a proper matter for stockholder action. To be timely, a stockholder’s notice must be received by the secretary at the principal executive offices of the Company no earlier than 8:00 a.m., local time, on the 120th day and no later than 5:00 p.m., local time, on the 90th day prior to the day of the first anniversary of the preceding year’s annual meeting of stockholders. However, if no annual meeting of stockholders was held in the preceding year, or if the date of the applicable annual meeting has been changed by more than 25 days from the first anniversary of the preceding year’s annual meeting, then to be timely such notice must be received by the secretary at the principal executive offices of the Company no earlier than 8:00 a.m., local time, on the 120th day prior to the day of the annual meeting and no later than 5:00 p.m., local time, on the 10th day following the day on which public announcement of the date of the annual meeting was first made by the Company. In no event will the adjournment, rescheduling or postponement of any annual meeting, or any announcement thereof, commence a new time period (or extend any time period) for the giving of a stockholder’s notice as described above.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nominees for any new positions created by such increase, if it is received by the secretary at the principal executive offices of the Company no later than 5:00 p.m., local time, on the 10th day following the day on which such public announcement is first made. “</w:t>
      </w:r>
      <w:r>
        <w:rPr>
          <w:rFonts w:ascii="Arial" w:cs="Arial" w:eastAsia="Arial" w:hAnsi="Arial"/>
          <w:sz w:val="17"/>
          <w:szCs w:val="17"/>
          <w:b w:val="1"/>
          <w:bCs w:val="1"/>
          <w:color w:val="auto"/>
        </w:rPr>
        <w:t>Public</w:t>
      </w:r>
      <w:r>
        <w:rPr>
          <w:rFonts w:ascii="Arial" w:cs="Arial" w:eastAsia="Arial" w:hAnsi="Arial"/>
          <w:sz w:val="17"/>
          <w:szCs w:val="17"/>
          <w:color w:val="auto"/>
        </w:rPr>
        <w:t xml:space="preserve"> </w:t>
      </w:r>
      <w:r>
        <w:rPr>
          <w:rFonts w:ascii="Arial" w:cs="Arial" w:eastAsia="Arial" w:hAnsi="Arial"/>
          <w:sz w:val="17"/>
          <w:szCs w:val="17"/>
          <w:b w:val="1"/>
          <w:bCs w:val="1"/>
          <w:color w:val="auto"/>
        </w:rPr>
        <w:t>announcement</w:t>
      </w:r>
      <w:r>
        <w:rPr>
          <w:rFonts w:ascii="Arial" w:cs="Arial" w:eastAsia="Arial" w:hAnsi="Arial"/>
          <w:sz w:val="17"/>
          <w:szCs w:val="17"/>
          <w:color w:val="auto"/>
        </w:rPr>
        <w:t>” means disclosure in a press release reported by a national news service or in a document publicly filed by the Company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and Exchange Commission pursuant to Section 13, 14 or 15(d) of the Securities Exchange Act of 1934 (as amended and inclusive of rules and regulations thereunder, the “</w:t>
      </w:r>
      <w:r>
        <w:rPr>
          <w:rFonts w:ascii="Arial" w:cs="Arial" w:eastAsia="Arial" w:hAnsi="Arial"/>
          <w:sz w:val="17"/>
          <w:szCs w:val="17"/>
          <w:b w:val="1"/>
          <w:bCs w:val="1"/>
          <w:color w:val="auto"/>
        </w:rPr>
        <w:t>1934 Act</w:t>
      </w:r>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ind w:left="5464" w:hanging="106"/>
        <w:spacing w:after="0"/>
        <w:tabs>
          <w:tab w:leader="none" w:pos="5464" w:val="left"/>
        </w:tabs>
        <w:numPr>
          <w:ilvl w:val="3"/>
          <w:numId w:val="7"/>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04"/>
          </w:cols>
          <w:pgMar w:left="436" w:top="274" w:right="459" w:bottom="1440" w:gutter="0" w:footer="0" w:header="0"/>
        </w:sectPr>
      </w:pPr>
    </w:p>
    <w:bookmarkStart w:id="14" w:name="page15"/>
    <w:bookmarkEnd w:id="14"/>
    <w:p>
      <w:pPr>
        <w:ind w:left="740" w:hanging="31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stockholder’s notice to the secretary must set forth:</w:t>
      </w:r>
    </w:p>
    <w:p>
      <w:pPr>
        <w:spacing w:after="0" w:line="225" w:lineRule="exact"/>
        <w:rPr>
          <w:rFonts w:ascii="Arial" w:cs="Arial" w:eastAsia="Arial" w:hAnsi="Arial"/>
          <w:sz w:val="18"/>
          <w:szCs w:val="18"/>
          <w:color w:val="auto"/>
        </w:rPr>
      </w:pPr>
    </w:p>
    <w:p>
      <w:pPr>
        <w:ind w:left="1240" w:hanging="261"/>
        <w:spacing w:after="0"/>
        <w:tabs>
          <w:tab w:leader="none" w:pos="12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as a director:</w:t>
      </w:r>
    </w:p>
    <w:p>
      <w:pPr>
        <w:spacing w:after="0" w:line="225" w:lineRule="exact"/>
        <w:rPr>
          <w:rFonts w:ascii="Arial" w:cs="Arial" w:eastAsia="Arial" w:hAnsi="Arial"/>
          <w:sz w:val="18"/>
          <w:szCs w:val="18"/>
          <w:color w:val="auto"/>
        </w:rPr>
      </w:pPr>
    </w:p>
    <w:p>
      <w:pPr>
        <w:ind w:left="-1000" w:right="140" w:firstLine="2419"/>
        <w:spacing w:after="0" w:line="293" w:lineRule="auto"/>
        <w:tabs>
          <w:tab w:leader="none" w:pos="1718" w:val="left"/>
        </w:tabs>
        <w:numPr>
          <w:ilvl w:val="2"/>
          <w:numId w:val="8"/>
        </w:numPr>
        <w:rPr>
          <w:rFonts w:ascii="Arial" w:cs="Arial" w:eastAsia="Arial" w:hAnsi="Arial"/>
          <w:sz w:val="16"/>
          <w:szCs w:val="16"/>
          <w:color w:val="auto"/>
        </w:rPr>
      </w:pPr>
      <w:r>
        <w:rPr>
          <w:rFonts w:ascii="Arial" w:cs="Arial" w:eastAsia="Arial" w:hAnsi="Arial"/>
          <w:sz w:val="16"/>
          <w:szCs w:val="16"/>
          <w:color w:val="auto"/>
        </w:rPr>
        <w:t>such person’s name, age, business address, residence address and principal occupation or employment; the class and number of shares of the Company that are held of record or are beneficially owned by such person and a description of any Derivative Instruments (defined below) held or beneficially owned thereby or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such person; and all information relating to such person that is required to be disclosed in solicitations of proxies for the contested election of directors, or is otherwise required, in each case pursuant to the Section 14 of the 1934 Act;</w:t>
      </w:r>
    </w:p>
    <w:p>
      <w:pPr>
        <w:spacing w:after="0" w:line="164" w:lineRule="exact"/>
        <w:rPr>
          <w:rFonts w:ascii="Arial" w:cs="Arial" w:eastAsia="Arial" w:hAnsi="Arial"/>
          <w:sz w:val="16"/>
          <w:szCs w:val="16"/>
          <w:color w:val="auto"/>
        </w:rPr>
      </w:pPr>
    </w:p>
    <w:p>
      <w:pPr>
        <w:ind w:left="-1000" w:right="700" w:firstLine="2419"/>
        <w:spacing w:after="0" w:line="277" w:lineRule="auto"/>
        <w:tabs>
          <w:tab w:leader="none" w:pos="1708" w:val="left"/>
        </w:tabs>
        <w:numPr>
          <w:ilvl w:val="2"/>
          <w:numId w:val="8"/>
        </w:numPr>
        <w:rPr>
          <w:rFonts w:ascii="Arial" w:cs="Arial" w:eastAsia="Arial" w:hAnsi="Arial"/>
          <w:sz w:val="18"/>
          <w:szCs w:val="18"/>
          <w:color w:val="auto"/>
        </w:rPr>
      </w:pPr>
      <w:r>
        <w:rPr>
          <w:rFonts w:ascii="Arial" w:cs="Arial" w:eastAsia="Arial" w:hAnsi="Arial"/>
          <w:sz w:val="18"/>
          <w:szCs w:val="18"/>
          <w:color w:val="auto"/>
        </w:rPr>
        <w:t>such person’s written consent to being named in such stockholder’s proxy statement as a nominee of such stockholder and to serving as a director of the Company if elected;</w:t>
      </w:r>
    </w:p>
    <w:p>
      <w:pPr>
        <w:spacing w:after="0" w:line="170" w:lineRule="exact"/>
        <w:rPr>
          <w:rFonts w:ascii="Arial" w:cs="Arial" w:eastAsia="Arial" w:hAnsi="Arial"/>
          <w:sz w:val="18"/>
          <w:szCs w:val="18"/>
          <w:color w:val="auto"/>
        </w:rPr>
      </w:pPr>
    </w:p>
    <w:p>
      <w:pPr>
        <w:ind w:left="-1000" w:firstLine="2419"/>
        <w:spacing w:after="0" w:line="259" w:lineRule="auto"/>
        <w:tabs>
          <w:tab w:leader="none" w:pos="1708" w:val="left"/>
        </w:tabs>
        <w:numPr>
          <w:ilvl w:val="2"/>
          <w:numId w:val="8"/>
        </w:numPr>
        <w:rPr>
          <w:rFonts w:ascii="Arial" w:cs="Arial" w:eastAsia="Arial" w:hAnsi="Arial"/>
          <w:sz w:val="18"/>
          <w:szCs w:val="18"/>
          <w:color w:val="auto"/>
        </w:rPr>
      </w:pPr>
      <w:r>
        <w:rPr>
          <w:rFonts w:ascii="Arial" w:cs="Arial" w:eastAsia="Arial" w:hAnsi="Arial"/>
          <w:sz w:val="18"/>
          <w:szCs w:val="18"/>
          <w:color w:val="auto"/>
        </w:rPr>
        <w:t>a reasonably detailed description of any direct or indirect compensatory, payment, indemnification or other financial agreement, arrangement or understanding that such person has, or has had within the past three years, with any person or entity other than the Company (including the amount of any payment or payments received or receivable thereunder), in each case in connection with candidacy or service as a director of the Company (a “</w:t>
      </w:r>
      <w:r>
        <w:rPr>
          <w:rFonts w:ascii="Arial" w:cs="Arial" w:eastAsia="Arial" w:hAnsi="Arial"/>
          <w:sz w:val="18"/>
          <w:szCs w:val="18"/>
          <w:b w:val="1"/>
          <w:bCs w:val="1"/>
          <w:color w:val="auto"/>
        </w:rPr>
        <w:t>Third-Party Compensation Arrangement</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left="-1000" w:right="220" w:firstLine="2419"/>
        <w:spacing w:after="0" w:line="311" w:lineRule="auto"/>
        <w:tabs>
          <w:tab w:leader="none" w:pos="1718" w:val="left"/>
        </w:tabs>
        <w:numPr>
          <w:ilvl w:val="2"/>
          <w:numId w:val="8"/>
        </w:numPr>
        <w:rPr>
          <w:rFonts w:ascii="Arial" w:cs="Arial" w:eastAsia="Arial" w:hAnsi="Arial"/>
          <w:sz w:val="16"/>
          <w:szCs w:val="16"/>
          <w:color w:val="auto"/>
        </w:rPr>
      </w:pPr>
      <w:r>
        <w:rPr>
          <w:rFonts w:ascii="Arial" w:cs="Arial" w:eastAsia="Arial" w:hAnsi="Arial"/>
          <w:sz w:val="16"/>
          <w:szCs w:val="16"/>
          <w:color w:val="auto"/>
        </w:rPr>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w:t>
      </w:r>
    </w:p>
    <w:p>
      <w:pPr>
        <w:spacing w:after="0" w:line="148" w:lineRule="exact"/>
        <w:rPr>
          <w:rFonts w:ascii="Arial" w:cs="Arial" w:eastAsia="Arial" w:hAnsi="Arial"/>
          <w:sz w:val="16"/>
          <w:szCs w:val="16"/>
          <w:color w:val="auto"/>
        </w:rPr>
      </w:pPr>
    </w:p>
    <w:p>
      <w:pPr>
        <w:ind w:left="1240" w:hanging="261"/>
        <w:spacing w:after="0"/>
        <w:tabs>
          <w:tab w:leader="none" w:pos="12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annual meeting:</w:t>
      </w:r>
    </w:p>
    <w:p>
      <w:pPr>
        <w:spacing w:after="0" w:line="225" w:lineRule="exact"/>
        <w:rPr>
          <w:rFonts w:ascii="Arial" w:cs="Arial" w:eastAsia="Arial" w:hAnsi="Arial"/>
          <w:sz w:val="18"/>
          <w:szCs w:val="18"/>
          <w:color w:val="auto"/>
        </w:rPr>
      </w:pPr>
    </w:p>
    <w:p>
      <w:pPr>
        <w:ind w:left="1720" w:hanging="301"/>
        <w:spacing w:after="0"/>
        <w:tabs>
          <w:tab w:leader="none" w:pos="1720" w:val="left"/>
        </w:tabs>
        <w:numPr>
          <w:ilvl w:val="2"/>
          <w:numId w:val="8"/>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annual meeting;</w:t>
      </w:r>
    </w:p>
    <w:p>
      <w:pPr>
        <w:spacing w:after="0" w:line="225" w:lineRule="exact"/>
        <w:rPr>
          <w:rFonts w:ascii="Arial" w:cs="Arial" w:eastAsia="Arial" w:hAnsi="Arial"/>
          <w:sz w:val="18"/>
          <w:szCs w:val="18"/>
          <w:color w:val="auto"/>
        </w:rPr>
      </w:pPr>
    </w:p>
    <w:p>
      <w:pPr>
        <w:ind w:left="-1000" w:right="620" w:firstLine="2419"/>
        <w:spacing w:after="0" w:line="308" w:lineRule="auto"/>
        <w:tabs>
          <w:tab w:leader="none" w:pos="1708" w:val="left"/>
        </w:tabs>
        <w:numPr>
          <w:ilvl w:val="2"/>
          <w:numId w:val="8"/>
        </w:numPr>
        <w:rPr>
          <w:rFonts w:ascii="Arial" w:cs="Arial" w:eastAsia="Arial" w:hAnsi="Arial"/>
          <w:sz w:val="17"/>
          <w:szCs w:val="17"/>
          <w:color w:val="auto"/>
        </w:rPr>
      </w:pPr>
      <w:r>
        <w:rPr>
          <w:rFonts w:ascii="Arial" w:cs="Arial" w:eastAsia="Arial" w:hAnsi="Arial"/>
          <w:sz w:val="17"/>
          <w:szCs w:val="17"/>
          <w:color w:val="auto"/>
        </w:rPr>
        <w:t>the text of the proposal or business (including the text of any resolutions proposed for consideration and, if applicable, the text of any proposed amendment to these bylaws or the Company’s certificate of incorporation);</w:t>
      </w:r>
    </w:p>
    <w:p>
      <w:pPr>
        <w:spacing w:after="0" w:line="146" w:lineRule="exact"/>
        <w:rPr>
          <w:rFonts w:ascii="Arial" w:cs="Arial" w:eastAsia="Arial" w:hAnsi="Arial"/>
          <w:sz w:val="17"/>
          <w:szCs w:val="17"/>
          <w:color w:val="auto"/>
        </w:rPr>
      </w:pPr>
    </w:p>
    <w:p>
      <w:pPr>
        <w:ind w:left="1700" w:hanging="281"/>
        <w:spacing w:after="0"/>
        <w:tabs>
          <w:tab w:leader="none" w:pos="1700"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reasons for conducting such business at the annual meeting;</w:t>
      </w:r>
    </w:p>
    <w:p>
      <w:pPr>
        <w:spacing w:after="0" w:line="225" w:lineRule="exact"/>
        <w:rPr>
          <w:rFonts w:ascii="Arial" w:cs="Arial" w:eastAsia="Arial" w:hAnsi="Arial"/>
          <w:sz w:val="18"/>
          <w:szCs w:val="18"/>
          <w:color w:val="auto"/>
        </w:rPr>
      </w:pPr>
    </w:p>
    <w:p>
      <w:pPr>
        <w:ind w:left="-1000" w:right="320" w:firstLine="2419"/>
        <w:spacing w:after="0" w:line="308" w:lineRule="auto"/>
        <w:tabs>
          <w:tab w:leader="none" w:pos="1718" w:val="left"/>
        </w:tabs>
        <w:numPr>
          <w:ilvl w:val="2"/>
          <w:numId w:val="8"/>
        </w:numPr>
        <w:rPr>
          <w:rFonts w:ascii="Arial" w:cs="Arial" w:eastAsia="Arial" w:hAnsi="Arial"/>
          <w:sz w:val="17"/>
          <w:szCs w:val="17"/>
          <w:color w:val="auto"/>
        </w:rPr>
      </w:pPr>
      <w:r>
        <w:rPr>
          <w:rFonts w:ascii="Arial" w:cs="Arial" w:eastAsia="Arial" w:hAnsi="Arial"/>
          <w:sz w:val="17"/>
          <w:szCs w:val="17"/>
          <w:color w:val="auto"/>
        </w:rPr>
        <w:t>any material interest in such business of such stockholder giving the notice and the beneficial owner, if any, on whose behalf the proposal is made, and their respective affiliates and associates, or others acting in concert with them; and</w:t>
      </w:r>
    </w:p>
    <w:p>
      <w:pPr>
        <w:spacing w:after="0" w:line="78" w:lineRule="exact"/>
        <w:rPr>
          <w:rFonts w:ascii="Arial" w:cs="Arial" w:eastAsia="Arial" w:hAnsi="Arial"/>
          <w:sz w:val="17"/>
          <w:szCs w:val="17"/>
          <w:color w:val="auto"/>
        </w:rPr>
      </w:pPr>
    </w:p>
    <w:p>
      <w:pPr>
        <w:ind w:left="4460" w:hanging="106"/>
        <w:spacing w:after="0"/>
        <w:tabs>
          <w:tab w:leader="none" w:pos="4460" w:val="left"/>
        </w:tabs>
        <w:numPr>
          <w:ilvl w:val="3"/>
          <w:numId w:val="8"/>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000"/>
          </w:cols>
          <w:pgMar w:left="1440" w:top="274" w:right="459" w:bottom="1440" w:gutter="0" w:footer="0" w:header="0"/>
        </w:sectPr>
      </w:pPr>
    </w:p>
    <w:bookmarkStart w:id="15" w:name="page16"/>
    <w:bookmarkEnd w:id="15"/>
    <w:p>
      <w:pPr>
        <w:jc w:val="both"/>
        <w:ind w:right="380" w:firstLine="2419"/>
        <w:spacing w:after="0" w:line="286" w:lineRule="auto"/>
        <w:tabs>
          <w:tab w:leader="none" w:pos="2698" w:val="left"/>
        </w:tabs>
        <w:numPr>
          <w:ilvl w:val="1"/>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description of all agreements, arrangements and understandings between such stockholder and the beneficial owner, if any, on whose behalf the proposal is made, and their respective affiliates or associates or others acting in concert with them, and any other person or persons (including their names) in connection with the proposal of such business by such stockholder; and</w:t>
      </w:r>
    </w:p>
    <w:p>
      <w:pPr>
        <w:spacing w:after="0" w:line="165" w:lineRule="exact"/>
        <w:rPr>
          <w:rFonts w:ascii="Arial" w:cs="Arial" w:eastAsia="Arial" w:hAnsi="Arial"/>
          <w:sz w:val="17"/>
          <w:szCs w:val="17"/>
          <w:color w:val="auto"/>
        </w:rPr>
      </w:pPr>
    </w:p>
    <w:p>
      <w:pPr>
        <w:ind w:left="2240" w:hanging="261"/>
        <w:spacing w:after="0"/>
        <w:tabs>
          <w:tab w:leader="none" w:pos="2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to the stockholder giving the notice and the beneficial owner, if any, on whose behalf the nomination or proposal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made:</w:t>
      </w:r>
    </w:p>
    <w:p>
      <w:pPr>
        <w:spacing w:after="0" w:line="210" w:lineRule="exact"/>
        <w:rPr>
          <w:rFonts w:ascii="Arial" w:cs="Arial" w:eastAsia="Arial" w:hAnsi="Arial"/>
          <w:sz w:val="16"/>
          <w:szCs w:val="16"/>
          <w:color w:val="auto"/>
        </w:rPr>
      </w:pPr>
    </w:p>
    <w:p>
      <w:pPr>
        <w:ind w:right="100" w:firstLine="2419"/>
        <w:spacing w:after="0" w:line="277" w:lineRule="auto"/>
        <w:tabs>
          <w:tab w:leader="none" w:pos="2718"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Company’s books), of such beneficial owner and of their respective affiliates or associates or others acting in concert with them;</w:t>
      </w:r>
    </w:p>
    <w:p>
      <w:pPr>
        <w:spacing w:after="0" w:line="170" w:lineRule="exact"/>
        <w:rPr>
          <w:rFonts w:ascii="Arial" w:cs="Arial" w:eastAsia="Arial" w:hAnsi="Arial"/>
          <w:sz w:val="18"/>
          <w:szCs w:val="18"/>
          <w:color w:val="auto"/>
        </w:rPr>
      </w:pPr>
    </w:p>
    <w:p>
      <w:pPr>
        <w:ind w:right="20" w:firstLine="2419"/>
        <w:spacing w:after="0" w:line="342" w:lineRule="auto"/>
        <w:tabs>
          <w:tab w:leader="none" w:pos="2708" w:val="left"/>
        </w:tabs>
        <w:numPr>
          <w:ilvl w:val="1"/>
          <w:numId w:val="10"/>
        </w:numPr>
        <w:rPr>
          <w:rFonts w:ascii="Arial" w:cs="Arial" w:eastAsia="Arial" w:hAnsi="Arial"/>
          <w:sz w:val="16"/>
          <w:szCs w:val="16"/>
          <w:color w:val="auto"/>
        </w:rPr>
      </w:pPr>
      <w:r>
        <w:rPr>
          <w:rFonts w:ascii="Arial" w:cs="Arial" w:eastAsia="Arial" w:hAnsi="Arial"/>
          <w:sz w:val="16"/>
          <w:szCs w:val="16"/>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123" w:lineRule="exact"/>
        <w:rPr>
          <w:rFonts w:ascii="Arial" w:cs="Arial" w:eastAsia="Arial" w:hAnsi="Arial"/>
          <w:sz w:val="16"/>
          <w:szCs w:val="16"/>
          <w:color w:val="auto"/>
        </w:rPr>
      </w:pPr>
    </w:p>
    <w:p>
      <w:pPr>
        <w:ind w:right="60" w:firstLine="2419"/>
        <w:spacing w:after="0" w:line="263" w:lineRule="auto"/>
        <w:tabs>
          <w:tab w:leader="none" w:pos="27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spacing w:after="0" w:line="183" w:lineRule="exact"/>
        <w:rPr>
          <w:rFonts w:ascii="Arial" w:cs="Arial" w:eastAsia="Arial" w:hAnsi="Arial"/>
          <w:sz w:val="18"/>
          <w:szCs w:val="18"/>
          <w:color w:val="auto"/>
        </w:rPr>
      </w:pPr>
    </w:p>
    <w:p>
      <w:pPr>
        <w:ind w:firstLine="2419"/>
        <w:spacing w:after="0" w:line="291" w:lineRule="auto"/>
        <w:tabs>
          <w:tab w:leader="none" w:pos="2718" w:val="left"/>
        </w:tabs>
        <w:numPr>
          <w:ilvl w:val="1"/>
          <w:numId w:val="10"/>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Arial" w:cs="Arial" w:eastAsia="Arial" w:hAnsi="Arial"/>
          <w:sz w:val="16"/>
          <w:szCs w:val="16"/>
          <w:b w:val="1"/>
          <w:bCs w:val="1"/>
          <w:color w:val="auto"/>
        </w:rPr>
        <w:t>Derivative</w:t>
      </w:r>
      <w:r>
        <w:rPr>
          <w:rFonts w:ascii="Arial" w:cs="Arial" w:eastAsia="Arial" w:hAnsi="Arial"/>
          <w:sz w:val="16"/>
          <w:szCs w:val="16"/>
          <w:color w:val="auto"/>
        </w:rPr>
        <w:t xml:space="preserve"> </w:t>
      </w:r>
      <w:r>
        <w:rPr>
          <w:rFonts w:ascii="Arial" w:cs="Arial" w:eastAsia="Arial" w:hAnsi="Arial"/>
          <w:sz w:val="16"/>
          <w:szCs w:val="16"/>
          <w:b w:val="1"/>
          <w:bCs w:val="1"/>
          <w:color w:val="auto"/>
        </w:rPr>
        <w:t>Instrument</w:t>
      </w:r>
      <w:r>
        <w:rPr>
          <w:rFonts w:ascii="Arial" w:cs="Arial" w:eastAsia="Arial" w:hAnsi="Arial"/>
          <w:sz w:val="16"/>
          <w:szCs w:val="16"/>
          <w:color w:val="auto"/>
        </w:rPr>
        <w:t>”), or any other agreement, arrangement or understanding that has been made the effect or intent of which is to create or mitigate loss to,</w:t>
      </w:r>
      <w:r>
        <w:rPr>
          <w:rFonts w:ascii="Arial" w:cs="Arial" w:eastAsia="Arial" w:hAnsi="Arial"/>
          <w:sz w:val="16"/>
          <w:szCs w:val="16"/>
          <w:b w:val="1"/>
          <w:bCs w:val="1"/>
          <w:color w:val="auto"/>
        </w:rPr>
        <w:t xml:space="preserve"> </w:t>
      </w:r>
      <w:r>
        <w:rPr>
          <w:rFonts w:ascii="Arial" w:cs="Arial" w:eastAsia="Arial" w:hAnsi="Arial"/>
          <w:sz w:val="16"/>
          <w:szCs w:val="16"/>
          <w:color w:val="auto"/>
        </w:rPr>
        <w:t>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166" w:lineRule="exact"/>
        <w:rPr>
          <w:rFonts w:ascii="Arial" w:cs="Arial" w:eastAsia="Arial" w:hAnsi="Arial"/>
          <w:sz w:val="16"/>
          <w:szCs w:val="16"/>
          <w:color w:val="auto"/>
        </w:rPr>
      </w:pPr>
    </w:p>
    <w:p>
      <w:pPr>
        <w:ind w:right="20" w:firstLine="2419"/>
        <w:spacing w:after="0" w:line="342" w:lineRule="auto"/>
        <w:tabs>
          <w:tab w:leader="none" w:pos="2698"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123" w:lineRule="exact"/>
        <w:rPr>
          <w:rFonts w:ascii="Arial" w:cs="Arial" w:eastAsia="Arial" w:hAnsi="Arial"/>
          <w:sz w:val="16"/>
          <w:szCs w:val="16"/>
          <w:color w:val="auto"/>
        </w:rPr>
      </w:pPr>
    </w:p>
    <w:p>
      <w:pPr>
        <w:ind w:right="20" w:firstLine="2419"/>
        <w:spacing w:after="0" w:line="311" w:lineRule="auto"/>
        <w:tabs>
          <w:tab w:leader="none" w:pos="2688"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148" w:lineRule="exact"/>
        <w:rPr>
          <w:rFonts w:ascii="Arial" w:cs="Arial" w:eastAsia="Arial" w:hAnsi="Arial"/>
          <w:sz w:val="16"/>
          <w:szCs w:val="16"/>
          <w:color w:val="auto"/>
        </w:rPr>
      </w:pPr>
    </w:p>
    <w:p>
      <w:pPr>
        <w:ind w:right="100" w:firstLine="2419"/>
        <w:spacing w:after="0" w:line="259" w:lineRule="auto"/>
        <w:tabs>
          <w:tab w:leader="none" w:pos="271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119" w:lineRule="exact"/>
        <w:rPr>
          <w:rFonts w:ascii="Arial" w:cs="Arial" w:eastAsia="Arial" w:hAnsi="Arial"/>
          <w:sz w:val="18"/>
          <w:szCs w:val="18"/>
          <w:color w:val="auto"/>
        </w:rPr>
      </w:pPr>
    </w:p>
    <w:p>
      <w:pPr>
        <w:ind w:left="5460" w:hanging="106"/>
        <w:spacing w:after="0"/>
        <w:tabs>
          <w:tab w:leader="none" w:pos="54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00"/>
          </w:cols>
          <w:pgMar w:left="440" w:top="274" w:right="459" w:bottom="1440" w:gutter="0" w:footer="0" w:header="0"/>
        </w:sectPr>
      </w:pPr>
    </w:p>
    <w:bookmarkStart w:id="16" w:name="page17"/>
    <w:bookmarkEnd w:id="16"/>
    <w:p>
      <w:pPr>
        <w:ind w:left="-1000" w:right="100" w:firstLine="2419"/>
        <w:spacing w:after="0" w:line="308" w:lineRule="auto"/>
        <w:tabs>
          <w:tab w:leader="none" w:pos="1718" w:val="left"/>
        </w:tabs>
        <w:numPr>
          <w:ilvl w:val="1"/>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significant equity interests or any Derivative Instruments in any principal competitor of the Company that are held by such stockholder, such beneficial owner or their respective affiliates or associates or others acting in concert with them;</w:t>
      </w:r>
    </w:p>
    <w:p>
      <w:pPr>
        <w:spacing w:after="0" w:line="146" w:lineRule="exact"/>
        <w:rPr>
          <w:rFonts w:ascii="Arial" w:cs="Arial" w:eastAsia="Arial" w:hAnsi="Arial"/>
          <w:sz w:val="17"/>
          <w:szCs w:val="17"/>
          <w:color w:val="auto"/>
        </w:rPr>
      </w:pPr>
    </w:p>
    <w:p>
      <w:pPr>
        <w:jc w:val="both"/>
        <w:ind w:left="-1000" w:firstLine="2419"/>
        <w:spacing w:after="0" w:line="286" w:lineRule="auto"/>
        <w:tabs>
          <w:tab w:leader="none" w:pos="1648" w:val="left"/>
        </w:tabs>
        <w:numPr>
          <w:ilvl w:val="1"/>
          <w:numId w:val="11"/>
        </w:numPr>
        <w:rPr>
          <w:rFonts w:ascii="Arial" w:cs="Arial" w:eastAsia="Arial" w:hAnsi="Arial"/>
          <w:sz w:val="17"/>
          <w:szCs w:val="17"/>
          <w:color w:val="auto"/>
        </w:rPr>
      </w:pPr>
      <w:r>
        <w:rPr>
          <w:rFonts w:ascii="Arial" w:cs="Arial" w:eastAsia="Arial" w:hAnsi="Arial"/>
          <w:sz w:val="17"/>
          <w:szCs w:val="17"/>
          <w:color w:val="auto"/>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any employment agreement, collective bargaining agreement or consulting agreement);</w:t>
      </w:r>
    </w:p>
    <w:p>
      <w:pPr>
        <w:spacing w:after="0" w:line="165" w:lineRule="exact"/>
        <w:rPr>
          <w:rFonts w:ascii="Arial" w:cs="Arial" w:eastAsia="Arial" w:hAnsi="Arial"/>
          <w:sz w:val="17"/>
          <w:szCs w:val="17"/>
          <w:color w:val="auto"/>
        </w:rPr>
      </w:pPr>
    </w:p>
    <w:p>
      <w:pPr>
        <w:ind w:left="-1000" w:right="20" w:firstLine="2419"/>
        <w:spacing w:after="0" w:line="263" w:lineRule="auto"/>
        <w:tabs>
          <w:tab w:leader="none" w:pos="16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representation and undertaking that the stockholder is a holder of record of stock of the Company as of the date of submission of the stockholder’s notice and intends to appear in person or by proxy at the meeting to bring such nomination or other business before the meeting;</w:t>
      </w:r>
    </w:p>
    <w:p>
      <w:pPr>
        <w:spacing w:after="0" w:line="183" w:lineRule="exact"/>
        <w:rPr>
          <w:rFonts w:ascii="Arial" w:cs="Arial" w:eastAsia="Arial" w:hAnsi="Arial"/>
          <w:sz w:val="18"/>
          <w:szCs w:val="18"/>
          <w:color w:val="auto"/>
        </w:rPr>
      </w:pPr>
    </w:p>
    <w:p>
      <w:pPr>
        <w:ind w:left="-1000" w:right="120" w:firstLine="2419"/>
        <w:spacing w:after="0" w:line="259" w:lineRule="auto"/>
        <w:tabs>
          <w:tab w:leader="none" w:pos="171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representation and undertaking that such stockholder or any such beneficial owner intends, or is part of a group that intends, to (x) deliver a proxy statement or form of proxy to holders of at least the percentage of the voting power of the Company’s then-outstanding stock required to approve or adopt the proposal or to elect each such nominee; or (y) otherwise solicit proxies from stockholders in support of such proposal or nomination;</w:t>
      </w:r>
    </w:p>
    <w:p>
      <w:pPr>
        <w:spacing w:after="0" w:line="186" w:lineRule="exact"/>
        <w:rPr>
          <w:rFonts w:ascii="Arial" w:cs="Arial" w:eastAsia="Arial" w:hAnsi="Arial"/>
          <w:sz w:val="18"/>
          <w:szCs w:val="18"/>
          <w:color w:val="auto"/>
        </w:rPr>
      </w:pPr>
    </w:p>
    <w:p>
      <w:pPr>
        <w:jc w:val="both"/>
        <w:ind w:left="-1000" w:firstLine="2419"/>
        <w:spacing w:after="0" w:line="259" w:lineRule="auto"/>
        <w:tabs>
          <w:tab w:leader="none" w:pos="169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186" w:lineRule="exact"/>
        <w:rPr>
          <w:rFonts w:ascii="Arial" w:cs="Arial" w:eastAsia="Arial" w:hAnsi="Arial"/>
          <w:sz w:val="18"/>
          <w:szCs w:val="18"/>
          <w:color w:val="auto"/>
        </w:rPr>
      </w:pPr>
    </w:p>
    <w:p>
      <w:pPr>
        <w:ind w:left="-1000" w:right="500" w:firstLine="2419"/>
        <w:spacing w:after="0" w:line="277" w:lineRule="auto"/>
        <w:tabs>
          <w:tab w:leader="none" w:pos="1748"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such other information relating to any proposed item of business as the Company may reasonably require to determine whether such proposed item of business is a proper matter for stockholder action.</w:t>
      </w:r>
    </w:p>
    <w:p>
      <w:pPr>
        <w:spacing w:after="0" w:line="170" w:lineRule="exact"/>
        <w:rPr>
          <w:rFonts w:ascii="Arial" w:cs="Arial" w:eastAsia="Arial" w:hAnsi="Arial"/>
          <w:sz w:val="18"/>
          <w:szCs w:val="18"/>
          <w:color w:val="auto"/>
        </w:rPr>
      </w:pPr>
    </w:p>
    <w:p>
      <w:pPr>
        <w:ind w:left="-1000" w:firstLine="1428"/>
        <w:spacing w:after="0" w:line="287" w:lineRule="auto"/>
        <w:tabs>
          <w:tab w:leader="none" w:pos="737"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meeting and as of the date that is 10 business days prior to the meeting or any adjournment, rescheduling or postponement thereof and (2) to provide any additional information that the Company may reasonably request. Such update and supplement or additional information, if applicable, must be received by the secretary at the principal executive offices of the Company, in the case of a request for additional information, promptly following a request therefor, which response must be delivered not later than such reasonable time as is specified in any such request from the Company or, in the case of any other update or supplement of any information, not later than five business days after the record date(s) for the meeting (in the case of any update and supplement required to be made as of the record date(s)), and not later than eight business days prior to the date for the meeting or any adjournment, rescheduling or postponement thereof (in the case of the update and supplement required to be made as of 10 business days prior to the meeting or any adjournment, rescheduling or postponement thereof). The failure to timely provide such update, supplement or additional information shall result in the nomination or proposal no longer being eligible for consideration at the meeting.</w:t>
      </w:r>
    </w:p>
    <w:p>
      <w:pPr>
        <w:spacing w:after="0" w:line="100" w:lineRule="exact"/>
        <w:rPr>
          <w:rFonts w:ascii="Arial" w:cs="Arial" w:eastAsia="Arial" w:hAnsi="Arial"/>
          <w:sz w:val="16"/>
          <w:szCs w:val="16"/>
          <w:color w:val="auto"/>
        </w:rPr>
      </w:pPr>
    </w:p>
    <w:p>
      <w:pPr>
        <w:ind w:left="4460" w:hanging="106"/>
        <w:spacing w:after="0"/>
        <w:tabs>
          <w:tab w:leader="none" w:pos="4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000"/>
          </w:cols>
          <w:pgMar w:left="1440" w:top="274" w:right="459" w:bottom="1440" w:gutter="0" w:footer="0" w:header="0"/>
        </w:sectPr>
      </w:pPr>
    </w:p>
    <w:bookmarkStart w:id="17" w:name="page18"/>
    <w:bookmarkEnd w:id="17"/>
    <w:p>
      <w:pPr>
        <w:ind w:left="-987" w:firstLine="987"/>
        <w:spacing w:after="0" w:line="268" w:lineRule="auto"/>
        <w:tabs>
          <w:tab w:leader="none" w:pos="259"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Meetings of Stockholders</w:t>
      </w:r>
      <w:r>
        <w:rPr>
          <w:rFonts w:ascii="Arial" w:cs="Arial" w:eastAsia="Arial" w:hAnsi="Arial"/>
          <w:sz w:val="17"/>
          <w:szCs w:val="17"/>
          <w:color w:val="auto"/>
        </w:rPr>
        <w:t>. Except to the extent required by the DGCL, and subject to Section 2.3(a), special meetings of</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may be called only in 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For nominations to be properly brought by a stockholder before a special meeting pursuant to this Section 2.4(b), the stockholder’s notice must be received by the secretary at the principal executive offices of the Company no earlier than 8:00 a.m., local time, on the 120th day prior to the day of the special meeting and no later than 5:00 p.m., local time, on the 10th day following the day on which public announcement of the date of the special meeting was first made. In no event will any adjournment, rescheduling or postponement of a special meeting or the announcement thereof commence a new time period (or extend any time period) for the giving of a stockholder’s notice. A stockholder’s notice to the Secretary must comply with the applicable notice requirements of Section 2.4(a)(iii).</w:t>
      </w:r>
    </w:p>
    <w:p>
      <w:pPr>
        <w:spacing w:after="0" w:line="184" w:lineRule="exact"/>
        <w:rPr>
          <w:rFonts w:ascii="Arial" w:cs="Arial" w:eastAsia="Arial" w:hAnsi="Arial"/>
          <w:sz w:val="17"/>
          <w:szCs w:val="17"/>
          <w:color w:val="auto"/>
        </w:rPr>
      </w:pPr>
    </w:p>
    <w:p>
      <w:pPr>
        <w:ind w:left="253" w:hanging="253"/>
        <w:spacing w:after="0"/>
        <w:tabs>
          <w:tab w:leader="none" w:pos="253"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Other Requirements.</w:t>
      </w:r>
    </w:p>
    <w:p>
      <w:pPr>
        <w:spacing w:after="0" w:line="225" w:lineRule="exact"/>
        <w:rPr>
          <w:rFonts w:ascii="Arial" w:cs="Arial" w:eastAsia="Arial" w:hAnsi="Arial"/>
          <w:sz w:val="18"/>
          <w:szCs w:val="18"/>
          <w:color w:val="auto"/>
        </w:rPr>
      </w:pPr>
    </w:p>
    <w:p>
      <w:pPr>
        <w:ind w:left="-987" w:right="100" w:firstLine="1428"/>
        <w:spacing w:after="0" w:line="342" w:lineRule="auto"/>
        <w:tabs>
          <w:tab w:leader="none" w:pos="659" w:val="left"/>
        </w:tabs>
        <w:numPr>
          <w:ilvl w:val="1"/>
          <w:numId w:val="13"/>
        </w:numPr>
        <w:rPr>
          <w:rFonts w:ascii="Arial" w:cs="Arial" w:eastAsia="Arial" w:hAnsi="Arial"/>
          <w:sz w:val="16"/>
          <w:szCs w:val="16"/>
          <w:color w:val="auto"/>
        </w:rPr>
      </w:pPr>
      <w:r>
        <w:rPr>
          <w:rFonts w:ascii="Arial" w:cs="Arial" w:eastAsia="Arial" w:hAnsi="Arial"/>
          <w:sz w:val="16"/>
          <w:szCs w:val="16"/>
          <w:color w:val="auto"/>
        </w:rPr>
        <w:t>To be eligible to be a nominee by any stockholder for election as a director of the Company, the proposed nominee must provide to the secretary, in accordance with the applicable time periods prescribed for delivery of notice under Section 2.4(a)(ii) or Section 2.4(b):</w:t>
      </w:r>
    </w:p>
    <w:p>
      <w:pPr>
        <w:spacing w:after="0" w:line="123" w:lineRule="exact"/>
        <w:rPr>
          <w:rFonts w:ascii="Arial" w:cs="Arial" w:eastAsia="Arial" w:hAnsi="Arial"/>
          <w:sz w:val="16"/>
          <w:szCs w:val="16"/>
          <w:color w:val="auto"/>
        </w:rPr>
      </w:pPr>
    </w:p>
    <w:p>
      <w:pPr>
        <w:ind w:left="-987" w:right="40" w:firstLine="1979"/>
        <w:spacing w:after="0" w:line="259" w:lineRule="auto"/>
        <w:tabs>
          <w:tab w:leader="none" w:pos="125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186" w:lineRule="exact"/>
        <w:rPr>
          <w:rFonts w:ascii="Arial" w:cs="Arial" w:eastAsia="Arial" w:hAnsi="Arial"/>
          <w:sz w:val="18"/>
          <w:szCs w:val="18"/>
          <w:color w:val="auto"/>
        </w:rPr>
      </w:pPr>
    </w:p>
    <w:p>
      <w:pPr>
        <w:jc w:val="both"/>
        <w:ind w:left="-987" w:right="80" w:firstLine="1979"/>
        <w:spacing w:after="0" w:line="263" w:lineRule="auto"/>
        <w:tabs>
          <w:tab w:leader="none" w:pos="125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spacing w:after="0" w:line="183" w:lineRule="exact"/>
        <w:rPr>
          <w:rFonts w:ascii="Arial" w:cs="Arial" w:eastAsia="Arial" w:hAnsi="Arial"/>
          <w:sz w:val="18"/>
          <w:szCs w:val="18"/>
          <w:color w:val="auto"/>
        </w:rPr>
      </w:pPr>
    </w:p>
    <w:p>
      <w:pPr>
        <w:ind w:left="-987" w:right="80" w:firstLine="1979"/>
        <w:spacing w:after="0" w:line="277" w:lineRule="auto"/>
        <w:tabs>
          <w:tab w:leader="none" w:pos="125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 written representation and undertaking that, unless previously disclosed to the Company, such nominee is not, and will not become, a party to any Third-Party Compensation Arrangement;</w:t>
      </w:r>
    </w:p>
    <w:p>
      <w:pPr>
        <w:spacing w:after="0" w:line="170" w:lineRule="exact"/>
        <w:rPr>
          <w:rFonts w:ascii="Arial" w:cs="Arial" w:eastAsia="Arial" w:hAnsi="Arial"/>
          <w:sz w:val="18"/>
          <w:szCs w:val="18"/>
          <w:color w:val="auto"/>
        </w:rPr>
      </w:pPr>
    </w:p>
    <w:p>
      <w:pPr>
        <w:ind w:left="-987" w:right="220" w:firstLine="1979"/>
        <w:spacing w:after="0" w:line="342" w:lineRule="auto"/>
        <w:tabs>
          <w:tab w:leader="none" w:pos="1250" w:val="left"/>
        </w:tabs>
        <w:numPr>
          <w:ilvl w:val="2"/>
          <w:numId w:val="13"/>
        </w:numPr>
        <w:rPr>
          <w:rFonts w:ascii="Arial" w:cs="Arial" w:eastAsia="Arial" w:hAnsi="Arial"/>
          <w:sz w:val="16"/>
          <w:szCs w:val="16"/>
          <w:color w:val="auto"/>
        </w:rPr>
      </w:pPr>
      <w:r>
        <w:rPr>
          <w:rFonts w:ascii="Arial" w:cs="Arial" w:eastAsia="Arial" w:hAnsi="Arial"/>
          <w:sz w:val="16"/>
          <w:szCs w:val="16"/>
          <w:color w:val="auto"/>
        </w:rPr>
        <w:t>a written representation and undertaking that, if elected as a director, such nominee would be in compliance, and will continue to comply, with the Company’s corporate governance guidelines as disclosed on the Company’s website, as amended from time to time; and</w:t>
      </w:r>
    </w:p>
    <w:p>
      <w:pPr>
        <w:spacing w:after="0" w:line="56" w:lineRule="exact"/>
        <w:rPr>
          <w:rFonts w:ascii="Arial" w:cs="Arial" w:eastAsia="Arial" w:hAnsi="Arial"/>
          <w:sz w:val="16"/>
          <w:szCs w:val="16"/>
          <w:color w:val="auto"/>
        </w:rPr>
      </w:pPr>
    </w:p>
    <w:p>
      <w:pPr>
        <w:ind w:left="4473" w:hanging="106"/>
        <w:spacing w:after="0"/>
        <w:tabs>
          <w:tab w:leader="none" w:pos="4473" w:val="left"/>
        </w:tabs>
        <w:numPr>
          <w:ilvl w:val="3"/>
          <w:numId w:val="13"/>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9993"/>
          </w:cols>
          <w:pgMar w:left="1427" w:top="274" w:right="479" w:bottom="1440" w:gutter="0" w:footer="0" w:header="0"/>
        </w:sectPr>
      </w:pPr>
    </w:p>
    <w:bookmarkStart w:id="18" w:name="page19"/>
    <w:bookmarkEnd w:id="18"/>
    <w:p>
      <w:pPr>
        <w:ind w:left="1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 a written representation and undertaking that such nominee, if elected, intends to serve a full term on the Board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ind w:right="160" w:firstLine="1428"/>
        <w:spacing w:after="0" w:line="308" w:lineRule="auto"/>
        <w:tabs>
          <w:tab w:leader="none" w:pos="1697" w:val="left"/>
        </w:tabs>
        <w:numPr>
          <w:ilvl w:val="0"/>
          <w:numId w:val="14"/>
        </w:numPr>
        <w:rPr>
          <w:rFonts w:ascii="Arial" w:cs="Arial" w:eastAsia="Arial" w:hAnsi="Arial"/>
          <w:sz w:val="17"/>
          <w:szCs w:val="17"/>
          <w:color w:val="auto"/>
        </w:rPr>
      </w:pPr>
      <w:r>
        <w:rPr>
          <w:rFonts w:ascii="Arial" w:cs="Arial" w:eastAsia="Arial" w:hAnsi="Arial"/>
          <w:sz w:val="17"/>
          <w:szCs w:val="17"/>
          <w:color w:val="auto"/>
        </w:rPr>
        <w:t>At the request of the Board of Directors, any person nominated by the Board of Directors for election as a director must furnish to the secretary the information that is required to be set forth in a stockholder’s notice of nomination that pertains to such nominee.</w:t>
      </w:r>
    </w:p>
    <w:p>
      <w:pPr>
        <w:spacing w:after="0" w:line="146" w:lineRule="exact"/>
        <w:rPr>
          <w:rFonts w:ascii="Arial" w:cs="Arial" w:eastAsia="Arial" w:hAnsi="Arial"/>
          <w:sz w:val="17"/>
          <w:szCs w:val="17"/>
          <w:color w:val="auto"/>
        </w:rPr>
      </w:pPr>
    </w:p>
    <w:p>
      <w:pPr>
        <w:ind w:right="40" w:firstLine="1428"/>
        <w:spacing w:after="0" w:line="263" w:lineRule="auto"/>
        <w:tabs>
          <w:tab w:leader="none" w:pos="17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person will be eligible to be nominated by a stockholder for election as a director of the Company unless nominated in accordance with the procedures set forth in this Section 2.4. No business proposed by a stockholder will be conducted at a stockholder meeting except in accordance with this Section 2.4.</w:t>
      </w:r>
    </w:p>
    <w:p>
      <w:pPr>
        <w:spacing w:after="0" w:line="183" w:lineRule="exact"/>
        <w:rPr>
          <w:rFonts w:ascii="Arial" w:cs="Arial" w:eastAsia="Arial" w:hAnsi="Arial"/>
          <w:sz w:val="18"/>
          <w:szCs w:val="18"/>
          <w:color w:val="auto"/>
        </w:rPr>
      </w:pPr>
    </w:p>
    <w:p>
      <w:pPr>
        <w:ind w:right="60" w:firstLine="1428"/>
        <w:spacing w:after="0" w:line="259" w:lineRule="auto"/>
        <w:tabs>
          <w:tab w:leader="none" w:pos="17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chairperson of the applicable meeting of stockholders will, if the facts warrant, determine and declare to the meeting that a nomination was not made in accordance with the procedures prescribed by these bylaws or that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186" w:lineRule="exact"/>
        <w:rPr>
          <w:rFonts w:ascii="Arial" w:cs="Arial" w:eastAsia="Arial" w:hAnsi="Arial"/>
          <w:sz w:val="18"/>
          <w:szCs w:val="18"/>
          <w:color w:val="auto"/>
        </w:rPr>
      </w:pPr>
    </w:p>
    <w:p>
      <w:pPr>
        <w:ind w:firstLine="1428"/>
        <w:spacing w:after="0" w:line="254" w:lineRule="auto"/>
        <w:tabs>
          <w:tab w:leader="none" w:pos="1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proposed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91" w:lineRule="exact"/>
        <w:rPr>
          <w:rFonts w:ascii="Arial" w:cs="Arial" w:eastAsia="Arial" w:hAnsi="Arial"/>
          <w:sz w:val="18"/>
          <w:szCs w:val="18"/>
          <w:color w:val="auto"/>
        </w:rPr>
      </w:pPr>
    </w:p>
    <w:p>
      <w:pPr>
        <w:ind w:right="100" w:firstLine="1428"/>
        <w:spacing w:after="0" w:line="257" w:lineRule="auto"/>
        <w:tabs>
          <w:tab w:leader="none" w:pos="17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187" w:lineRule="exact"/>
        <w:rPr>
          <w:rFonts w:ascii="Arial" w:cs="Arial" w:eastAsia="Arial" w:hAnsi="Arial"/>
          <w:sz w:val="18"/>
          <w:szCs w:val="18"/>
          <w:color w:val="auto"/>
        </w:rPr>
      </w:pPr>
    </w:p>
    <w:p>
      <w:pPr>
        <w:ind w:right="60" w:firstLine="1428"/>
        <w:spacing w:after="0" w:line="301" w:lineRule="auto"/>
        <w:tabs>
          <w:tab w:leader="none" w:pos="17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14a-8 under the 1934 Act; and (2) such stockholder’s proposal has been included in a proxy statement that has been prepared by the Company to solicit proxies for the meeting of stockholders. Subject to Rule 14a-8 and other applicable rules and regulations under</w:t>
      </w:r>
    </w:p>
    <w:p>
      <w:pPr>
        <w:spacing w:after="0" w:line="89" w:lineRule="exact"/>
        <w:rPr>
          <w:rFonts w:ascii="Arial" w:cs="Arial" w:eastAsia="Arial" w:hAnsi="Arial"/>
          <w:sz w:val="16"/>
          <w:szCs w:val="16"/>
          <w:color w:val="auto"/>
        </w:rPr>
      </w:pPr>
    </w:p>
    <w:p>
      <w:pPr>
        <w:ind w:left="5460" w:hanging="106"/>
        <w:spacing w:after="0"/>
        <w:tabs>
          <w:tab w:leader="none" w:pos="5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020"/>
          </w:cols>
          <w:pgMar w:left="440" w:top="274" w:right="439" w:bottom="1440" w:gutter="0" w:footer="0" w:header="0"/>
        </w:sectPr>
      </w:pPr>
    </w:p>
    <w:bookmarkStart w:id="19" w:name="page20"/>
    <w:bookmarkEnd w:id="19"/>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1934 Act, nothing in these bylaws will be construed to permit any stockholder, or give any stockholder the right, to include or have disseminated or described in the Company’s proxy statement any nomination of a director or any other business proposal.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 NOTICE OF STOCKHOLDERS’ MEETINGS</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Whenever stockholders are required or permitted to take any action at a meeting, a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 QUORUM</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holders of a majority of the voting power of the capital stock of the Company issued and outstanding and entitled to vote, present in person or represented by proxy, shall constitute a quorum for the transaction of business at all meetings of the stockholders.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188"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2.7 ADJOURNED MEETING; NOTICE</w:t>
      </w:r>
    </w:p>
    <w:p>
      <w:pPr>
        <w:spacing w:after="0" w:line="225"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80"/>
          </w:cols>
          <w:pgMar w:left="440" w:top="274" w:right="479" w:bottom="1440" w:gutter="0" w:footer="0" w:header="0"/>
        </w:sectPr>
      </w:pPr>
    </w:p>
    <w:bookmarkStart w:id="20" w:name="page21"/>
    <w:bookmarkEnd w:id="2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 CONDUCT OF BUSINESS</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2.9 VOTING</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8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Except as may be otherwise provided in the certificate of incorporation or these bylaws, each stockholder shall be entitled to one vote for each share of capital stock held by such stockholder.</w:t>
      </w:r>
    </w:p>
    <w:p>
      <w:pPr>
        <w:spacing w:after="0" w:line="170"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Except as otherwise provided by law, the certificate of incorporation, these bylaws or the rules of the stock exchange on which the Company’s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outstanding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the stock exchange on which the securities of the Company are listed.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2.10 STOCKHOLDER ACTION BY WRITTEN CONSENT WITHOUT A MEETING</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2.11 RECORD DATES</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0"/>
          </w:cols>
          <w:pgMar w:left="440" w:top="274" w:right="459" w:bottom="1440" w:gutter="0" w:footer="0" w:header="0"/>
        </w:sectPr>
      </w:pPr>
    </w:p>
    <w:bookmarkStart w:id="21" w:name="page22"/>
    <w:bookmarkEnd w:id="21"/>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49"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88"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2.12 PROXIES</w:t>
      </w:r>
    </w:p>
    <w:p>
      <w:pPr>
        <w:spacing w:after="0" w:line="225"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2.13 LIST OF STOCKHOLDERS ENTITLED TO VOTE</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The Company shall prepare, at least 10 days before every meeting of stockholders, a complete list of the stockholders entitled to vote at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10 days prior to the meeting: (a) on a reasonably accessible electronic network,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information required to gain access to such list 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20"/>
          </w:cols>
          <w:pgMar w:left="440" w:top="274" w:right="439" w:bottom="1440" w:gutter="0" w:footer="0" w:header="0"/>
        </w:sectPr>
      </w:pPr>
    </w:p>
    <w:bookmarkStart w:id="22" w:name="page23"/>
    <w:bookmarkEnd w:id="2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INSPECTORS OF ELECTION</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Such inspectors shall:</w:t>
      </w:r>
    </w:p>
    <w:p>
      <w:pPr>
        <w:spacing w:after="0" w:line="225" w:lineRule="exact"/>
        <w:rPr>
          <w:sz w:val="20"/>
          <w:szCs w:val="20"/>
          <w:color w:val="auto"/>
        </w:rPr>
      </w:pPr>
    </w:p>
    <w:p>
      <w:pPr>
        <w:ind w:left="1240" w:hanging="253"/>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ascertain the number of shares outstanding and the voting power of each;</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 the shares represented at the meeting and the validity of proxies and ballots;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count all votes and ballots;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determine and retain for a reasonable period a record of the disposition of any challenges made to any determination by the inspectors;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 certify their determination of the number of shares represented at the meeting, and their count of all votes and ballots.</w:t>
      </w:r>
    </w:p>
    <w:p>
      <w:pPr>
        <w:spacing w:after="0" w:line="225"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facts stated therein.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 DIRECTORS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 POWERS</w:t>
      </w:r>
    </w:p>
    <w:p>
      <w:pPr>
        <w:spacing w:after="0" w:line="225"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The business and affairs of the Company shall be managed by or under the direction of the Board of Directors, except as may be otherwise provided in the DGCL or the certificate of incorporation.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3.2 NUMBER OF DIRECTORS</w:t>
      </w:r>
    </w:p>
    <w:p>
      <w:pPr>
        <w:spacing w:after="0" w:line="225"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00"/>
          </w:cols>
          <w:pgMar w:left="440" w:top="274" w:right="45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 ELECTION, QUALIFICATION AND TERM OF OFFICE OF DIRECTORS</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so provided in the certificate of incorporation, the directors of the Company shall be divided into three classes.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3.4 RESIGNATION AND VACANCIES</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7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Unless otherwise provided in the certificate of incorporation or these bylaws or permitted in the specific case by resolution of the Board of Directors, and subject to the rights of holders of Preferred Stock,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3.5 PLACE OF MEETINGS; MEETINGS BY TELEPHONE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may hold meetings, both regular and special, either within or outside the State of Delaware.</w:t>
      </w:r>
    </w:p>
    <w:p>
      <w:pPr>
        <w:spacing w:after="0" w:line="225"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3.6 REGULAR MEETINGS</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020"/>
          </w:cols>
          <w:pgMar w:left="440" w:top="274" w:right="43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3.7 SPECIAL MEETINGS; NOTICE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Special meetings of the Board of Directors for any purpose or purposes may be called at any time by the chairperson of the Board of Directors, the chief executive officer, the president, the secretary or a majority of the Whole Board.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225" w:lineRule="exact"/>
        <w:rPr>
          <w:sz w:val="20"/>
          <w:szCs w:val="20"/>
          <w:color w:val="auto"/>
        </w:rPr>
      </w:pPr>
    </w:p>
    <w:p>
      <w:pPr>
        <w:ind w:left="1240" w:hanging="25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sent by facsimile;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sent by electronic mail; or</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otherwise given by electronic transmission (as defined in Section 232 of the DGCL),</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electronic mail address or other contact for notice by electronic transmission, as the case may be, as shown on the Company’s records.</w:t>
      </w:r>
    </w:p>
    <w:p>
      <w:pPr>
        <w:spacing w:after="0" w:line="170"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 unless required by statute.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 QUORUM; VOTING</w:t>
      </w:r>
    </w:p>
    <w:p>
      <w:pPr>
        <w:spacing w:after="0" w:line="225"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000"/>
          </w:cols>
          <w:pgMar w:left="440" w:top="274" w:right="459" w:bottom="1440" w:gutter="0" w:footer="0" w:header="0"/>
        </w:sectPr>
      </w:pPr>
    </w:p>
    <w:bookmarkStart w:id="25" w:name="page26"/>
    <w:bookmarkEnd w:id="2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3.9 BOARD ACTION BY WRITTEN CONSENT WITHOUT A MEETING</w:t>
      </w:r>
    </w:p>
    <w:p>
      <w:pPr>
        <w:spacing w:after="0" w:line="225"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3.10 FEES AND COMPENSATION OF DIRECTORS</w:t>
      </w:r>
    </w:p>
    <w:p>
      <w:pPr>
        <w:spacing w:after="0" w:line="225" w:lineRule="exact"/>
        <w:rPr>
          <w:sz w:val="20"/>
          <w:szCs w:val="20"/>
          <w:color w:val="auto"/>
        </w:rPr>
      </w:pPr>
    </w:p>
    <w:p>
      <w:pPr>
        <w:ind w:left="4" w:right="860" w:firstLine="440"/>
        <w:spacing w:after="0" w:line="277"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3.11 REMOVAL OF DIRECTORS</w:t>
      </w:r>
    </w:p>
    <w:p>
      <w:pPr>
        <w:spacing w:after="0" w:line="225"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IV - COMMITTEES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4.1 COMMITTEES OF DIRECTORS</w:t>
      </w:r>
    </w:p>
    <w:p>
      <w:pPr>
        <w:spacing w:after="0" w:line="225"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The Board of Directors may, by resolution passed by a majority of the Whole Board,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w:t>
      </w:r>
    </w:p>
    <w:p>
      <w:pPr>
        <w:spacing w:after="0" w:line="6" w:lineRule="exact"/>
        <w:rPr>
          <w:sz w:val="20"/>
          <w:szCs w:val="20"/>
          <w:color w:val="auto"/>
        </w:rPr>
      </w:pPr>
    </w:p>
    <w:p>
      <w:pPr>
        <w:ind w:left="264" w:hanging="264"/>
        <w:spacing w:after="0"/>
        <w:tabs>
          <w:tab w:leader="none" w:pos="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adopt, amend or repeal any bylaw of the Company.</w:t>
      </w:r>
    </w:p>
    <w:p>
      <w:pPr>
        <w:spacing w:after="0" w:line="210"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4.2 COMMITTEE MINUTES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Each committee and subcommittee shall keep regular minutes of its meetings.</w:t>
      </w:r>
    </w:p>
    <w:p>
      <w:pPr>
        <w:spacing w:after="0" w:line="158"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004"/>
          </w:cols>
          <w:pgMar w:left="436" w:top="274" w:right="459" w:bottom="1440" w:gutter="0" w:footer="0" w:header="0"/>
        </w:sectPr>
      </w:pPr>
    </w:p>
    <w:bookmarkStart w:id="26" w:name="page27"/>
    <w:bookmarkEnd w:id="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4.3 MEETINGS AND ACTION OF COMMITTEES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Meetings and actions of committees and subcommittees shall be governed by, and held and taken in accordance with, the provisions of:</w:t>
      </w:r>
    </w:p>
    <w:p>
      <w:pPr>
        <w:spacing w:after="0" w:line="237" w:lineRule="exact"/>
        <w:rPr>
          <w:sz w:val="20"/>
          <w:szCs w:val="20"/>
          <w:color w:val="auto"/>
        </w:rPr>
      </w:pPr>
    </w:p>
    <w:p>
      <w:pPr>
        <w:ind w:left="1240" w:hanging="253"/>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3.5 (place of meetings and meetings by telephone);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3.6 (regular meetings);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3.7 (special meetings and notice);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3.8 (quorum; voting);</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3.9 (action without a meeting); and</w:t>
      </w:r>
    </w:p>
    <w:p>
      <w:pPr>
        <w:spacing w:after="0" w:line="225" w:lineRule="exact"/>
        <w:rPr>
          <w:rFonts w:ascii="Arial" w:cs="Arial" w:eastAsia="Arial" w:hAnsi="Arial"/>
          <w:sz w:val="18"/>
          <w:szCs w:val="18"/>
          <w:color w:val="auto"/>
        </w:rPr>
      </w:pPr>
    </w:p>
    <w:p>
      <w:pPr>
        <w:ind w:left="1220" w:hanging="233"/>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7.4 (waiver of notice)</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with such changes in the context of those bylaws as are necessary to substitute the committee or subcommittee and its members for the Board of Directors and its members. </w:t>
      </w:r>
      <w:r>
        <w:rPr>
          <w:rFonts w:ascii="Arial" w:cs="Arial" w:eastAsia="Arial" w:hAnsi="Arial"/>
          <w:sz w:val="17"/>
          <w:szCs w:val="17"/>
          <w:i w:val="1"/>
          <w:iCs w:val="1"/>
          <w:color w:val="auto"/>
        </w:rPr>
        <w:t>However</w:t>
      </w:r>
      <w:r>
        <w:rPr>
          <w:rFonts w:ascii="Arial" w:cs="Arial" w:eastAsia="Arial" w:hAnsi="Arial"/>
          <w:sz w:val="17"/>
          <w:szCs w:val="17"/>
          <w:color w:val="auto"/>
        </w:rPr>
        <w:t>, (i) the time and place of regular meetings of committees or subcommittees may be determined either by resolution of the Board of Directors or by resolution of the committee or subcommittee; (ii) special meetings of committees or 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 The Board of Directors may adopt rules for the government of any committee not inconsistent with the provisions of these bylaws.</w:t>
      </w:r>
    </w:p>
    <w:p>
      <w:pPr>
        <w:spacing w:after="0" w:line="178"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4.4 SUBCOMMITTEES</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 - OFFICERS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5.1 OFFICERS</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0980"/>
          </w:cols>
          <w:pgMar w:left="440" w:top="274" w:right="47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5.2 APPOINTMENT OF OFFICERS</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5.3 SUBORDINATE OFFICERS</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The Board of Directors may appoint, or empower the chief executive officer or, in the absence of a chief executive officer, the president, to appoint, such other officers as the business of the Company may require. Each of such officers shall hold office for such period, have such authority, and perform such duties as are provided in these bylaws or as the Board of Directors may from time to time determine.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5.4 REMOVAL AND RESIGNATION OF OFFICERS</w:t>
      </w:r>
    </w:p>
    <w:p>
      <w:pPr>
        <w:spacing w:after="0" w:line="225"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 VACANCIES IN OFFICES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vacancy occurring in any office of the Company shall be filled by the Board of Directors or as provided in Section 5.3.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5.6 REPRESENTATION OF SECURITIES OF OTHER ENTITIES</w:t>
      </w:r>
    </w:p>
    <w:p>
      <w:pPr>
        <w:spacing w:after="0" w:line="225" w:lineRule="exact"/>
        <w:rPr>
          <w:sz w:val="20"/>
          <w:szCs w:val="20"/>
          <w:color w:val="auto"/>
        </w:rPr>
      </w:pPr>
    </w:p>
    <w:p>
      <w:pPr>
        <w:jc w:val="both"/>
        <w:ind w:right="260" w:firstLine="440"/>
        <w:spacing w:after="0" w:line="293" w:lineRule="auto"/>
        <w:rPr>
          <w:sz w:val="20"/>
          <w:szCs w:val="20"/>
          <w:color w:val="auto"/>
        </w:rPr>
      </w:pPr>
      <w:r>
        <w:rPr>
          <w:rFonts w:ascii="Arial" w:cs="Arial" w:eastAsia="Arial" w:hAnsi="Arial"/>
          <w:sz w:val="16"/>
          <w:szCs w:val="16"/>
          <w:color w:val="auto"/>
        </w:rPr>
        <w:t>The chairperson of the Board of Directors, the chief executive officer, the president, any vice president, the treasurer, the secretary or assistant secretary of this Company or any other person authorized by the Board of Directors or the chief executive officer, the president or a vice president, is authorized to vote, represent and exercise on behalf of this Company all rights incident to any and all shares or other securities of any other entity or entities, and all rights incident to any management authority conferred on the Company in accordance with the governing documents of any entity or entities, standing in the name of this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5.7 AUTHORITY AND DUTIES OF OFFICERS</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All officers of the Company shall respectively have such authority and perform such duties in the management of the business of the Company as may be designated from time to time by the Board of Directors and, to the extent not so provided, as generally pertain to their respective offices, subject to the control of the Board of Directors.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0980"/>
          </w:cols>
          <w:pgMar w:left="440" w:top="274" w:right="47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 - STOCK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6.1 STOCK CERTIFICATES; PARTLY PAID SHARES</w:t>
      </w:r>
    </w:p>
    <w:p>
      <w:pPr>
        <w:spacing w:after="0" w:line="225"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65"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6.2 SPECIAL DESIGNATION ON CERTIFICATES</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0980"/>
          </w:cols>
          <w:pgMar w:left="440" w:top="270" w:right="47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6.3 LOST CERTIFICATES</w:t>
      </w:r>
    </w:p>
    <w:p>
      <w:pPr>
        <w:spacing w:after="0" w:line="225" w:lineRule="exact"/>
        <w:rPr>
          <w:sz w:val="20"/>
          <w:szCs w:val="20"/>
          <w:color w:val="auto"/>
        </w:rPr>
      </w:pPr>
    </w:p>
    <w:p>
      <w:pPr>
        <w:ind w:right="180" w:firstLine="440"/>
        <w:spacing w:after="0" w:line="296" w:lineRule="auto"/>
        <w:rPr>
          <w:sz w:val="20"/>
          <w:szCs w:val="20"/>
          <w:color w:val="auto"/>
        </w:rPr>
      </w:pPr>
      <w:r>
        <w:rPr>
          <w:rFonts w:ascii="Arial" w:cs="Arial" w:eastAsia="Arial" w:hAnsi="Arial"/>
          <w:sz w:val="16"/>
          <w:szCs w:val="16"/>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6.4 DIVIDENDS</w:t>
      </w:r>
    </w:p>
    <w:p>
      <w:pPr>
        <w:spacing w:after="0" w:line="22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6.5 TRANSFER OF STOCK</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6.6 STOCK TRANSFER AGREEMENTS</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6.7 REGISTERED STOCKHOLDERS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w:t>
      </w:r>
    </w:p>
    <w:p>
      <w:pPr>
        <w:spacing w:after="0" w:line="225" w:lineRule="exact"/>
        <w:rPr>
          <w:sz w:val="20"/>
          <w:szCs w:val="20"/>
          <w:color w:val="auto"/>
        </w:rPr>
      </w:pPr>
    </w:p>
    <w:p>
      <w:pPr>
        <w:ind w:right="340" w:firstLine="987"/>
        <w:spacing w:after="0" w:line="277" w:lineRule="auto"/>
        <w:tabs>
          <w:tab w:leader="none" w:pos="12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shall be entitled to recognize the exclusive right of a person registered on its books as the owner of shares to receive dividends and notices and to vote as such owner; and</w:t>
      </w:r>
    </w:p>
    <w:p>
      <w:pPr>
        <w:spacing w:after="0" w:line="170" w:lineRule="exact"/>
        <w:rPr>
          <w:rFonts w:ascii="Arial" w:cs="Arial" w:eastAsia="Arial" w:hAnsi="Arial"/>
          <w:sz w:val="18"/>
          <w:szCs w:val="18"/>
          <w:color w:val="auto"/>
        </w:rPr>
      </w:pPr>
    </w:p>
    <w:p>
      <w:pPr>
        <w:ind w:firstLine="987"/>
        <w:spacing w:after="0" w:line="277" w:lineRule="auto"/>
        <w:tabs>
          <w:tab w:leader="none" w:pos="12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980"/>
          </w:cols>
          <w:pgMar w:left="440" w:top="274" w:right="479" w:bottom="1440" w:gutter="0" w:footer="0" w:header="0"/>
        </w:sectPr>
      </w:pPr>
    </w:p>
    <w:bookmarkStart w:id="30" w:name="page31"/>
    <w:bookmarkEnd w:id="30"/>
    <w:p>
      <w:pPr>
        <w:ind w:left="2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 - MANNER OF GIVING NOTICE AND WAIVER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7.1 NOTICE OF STOCKHOLDERS’ MEETINGS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of any meeting of stockholders shall be given in the manner set forth in the DGCL.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7.2 NOTICE TO STOCKHOLDERS SHARING AN ADDRESS</w:t>
      </w:r>
    </w:p>
    <w:p>
      <w:pPr>
        <w:spacing w:after="0" w:line="225" w:lineRule="exact"/>
        <w:rPr>
          <w:sz w:val="20"/>
          <w:szCs w:val="20"/>
          <w:color w:val="auto"/>
        </w:rPr>
      </w:pPr>
    </w:p>
    <w:p>
      <w:pPr>
        <w:jc w:val="both"/>
        <w:ind w:firstLine="440"/>
        <w:spacing w:after="0" w:line="287" w:lineRule="auto"/>
        <w:rPr>
          <w:sz w:val="20"/>
          <w:szCs w:val="20"/>
          <w:color w:val="auto"/>
        </w:rPr>
      </w:pPr>
      <w:r>
        <w:rPr>
          <w:rFonts w:ascii="Arial" w:cs="Arial" w:eastAsia="Arial" w:hAnsi="Arial"/>
          <w:sz w:val="16"/>
          <w:szCs w:val="16"/>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w:t>
      </w:r>
    </w:p>
    <w:p>
      <w:pPr>
        <w:spacing w:after="0" w:line="2" w:lineRule="exact"/>
        <w:rPr>
          <w:sz w:val="20"/>
          <w:szCs w:val="20"/>
          <w:color w:val="auto"/>
        </w:rPr>
      </w:pPr>
    </w:p>
    <w:p>
      <w:pPr>
        <w:jc w:val="both"/>
        <w:ind w:right="600"/>
        <w:spacing w:after="0" w:line="302" w:lineRule="auto"/>
        <w:rPr>
          <w:sz w:val="20"/>
          <w:szCs w:val="20"/>
          <w:color w:val="auto"/>
        </w:rPr>
      </w:pPr>
      <w:r>
        <w:rPr>
          <w:rFonts w:ascii="Arial" w:cs="Arial" w:eastAsia="Arial" w:hAnsi="Arial"/>
          <w:sz w:val="16"/>
          <w:szCs w:val="16"/>
          <w:color w:val="auto"/>
        </w:rPr>
        <w:t>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7.3 NOTICE TO PERSON WITH WHOM COMMUNICATION IS UNLAWFUL</w:t>
      </w:r>
    </w:p>
    <w:p>
      <w:pPr>
        <w:spacing w:after="0" w:line="225"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7.4 WAIVER OF NOTICE</w:t>
      </w:r>
    </w:p>
    <w:p>
      <w:pPr>
        <w:spacing w:after="0" w:line="225" w:lineRule="exact"/>
        <w:rPr>
          <w:sz w:val="20"/>
          <w:szCs w:val="20"/>
          <w:color w:val="auto"/>
        </w:rPr>
      </w:pPr>
    </w:p>
    <w:p>
      <w:pPr>
        <w:ind w:right="180" w:firstLine="440"/>
        <w:spacing w:after="0" w:line="272" w:lineRule="auto"/>
        <w:rPr>
          <w:sz w:val="20"/>
          <w:szCs w:val="20"/>
          <w:color w:val="auto"/>
        </w:rPr>
      </w:pPr>
      <w:r>
        <w:rPr>
          <w:rFonts w:ascii="Arial" w:cs="Arial" w:eastAsia="Arial" w:hAnsi="Arial"/>
          <w:sz w:val="17"/>
          <w:szCs w:val="17"/>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0960"/>
          </w:cols>
          <w:pgMar w:left="440" w:top="270" w:right="49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 - INDEMNIFICATION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8.1 INDEMNIFICATION OF DIRECTORS AND OFFICERS IN THIRD PARTY PROCEEDINGS</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8.2 INDEMNIFICATION OF DIRECTORS AND OFFICERS IN ACTIONS BY OR IN THE RIGHT OF THE COMPANY</w:t>
      </w:r>
    </w:p>
    <w:p>
      <w:pPr>
        <w:spacing w:after="0" w:line="225" w:lineRule="exact"/>
        <w:rPr>
          <w:sz w:val="20"/>
          <w:szCs w:val="20"/>
          <w:color w:val="auto"/>
        </w:rPr>
      </w:pPr>
    </w:p>
    <w:p>
      <w:pPr>
        <w:ind w:right="100" w:firstLine="440"/>
        <w:spacing w:after="0" w:line="288" w:lineRule="auto"/>
        <w:rPr>
          <w:sz w:val="20"/>
          <w:szCs w:val="20"/>
          <w:color w:val="auto"/>
        </w:rPr>
      </w:pPr>
      <w:r>
        <w:rPr>
          <w:rFonts w:ascii="Arial" w:cs="Arial" w:eastAsia="Arial" w:hAnsi="Arial"/>
          <w:sz w:val="16"/>
          <w:szCs w:val="16"/>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8.3 SUCCESSFUL DEFENSE</w:t>
      </w:r>
    </w:p>
    <w:p>
      <w:pPr>
        <w:spacing w:after="0" w:line="22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To the extent that a present or former director or officer (for purposes of this Section 8.3 only, as such term is defined in Section 145(c)(1) of the DGCL) of the Company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000"/>
          </w:cols>
          <w:pgMar w:left="440" w:top="270" w:right="459" w:bottom="1440" w:gutter="0" w:footer="0" w:header="0"/>
        </w:sectPr>
      </w:pPr>
    </w:p>
    <w:bookmarkStart w:id="32" w:name="page33"/>
    <w:bookmarkEnd w:id="32"/>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suit or proceeding described in Section 8.1 or Section 8.2, or in defense of any claim, issue or matter therein.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8.4 INDEMNIFICATION OF OTHERS</w:t>
      </w:r>
    </w:p>
    <w:p>
      <w:pPr>
        <w:spacing w:after="0" w:line="225"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8.5 ADVANCED PAYMENT OF EXPENSES</w:t>
      </w:r>
    </w:p>
    <w:p>
      <w:pPr>
        <w:spacing w:after="0" w:line="225" w:lineRule="exact"/>
        <w:rPr>
          <w:sz w:val="20"/>
          <w:szCs w:val="20"/>
          <w:color w:val="auto"/>
        </w:rPr>
      </w:pPr>
    </w:p>
    <w:p>
      <w:pPr>
        <w:ind w:right="120" w:firstLine="440"/>
        <w:spacing w:after="0" w:line="289" w:lineRule="auto"/>
        <w:rPr>
          <w:sz w:val="20"/>
          <w:szCs w:val="20"/>
          <w:color w:val="auto"/>
        </w:rPr>
      </w:pPr>
      <w:r>
        <w:rPr>
          <w:rFonts w:ascii="Arial" w:cs="Arial" w:eastAsia="Arial" w:hAnsi="Arial"/>
          <w:sz w:val="16"/>
          <w:szCs w:val="16"/>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166"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Notwithstanding the foregoing, unless otherwise determined pursuant to Section 8.8, no advance shall be made by the Company to an officer of the Company (except by reason of the fact that such officer is or was a 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020"/>
          </w:cols>
          <w:pgMar w:left="440" w:top="274" w:right="439" w:bottom="1440" w:gutter="0" w:footer="0" w:header="0"/>
        </w:sectPr>
      </w:pPr>
    </w:p>
    <w:bookmarkStart w:id="33" w:name="page34"/>
    <w:bookmarkEnd w:id="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8.6 LIMITATION ON INDEMNIFICATION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Subject to the requirements in Section 8.3 and the DGCL, the Company shall not be obligated to indemnify any person pursuant to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Article VIII in connection with any Proceeding (or any part of any Proceeding):</w:t>
      </w:r>
    </w:p>
    <w:p>
      <w:pPr>
        <w:spacing w:after="0" w:line="211" w:lineRule="exact"/>
        <w:rPr>
          <w:sz w:val="20"/>
          <w:szCs w:val="20"/>
          <w:color w:val="auto"/>
        </w:rPr>
      </w:pPr>
    </w:p>
    <w:p>
      <w:pPr>
        <w:ind w:firstLine="987"/>
        <w:spacing w:after="0" w:line="277" w:lineRule="auto"/>
        <w:tabs>
          <w:tab w:leader="none" w:pos="12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70" w:lineRule="exact"/>
        <w:rPr>
          <w:rFonts w:ascii="Arial" w:cs="Arial" w:eastAsia="Arial" w:hAnsi="Arial"/>
          <w:sz w:val="18"/>
          <w:szCs w:val="18"/>
          <w:color w:val="auto"/>
        </w:rPr>
      </w:pPr>
    </w:p>
    <w:p>
      <w:pPr>
        <w:ind w:right="180" w:firstLine="987"/>
        <w:spacing w:after="0" w:line="277" w:lineRule="auto"/>
        <w:tabs>
          <w:tab w:leader="none" w:pos="12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70" w:lineRule="exact"/>
        <w:rPr>
          <w:rFonts w:ascii="Arial" w:cs="Arial" w:eastAsia="Arial" w:hAnsi="Arial"/>
          <w:sz w:val="18"/>
          <w:szCs w:val="18"/>
          <w:color w:val="auto"/>
        </w:rPr>
      </w:pPr>
    </w:p>
    <w:p>
      <w:pPr>
        <w:ind w:right="40" w:firstLine="987"/>
        <w:spacing w:after="0" w:line="275"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Arial" w:cs="Arial" w:eastAsia="Arial" w:hAnsi="Arial"/>
          <w:sz w:val="17"/>
          <w:szCs w:val="17"/>
          <w:b w:val="1"/>
          <w:bCs w:val="1"/>
          <w:color w:val="auto"/>
        </w:rPr>
        <w:t>Sarbanes-Oxley Act</w:t>
      </w:r>
      <w:r>
        <w:rPr>
          <w:rFonts w:ascii="Arial" w:cs="Arial" w:eastAsia="Arial" w:hAnsi="Arial"/>
          <w:sz w:val="17"/>
          <w:szCs w:val="17"/>
          <w:color w:val="auto"/>
        </w:rPr>
        <w:t>”), or the payment to the Company of profits arising from the purchase and sale by such person of securities in violation of Section 306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Sarbanes-Oxley Act), if such person is held liable therefor (including pursuant to any settlement arrangements);</w:t>
      </w:r>
    </w:p>
    <w:p>
      <w:pPr>
        <w:spacing w:after="0" w:line="176" w:lineRule="exact"/>
        <w:rPr>
          <w:rFonts w:ascii="Arial" w:cs="Arial" w:eastAsia="Arial" w:hAnsi="Arial"/>
          <w:sz w:val="17"/>
          <w:szCs w:val="17"/>
          <w:color w:val="auto"/>
        </w:rPr>
      </w:pPr>
    </w:p>
    <w:p>
      <w:pPr>
        <w:ind w:right="60" w:firstLine="987"/>
        <w:spacing w:after="0" w:line="279" w:lineRule="auto"/>
        <w:tabs>
          <w:tab w:leader="none" w:pos="1246"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171" w:lineRule="exact"/>
        <w:rPr>
          <w:rFonts w:ascii="Arial" w:cs="Arial" w:eastAsia="Arial" w:hAnsi="Arial"/>
          <w:sz w:val="17"/>
          <w:szCs w:val="17"/>
          <w:color w:val="auto"/>
        </w:rPr>
      </w:pPr>
    </w:p>
    <w:p>
      <w:pPr>
        <w:ind w:left="1240" w:hanging="253"/>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8.7 DETERMINATION; CLAIM</w:t>
      </w:r>
    </w:p>
    <w:p>
      <w:pPr>
        <w:spacing w:after="0" w:line="225"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8.8 NON-EXCLUSIVITY OF RIGHTS</w:t>
      </w:r>
    </w:p>
    <w:p>
      <w:pPr>
        <w:spacing w:after="0" w:line="225"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0980"/>
          </w:cols>
          <w:pgMar w:left="440" w:top="274" w:right="479" w:bottom="1440" w:gutter="0" w:footer="0" w:header="0"/>
        </w:sectPr>
      </w:pPr>
    </w:p>
    <w:bookmarkStart w:id="34" w:name="page35"/>
    <w:bookmarkEnd w:id="34"/>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8.9 INSURANCE</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8.10 SURVIVAL</w:t>
      </w:r>
    </w:p>
    <w:p>
      <w:pPr>
        <w:spacing w:after="0" w:line="225" w:lineRule="exact"/>
        <w:rPr>
          <w:sz w:val="20"/>
          <w:szCs w:val="20"/>
          <w:color w:val="auto"/>
        </w:rPr>
      </w:pPr>
    </w:p>
    <w:p>
      <w:pPr>
        <w:ind w:right="300" w:firstLine="440"/>
        <w:spacing w:after="0" w:line="308" w:lineRule="auto"/>
        <w:rPr>
          <w:sz w:val="20"/>
          <w:szCs w:val="20"/>
          <w:color w:val="auto"/>
        </w:rPr>
      </w:pPr>
      <w:r>
        <w:rPr>
          <w:rFonts w:ascii="Arial" w:cs="Arial" w:eastAsia="Arial" w:hAnsi="Arial"/>
          <w:sz w:val="17"/>
          <w:szCs w:val="17"/>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8.11 EFFECT OF REPEAL OR MODIFICATION</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8.12 CERTAIN DEFINITIONS</w:t>
      </w:r>
    </w:p>
    <w:p>
      <w:pPr>
        <w:spacing w:after="0" w:line="2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For purposes of this Article VIII, references to the “</w:t>
      </w:r>
      <w:r>
        <w:rPr>
          <w:rFonts w:ascii="Arial" w:cs="Arial" w:eastAsia="Arial" w:hAnsi="Arial"/>
          <w:sz w:val="17"/>
          <w:szCs w:val="17"/>
          <w:b w:val="1"/>
          <w:bCs w:val="1"/>
          <w:color w:val="auto"/>
        </w:rPr>
        <w:t>Company</w:t>
      </w:r>
      <w:r>
        <w:rPr>
          <w:rFonts w:ascii="Arial" w:cs="Arial" w:eastAsia="Arial" w:hAnsi="Arial"/>
          <w:sz w:val="17"/>
          <w:szCs w:val="17"/>
          <w:color w:val="auto"/>
        </w:rPr>
        <w:t>” shall include, in addition to the resulting company,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company, or is or was serving at the request of such constituent company as a director, officer, employee or agent of another corporation, partnership, joint venture, trust or other enterprise, shall stand in the same position under the provisions of this Article VIII with respect to the resulting or surviving company as such person would have with respect to such constituent company if its separate existence had continued. For purposes of this Article VIII, references to “</w:t>
      </w:r>
      <w:r>
        <w:rPr>
          <w:rFonts w:ascii="Arial" w:cs="Arial" w:eastAsia="Arial" w:hAnsi="Arial"/>
          <w:sz w:val="17"/>
          <w:szCs w:val="17"/>
          <w:b w:val="1"/>
          <w:bCs w:val="1"/>
          <w:color w:val="auto"/>
        </w:rPr>
        <w:t>other enterprises</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color w:val="auto"/>
        </w:rPr>
        <w:t>fines</w:t>
      </w:r>
      <w:r>
        <w:rPr>
          <w:rFonts w:ascii="Arial" w:cs="Arial" w:eastAsia="Arial" w:hAnsi="Arial"/>
          <w:sz w:val="17"/>
          <w:szCs w:val="17"/>
          <w:color w:val="auto"/>
        </w:rPr>
        <w:t>” shall include any excise taxes assessed on a person with respect to an employee benefit plan; and references to “</w:t>
      </w:r>
      <w:r>
        <w:rPr>
          <w:rFonts w:ascii="Arial" w:cs="Arial" w:eastAsia="Arial" w:hAnsi="Arial"/>
          <w:sz w:val="17"/>
          <w:szCs w:val="17"/>
          <w:b w:val="1"/>
          <w:bCs w:val="1"/>
          <w:color w:val="auto"/>
        </w:rPr>
        <w:t>serving at the request of the Company</w:t>
      </w:r>
      <w:r>
        <w:rPr>
          <w:rFonts w:ascii="Arial" w:cs="Arial" w:eastAsia="Arial" w:hAnsi="Arial"/>
          <w:sz w:val="17"/>
          <w:szCs w:val="17"/>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7"/>
          <w:szCs w:val="17"/>
          <w:b w:val="1"/>
          <w:bCs w:val="1"/>
          <w:color w:val="auto"/>
        </w:rPr>
        <w:t>not opposed to the best</w:t>
      </w:r>
      <w:r>
        <w:rPr>
          <w:rFonts w:ascii="Arial" w:cs="Arial" w:eastAsia="Arial" w:hAnsi="Arial"/>
          <w:sz w:val="17"/>
          <w:szCs w:val="17"/>
          <w:color w:val="auto"/>
        </w:rPr>
        <w:t xml:space="preserve"> </w:t>
      </w:r>
      <w:r>
        <w:rPr>
          <w:rFonts w:ascii="Arial" w:cs="Arial" w:eastAsia="Arial" w:hAnsi="Arial"/>
          <w:sz w:val="17"/>
          <w:szCs w:val="17"/>
          <w:b w:val="1"/>
          <w:bCs w:val="1"/>
          <w:color w:val="auto"/>
        </w:rPr>
        <w:t>interests of the Company</w:t>
      </w:r>
      <w:r>
        <w:rPr>
          <w:rFonts w:ascii="Arial" w:cs="Arial" w:eastAsia="Arial" w:hAnsi="Arial"/>
          <w:sz w:val="17"/>
          <w:szCs w:val="17"/>
          <w:color w:val="auto"/>
        </w:rPr>
        <w:t>” as referred to in this Article VIII.</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0960"/>
          </w:cols>
          <w:pgMar w:left="440" w:top="274" w:right="499" w:bottom="1440" w:gutter="0" w:footer="0" w:header="0"/>
        </w:sectPr>
      </w:pPr>
    </w:p>
    <w:bookmarkStart w:id="35" w:name="page36"/>
    <w:bookmarkEnd w:id="35"/>
    <w:p>
      <w:pPr>
        <w:ind w:left="4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 - GENERAL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9.1 EXECUTION OF CORPORATE CONTRACTS AND INSTRUMENTS</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Company; such authority may be general or confined to specific instances. Unless so authorized or ratified by the Board of Directors or within the agency power of an officer, no officer, agent or employee shall have any power or authority to bind the Company by any contract or engagement or to pledge its credit or to render it liable for any purpose or for any amount.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9.2 FISCAL YEAR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fiscal year of the Company shall be fixed by resolution of the Board of Directors and may be changed by the Board of Directors.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9.3 SEAL</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9.4 CONSTRUCTION; DEFINITIONS</w:t>
      </w:r>
    </w:p>
    <w:p>
      <w:pPr>
        <w:spacing w:after="0" w:line="225" w:lineRule="exact"/>
        <w:rPr>
          <w:sz w:val="20"/>
          <w:szCs w:val="20"/>
          <w:color w:val="auto"/>
        </w:rPr>
      </w:pPr>
    </w:p>
    <w:p>
      <w:pPr>
        <w:jc w:val="both"/>
        <w:ind w:right="60" w:firstLine="440"/>
        <w:spacing w:after="0" w:line="301" w:lineRule="auto"/>
        <w:rPr>
          <w:sz w:val="20"/>
          <w:szCs w:val="20"/>
          <w:color w:val="auto"/>
        </w:rPr>
      </w:pPr>
      <w:r>
        <w:rPr>
          <w:rFonts w:ascii="Arial" w:cs="Arial" w:eastAsia="Arial" w:hAnsi="Arial"/>
          <w:sz w:val="16"/>
          <w:szCs w:val="16"/>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Arial" w:cs="Arial" w:eastAsia="Arial" w:hAnsi="Arial"/>
          <w:sz w:val="16"/>
          <w:szCs w:val="16"/>
          <w:b w:val="1"/>
          <w:bCs w:val="1"/>
          <w:color w:val="auto"/>
        </w:rPr>
        <w:t>person</w:t>
      </w:r>
      <w:r>
        <w:rPr>
          <w:rFonts w:ascii="Arial" w:cs="Arial" w:eastAsia="Arial" w:hAnsi="Arial"/>
          <w:sz w:val="16"/>
          <w:szCs w:val="16"/>
          <w:color w:val="auto"/>
        </w:rPr>
        <w:t>”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9.5 FORUM SELECTION</w:t>
      </w:r>
    </w:p>
    <w:p>
      <w:pPr>
        <w:spacing w:after="0" w:line="225"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0980"/>
          </w:cols>
          <w:pgMar w:left="440" w:top="270" w:right="479" w:bottom="1440" w:gutter="0" w:footer="0" w:header="0"/>
        </w:sectPr>
      </w:pPr>
    </w:p>
    <w:bookmarkStart w:id="36" w:name="page37"/>
    <w:bookmarkEnd w:id="36"/>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w:t>
      </w:r>
    </w:p>
    <w:p>
      <w:pPr>
        <w:spacing w:after="0" w:line="124"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Any person or entity purchasing or otherwise acquiring any interest in any security of the Company shall be deemed to have notice of and consented to the provisions of this Section 9.5. For the avoidance of doubt, nothing contained in this Section 9.5 shall apply to any action brought to enforce a duty or liability created by the 1934 Act or any successor thereto.</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 AMENDMENTS</w:t>
      </w:r>
    </w:p>
    <w:p>
      <w:pPr>
        <w:spacing w:after="0" w:line="229"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Sections 3.1, 3.2, 3.4 and 3.11, Article VIII, Section 9.5 or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000"/>
          </w:cols>
          <w:pgMar w:left="440" w:top="274" w:right="4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171450</wp:posOffset>
            </wp:positionV>
            <wp:extent cx="2331720" cy="8312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3172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Tenaya Therapeutics Announces Closing of Upsized Initial Public Offering and Exercise in Full of the Underwriters’ Option to Purchase Additional Shares</w:t>
      </w:r>
    </w:p>
    <w:p>
      <w:pPr>
        <w:spacing w:after="0" w:line="162"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b w:val="1"/>
          <w:bCs w:val="1"/>
          <w:color w:val="auto"/>
        </w:rPr>
        <w:t>SOUTH SAN FRANCISCO</w:t>
      </w:r>
      <w:r>
        <w:rPr>
          <w:rFonts w:ascii="Arial" w:cs="Arial" w:eastAsia="Arial" w:hAnsi="Arial"/>
          <w:sz w:val="16"/>
          <w:szCs w:val="16"/>
          <w:color w:val="auto"/>
        </w:rPr>
        <w:t>, Calif., August 3, 2021 – Tenaya Therapeutics, Inc. (NASDAQ: TNYA), a biotechnology company with a mission to</w:t>
      </w:r>
      <w:r>
        <w:rPr>
          <w:rFonts w:ascii="Arial" w:cs="Arial" w:eastAsia="Arial" w:hAnsi="Arial"/>
          <w:sz w:val="16"/>
          <w:szCs w:val="16"/>
          <w:b w:val="1"/>
          <w:bCs w:val="1"/>
          <w:color w:val="auto"/>
        </w:rPr>
        <w:t xml:space="preserve"> </w:t>
      </w:r>
      <w:r>
        <w:rPr>
          <w:rFonts w:ascii="Arial" w:cs="Arial" w:eastAsia="Arial" w:hAnsi="Arial"/>
          <w:sz w:val="16"/>
          <w:szCs w:val="16"/>
          <w:color w:val="auto"/>
        </w:rPr>
        <w:t>discover, develop and deliver curative therapies that address the underlying causes of heart disease, announced today the closing of its underwritten, upsized initial public offering of 13,800,000 shares of its common stock, which includes the exercise in full of the underwriters’ option to purchase 1,800,000 additional shares of its common stock, at an initial public offering price of $15.00 per share. The aggregate gross proceeds from the offering were $207.0 million, before deducting underwriting discounts and commissions and offering expenses payable by Tenaya. All shares in the offering were offered by Tenaya. The shares began trading on the Nasdaq Global Select Market on July 30, 2021, under the ticker symbol “TNYA.”</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Cowen and Piper Sandler acted as joint book-running managers for the offering. Chardan acted as lead manager for the offering.</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statements relating to the offering have been filed with the Securities and Exchange Commission and became effective on July 29, 2021.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offering is made only by means of a prospectus. Copies of the final prospectus may be obtained from: Morgan Stanley &amp; Co. LLC, Attn: Prospectus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Department, 180 Varick Street, 2nd Floor, New York, NY 10014; Cowen and Company, LLC, c/o Broadridge Financial Solutions, 1155 Long Island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Avenue, Edgewood, NY, 11717, Attn: Prospectus Department, by telephone at (833) 297-2926, or by email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PostSaleManualRequests@broadridge.com</w:t>
      </w:r>
      <w:r>
        <w:rPr>
          <w:rFonts w:ascii="Arial" w:cs="Arial" w:eastAsia="Arial" w:hAnsi="Arial"/>
          <w:sz w:val="16"/>
          <w:szCs w:val="16"/>
          <w:color w:val="auto"/>
        </w:rPr>
        <w:t>; or Piper Sandler &amp; Co., 800 Nicollet Mall, J12S03, Minneapolis, MN 55402, Attn: Prospectus Department,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telephone at (800) 747-3924, or by email at </w:t>
      </w:r>
      <w:r>
        <w:rPr>
          <w:rFonts w:ascii="Arial" w:cs="Arial" w:eastAsia="Arial" w:hAnsi="Arial"/>
          <w:sz w:val="17"/>
          <w:szCs w:val="17"/>
          <w:u w:val="single" w:color="auto"/>
          <w:color w:val="auto"/>
        </w:rPr>
        <w:t>prospectus@psc.com</w:t>
      </w:r>
      <w:r>
        <w:rPr>
          <w:rFonts w:ascii="Arial" w:cs="Arial" w:eastAsia="Arial" w:hAnsi="Arial"/>
          <w:sz w:val="17"/>
          <w:szCs w:val="17"/>
          <w:color w:val="auto"/>
        </w:rPr>
        <w:t>. Copies of the registration statements related to the offering are available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1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This press release does not constitute an offer to sell or a solicitation of an offer to buy these securities, nor will there be any sale of these securities in any state or jurisdiction in which such offer, solicitation, or sale would be unlawful before registration or qualification under the securities laws of that state or jurisdiction.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Tenaya Therapeutics</w:t>
      </w:r>
    </w:p>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Tenaya Therapeutics is a biotechnology company committed to a bold mission: to discover, develop and deliver curative therapies that address the underlying drivers of heart disease. Founded by leading cardiovascular scientists from Gladstone Institutes and the University of Texas Southwestern Medical Center, Tenaya is developing therapies for rare genetic disorders as well as for more prevalent heart conditions through three distinct but interrelated product platforms: Gene Therapy, Cellular Regeneration and Precision Medicine.</w:t>
      </w:r>
    </w:p>
    <w:p>
      <w:pPr>
        <w:sectPr>
          <w:pgSz w:w="11900" w:h="16838" w:orient="portrait"/>
          <w:cols w:equalWidth="0" w:num="1">
            <w:col w:w="11020"/>
          </w:cols>
          <w:pgMar w:left="440" w:top="121"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more information, please contact: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Wendy Ryan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wendy@tenbridgecommunications.com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(781) 316-4424</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2">
    <w:nsid w:val="1190CDE7"/>
    <w:multiLevelType w:val="hybridMultilevel"/>
    <w:lvl w:ilvl="0">
      <w:lvlJc w:val="left"/>
      <w:lvlText w:val="(%1)"/>
      <w:numFmt w:val="lowerRoman"/>
      <w:start w:val="4"/>
    </w:lvl>
    <w:lvl w:ilvl="1">
      <w:lvlJc w:val="left"/>
      <w:lvlText w:val="%2"/>
      <w:numFmt w:val="lowerLetter"/>
      <w:start w:val="1"/>
    </w:lvl>
    <w:lvl w:ilvl="2">
      <w:lvlJc w:val="left"/>
      <w:lvlText w:val="-"/>
      <w:numFmt w:val="bullet"/>
      <w:start w:val="1"/>
    </w:lvl>
  </w:abstractNum>
  <w:abstractNum w:abstractNumId="3">
    <w:nsid w:val="66EF438D"/>
    <w:multiLevelType w:val="hybridMultilevel"/>
    <w:lvl w:ilvl="0">
      <w:lvlJc w:val="left"/>
      <w:lvlText w:val="(%1)"/>
      <w:numFmt w:val="lowerLetter"/>
      <w:start w:val="2"/>
    </w:lvl>
  </w:abstractNum>
  <w:abstractNum w:abstractNumId="4">
    <w:nsid w:val="140E0F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
    <w:nsid w:val="3352255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
    <w:nsid w:val="109CF92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7">
    <w:nsid w:val="DED7263"/>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8">
    <w:nsid w:val="7FDCC233"/>
    <w:multiLevelType w:val="hybridMultilevel"/>
    <w:lvl w:ilvl="0">
      <w:lvlJc w:val="left"/>
      <w:lvlText w:val="%1"/>
      <w:numFmt w:val="decimal"/>
      <w:start w:val="1"/>
    </w:lvl>
    <w:lvl w:ilvl="1">
      <w:lvlJc w:val="left"/>
      <w:lvlText w:val="(%2)"/>
      <w:numFmt w:val="upperLetter"/>
      <w:start w:val="5"/>
    </w:lvl>
    <w:lvl w:ilvl="2">
      <w:lvlJc w:val="left"/>
      <w:lvlText w:val="-"/>
      <w:numFmt w:val="bullet"/>
      <w:start w:val="1"/>
    </w:lvl>
  </w:abstractNum>
  <w:abstractNum w:abstractNumId="9">
    <w:nsid w:val="1BEFD79F"/>
    <w:multiLevelType w:val="hybridMultilevel"/>
    <w:lvl w:ilvl="0">
      <w:lvlJc w:val="left"/>
      <w:lvlText w:val="(%1)"/>
      <w:numFmt w:val="decimal"/>
      <w:start w:val="3"/>
    </w:lvl>
    <w:lvl w:ilvl="1">
      <w:lvlJc w:val="left"/>
      <w:lvlText w:val="(%2)"/>
      <w:numFmt w:val="upperLetter"/>
      <w:start w:val="1"/>
    </w:lvl>
    <w:lvl w:ilvl="2">
      <w:lvlJc w:val="left"/>
      <w:lvlText w:val="-"/>
      <w:numFmt w:val="bullet"/>
      <w:start w:val="1"/>
    </w:lvl>
  </w:abstractNum>
  <w:abstractNum w:abstractNumId="10">
    <w:nsid w:val="41A7C4C9"/>
    <w:multiLevelType w:val="hybridMultilevel"/>
    <w:lvl w:ilvl="0">
      <w:lvlJc w:val="left"/>
      <w:lvlText w:val="%1"/>
      <w:numFmt w:val="lowerRoman"/>
      <w:start w:val="1"/>
    </w:lvl>
    <w:lvl w:ilvl="1">
      <w:lvlJc w:val="left"/>
      <w:lvlText w:val="(%2)"/>
      <w:numFmt w:val="upperLetter"/>
      <w:start w:val="8"/>
    </w:lvl>
    <w:lvl w:ilvl="2">
      <w:lvlJc w:val="left"/>
      <w:lvlText w:val="-"/>
      <w:numFmt w:val="bullet"/>
      <w:start w:val="1"/>
    </w:lvl>
  </w:abstractNum>
  <w:abstractNum w:abstractNumId="11">
    <w:nsid w:val="6B68079A"/>
    <w:multiLevelType w:val="hybridMultilevel"/>
    <w:lvl w:ilvl="0">
      <w:lvlJc w:val="left"/>
      <w:lvlText w:val="(%1)"/>
      <w:numFmt w:val="lowerRoman"/>
      <w:start w:val="4"/>
    </w:lvl>
    <w:lvl w:ilvl="1">
      <w:lvlJc w:val="left"/>
      <w:lvlText w:val="%2"/>
      <w:numFmt w:val="upperLetter"/>
      <w:start w:val="1"/>
    </w:lvl>
    <w:lvl w:ilvl="2">
      <w:lvlJc w:val="left"/>
      <w:lvlText w:val="-"/>
      <w:numFmt w:val="bullet"/>
      <w:start w:val="1"/>
    </w:lvl>
  </w:abstractNum>
  <w:abstractNum w:abstractNumId="12">
    <w:nsid w:val="4E6AFB66"/>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13">
    <w:nsid w:val="25E45D32"/>
    <w:multiLevelType w:val="hybridMultilevel"/>
    <w:lvl w:ilvl="0">
      <w:lvlJc w:val="left"/>
      <w:lvlText w:val="(%1)"/>
      <w:numFmt w:val="lowerRoman"/>
      <w:start w:val="2"/>
    </w:lvl>
    <w:lvl w:ilvl="1">
      <w:lvlJc w:val="left"/>
      <w:lvlText w:val="-"/>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2"/>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lvl w:ilvl="1">
      <w:lvlJc w:val="left"/>
      <w:lvlText w:val="-"/>
      <w:numFmt w:val="bullet"/>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2021-08-03T16:32:43Z</dcterms:created>
  <dcterms:modified xsi:type="dcterms:W3CDTF">2021-08-03T16:32:43Z</dcterms:modified>
</cp:coreProperties>
</file>