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March 16, 2023</w:t>
      </w:r>
    </w:p>
    <w:p>
      <w:pPr>
        <w:spacing w:after="0" w:line="5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720"/>
          </w:cols>
          <w:pgMar w:left="320" w:top="511" w:right="859" w:bottom="1440" w:gutter="0" w:footer="0" w:header="0"/>
        </w:sectPr>
      </w:pPr>
    </w:p>
    <w:p>
      <w:pPr>
        <w:spacing w:after="0" w:line="20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81-3789973</w:t>
      </w:r>
    </w:p>
    <w:p>
      <w:pPr>
        <w:spacing w:after="0" w:line="12" w:lineRule="exact"/>
        <w:rPr>
          <w:sz w:val="24"/>
          <w:szCs w:val="24"/>
          <w:color w:val="auto"/>
        </w:rPr>
      </w:pPr>
    </w:p>
    <w:p>
      <w:pPr>
        <w:sectPr>
          <w:pgSz w:w="11900" w:h="16838" w:orient="portrait"/>
          <w:cols w:equalWidth="0" w:num="3">
            <w:col w:w="4760" w:space="720"/>
            <w:col w:w="2580" w:space="720"/>
            <w:col w:w="1940"/>
          </w:cols>
          <w:pgMar w:left="320" w:top="511" w:right="85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20" w:space="720"/>
            <w:col w:w="2500" w:space="720"/>
            <w:col w:w="2060"/>
          </w:cols>
          <w:pgMar w:left="320" w:top="511" w:right="859" w:bottom="1440" w:gutter="0" w:footer="0" w:header="0"/>
          <w:type w:val="continuous"/>
        </w:sectPr>
      </w:pPr>
    </w:p>
    <w:p>
      <w:pPr>
        <w:spacing w:after="0" w:line="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0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0720"/>
          </w:cols>
          <w:pgMar w:left="320" w:top="511" w:right="859" w:bottom="1440" w:gutter="0" w:footer="0" w:header="0"/>
          <w:type w:val="continuous"/>
        </w:sectPr>
      </w:pPr>
    </w:p>
    <w:p>
      <w:pPr>
        <w:spacing w:after="0" w:line="84"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220" w:firstLine="17"/>
        <w:spacing w:after="0" w:line="379"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50"/>
        </w:trPr>
        <w:tc>
          <w:tcPr>
            <w:tcW w:w="4180" w:type="dxa"/>
            <w:vAlign w:val="bottom"/>
            <w:vMerge w:val="restart"/>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60" w:type="dxa"/>
            <w:vAlign w:val="bottom"/>
          </w:tcPr>
          <w:p>
            <w:pPr>
              <w:jc w:val="center"/>
              <w:ind w:right="42"/>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480" w:type="dxa"/>
            <w:vAlign w:val="bottom"/>
          </w:tcPr>
          <w:p>
            <w:pPr>
              <w:jc w:val="center"/>
              <w:ind w:left="762"/>
              <w:spacing w:after="0" w:line="150"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51"/>
        </w:trPr>
        <w:tc>
          <w:tcPr>
            <w:tcW w:w="4180" w:type="dxa"/>
            <w:vAlign w:val="bottom"/>
            <w:vMerge w:val="continue"/>
          </w:tcPr>
          <w:p>
            <w:pPr>
              <w:spacing w:after="0"/>
              <w:rPr>
                <w:sz w:val="13"/>
                <w:szCs w:val="13"/>
                <w:color w:val="auto"/>
              </w:rPr>
            </w:pPr>
          </w:p>
        </w:tc>
        <w:tc>
          <w:tcPr>
            <w:tcW w:w="2260" w:type="dxa"/>
            <w:vAlign w:val="bottom"/>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Pr>
          <w:p>
            <w:pPr>
              <w:jc w:val="center"/>
              <w:ind w:left="762"/>
              <w:spacing w:after="0" w:line="151"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18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7"/>
              </w:rPr>
              <w:t>TNYA</w:t>
            </w:r>
          </w:p>
        </w:tc>
        <w:tc>
          <w:tcPr>
            <w:tcW w:w="3480" w:type="dxa"/>
            <w:vAlign w:val="bottom"/>
          </w:tcPr>
          <w:p>
            <w:pPr>
              <w:jc w:val="center"/>
              <w:ind w:left="782"/>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511" w:right="859" w:bottom="1440" w:gutter="0" w:footer="0" w:header="0"/>
          <w:type w:val="continuous"/>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7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March 16, 2023, the Board of Directors (the “Board”) of Tenaya Therapeutics, Inc. (“Tenaya”) approved Tenaya’s Amended and Restated Bylaws (the “Amended and Restated Bylaws”). The Amended and Restated Bylaws were amended and restated to, among other things:</w:t>
      </w:r>
    </w:p>
    <w:p>
      <w:pPr>
        <w:spacing w:after="0" w:line="54" w:lineRule="exact"/>
        <w:rPr>
          <w:sz w:val="20"/>
          <w:szCs w:val="20"/>
          <w:color w:val="auto"/>
        </w:rPr>
      </w:pPr>
    </w:p>
    <w:p>
      <w:pPr>
        <w:ind w:left="1020" w:right="12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procedural mechanics and disclosure requirements in connection with stockholder nominations of directors and submissions of proposals regarding other business at Tenaya’s annual meeting of stockholders (except for proposals properly made in accordance with Rule 14a-8 under the Securities Exchange Act of 1934), including by requiring additional background information and disclosures regarding proposing stockholders, proposed nominees and business, and other persons related to a stockholder’s solicitation of proxies;</w:t>
      </w:r>
    </w:p>
    <w:p>
      <w:pPr>
        <w:spacing w:after="0" w:line="71"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certain provisions relating to stockholder nominees for election as a director to address the universal proxy rules adopted by the Securities and Exchange Commission;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additional procedures related to stockholder meetings to conform to the provisions of the Delaware General Corporation Law, as recently amended (the “DGCL”), including but not limited to provisions relating to delivery of notices of stockholder meetings, quorum, communications regarding adjourned stockholder meetings, conduct of business at meetings, and the preparation of the stockholder list in connection with stockholder meetings;</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various provisions regarding directors, Board committees, and officers, including but not limited to requirements for action by written consent of the Board, and officer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Tenaya’s exclusive forum provisions; and</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various updates throughout to conform to current Delaware law (including the recent amendments to the DGCL) and to make ministerial changes, clarifications, and other conforming revisions.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Amended and Restated Bylaws, a copy of which is attached hereto as Exhibit 3.1 and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Exhibit</w:t>
            </w:r>
          </w:p>
        </w:tc>
        <w:tc>
          <w:tcPr>
            <w:tcW w:w="10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88"/>
        </w:trPr>
        <w:tc>
          <w:tcPr>
            <w:tcW w:w="9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No.</w:t>
            </w: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60" w:type="dxa"/>
            <w:vAlign w:val="bottom"/>
          </w:tcPr>
          <w:p>
            <w:pPr>
              <w:spacing w:after="0"/>
              <w:rPr>
                <w:sz w:val="16"/>
                <w:szCs w:val="16"/>
                <w:color w:val="auto"/>
              </w:rPr>
            </w:pPr>
          </w:p>
        </w:tc>
      </w:tr>
      <w:tr>
        <w:trPr>
          <w:trHeight w:val="33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Amended and Restated Bylaws</w:t>
            </w:r>
          </w:p>
        </w:tc>
        <w:tc>
          <w:tcPr>
            <w:tcW w:w="20" w:type="dxa"/>
            <w:vAlign w:val="bottom"/>
            <w:tcBorders>
              <w:bottom w:val="single" w:sz="8" w:color="0000EE"/>
            </w:tcBorders>
          </w:tcPr>
          <w:p>
            <w:pPr>
              <w:spacing w:after="0"/>
              <w:rPr>
                <w:sz w:val="24"/>
                <w:szCs w:val="24"/>
                <w:color w:val="auto"/>
              </w:rPr>
            </w:pPr>
          </w:p>
        </w:tc>
        <w:tc>
          <w:tcPr>
            <w:tcW w:w="8060" w:type="dxa"/>
            <w:vAlign w:val="bottom"/>
          </w:tcPr>
          <w:p>
            <w:pPr>
              <w:spacing w:after="0"/>
              <w:rPr>
                <w:sz w:val="24"/>
                <w:szCs w:val="24"/>
                <w:color w:val="auto"/>
              </w:rPr>
            </w:pPr>
          </w:p>
        </w:tc>
      </w:tr>
      <w:tr>
        <w:trPr>
          <w:trHeight w:val="48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03"/>
        </w:trPr>
        <w:tc>
          <w:tcPr>
            <w:tcW w:w="9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40"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25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AMENDED AND RESTATED BYLAWS OF</w:t>
      </w:r>
    </w:p>
    <w:p>
      <w:pPr>
        <w:spacing w:after="0" w:line="2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TENAYA THERAPEUTICS, INC.</w:t>
      </w:r>
    </w:p>
    <w:p>
      <w:pPr>
        <w:spacing w:after="0" w:line="220"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(initially adopted on August 18, 2016)</w:t>
      </w:r>
    </w:p>
    <w:p>
      <w:pPr>
        <w:spacing w:after="0" w:line="2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(as amended and restated on August 3, 2021 and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1360" w:type="dxa"/>
            <w:vAlign w:val="bottom"/>
          </w:tcPr>
          <w:p>
            <w:pPr>
              <w:spacing w:after="0"/>
              <w:rPr>
                <w:sz w:val="22"/>
                <w:szCs w:val="22"/>
                <w:color w:val="auto"/>
              </w:rPr>
            </w:pPr>
          </w:p>
        </w:tc>
        <w:tc>
          <w:tcPr>
            <w:tcW w:w="7840" w:type="dxa"/>
            <w:vAlign w:val="bottom"/>
          </w:tcPr>
          <w:p>
            <w:pPr>
              <w:ind w:left="32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040" w:type="dxa"/>
            <w:vAlign w:val="bottom"/>
            <w:vMerge w:val="restart"/>
          </w:tcPr>
          <w:p>
            <w:pPr>
              <w:jc w:val="right"/>
              <w:ind w:right="461"/>
              <w:spacing w:after="0"/>
              <w:rPr>
                <w:sz w:val="20"/>
                <w:szCs w:val="20"/>
                <w:color w:val="auto"/>
              </w:rPr>
            </w:pPr>
            <w:r>
              <w:rPr>
                <w:rFonts w:ascii="Times New Roman" w:cs="Times New Roman" w:eastAsia="Times New Roman" w:hAnsi="Times New Roman"/>
                <w:sz w:val="20"/>
                <w:szCs w:val="20"/>
                <w:b w:val="1"/>
                <w:bCs w:val="1"/>
                <w:i w:val="1"/>
                <w:iCs w:val="1"/>
                <w:color w:val="auto"/>
              </w:rPr>
              <w:t>Page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 - CORPORATE OFFICES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63"/>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REGISTERED OFFICE</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8"/>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OTHER OFFICES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65"/>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II - MEETINGS OF STOCKHOLDERS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63"/>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PLACE OF MEETINGS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ANNUAL MEETING</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SPECIAL MEETING</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ADVANCE NOTICE PROCEDURES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2.5</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2.6</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QUORUM</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2.7</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ADJOURNED MEETING; NOTICE</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2.8</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CONDUCT OF BUSINESS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2.9</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VOTING</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2.10</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STOCKHOLDER ACTION BY WRITTEN CONSENT WITHOUT A MEETING</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2.11</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RECORD DATES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2.12</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PROXIES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2.13</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LIST OF STOCKHOLDERS ENTITLED TO VOTE</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8"/>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2.14</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INSPECTORS OF ELECTION</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365"/>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III - DIRECTORS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63"/>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POWERS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3.2</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NUMBER OF DIRECTORS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3.3</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ELECTION, QUALIFICATION AND TERM OF OFFICE OF DIRECTORS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3.4</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RESIGNATION AND VACANCIES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3.5</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PLACE OF MEETINGS; MEETINGS BY TELEPHONE</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3.6</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REGULAR MEETINGS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3.7</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SPECIAL MEETINGS; NOTICE</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3.8</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QUORUM; VOTING</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3.9</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BOARD ACTION BY WRITTEN CONSENT WITHOUT A MEETING</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3.10</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FEES AND COMPENSATION OF DIRECTORS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8"/>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3.11</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REMOVAL OF DIRECTORS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364"/>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IV - COMMITTEES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363"/>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COMMITTEES OF DIRECTORS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COMMITTEE MINUTES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7"/>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4.3</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MEETINGS AND ACTION OF COMMITTEES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8"/>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4.4</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SUBCOMMITTEES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64"/>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V - OFFICERS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63"/>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OFFICERS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5.2</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APPOINTMENT OF OFFICERS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5.3</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SUBORDINATE OFFICERS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5.4</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REMOVAL AND RESIGNATION OF OFFICERS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6"/>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5.5</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VACANCIES IN OFFICES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43"/>
        </w:trPr>
        <w:tc>
          <w:tcPr>
            <w:tcW w:w="1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5.6</w:t>
            </w:r>
          </w:p>
        </w:tc>
        <w:tc>
          <w:tcPr>
            <w:tcW w:w="7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REPRESENTATION OF SECURITIES OF OTHER ENTITIES</w:t>
            </w:r>
          </w:p>
        </w:tc>
        <w:tc>
          <w:tcPr>
            <w:tcW w:w="20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58"/>
        </w:trPr>
        <w:tc>
          <w:tcPr>
            <w:tcW w:w="13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w:t>
            </w:r>
          </w:p>
        </w:tc>
        <w:tc>
          <w:tcPr>
            <w:tcW w:w="78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1360" w:type="dxa"/>
            <w:vAlign w:val="bottom"/>
            <w:tcBorders>
              <w:bottom w:val="single" w:sz="8" w:color="9A9A9A"/>
            </w:tcBorders>
          </w:tcPr>
          <w:p>
            <w:pPr>
              <w:spacing w:after="0"/>
              <w:rPr>
                <w:sz w:val="9"/>
                <w:szCs w:val="9"/>
                <w:color w:val="auto"/>
              </w:rPr>
            </w:pPr>
          </w:p>
        </w:tc>
        <w:tc>
          <w:tcPr>
            <w:tcW w:w="784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(continued)</w:t>
      </w:r>
    </w:p>
    <w:tbl>
      <w:tblPr>
        <w:tblLayout w:type="fixed"/>
        <w:tblInd w:w="0" w:type="dxa"/>
        <w:tblCellMar>
          <w:top w:w="0" w:type="dxa"/>
          <w:left w:w="0" w:type="dxa"/>
          <w:bottom w:w="0" w:type="dxa"/>
          <w:right w:w="0" w:type="dxa"/>
        </w:tblCellMar>
      </w:tblPr>
      <w:tr>
        <w:trPr>
          <w:trHeight w:val="262"/>
        </w:trPr>
        <w:tc>
          <w:tcPr>
            <w:tcW w:w="134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Page</w:t>
            </w:r>
          </w:p>
        </w:tc>
      </w:tr>
      <w:tr>
        <w:trPr>
          <w:trHeight w:val="44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5.7</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AUTHORITY AND DUTIES OF OFFICERS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18</w:t>
            </w:r>
          </w:p>
        </w:tc>
      </w:tr>
      <w:tr>
        <w:trPr>
          <w:trHeight w:val="364"/>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 STOCK</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18</w:t>
            </w:r>
          </w:p>
        </w:tc>
      </w:tr>
      <w:tr>
        <w:trPr>
          <w:trHeight w:val="363"/>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6.1</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STOCK CERTIFICATES; PARTLY PAID SHARES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18</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6.2</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SPECIAL DESIGNATION ON CERTIFICATES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6.3</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LOST CERTIFICATES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6.4</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DIVIDENDS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19</w:t>
            </w:r>
          </w:p>
        </w:tc>
      </w:tr>
      <w:tr>
        <w:trPr>
          <w:trHeight w:val="256"/>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6.5</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TRANSFER OF STOCK</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6.6</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STOCK TRANSFER AGREEMENTS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w:t>
            </w:r>
          </w:p>
        </w:tc>
      </w:tr>
      <w:tr>
        <w:trPr>
          <w:trHeight w:val="258"/>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6.7</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REGISTERED STOCKHOLDERS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w:t>
            </w:r>
          </w:p>
        </w:tc>
      </w:tr>
      <w:tr>
        <w:trPr>
          <w:trHeight w:val="365"/>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 MANNER OF GIVING NOTICE AND WAIVER</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w:t>
            </w:r>
          </w:p>
        </w:tc>
      </w:tr>
      <w:tr>
        <w:trPr>
          <w:trHeight w:val="363"/>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7.1</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7.2</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NOTICE TO STOCKHOLDERS SHARING AN ADDRESS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w:t>
            </w:r>
          </w:p>
        </w:tc>
      </w:tr>
      <w:tr>
        <w:trPr>
          <w:trHeight w:val="256"/>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7.3</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NOTICE TO PERSON WITH WHOM COMMUNICATION IS UNLAWFUL</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w:t>
            </w:r>
          </w:p>
        </w:tc>
      </w:tr>
      <w:tr>
        <w:trPr>
          <w:trHeight w:val="258"/>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7.4</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WAIVER OF NOTICE</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21</w:t>
            </w:r>
          </w:p>
        </w:tc>
      </w:tr>
      <w:tr>
        <w:trPr>
          <w:trHeight w:val="365"/>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 INDEMNIFICATION</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21</w:t>
            </w:r>
          </w:p>
        </w:tc>
      </w:tr>
      <w:tr>
        <w:trPr>
          <w:trHeight w:val="363"/>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INDEMNIFICATION OF DIRECTORS AND OFFICERS IN THIRD PARTY PROCEEDINGS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8.2</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INDEMNIFICATION OF DIRECTORS AND OFFICERS IN ACTIONS BY OR IN THE RIGHT OF</w:t>
            </w:r>
          </w:p>
        </w:tc>
        <w:tc>
          <w:tcPr>
            <w:tcW w:w="540" w:type="dxa"/>
            <w:vAlign w:val="bottom"/>
          </w:tcPr>
          <w:p>
            <w:pPr>
              <w:spacing w:after="0"/>
              <w:rPr>
                <w:sz w:val="19"/>
                <w:szCs w:val="19"/>
                <w:color w:val="auto"/>
              </w:rPr>
            </w:pPr>
          </w:p>
        </w:tc>
      </w:tr>
      <w:tr>
        <w:trPr>
          <w:trHeight w:val="257"/>
        </w:trPr>
        <w:tc>
          <w:tcPr>
            <w:tcW w:w="1340" w:type="dxa"/>
            <w:vAlign w:val="bottom"/>
          </w:tcPr>
          <w:p>
            <w:pPr>
              <w:spacing w:after="0"/>
              <w:rPr>
                <w:sz w:val="22"/>
                <w:szCs w:val="22"/>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THE COMPANY</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8.3</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SUCCESSFUL DEFENSE</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8.4</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INDEMNIFICATION OF OTHERS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8.5</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ADVANCED PAYMENT OF EXPENSES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8.6</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LIMITATION ON INDEMNIFICATION</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8.7</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DETERMINATION; CLAIM</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23</w:t>
            </w:r>
          </w:p>
        </w:tc>
      </w:tr>
      <w:tr>
        <w:trPr>
          <w:trHeight w:val="256"/>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8.8</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NON-EXCLUSIVITY OF RIGHTS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8.9</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INSURANCE</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24</w:t>
            </w:r>
          </w:p>
        </w:tc>
      </w:tr>
      <w:tr>
        <w:trPr>
          <w:trHeight w:val="256"/>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8.10</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SURVIVAL</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8.11</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EFFECT OF REPEAL OR MODIFICATION</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24</w:t>
            </w:r>
          </w:p>
        </w:tc>
      </w:tr>
      <w:tr>
        <w:trPr>
          <w:trHeight w:val="258"/>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8.12</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CERTAIN DEFINITIONS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24</w:t>
            </w:r>
          </w:p>
        </w:tc>
      </w:tr>
      <w:tr>
        <w:trPr>
          <w:trHeight w:val="365"/>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 GENERAL MATTERS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25</w:t>
            </w:r>
          </w:p>
        </w:tc>
      </w:tr>
      <w:tr>
        <w:trPr>
          <w:trHeight w:val="363"/>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EXECUTION OF CORPORATE CONTRACTS AND INSTRUMENTS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9.2</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FISCAL YEAR</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9.3</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SEAL</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9.4</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CONSTRUCTION; DEFINITIONS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25</w:t>
            </w:r>
          </w:p>
        </w:tc>
      </w:tr>
      <w:tr>
        <w:trPr>
          <w:trHeight w:val="258"/>
        </w:trPr>
        <w:tc>
          <w:tcPr>
            <w:tcW w:w="1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9.5</w:t>
            </w:r>
          </w:p>
        </w:tc>
        <w:tc>
          <w:tcPr>
            <w:tcW w:w="8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FORUM SELECTION</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25</w:t>
            </w:r>
          </w:p>
        </w:tc>
      </w:tr>
      <w:tr>
        <w:trPr>
          <w:trHeight w:val="365"/>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 AMENDMENTS</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26</w:t>
            </w:r>
          </w:p>
        </w:tc>
      </w:tr>
    </w:tbl>
    <w:p>
      <w:pPr>
        <w:spacing w:after="0" w:line="200" w:lineRule="exact"/>
        <w:rPr>
          <w:sz w:val="20"/>
          <w:szCs w:val="20"/>
          <w:color w:val="auto"/>
        </w:rPr>
      </w:pPr>
    </w:p>
    <w:p>
      <w:pPr>
        <w:spacing w:after="0" w:line="3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40" w:top="114" w:right="10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BYLAWS OF TENAYA THERAPEUTICS, INC.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 CORPORATE OFFICES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1.1  REGISTERED OFFICE</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The registered office of Tenaya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be fixed in the Company’s certificate of incorporation, as the same may be amended from time to time.</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1.2  OTHER OFFICES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 may at any time establish other offices.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 MEETINGS OF STOCKHOLDERS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  PLACE OF MEETINGS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or any successor legislation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In the absence of any such designation or determination, stockholders’ meetings shall be held at the Company’s principal executive office.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2.2  ANNUAL MEETING</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20"/>
          <w:szCs w:val="20"/>
          <w:b w:val="1"/>
          <w:bCs w:val="1"/>
          <w:color w:val="auto"/>
        </w:rPr>
        <w:t>Whole Board</w:t>
      </w:r>
      <w:r>
        <w:rPr>
          <w:rFonts w:ascii="Times New Roman" w:cs="Times New Roman" w:eastAsia="Times New Roman" w:hAnsi="Times New Roman"/>
          <w:sz w:val="20"/>
          <w:szCs w:val="20"/>
          <w:color w:val="auto"/>
        </w:rPr>
        <w:t>” shall mean the total number of authorized directorships whether or not there exist any vacancies or other unfilled seats in previously authorized directorships.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2.3  SPECIAL MEETING</w:t>
      </w:r>
    </w:p>
    <w:p>
      <w:pPr>
        <w:spacing w:after="0" w:line="216" w:lineRule="exact"/>
        <w:rPr>
          <w:sz w:val="20"/>
          <w:szCs w:val="20"/>
          <w:color w:val="auto"/>
        </w:rPr>
      </w:pPr>
    </w:p>
    <w:p>
      <w:pPr>
        <w:jc w:val="both"/>
        <w:ind w:firstLine="1505"/>
        <w:spacing w:after="0" w:line="243" w:lineRule="auto"/>
        <w:tabs>
          <w:tab w:leader="none" w:pos="189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jc w:val="both"/>
        <w:ind w:left="-760" w:firstLine="1505"/>
        <w:spacing w:after="0" w:line="266" w:lineRule="auto"/>
        <w:tabs>
          <w:tab w:leader="none" w:pos="113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  ADVANCE NOTICE PROCEDURES</w:t>
      </w:r>
    </w:p>
    <w:p>
      <w:pPr>
        <w:spacing w:after="0" w:line="212" w:lineRule="exact"/>
        <w:rPr>
          <w:sz w:val="20"/>
          <w:szCs w:val="20"/>
          <w:color w:val="auto"/>
        </w:rPr>
      </w:pPr>
    </w:p>
    <w:p>
      <w:pPr>
        <w:ind w:left="1140" w:hanging="395"/>
        <w:spacing w:after="0"/>
        <w:tabs>
          <w:tab w:leader="none" w:pos="11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Annual Meetings of Stockholders.</w:t>
      </w:r>
    </w:p>
    <w:p>
      <w:pPr>
        <w:spacing w:after="0" w:line="219" w:lineRule="exact"/>
        <w:rPr>
          <w:rFonts w:ascii="Times New Roman" w:cs="Times New Roman" w:eastAsia="Times New Roman" w:hAnsi="Times New Roman"/>
          <w:sz w:val="20"/>
          <w:szCs w:val="20"/>
          <w:color w:val="auto"/>
        </w:rPr>
      </w:pPr>
    </w:p>
    <w:p>
      <w:pPr>
        <w:jc w:val="both"/>
        <w:ind w:left="-760" w:firstLine="2254"/>
        <w:spacing w:after="0" w:line="243" w:lineRule="auto"/>
        <w:tabs>
          <w:tab w:leader="none" w:pos="1882"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or any committee thereof that has been formally delegated authority to nominate such persons or propose such business pursuant to a resolution adopted by a majority of the Whole Board;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85" w:lineRule="exact"/>
        <w:rPr>
          <w:rFonts w:ascii="Times New Roman" w:cs="Times New Roman" w:eastAsia="Times New Roman" w:hAnsi="Times New Roman"/>
          <w:sz w:val="20"/>
          <w:szCs w:val="20"/>
          <w:color w:val="auto"/>
        </w:rPr>
      </w:pPr>
    </w:p>
    <w:p>
      <w:pPr>
        <w:jc w:val="both"/>
        <w:ind w:left="-760" w:firstLine="2254"/>
        <w:spacing w:after="0" w:line="237" w:lineRule="auto"/>
        <w:tabs>
          <w:tab w:leader="none" w:pos="1882"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nominations or other business to be properly brought before an annual meeting of stockholders by a stockholder pursuant to clause (4) of Section 2.4(a)(i), the stockholder must have given timely notice in writing to the secretary of the Company (the “</w:t>
      </w:r>
      <w:r>
        <w:rPr>
          <w:rFonts w:ascii="Times New Roman" w:cs="Times New Roman" w:eastAsia="Times New Roman" w:hAnsi="Times New Roman"/>
          <w:sz w:val="20"/>
          <w:szCs w:val="20"/>
          <w:b w:val="1"/>
          <w:bCs w:val="1"/>
          <w:color w:val="auto"/>
        </w:rPr>
        <w:t>Secretary</w:t>
      </w:r>
      <w:r>
        <w:rPr>
          <w:rFonts w:ascii="Times New Roman" w:cs="Times New Roman" w:eastAsia="Times New Roman" w:hAnsi="Times New Roman"/>
          <w:sz w:val="20"/>
          <w:szCs w:val="20"/>
          <w:color w:val="auto"/>
        </w:rPr>
        <w:t>”) and any such nomination or proposed business must constitute a proper matter for stockholder action. To be timely, a stockholder’s notice must be received by the Secretary at the principal executive offices of the Company no earlier than 8:00 a.m., Eastern time, on the 120th day and no later than 5:00 p.m., Eastern time, on the 90th day prior to the day of the first anniversary of the preceding year’s annual meeting of stockholders as first specified in the Company’s notice of such annual meeting (without regard to any adjournment, rescheduling, postponement or other delay of such annual meeting occurring after such notice was first sent). However, if no annual meeting of stockholders was held in the preceding year, or if the date of the annual meeting for the current year has been changed by more than 25 days from the first anniversary of the preceding year’s annual meeting, then to be timely such notice must be received by the Secretary at the principal executive offices of the Company no earlier than 8:00 a.m., Eastern time, on the 120th day prior to the day of the annual meeting and no later than 5:00 p.m., Eastern time,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prior to the day of the annual meeting or, if the first public announcement of the date of such annual meeting is less than 100 days prior to the date of such annual meeting, the 10th day following the day on which public announcement of the date of the annual meeting was first made by the Company.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any nominees for any new positions created by such increase, if it is received by the Secretary at the principal executive offices of the Company no later than 5:00 p.m., Eastern time, on the 10th day following the day on which such public announcement is first made. “</w:t>
      </w:r>
      <w:r>
        <w:rPr>
          <w:rFonts w:ascii="Times New Roman" w:cs="Times New Roman" w:eastAsia="Times New Roman" w:hAnsi="Times New Roman"/>
          <w:sz w:val="20"/>
          <w:szCs w:val="20"/>
          <w:b w:val="1"/>
          <w:bCs w:val="1"/>
          <w:color w:val="auto"/>
        </w:rPr>
        <w:t>Public</w:t>
      </w:r>
    </w:p>
    <w:p>
      <w:pPr>
        <w:spacing w:after="0" w:line="20" w:lineRule="exact"/>
        <w:rPr>
          <w:rFonts w:ascii="Times New Roman" w:cs="Times New Roman" w:eastAsia="Times New Roman" w:hAnsi="Times New Roman"/>
          <w:sz w:val="20"/>
          <w:szCs w:val="20"/>
          <w:color w:val="auto"/>
        </w:rPr>
      </w:pPr>
    </w:p>
    <w:p>
      <w:pPr>
        <w:ind w:left="4820" w:hanging="121"/>
        <w:spacing w:after="0"/>
        <w:tabs>
          <w:tab w:leader="none" w:pos="4820"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62" w:right="339" w:bottom="1440" w:gutter="0" w:footer="0" w:header="0"/>
        </w:sectPr>
      </w:pPr>
    </w:p>
    <w:bookmarkStart w:id="9" w:name="page10"/>
    <w:bookmarkEnd w:id="9"/>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announcement</w:t>
      </w:r>
      <w:r>
        <w:rPr>
          <w:rFonts w:ascii="Times New Roman" w:cs="Times New Roman" w:eastAsia="Times New Roman" w:hAnsi="Times New Roman"/>
          <w:sz w:val="20"/>
          <w:szCs w:val="20"/>
          <w:color w:val="auto"/>
        </w:rPr>
        <w:t>” means disclosure in a press release reported by a national news service or in a document publicly filed by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pursuant to Section 13, Section 14 or Section 15(d) of the Securities Exchange Act of 1934 (as amended and inclusive of rules and regulations thereunder, the “</w:t>
      </w:r>
      <w:r>
        <w:rPr>
          <w:rFonts w:ascii="Times New Roman" w:cs="Times New Roman" w:eastAsia="Times New Roman" w:hAnsi="Times New Roman"/>
          <w:sz w:val="20"/>
          <w:szCs w:val="20"/>
          <w:b w:val="1"/>
          <w:bCs w:val="1"/>
          <w:color w:val="auto"/>
        </w:rPr>
        <w:t>1934 Act</w:t>
      </w:r>
      <w:r>
        <w:rPr>
          <w:rFonts w:ascii="Times New Roman" w:cs="Times New Roman" w:eastAsia="Times New Roman" w:hAnsi="Times New Roman"/>
          <w:sz w:val="20"/>
          <w:szCs w:val="20"/>
          <w:color w:val="auto"/>
        </w:rPr>
        <w:t>”) or by such other means as is reasonably designed to inform the public or stockholders of the Company in general of such information, including, without limitation, posting on the Company’s investor relations website.</w:t>
      </w:r>
    </w:p>
    <w:p>
      <w:pPr>
        <w:spacing w:after="0" w:line="184" w:lineRule="exact"/>
        <w:rPr>
          <w:sz w:val="20"/>
          <w:szCs w:val="20"/>
          <w:color w:val="auto"/>
        </w:rPr>
      </w:pPr>
    </w:p>
    <w:p>
      <w:pPr>
        <w:ind w:left="2660" w:hanging="406"/>
        <w:spacing w:after="0"/>
        <w:tabs>
          <w:tab w:leader="none" w:pos="2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stockholder’s notice to the Secretary must set forth:</w:t>
      </w:r>
    </w:p>
    <w:p>
      <w:pPr>
        <w:spacing w:after="0" w:line="21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the stockholder proposes to nominate for election as a director:</w:t>
      </w:r>
    </w:p>
    <w:p>
      <w:pPr>
        <w:spacing w:after="0" w:line="215"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2"/>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person’s name, age, business address, residence address and principal occupation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employment;</w:t>
      </w:r>
    </w:p>
    <w:p>
      <w:pPr>
        <w:spacing w:after="0" w:line="194" w:lineRule="exact"/>
        <w:rPr>
          <w:sz w:val="20"/>
          <w:szCs w:val="20"/>
          <w:color w:val="auto"/>
        </w:rPr>
      </w:pPr>
    </w:p>
    <w:p>
      <w:pPr>
        <w:jc w:val="both"/>
        <w:ind w:firstLine="3752"/>
        <w:spacing w:after="0" w:line="246" w:lineRule="auto"/>
        <w:tabs>
          <w:tab w:leader="none" w:pos="41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of the Company that are held of record or are beneficially owned by such person and any (i) Derivative Instruments (as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Company’s securities;</w:t>
      </w:r>
    </w:p>
    <w:p>
      <w:pPr>
        <w:spacing w:after="0" w:line="184"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relating to such person that is required to be disclosed in connection with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solicitations of proxies for the contested election of directors, or is otherwise required, in each case pursuant to Section 14 of the 1934 Act;</w:t>
      </w:r>
    </w:p>
    <w:p>
      <w:pPr>
        <w:spacing w:after="0" w:line="193"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written consent (x) to being named as a nominee of such stockholder, (y) to being named in the Company’s form of proxy pursuant to Rule 14a-19 under the 1934 Act and (z) to serving as a director of the Company if elected;</w:t>
      </w:r>
    </w:p>
    <w:p>
      <w:pPr>
        <w:spacing w:after="0" w:line="174" w:lineRule="exact"/>
        <w:rPr>
          <w:rFonts w:ascii="Times New Roman" w:cs="Times New Roman" w:eastAsia="Times New Roman" w:hAnsi="Times New Roman"/>
          <w:sz w:val="20"/>
          <w:szCs w:val="20"/>
          <w:color w:val="auto"/>
        </w:rPr>
      </w:pPr>
    </w:p>
    <w:p>
      <w:pPr>
        <w:ind w:firstLine="3752"/>
        <w:spacing w:after="0" w:line="246" w:lineRule="auto"/>
        <w:tabs>
          <w:tab w:leader="none" w:pos="41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compensatory, payment, indemnification or other financial agreement, arrangement or understanding that such person has, or has had within the past three years, with any person or entity other than the Company (including, without limitation, the amount of any payment or payments received or receivable thereunder), in each case in connection with candidacy or service as a director of the Company (such agreement, arrangement, or understanding, a “</w:t>
      </w:r>
      <w:r>
        <w:rPr>
          <w:rFonts w:ascii="Times New Roman" w:cs="Times New Roman" w:eastAsia="Times New Roman" w:hAnsi="Times New Roman"/>
          <w:sz w:val="20"/>
          <w:szCs w:val="20"/>
          <w:b w:val="1"/>
          <w:bCs w:val="1"/>
          <w:color w:val="auto"/>
        </w:rPr>
        <w:t>Third-Party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Compensation Arrangement</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jc w:val="both"/>
        <w:ind w:firstLine="3752"/>
        <w:spacing w:after="0" w:line="245" w:lineRule="auto"/>
        <w:tabs>
          <w:tab w:leader="none" w:pos="41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w:t>
      </w:r>
    </w:p>
    <w:p>
      <w:pPr>
        <w:spacing w:after="0" w:line="18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other business that the stockholder proposes to bring before the annual meeting:</w:t>
      </w:r>
    </w:p>
    <w:p>
      <w:pPr>
        <w:spacing w:after="0" w:line="215"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description of the business desired to be brought before the annual meeting;</w:t>
      </w:r>
    </w:p>
    <w:p>
      <w:pPr>
        <w:spacing w:after="0" w:line="21"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 w:name="page11"/>
    <w:bookmarkEnd w:id="10"/>
    <w:p>
      <w:pPr>
        <w:ind w:right="20" w:firstLine="3752"/>
        <w:spacing w:after="0" w:line="269" w:lineRule="auto"/>
        <w:tabs>
          <w:tab w:leader="none" w:pos="41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text of the proposal or business (including the text of any resolutions proposed for consideration and, if applicable, the text of any proposed amendment to these bylaws);</w:t>
      </w:r>
    </w:p>
    <w:p>
      <w:pPr>
        <w:spacing w:after="0" w:line="159"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reasons for conducting such business at the annual meeting;</w:t>
      </w:r>
    </w:p>
    <w:p>
      <w:pPr>
        <w:spacing w:after="0" w:line="215"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74"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arrangements and understandings between such stockholder and the beneficial owner, if any, on whose behalf the proposal is made, and their respective affiliates or associates or others acting in concert with them, and any other persons (including their names) in connection with the proposal of such business by such stockholder; and</w:t>
      </w:r>
    </w:p>
    <w:p>
      <w:pPr>
        <w:spacing w:after="0" w:line="17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 behalf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 or proposal is made:</w:t>
      </w:r>
    </w:p>
    <w:p>
      <w:pPr>
        <w:spacing w:after="0" w:line="193"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Company’s books),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beneficial owner, and of their respective affiliates or associates or others acting in concert with them;</w:t>
      </w:r>
    </w:p>
    <w:p>
      <w:pPr>
        <w:spacing w:after="0" w:line="193"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74"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74" w:lineRule="exact"/>
        <w:rPr>
          <w:rFonts w:ascii="Times New Roman" w:cs="Times New Roman" w:eastAsia="Times New Roman" w:hAnsi="Times New Roman"/>
          <w:sz w:val="20"/>
          <w:szCs w:val="20"/>
          <w:color w:val="auto"/>
        </w:rPr>
      </w:pPr>
    </w:p>
    <w:p>
      <w:pPr>
        <w:jc w:val="both"/>
        <w:ind w:firstLine="3752"/>
        <w:spacing w:after="0" w:line="243" w:lineRule="auto"/>
        <w:tabs>
          <w:tab w:leader="none" w:pos="41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20"/>
          <w:szCs w:val="20"/>
          <w:b w:val="1"/>
          <w:bCs w:val="1"/>
          <w:color w:val="auto"/>
        </w:rPr>
        <w:t>Derivative Instrument</w:t>
      </w:r>
      <w:r>
        <w:rPr>
          <w:rFonts w:ascii="Times New Roman" w:cs="Times New Roman" w:eastAsia="Times New Roman" w:hAnsi="Times New Roman"/>
          <w:sz w:val="20"/>
          <w:szCs w:val="20"/>
          <w:color w:val="auto"/>
        </w:rPr>
        <w:t>”),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85" w:lineRule="exact"/>
        <w:rPr>
          <w:rFonts w:ascii="Times New Roman" w:cs="Times New Roman" w:eastAsia="Times New Roman" w:hAnsi="Times New Roman"/>
          <w:sz w:val="20"/>
          <w:szCs w:val="20"/>
          <w:color w:val="auto"/>
        </w:rPr>
      </w:pPr>
    </w:p>
    <w:p>
      <w:pPr>
        <w:jc w:val="both"/>
        <w:ind w:firstLine="3752"/>
        <w:spacing w:after="0" w:line="247" w:lineRule="auto"/>
        <w:tabs>
          <w:tab w:leader="none" w:pos="41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proxy, contract, arrangement, understanding or relationship pursuant to which such stockholder, such beneficial owner or their respective affiliates or associates or others acting in concert with them has a right to vote any shares of any security of the Company;</w:t>
      </w:r>
    </w:p>
    <w:p>
      <w:pPr>
        <w:ind w:left="5580" w:hanging="121"/>
        <w:spacing w:after="0"/>
        <w:tabs>
          <w:tab w:leader="none" w:pos="558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 w:name="page12"/>
    <w:bookmarkEnd w:id="11"/>
    <w:p>
      <w:pPr>
        <w:jc w:val="both"/>
        <w:ind w:left="-1120" w:right="20" w:firstLine="3752"/>
        <w:spacing w:after="0" w:line="254" w:lineRule="auto"/>
        <w:tabs>
          <w:tab w:leader="none" w:pos="3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79"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79"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without limitation, any employment agreement, collective bargaining agreement or consulting agreement);</w:t>
      </w:r>
    </w:p>
    <w:p>
      <w:pPr>
        <w:spacing w:after="0" w:line="179"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pending or threatened legal proceeding in which such stockholder, such beneficial owner or their respective affiliates or associates or others acting in concert with them is a party or material participant involving the Company or any of its officers, directors or affiliates;</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relationship between such stockholder, such beneficial owner or their respective affiliates or associates or others acting in concert with them, on the one hand, and the Company or any of its officers, directors or affiliates, on the other hand;</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undertaking that the stockholder is a holder of record of stock of the Company as of the date of submission of the stockholder’s notice and intends to appear in person or by proxy at the annual meeting to bring such nomination or other business before the annual meeting;</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42" w:lineRule="auto"/>
        <w:tabs>
          <w:tab w:leader="none" w:pos="3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undertaking as to whether such stockholder, such beneficial owner or their respective affiliates or associates or others acting in concert with them intends, or is part of a group that intends, to (x) deliver a proxy statement or form of proxy to holders of at least the percentage of the voting power of the Company’s then-outstanding stock required to approve or adopt the proposal or to elect each such nominee (which representation and undertaking must include a statement as to whether such stockholder, such beneficial owner or their respective affiliates or associates or others acting in concert with them intends to solicit the requisite percentage of the voting power of the Company’s stock under Rule 14a-19 of the 1934 Act); or (y) otherwise solicit proxies from stockholders in support of such proposal or nomination;</w:t>
      </w:r>
    </w:p>
    <w:p>
      <w:pPr>
        <w:spacing w:after="0" w:line="5" w:lineRule="exact"/>
        <w:rPr>
          <w:rFonts w:ascii="Times New Roman" w:cs="Times New Roman" w:eastAsia="Times New Roman" w:hAnsi="Times New Roman"/>
          <w:sz w:val="20"/>
          <w:szCs w:val="20"/>
          <w:color w:val="auto"/>
        </w:rPr>
      </w:pPr>
    </w:p>
    <w:p>
      <w:pPr>
        <w:ind w:left="4460" w:hanging="121"/>
        <w:spacing w:after="0"/>
        <w:tabs>
          <w:tab w:leader="none" w:pos="44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62" w:right="339" w:bottom="1440" w:gutter="0" w:footer="0" w:header="0"/>
        </w:sectPr>
      </w:pPr>
    </w:p>
    <w:bookmarkStart w:id="12" w:name="page13"/>
    <w:bookmarkEnd w:id="12"/>
    <w:p>
      <w:pPr>
        <w:jc w:val="both"/>
        <w:ind w:firstLine="3752"/>
        <w:spacing w:after="0" w:line="249" w:lineRule="auto"/>
        <w:tabs>
          <w:tab w:leader="none" w:pos="4140"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79"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relating to any proposed item of business as the Company may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require to determine whether such proposed item of business is a proper matter for stockholder action.</w:t>
      </w:r>
    </w:p>
    <w:p>
      <w:pPr>
        <w:spacing w:after="0" w:line="193" w:lineRule="exact"/>
        <w:rPr>
          <w:rFonts w:ascii="Times New Roman" w:cs="Times New Roman" w:eastAsia="Times New Roman" w:hAnsi="Times New Roman"/>
          <w:sz w:val="20"/>
          <w:szCs w:val="20"/>
          <w:color w:val="auto"/>
        </w:rPr>
      </w:pPr>
    </w:p>
    <w:p>
      <w:pPr>
        <w:jc w:val="both"/>
        <w:ind w:firstLine="2254"/>
        <w:spacing w:after="0"/>
        <w:tabs>
          <w:tab w:leader="none" w:pos="264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(2) to provide any additional information that the Company may reasonably request. Any such update and supplement or additional information (including, if requested pursuant to Section 2.4(a)(iii)(3)(P)) must be received by the Secretary at the principal executive offices of the Company, (A) in the case of a request for additional information, promptly following a request therefor, which response must be received by the Secretary not later than such reasonable time as is specified in any such request from the Company; or (B) in the case of any other update or supplement of any information, not later than five business days after the record date(s) for the annual meeting (in the case of any update and supplement required to be made as of the record date(s)), and not later than eight business days prior to the date for the annual meeting or any adjournment, rescheduling, postponement or other delay thereof (in the case of any update or supplement required to be made as of 10 business days prior to the annual meeting or any adjournment, rescheduling, postponement or other delay thereof). No later than five business days prior to the annual meeting or any adjournment, rescheduling, postponement or other delay thereof, a stockholder nominating individuals for election as a director will provide the Company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Company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Company and counted for the purposes of determining quorum. For the avoidance of doubt, the obligation to update and supplement, or provide additional information or evidence, as set forth in these bylaws shall not limit the Company’s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spacing w:after="0" w:line="19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Special Meetings of Stockholders</w:t>
      </w:r>
      <w:r>
        <w:rPr>
          <w:rFonts w:ascii="Times New Roman" w:cs="Times New Roman" w:eastAsia="Times New Roman" w:hAnsi="Times New Roman"/>
          <w:sz w:val="20"/>
          <w:szCs w:val="20"/>
          <w:color w:val="auto"/>
        </w:rPr>
        <w:t>. Except to the extent required by the DGCL, and subject to Section 2.3(a), special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meetings of 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w:t>
      </w:r>
    </w:p>
    <w:p>
      <w:pPr>
        <w:spacing w:after="0" w:line="1"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3"/>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 w:name="page14"/>
    <w:bookmarkEnd w:id="13"/>
    <w:p>
      <w:pPr>
        <w:jc w:val="both"/>
        <w:spacing w:after="0" w:line="241" w:lineRule="auto"/>
        <w:rPr>
          <w:sz w:val="20"/>
          <w:szCs w:val="20"/>
          <w:color w:val="auto"/>
        </w:rPr>
      </w:pPr>
      <w:r>
        <w:rPr>
          <w:rFonts w:ascii="Times New Roman" w:cs="Times New Roman" w:eastAsia="Times New Roman" w:hAnsi="Times New Roman"/>
          <w:sz w:val="20"/>
          <w:szCs w:val="20"/>
          <w:color w:val="auto"/>
        </w:rPr>
        <w:t>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2.4(b)(with such procedures that the Company deems to be applicable to such special meeting). For nominations to be properly brought by a stockholder before a special meeting pursuant to this Section 2.4(b), the stockholder’s notice must be received by the Secretary at the principal executive offices of the Company no earlier than 8:00 a.m., Eastern time, on the 120th day prior to the day of the special meeting and no later than 5:00 p.m., Eastern time, on the 10th day following the day on which public announcement of the date of the special meeting was first made. In no event will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Section 2.4(a)(iii), with references therein to “annual meeting” deemed to mean “special meeting” for the purposes of this final sentence of this Section 2.4(b).</w:t>
      </w:r>
    </w:p>
    <w:p>
      <w:pPr>
        <w:spacing w:after="0" w:line="193" w:lineRule="exact"/>
        <w:rPr>
          <w:sz w:val="20"/>
          <w:szCs w:val="20"/>
          <w:color w:val="auto"/>
        </w:rPr>
      </w:pPr>
    </w:p>
    <w:p>
      <w:pPr>
        <w:ind w:left="1900" w:hanging="395"/>
        <w:spacing w:after="0"/>
        <w:tabs>
          <w:tab w:leader="none" w:pos="19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Requirements and Procedures.</w:t>
      </w:r>
    </w:p>
    <w:p>
      <w:pPr>
        <w:spacing w:after="0" w:line="219" w:lineRule="exact"/>
        <w:rPr>
          <w:rFonts w:ascii="Times New Roman" w:cs="Times New Roman" w:eastAsia="Times New Roman" w:hAnsi="Times New Roman"/>
          <w:sz w:val="20"/>
          <w:szCs w:val="20"/>
          <w:color w:val="auto"/>
        </w:rPr>
      </w:pPr>
    </w:p>
    <w:p>
      <w:pPr>
        <w:jc w:val="both"/>
        <w:ind w:right="20" w:firstLine="2254"/>
        <w:spacing w:after="0" w:line="264" w:lineRule="auto"/>
        <w:tabs>
          <w:tab w:leader="none" w:pos="2642"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eligible to be a nominee of any stockholder for election as a director of the Company, the proposed nominee must provide to the Secretary, in accordance with the applicable time periods prescribed for delivery of notice under Section 2.4(a)</w:t>
      </w:r>
    </w:p>
    <w:p>
      <w:pPr>
        <w:ind w:left="300" w:hanging="292"/>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Section 2.4(b):</w:t>
      </w:r>
    </w:p>
    <w:p>
      <w:pPr>
        <w:spacing w:after="0" w:line="193" w:lineRule="exact"/>
        <w:rPr>
          <w:rFonts w:ascii="Times New Roman" w:cs="Times New Roman" w:eastAsia="Times New Roman" w:hAnsi="Times New Roman"/>
          <w:sz w:val="20"/>
          <w:szCs w:val="20"/>
          <w:color w:val="auto"/>
        </w:rPr>
      </w:pPr>
    </w:p>
    <w:p>
      <w:pPr>
        <w:jc w:val="both"/>
        <w:ind w:firstLine="3003"/>
        <w:spacing w:after="0" w:line="246" w:lineRule="auto"/>
        <w:tabs>
          <w:tab w:leader="none" w:pos="3391" w:val="left"/>
        </w:tabs>
        <w:numPr>
          <w:ilvl w:val="3"/>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84" w:lineRule="exact"/>
        <w:rPr>
          <w:rFonts w:ascii="Times New Roman" w:cs="Times New Roman" w:eastAsia="Times New Roman" w:hAnsi="Times New Roman"/>
          <w:sz w:val="20"/>
          <w:szCs w:val="20"/>
          <w:color w:val="auto"/>
        </w:rPr>
      </w:pPr>
    </w:p>
    <w:p>
      <w:pPr>
        <w:jc w:val="both"/>
        <w:ind w:firstLine="3003"/>
        <w:spacing w:after="0" w:line="254" w:lineRule="auto"/>
        <w:tabs>
          <w:tab w:leader="none" w:pos="3391" w:val="left"/>
        </w:tabs>
        <w:numPr>
          <w:ilvl w:val="3"/>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74" w:lineRule="exact"/>
        <w:rPr>
          <w:rFonts w:ascii="Times New Roman" w:cs="Times New Roman" w:eastAsia="Times New Roman" w:hAnsi="Times New Roman"/>
          <w:sz w:val="20"/>
          <w:szCs w:val="20"/>
          <w:color w:val="auto"/>
        </w:rPr>
      </w:pPr>
    </w:p>
    <w:p>
      <w:pPr>
        <w:ind w:right="20" w:firstLine="3003"/>
        <w:spacing w:after="0" w:line="269" w:lineRule="auto"/>
        <w:tabs>
          <w:tab w:leader="none" w:pos="3391" w:val="left"/>
        </w:tabs>
        <w:numPr>
          <w:ilvl w:val="3"/>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unless previously disclosed to the Company, such nominee is not, and will not become, a party to any Third-Party Compensation Arrangement;</w:t>
      </w:r>
    </w:p>
    <w:p>
      <w:pPr>
        <w:spacing w:after="0" w:line="159" w:lineRule="exact"/>
        <w:rPr>
          <w:rFonts w:ascii="Times New Roman" w:cs="Times New Roman" w:eastAsia="Times New Roman" w:hAnsi="Times New Roman"/>
          <w:sz w:val="20"/>
          <w:szCs w:val="20"/>
          <w:color w:val="auto"/>
        </w:rPr>
      </w:pPr>
    </w:p>
    <w:p>
      <w:pPr>
        <w:jc w:val="both"/>
        <w:ind w:firstLine="3003"/>
        <w:spacing w:after="0" w:line="246" w:lineRule="auto"/>
        <w:tabs>
          <w:tab w:leader="none" w:pos="3391" w:val="left"/>
        </w:tabs>
        <w:numPr>
          <w:ilvl w:val="3"/>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if elected as a director, such nominee would be in compliance, and will continue to comply, with the Company’s corporate governance, conflict of interest, confidentiality, stock ownership and trading guidelines, and other policies and guidelines applicable to directors and in effect during such person’s term in office as a director (and, if requested by any candidate for nomination, the Secretary will provide to such proposed nominee all such policies and guidelines then in effect); and</w:t>
      </w:r>
    </w:p>
    <w:p>
      <w:pPr>
        <w:spacing w:after="0" w:line="18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3"/>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such nominee, if elected, intends to serve a full term</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Board of Directors.</w:t>
      </w:r>
    </w:p>
    <w:p>
      <w:pPr>
        <w:ind w:left="5580" w:hanging="121"/>
        <w:spacing w:after="0"/>
        <w:tabs>
          <w:tab w:leader="none" w:pos="5580" w:val="left"/>
        </w:tabs>
        <w:numPr>
          <w:ilvl w:val="4"/>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 w:name="page15"/>
    <w:bookmarkEnd w:id="14"/>
    <w:p>
      <w:pPr>
        <w:jc w:val="both"/>
        <w:ind w:firstLine="2254"/>
        <w:spacing w:after="0" w:line="254" w:lineRule="auto"/>
        <w:tabs>
          <w:tab w:leader="none" w:pos="264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Board of Directors, any person nominated by the Board of Directors for election as a director must furnish to the Secretary the information that is required to be set forth in a stockholder’s notice of nomination pertaining to such nominee.</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will be eligible to be nominated by a stockholder for election as a director of the Company, or to be seated as a director of the Company, unless nominated and elected in accordance with the procedures set forth in this Section 2.4. No business proposed by a stockholder will be conducted at a stockholder meeting except in accordance with this Section 2.4.</w:t>
      </w:r>
    </w:p>
    <w:p>
      <w:pPr>
        <w:spacing w:after="0" w:line="174" w:lineRule="exact"/>
        <w:rPr>
          <w:rFonts w:ascii="Times New Roman" w:cs="Times New Roman" w:eastAsia="Times New Roman" w:hAnsi="Times New Roman"/>
          <w:sz w:val="20"/>
          <w:szCs w:val="20"/>
          <w:color w:val="auto"/>
        </w:rPr>
      </w:pPr>
    </w:p>
    <w:p>
      <w:pPr>
        <w:jc w:val="both"/>
        <w:ind w:firstLine="2254"/>
        <w:spacing w:after="0" w:line="266" w:lineRule="auto"/>
        <w:tabs>
          <w:tab w:leader="none" w:pos="2642"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chairperson of the applicable meeting of stockholders will, if the facts warrant, determine and declare to the meeting that a nomination was not made in accordance with the procedures prescribed by these bylaws or that other proposed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65" w:lineRule="exact"/>
        <w:rPr>
          <w:rFonts w:ascii="Times New Roman" w:cs="Times New Roman" w:eastAsia="Times New Roman" w:hAnsi="Times New Roman"/>
          <w:sz w:val="19"/>
          <w:szCs w:val="19"/>
          <w:color w:val="auto"/>
        </w:rPr>
      </w:pPr>
    </w:p>
    <w:p>
      <w:pPr>
        <w:jc w:val="both"/>
        <w:ind w:firstLine="2254"/>
        <w:spacing w:after="0" w:line="243" w:lineRule="auto"/>
        <w:tabs>
          <w:tab w:leader="none" w:pos="264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89"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84" w:lineRule="exact"/>
        <w:rPr>
          <w:rFonts w:ascii="Times New Roman" w:cs="Times New Roman" w:eastAsia="Times New Roman" w:hAnsi="Times New Roman"/>
          <w:sz w:val="20"/>
          <w:szCs w:val="20"/>
          <w:color w:val="auto"/>
        </w:rPr>
      </w:pPr>
    </w:p>
    <w:p>
      <w:pPr>
        <w:jc w:val="both"/>
        <w:ind w:firstLine="2254"/>
        <w:spacing w:after="0" w:line="237" w:lineRule="exact"/>
        <w:tabs>
          <w:tab w:leader="none" w:pos="264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2.5  NOTICE OF STOCKHOLDERS’ MEETINGS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w:t>
      </w:r>
    </w:p>
    <w:p>
      <w:pPr>
        <w:jc w:val="center"/>
        <w:spacing w:after="0"/>
        <w:rPr>
          <w:sz w:val="20"/>
          <w:szCs w:val="20"/>
          <w:color w:val="auto"/>
        </w:rPr>
      </w:pPr>
      <w:r>
        <w:rPr>
          <w:rFonts w:ascii="Times New Roman" w:cs="Times New Roman" w:eastAsia="Times New Roman" w:hAnsi="Times New Roman"/>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 w:name="page16"/>
    <w:bookmarkEnd w:id="15"/>
    <w:p>
      <w:pPr>
        <w:jc w:val="both"/>
        <w:spacing w:after="0" w:line="245" w:lineRule="auto"/>
        <w:rPr>
          <w:sz w:val="20"/>
          <w:szCs w:val="20"/>
          <w:color w:val="auto"/>
        </w:rPr>
      </w:pPr>
      <w:r>
        <w:rPr>
          <w:rFonts w:ascii="Times New Roman" w:cs="Times New Roman" w:eastAsia="Times New Roman" w:hAnsi="Times New Roman"/>
          <w:sz w:val="20"/>
          <w:szCs w:val="20"/>
          <w:color w:val="auto"/>
        </w:rPr>
        <w:t>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2.6  QUORUM</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Company’s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Company’s securities are listed.</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2.7  ADJOURNED MEETING; NOTICE</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2.8  CONDUCT OF BUSINESS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w:t>
      </w:r>
    </w:p>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 w:name="page17"/>
    <w:bookmarkEnd w:id="16"/>
    <w:p>
      <w:pPr>
        <w:jc w:val="both"/>
        <w:spacing w:after="0" w:line="246" w:lineRule="auto"/>
        <w:rPr>
          <w:sz w:val="20"/>
          <w:szCs w:val="20"/>
          <w:color w:val="auto"/>
        </w:rPr>
      </w:pPr>
      <w:r>
        <w:rPr>
          <w:rFonts w:ascii="Times New Roman" w:cs="Times New Roman" w:eastAsia="Times New Roman" w:hAnsi="Times New Roman"/>
          <w:sz w:val="20"/>
          <w:szCs w:val="20"/>
          <w:color w:val="auto"/>
        </w:rPr>
        <w:t>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2.9  VOTING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Except as otherwise provided by law, the certificate of incorporation, these bylaws or the rules of any applicable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Except as otherwise provided by law, the certificate of incorporation, these bylaws or the rules of any applicable stock exchange on which the Company’s securities are listed,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2.10 STOCKHOLDER ACTION BY WRITTEN CONSENT WITHOUT A MEETING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Unless otherwise provided in the Company’s certificate of incorporation and 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2.11 RECORD DATES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 w:name="page18"/>
    <w:bookmarkEnd w:id="17"/>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2.12 PROXIES</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 xml:space="preserve">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 Any stockholder directly or indirectly soliciting proxies from other stockholders must use a proxy card color other than white, which shall be reserved for the exclusive use by the Board.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2.13 LIST OF STOCKHOLDERS ENTITLED TO VOTE</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The Company shall prepare, no later than the tenth day before each meeting of stockholders, a complete list of the stockholders entitled to vote at the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 w:name="page19"/>
    <w:bookmarkEnd w:id="18"/>
    <w:p>
      <w:pPr>
        <w:ind w:left="760"/>
        <w:spacing w:after="0"/>
        <w:rPr>
          <w:sz w:val="20"/>
          <w:szCs w:val="20"/>
          <w:color w:val="auto"/>
        </w:rPr>
      </w:pPr>
      <w:r>
        <w:rPr>
          <w:rFonts w:ascii="Times New Roman" w:cs="Times New Roman" w:eastAsia="Times New Roman" w:hAnsi="Times New Roman"/>
          <w:sz w:val="20"/>
          <w:szCs w:val="20"/>
          <w:color w:val="auto"/>
        </w:rPr>
        <w:t>2.14 INSPECTORS OF ELECTION</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Such inspectors shall:</w:t>
      </w:r>
    </w:p>
    <w:p>
      <w:pPr>
        <w:spacing w:after="0" w:line="216" w:lineRule="exact"/>
        <w:rPr>
          <w:sz w:val="20"/>
          <w:szCs w:val="20"/>
          <w:color w:val="auto"/>
        </w:rPr>
      </w:pPr>
    </w:p>
    <w:p>
      <w:pPr>
        <w:ind w:left="1900" w:hanging="395"/>
        <w:spacing w:after="0"/>
        <w:tabs>
          <w:tab w:leader="none" w:pos="1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ascertain the number of shares outstanding and the voting power of each;</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shares represented at the meeting and the validity of proxies and ballots;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 all votes and ballots;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and retain for a reasonable period a record of the disposition of any challenges made to any determination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inspectors; and</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certify their determination of the number of shares represented at the meeting, and their count of all votes and ballots.</w:t>
      </w:r>
    </w:p>
    <w:p>
      <w:pPr>
        <w:spacing w:after="0" w:line="22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facts stated therein.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 DIRECTORS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3.1  POWERS</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business and affairs of the Company shall be managed by or under the direction of the Board of Directors, except as may be otherwise provided in the DGCL or the certificate of incorporation.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3.2  NUMBER OF DIRECTORS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3.3  ELECTION, QUALIFICATION AND TERM OF OFFICE OF DIRECTORS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so provided in the certificate of incorporation, the directors of the Company shall be divided into three classes.</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20"/>
          <w:szCs w:val="20"/>
          <w:color w:val="auto"/>
        </w:rPr>
        <w:t>3.4  RESIGNATION AND VACANCIES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or these bylaws or permitted in the specific case by resolution of the Board of Directors, and subject to the rights of holders of preferred stock of the Company,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3.5  PLACE OF MEETINGS; MEETINGS BY TELEPHONE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Board of Directors may hold meetings, both regular and special, either within or outside the State of Delaware.</w:t>
      </w:r>
    </w:p>
    <w:p>
      <w:pPr>
        <w:spacing w:after="0" w:line="21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3.6  REGULAR MEETINGS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Regular meetings of the Board of Directors may be held without notice at such time and at such place as shall from time to time be determined by the Board of Directors.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3.7  SPECIAL MEETINGS; NOTICE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Special meetings of the Board of Directors for any purpose or purposes may be called at any time by the chairperson of the Board of Directors, the chief executive officer, the president, or the Secretary or by a majority of the Whole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person(s) authorized to call a special meeting of the Board of Directors may authorize another person or persons to send notice of such meeting.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Notice of the time and place of special meetings shall be:</w:t>
      </w:r>
    </w:p>
    <w:p>
      <w:pPr>
        <w:spacing w:after="0" w:line="216" w:lineRule="exact"/>
        <w:rPr>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personally by hand, by courier or by telephone;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United States first-class mail, postage prepaid;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facsimile;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electronic mail; or</w:t>
      </w:r>
    </w:p>
    <w:p>
      <w:pPr>
        <w:spacing w:after="0" w:line="21"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0" w:name="page21"/>
    <w:bookmarkEnd w:id="20"/>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otherwise given by electronic transmission (as defined in Section 232 of the DGCL),</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Company’s principal executive office) nor the purpose of the meeting, unless required by statute.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3.8  QUORUM; VOTING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3.9  BOARD ACTION BY WRITTEN CONSENT WITHOUT A MEETING</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20"/>
          <w:szCs w:val="20"/>
          <w:color w:val="auto"/>
        </w:rPr>
        <w:t>3.10 FEES AND COMPENSATION OF DIRECTORS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the Board of Directors shall have the authority to fix the compensation of directors.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3.11 REMOVAL OF DIRECTORS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 - COMMITTEES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4.1  COMMITTEES OF DIRECTORS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4.2  COMMITTEE MINUTES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committee and subcommittee shall keep regular minutes of its meetings.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4.3  MEETINGS AND ACTION OF COMMITTEES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Unless otherwise specified by the Board of Directors, meetings and actions of committees and subcommittees shall be governed by, and held and taken in accordance with, the provisions of:</w:t>
      </w:r>
    </w:p>
    <w:p>
      <w:pPr>
        <w:spacing w:after="0" w:line="159" w:lineRule="exact"/>
        <w:rPr>
          <w:sz w:val="20"/>
          <w:szCs w:val="20"/>
          <w:color w:val="auto"/>
        </w:rPr>
      </w:pPr>
    </w:p>
    <w:p>
      <w:pPr>
        <w:ind w:left="1900" w:hanging="395"/>
        <w:spacing w:after="0"/>
        <w:tabs>
          <w:tab w:leader="none" w:pos="1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3.5 (place of meetings and meetings by telephone);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3.6 (regular meetings);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3.7 (special meetings and notice);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3.8 (quorum; voting);</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 (action without a meeting);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7.4 (waiver of notice)</w:t>
      </w:r>
    </w:p>
    <w:p>
      <w:pPr>
        <w:spacing w:after="0" w:line="21"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 w:name="page23"/>
    <w:bookmarkEnd w:id="22"/>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with such changes in the context of those bylaws as are necessary to substitute the committee or subcommittee and its members for the Board of Directors and its members.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a committee or subcommittee may also adopt other rules for the government of any committee or subcommittee.</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4.4  SUBCOMMITTEES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 - OFFICERS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5.1  OFFICERS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5.2  APPOINTMENT OF OFFICERS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5.3  SUBORDINATE OFFICERS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Board of Directors may appoint, or empower any officer to appoint, such other officers as the business of the Company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5.4  REMOVAL AND RESIGNATION OF OFFICERS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Subject to the rights, if any, of an officer under any contract of employment, any officer may be removed, either with or without cause, by the Board of Directors or, for the avoidance of doubt, any duly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authorized committee or subcommittee thereof or by any officer who has been conferred such power of removal.</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5.5  VACANCIES IN OFFICES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vacancy occurring in any office of the Company shall be filled by the Board of Directors or as provided in Section 5.3.</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5.6  REPRESENTATION OF SECURITIES OF OTHER ENTITIES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chairperson of the Board of Directors, the chief executive officer, the president, any vice president, the treasurer, the secretary or assistant secretary of the Company or any other person authorized by the Board of Directors or the chief executive officer, the president or a vice president, is authorized to vote, represent and exercise on behalf of the Company all rights incident to any and all shares or other securities of,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5.7  AUTHORITY AND DUTIES OF OFFICERS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officer of the Company shall have such authority and perform such duties in the management of the business of the Company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 subject to the control of the Board of Directors.</w:t>
      </w:r>
    </w:p>
    <w:p>
      <w:pPr>
        <w:spacing w:after="0" w:line="39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ARTICLE VI - STOCK</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6.1  STOCK CERTIFICATES; PARTLY PAID SHARES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jc w:val="center"/>
        <w:spacing w:after="0"/>
        <w:rPr>
          <w:sz w:val="20"/>
          <w:szCs w:val="20"/>
          <w:color w:val="auto"/>
        </w:rPr>
      </w:pPr>
      <w:r>
        <w:rPr>
          <w:rFonts w:ascii="Times New Roman" w:cs="Times New Roman" w:eastAsia="Times New Roman" w:hAnsi="Times New Roman"/>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4" w:name="page25"/>
    <w:bookmarkEnd w:id="24"/>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6.2  SPECIAL DESIGNATION ON CERTIFICATES</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6.3  LOST CERTIFICATES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6.4  DIVIDENDS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5" w:name="page26"/>
    <w:bookmarkEnd w:id="25"/>
    <w:p>
      <w:pPr>
        <w:ind w:left="760"/>
        <w:spacing w:after="0"/>
        <w:rPr>
          <w:sz w:val="20"/>
          <w:szCs w:val="20"/>
          <w:color w:val="auto"/>
        </w:rPr>
      </w:pPr>
      <w:r>
        <w:rPr>
          <w:rFonts w:ascii="Times New Roman" w:cs="Times New Roman" w:eastAsia="Times New Roman" w:hAnsi="Times New Roman"/>
          <w:sz w:val="20"/>
          <w:szCs w:val="20"/>
          <w:color w:val="auto"/>
        </w:rPr>
        <w:t>6.5  TRANSFER OF STOCK</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Transfers of record of shares of stock of the Company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6.6  STOCK TRANSFER AGREEMENTS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shall have power to enter into and perform any agreement with any number of stockholders of any one or more classes or series of stock of the Company to restrict the transfer of shares of stock of the Company of any one or more classes or series owned by such stockholders in any manner not prohibited by the DGCL.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6.7  REGISTERED STOCKHOLDERS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w:t>
      </w:r>
    </w:p>
    <w:p>
      <w:pPr>
        <w:spacing w:after="0" w:line="216" w:lineRule="exact"/>
        <w:rPr>
          <w:sz w:val="20"/>
          <w:szCs w:val="20"/>
          <w:color w:val="auto"/>
        </w:rPr>
      </w:pPr>
    </w:p>
    <w:p>
      <w:pPr>
        <w:ind w:right="20" w:firstLine="1505"/>
        <w:spacing w:after="0" w:line="269" w:lineRule="auto"/>
        <w:tabs>
          <w:tab w:leader="none" w:pos="189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entitled to recognize the exclusive right of a person registered on its books as the owner of shares to receive dividends and notices and to vote as such owner; and</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7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ARTICLE VII - MANNER OF GIVING NOTICE AND WAIVER</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7.1  NOTICE OF STOCKHOLDERS’ MEETINGS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Notice of any meeting of stockholders shall be given in the manner set forth in the DGCL.</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7.2  NOTICE TO STOCKHOLDERS SHARING AN ADDRESS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7.3  NOTICE TO PERSON WITH WHOM COMMUNICATION IS UNLAWFUL</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6" w:name="page27"/>
    <w:bookmarkEnd w:id="26"/>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7.4  WAIVER OF NOTICE</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 - INDEMNIFICATION</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  INDEMNIFICATION OF DIRECTORS AND OFFICERS IN THIRD PARTY PROCEEDINGS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8.2  INDEMNIFICATION OF DIRECTORS AND OFFICERS IN ACTIONS BY OR IN THE RIGHT OF THE COMPANY</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7" w:name="page28"/>
    <w:bookmarkEnd w:id="27"/>
    <w:p>
      <w:pPr>
        <w:jc w:val="both"/>
        <w:spacing w:after="0" w:line="246" w:lineRule="auto"/>
        <w:rPr>
          <w:sz w:val="20"/>
          <w:szCs w:val="20"/>
          <w:color w:val="auto"/>
        </w:rPr>
      </w:pPr>
      <w:r>
        <w:rPr>
          <w:rFonts w:ascii="Times New Roman" w:cs="Times New Roman" w:eastAsia="Times New Roman" w:hAnsi="Times New Roman"/>
          <w:sz w:val="20"/>
          <w:szCs w:val="20"/>
          <w:color w:val="auto"/>
        </w:rPr>
        <w:t>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8.3  SUCCESSFUL DEFENSE</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To the extent that a present or former director or officer (for purposes of this Section 8.3 only, as such term is defined in Section 145(c)(1) of the DGCL) of the Company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Proceeding described in Section 8.1 or Section 8.2, or in defense of any claim, issue or matter therein.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8.4  INDEMNIFICATION OF OTHERS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8.5  ADVANCED PAYMENT OF EXPENSES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9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8" w:name="page29"/>
    <w:bookmarkEnd w:id="28"/>
    <w:p>
      <w:pPr>
        <w:spacing w:after="0" w:line="269" w:lineRule="auto"/>
        <w:rPr>
          <w:sz w:val="20"/>
          <w:szCs w:val="20"/>
          <w:color w:val="auto"/>
        </w:rPr>
      </w:pPr>
      <w:r>
        <w:rPr>
          <w:rFonts w:ascii="Times New Roman" w:cs="Times New Roman" w:eastAsia="Times New Roman" w:hAnsi="Times New Roman"/>
          <w:sz w:val="20"/>
          <w:szCs w:val="20"/>
          <w:color w:val="auto"/>
        </w:rPr>
        <w:t>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8.6  LIMITATION ON INDEMNIFICATION</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Subject to the requirements in Section 8.3 and the DGCL, the Company shall not be obligated to indemnify any person pursuant to this Article VIII in connection with any Proceeding (or any part of any Proceeding):</w:t>
      </w:r>
    </w:p>
    <w:p>
      <w:pPr>
        <w:spacing w:after="0" w:line="159" w:lineRule="exact"/>
        <w:rPr>
          <w:sz w:val="20"/>
          <w:szCs w:val="20"/>
          <w:color w:val="auto"/>
        </w:rPr>
      </w:pPr>
    </w:p>
    <w:p>
      <w:pPr>
        <w:ind w:right="40" w:firstLine="1505"/>
        <w:spacing w:after="0" w:line="269" w:lineRule="auto"/>
        <w:tabs>
          <w:tab w:leader="none" w:pos="18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such person under any statute, insurance policy, indemnity provision, vote or otherwise, except with respect to any excess beyond the amount paid;</w:t>
      </w:r>
    </w:p>
    <w:p>
      <w:pPr>
        <w:spacing w:after="0" w:line="159" w:lineRule="exact"/>
        <w:rPr>
          <w:rFonts w:ascii="Times New Roman" w:cs="Times New Roman" w:eastAsia="Times New Roman" w:hAnsi="Times New Roman"/>
          <w:sz w:val="20"/>
          <w:szCs w:val="20"/>
          <w:color w:val="auto"/>
        </w:rPr>
      </w:pPr>
    </w:p>
    <w:p>
      <w:pPr>
        <w:jc w:val="both"/>
        <w:ind w:right="40" w:firstLine="1505"/>
        <w:spacing w:after="0" w:line="295" w:lineRule="auto"/>
        <w:tabs>
          <w:tab w:leader="none" w:pos="1893"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37" w:lineRule="exact"/>
        <w:rPr>
          <w:rFonts w:ascii="Times New Roman" w:cs="Times New Roman" w:eastAsia="Times New Roman" w:hAnsi="Times New Roman"/>
          <w:sz w:val="19"/>
          <w:szCs w:val="19"/>
          <w:color w:val="auto"/>
        </w:rPr>
      </w:pPr>
    </w:p>
    <w:p>
      <w:pPr>
        <w:jc w:val="both"/>
        <w:ind w:firstLine="1505"/>
        <w:spacing w:after="0" w:line="245" w:lineRule="auto"/>
        <w:tabs>
          <w:tab w:leader="none" w:pos="18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 w:cs="Times New Roman" w:eastAsia="Times New Roman" w:hAnsi="Times New Roman"/>
          <w:sz w:val="20"/>
          <w:szCs w:val="20"/>
          <w:b w:val="1"/>
          <w:bCs w:val="1"/>
          <w:color w:val="auto"/>
        </w:rPr>
        <w:t>Sarbanes-Oxley Act</w:t>
      </w:r>
      <w:r>
        <w:rPr>
          <w:rFonts w:ascii="Times New Roman" w:cs="Times New Roman" w:eastAsia="Times New Roman" w:hAnsi="Times New Roman"/>
          <w:sz w:val="20"/>
          <w:szCs w:val="20"/>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prohibited by applicable law.</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8.7  DETERMINATION; CLAIM</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8.8  NON-EXCLUSIVITY OF RIGHTS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The indemnification and advancement of expenses provided by, or granted pursuant to, this Article VIII shall not be deemed exclusive of any other rights to which those seeking indemnification 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9" w:name="page30"/>
    <w:bookmarkEnd w:id="29"/>
    <w:p>
      <w:pPr>
        <w:jc w:val="both"/>
        <w:spacing w:after="0" w:line="249" w:lineRule="auto"/>
        <w:rPr>
          <w:sz w:val="20"/>
          <w:szCs w:val="20"/>
          <w:color w:val="auto"/>
        </w:rPr>
      </w:pPr>
      <w:r>
        <w:rPr>
          <w:rFonts w:ascii="Times New Roman" w:cs="Times New Roman" w:eastAsia="Times New Roman" w:hAnsi="Times New Roman"/>
          <w:sz w:val="20"/>
          <w:szCs w:val="20"/>
          <w:color w:val="auto"/>
        </w:rPr>
        <w:t>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8.9  INSURANCE</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8.10 SURVIVAL</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8.11 EFFECT OF REPEAL OR MODIFICATION</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8.12 CERTAIN DEFINITIONS</w:t>
      </w:r>
    </w:p>
    <w:p>
      <w:pPr>
        <w:spacing w:after="0" w:line="21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For purposes of this Article VIII, references to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include, in addition to the resulting entity,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 w:cs="Times New Roman" w:eastAsia="Times New Roman" w:hAnsi="Times New Roman"/>
          <w:sz w:val="20"/>
          <w:szCs w:val="20"/>
          <w:b w:val="1"/>
          <w:bCs w:val="1"/>
          <w:color w:val="auto"/>
        </w:rPr>
        <w:t>other enterprises</w:t>
      </w:r>
      <w:r>
        <w:rPr>
          <w:rFonts w:ascii="Times New Roman" w:cs="Times New Roman" w:eastAsia="Times New Roman" w:hAnsi="Times New Roman"/>
          <w:sz w:val="20"/>
          <w:szCs w:val="20"/>
          <w:color w:val="auto"/>
        </w:rPr>
        <w:t>” shall include employee benefit plans; references to “</w:t>
      </w:r>
      <w:r>
        <w:rPr>
          <w:rFonts w:ascii="Times New Roman" w:cs="Times New Roman" w:eastAsia="Times New Roman" w:hAnsi="Times New Roman"/>
          <w:sz w:val="20"/>
          <w:szCs w:val="20"/>
          <w:b w:val="1"/>
          <w:bCs w:val="1"/>
          <w:color w:val="auto"/>
        </w:rPr>
        <w:t>fines</w:t>
      </w:r>
      <w:r>
        <w:rPr>
          <w:rFonts w:ascii="Times New Roman" w:cs="Times New Roman" w:eastAsia="Times New Roman" w:hAnsi="Times New Roman"/>
          <w:sz w:val="20"/>
          <w:szCs w:val="20"/>
          <w:color w:val="auto"/>
        </w:rPr>
        <w:t>” shall include any excise taxes assessed on a person with respect to an employee benefit plan; and references to “</w:t>
      </w:r>
      <w:r>
        <w:rPr>
          <w:rFonts w:ascii="Times New Roman" w:cs="Times New Roman" w:eastAsia="Times New Roman" w:hAnsi="Times New Roman"/>
          <w:sz w:val="20"/>
          <w:szCs w:val="20"/>
          <w:b w:val="1"/>
          <w:bCs w:val="1"/>
          <w:color w:val="auto"/>
        </w:rPr>
        <w:t>serving at the request of the Company</w:t>
      </w:r>
      <w:r>
        <w:rPr>
          <w:rFonts w:ascii="Times New Roman" w:cs="Times New Roman" w:eastAsia="Times New Roman" w:hAnsi="Times New Roman"/>
          <w:sz w:val="20"/>
          <w:szCs w:val="20"/>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20"/>
          <w:szCs w:val="20"/>
          <w:b w:val="1"/>
          <w:bCs w:val="1"/>
          <w:color w:val="auto"/>
        </w:rPr>
        <w:t>not opposed to the best interests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the Company</w:t>
      </w:r>
      <w:r>
        <w:rPr>
          <w:rFonts w:ascii="Times New Roman" w:cs="Times New Roman" w:eastAsia="Times New Roman" w:hAnsi="Times New Roman"/>
          <w:sz w:val="20"/>
          <w:szCs w:val="20"/>
          <w:color w:val="auto"/>
        </w:rPr>
        <w:t>” as referred to in this Article VIII.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0" w:name="page31"/>
    <w:bookmarkEnd w:id="30"/>
    <w:p>
      <w:pPr>
        <w:ind w:left="3960"/>
        <w:spacing w:after="0"/>
        <w:rPr>
          <w:sz w:val="20"/>
          <w:szCs w:val="20"/>
          <w:color w:val="auto"/>
        </w:rPr>
      </w:pPr>
      <w:r>
        <w:rPr>
          <w:rFonts w:ascii="Times New Roman" w:cs="Times New Roman" w:eastAsia="Times New Roman" w:hAnsi="Times New Roman"/>
          <w:sz w:val="20"/>
          <w:szCs w:val="20"/>
          <w:b w:val="1"/>
          <w:bCs w:val="1"/>
          <w:color w:val="auto"/>
        </w:rPr>
        <w:t>ARTICLE IX - GENERAL MATTERS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9.1  EXECUTION OF CORPORATE CONTRACTS AND INSTRUMENTS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Company; such authority may be general or confined to specific instances. Unless so authorized or ratified by the Board of Directors or within the agency power of an officer, agent or employee, no officer, agent or employee shall have any power or authority to bind the Company by any contract or engagement or to pledge its credit or to render it liable for any purpose or for any amount.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9.2  FISCAL YEAR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fiscal year of the Company shall be fixed by resolution of the Board of Directors and may be changed by the Board of Directors.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9.3  SEAL</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9.4  CONSTRUCTION; DEFINITIONS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9.5  FORUM SELECTION</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9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w:t>
      </w:r>
    </w:p>
    <w:p>
      <w:pPr>
        <w:jc w:val="center"/>
        <w:spacing w:after="0"/>
        <w:rPr>
          <w:sz w:val="20"/>
          <w:szCs w:val="20"/>
          <w:color w:val="auto"/>
        </w:rPr>
      </w:pPr>
      <w:r>
        <w:rPr>
          <w:rFonts w:ascii="Times New Roman" w:cs="Times New Roman" w:eastAsia="Times New Roman" w:hAnsi="Times New Roman"/>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1" w:name="page32"/>
    <w:bookmarkEnd w:id="31"/>
    <w:p>
      <w:pPr>
        <w:jc w:val="both"/>
        <w:spacing w:after="0" w:line="269" w:lineRule="auto"/>
        <w:rPr>
          <w:sz w:val="20"/>
          <w:szCs w:val="20"/>
          <w:color w:val="auto"/>
        </w:rPr>
      </w:pPr>
      <w:r>
        <w:rPr>
          <w:rFonts w:ascii="Times New Roman" w:cs="Times New Roman" w:eastAsia="Times New Roman" w:hAnsi="Times New Roman"/>
          <w:sz w:val="20"/>
          <w:szCs w:val="20"/>
          <w:color w:val="auto"/>
        </w:rPr>
        <w:t>person in connection with any offering of the Company’s securities, including, without limitation, and for the avoidance of doubt, any auditor, underwriter, expert, control person or other defendant.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Any person or entity purchasing, holding or otherwise acquiring any interest in any security of the Company shall be deemed to have notice of and consented to the provisions of this Section 9.5. This provision shall be enforceable by any party to a complaint covered by the provisions of this Section 9.5. For the avoidance of doubt, nothing contained in this Section 9.5 shall apply to any claim brought to enforce a duty or liability created by the 1934 Act or any successor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 - AMENDMENTS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These bylaws may be adopted, amended or repealed by the stockholders entitled to vote;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of Article III, Article VIII, Section 9.5 of Article IX or this Article X (including, without limitation, any such Article or Section as renumbered as a result of any amendment, alteration, change, repeal, or adoption of any other bylaw). The Board of Directors shall also have the power to adopt, amend or repeal bylaws;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 bylaw amendment adopted by stockholders which specifies the votes that shall be necessary for the election of directors shall not be further amended or repealed by the Board of Directors.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lvl w:ilvl="1">
      <w:lvlJc w:val="left"/>
      <w:lvlText w:val="-"/>
      <w:numFmt w:val="bullet"/>
      <w:start w:val="1"/>
    </w:lvl>
  </w:abstractNum>
  <w:abstractNum w:abstractNumId="3">
    <w:nsid w:val="3352255A"/>
    <w:multiLevelType w:val="hybridMultilevel"/>
    <w:lvl w:ilvl="0">
      <w:lvlJc w:val="left"/>
      <w:lvlText w:val="(%1)"/>
      <w:numFmt w:val="lowerLetter"/>
      <w:start w:val="2"/>
    </w:lvl>
  </w:abstractNum>
  <w:abstractNum w:abstractNumId="4">
    <w:nsid w:val="109CF92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
    <w:nsid w:val="DED7263"/>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6">
    <w:nsid w:val="7FDCC233"/>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7">
    <w:nsid w:val="1BEFD79F"/>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8">
    <w:nsid w:val="41A7C4C9"/>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9">
    <w:nsid w:val="6B68079A"/>
    <w:multiLevelType w:val="hybridMultilevel"/>
    <w:lvl w:ilvl="0">
      <w:lvlJc w:val="left"/>
      <w:lvlText w:val="(%1)"/>
      <w:numFmt w:val="decimal"/>
      <w:start w:val="3"/>
    </w:lvl>
    <w:lvl w:ilvl="1">
      <w:lvlJc w:val="left"/>
      <w:lvlText w:val="(%2)"/>
      <w:numFmt w:val="upperLetter"/>
      <w:start w:val="1"/>
    </w:lvl>
    <w:lvl w:ilvl="2">
      <w:lvlJc w:val="left"/>
      <w:lvlText w:val="-"/>
      <w:numFmt w:val="bullet"/>
      <w:start w:val="1"/>
    </w:lvl>
  </w:abstractNum>
  <w:abstractNum w:abstractNumId="10">
    <w:nsid w:val="4E6AFB66"/>
    <w:multiLevelType w:val="hybridMultilevel"/>
    <w:lvl w:ilvl="0">
      <w:lvlJc w:val="left"/>
      <w:lvlText w:val="(%1)"/>
      <w:numFmt w:val="upperLetter"/>
      <w:start w:val="6"/>
    </w:lvl>
    <w:lvl w:ilvl="1">
      <w:lvlJc w:val="left"/>
      <w:lvlText w:val="-"/>
      <w:numFmt w:val="bullet"/>
      <w:start w:val="1"/>
    </w:lvl>
  </w:abstractNum>
  <w:abstractNum w:abstractNumId="11">
    <w:nsid w:val="25E45D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5"/>
    </w:lvl>
    <w:lvl w:ilvl="3">
      <w:lvlJc w:val="left"/>
      <w:lvlText w:val="-"/>
      <w:numFmt w:val="bullet"/>
      <w:start w:val="1"/>
    </w:lvl>
  </w:abstractNum>
  <w:abstractNum w:abstractNumId="12">
    <w:nsid w:val="519B500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13">
    <w:nsid w:val="431BD7B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4">
    <w:nsid w:val="3F2DBA31"/>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5">
    <w:nsid w:val="7C83E45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6">
    <w:nsid w:val="257130A3"/>
    <w:multiLevelType w:val="hybridMultilevel"/>
    <w:lvl w:ilvl="0">
      <w:lvlJc w:val="left"/>
      <w:lvlText w:val="(%1)"/>
      <w:numFmt w:val="lowerRoman"/>
      <w:start w:val="2"/>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lvl w:ilvl="1">
      <w:lvlJc w:val="left"/>
      <w:lvlText w:val="-"/>
      <w:numFmt w:val="bullet"/>
      <w:start w:val="1"/>
    </w:lvl>
  </w:abstractNum>
  <w:abstractNum w:abstractNumId="19">
    <w:nsid w:val="628C895D"/>
    <w:multiLevelType w:val="hybridMultilevel"/>
    <w:lvl w:ilvl="0">
      <w:lvlJc w:val="left"/>
      <w:lvlText w:val="(%1)"/>
      <w:numFmt w:val="lowerLetter"/>
      <w:start w:val="1"/>
    </w:lvl>
    <w:lvl w:ilvl="1">
      <w:lvlJc w:val="left"/>
      <w:lvlText w:val="-"/>
      <w:numFmt w:val="bullet"/>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2023-03-21T15:14:40Z</dcterms:created>
  <dcterms:modified xsi:type="dcterms:W3CDTF">2023-03-21T15:14:40Z</dcterms:modified>
</cp:coreProperties>
</file>