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Ali Faraz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TENAYA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 OYSTER POINT BLVD., 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Tenaya Therapeutics, Inc.</w:t>
              </w:r>
            </w:hyperlink>
            <w:r>
              <w:rPr/>
              <w:t xml:space="preserve"> [ </w:t>
            </w:r>
            <w:r>
              <w:rPr>
                <w:rFonts w:ascii="Times;serif" w:hAnsi="Times;serif"/>
                <w:color w:val="0000FF"/>
                <w:sz w:val="24"/>
                <w:shd w:fill="FFFFFF" w:val="clear"/>
              </w:rPr>
              <w:t>TNYA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839"/>
        <w:gridCol w:w="449"/>
        <w:gridCol w:w="881"/>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5,837</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0.7097</w:t>
            </w:r>
            <w:r>
              <w:rPr>
                <w:rFonts w:ascii="Times;serif" w:hAnsi="Times;serif"/>
                <w:color w:val="008000"/>
                <w:position w:val="7"/>
                <w:sz w:val="16"/>
                <w:sz w:val="20"/>
                <w:shd w:fill="FFFFFF" w:val="clear"/>
              </w:rPr>
              <w:t>(2)</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434,177</w:t>
            </w:r>
            <w:r>
              <w:rPr>
                <w:rFonts w:ascii="Times;serif" w:hAnsi="Times;serif"/>
                <w:color w:val="008000"/>
                <w:position w:val="7"/>
                <w:sz w:val="16"/>
                <w:sz w:val="20"/>
                <w:shd w:fill="FFFFFF" w:val="clear"/>
              </w:rPr>
              <w:t>(3)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3,969</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0.7098</w:t>
            </w:r>
            <w:r>
              <w:rPr>
                <w:rFonts w:ascii="Times;serif" w:hAnsi="Times;serif"/>
                <w:color w:val="008000"/>
                <w:position w:val="7"/>
                <w:sz w:val="16"/>
                <w:sz w:val="20"/>
                <w:shd w:fill="FFFFFF" w:val="clear"/>
              </w:rPr>
              <w:t>(2)</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430,208</w:t>
            </w:r>
            <w:r>
              <w:rPr>
                <w:rFonts w:ascii="Times;serif" w:hAnsi="Times;serif"/>
                <w:color w:val="008000"/>
                <w:position w:val="7"/>
                <w:sz w:val="16"/>
                <w:sz w:val="20"/>
                <w:shd w:fill="FFFFFF" w:val="clear"/>
              </w:rPr>
              <w:t>(5)</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(6)</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5,020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0.7097</w:t>
            </w:r>
            <w:r>
              <w:rPr>
                <w:rFonts w:ascii="Times;serif" w:hAnsi="Times;serif"/>
                <w:color w:val="008000"/>
                <w:position w:val="7"/>
                <w:sz w:val="16"/>
                <w:sz w:val="20"/>
                <w:shd w:fill="FFFFFF" w:val="clear"/>
              </w:rPr>
              <w:t>(2)</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425,188</w:t>
            </w:r>
            <w:r>
              <w:rPr>
                <w:rFonts w:ascii="Times;serif" w:hAnsi="Times;serif"/>
                <w:color w:val="008000"/>
                <w:position w:val="7"/>
                <w:sz w:val="16"/>
                <w:sz w:val="20"/>
                <w:shd w:fill="FFFFFF" w:val="clear"/>
              </w:rPr>
              <w:t>(7)</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(8)</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7,406</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0.7097</w:t>
            </w:r>
            <w:r>
              <w:rPr>
                <w:rFonts w:ascii="Times;serif" w:hAnsi="Times;serif"/>
                <w:color w:val="008000"/>
                <w:position w:val="7"/>
                <w:sz w:val="16"/>
                <w:sz w:val="20"/>
                <w:shd w:fill="FFFFFF" w:val="clear"/>
              </w:rPr>
              <w:t>(2)</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417,782</w:t>
            </w:r>
            <w:r>
              <w:rPr>
                <w:rFonts w:ascii="Times;serif" w:hAnsi="Times;serif"/>
                <w:color w:val="008000"/>
                <w:position w:val="7"/>
                <w:sz w:val="16"/>
                <w:sz w:val="20"/>
                <w:shd w:fill="FFFFFF" w:val="clear"/>
              </w:rPr>
              <w:t>(9)</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sold to cover tax withholding obligations in connection with the vesting of restricted stock units awarded on February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sales price. The shares were sold in multiple transactions at prices ranging from $.6820 to $.7253. Reporting Person undertakes to provide Tenaya Therapeutics, Inc., any security holder of Tenaya Therapeutics, Inc.,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305,956 shares of Tenaya Therapeutics, Inc. common stock that will be issued to the Reporting Person upon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sold to cover tax withholding obligations in connection with the vesting of restricted stock units awarded on February 23,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295,331 shares of Tenaya Therapeutics, Inc. common stock that will be issued to the Reporting Person upon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Shares sold to cover tax withholding obligations in connection with the vesting of restricted stock units awarded on February 6,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281,894 shares of Tenaya Therapeutics, Inc. common stock that will be issued to the Reporting Person upon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Shares sold to cover tax withholding obligations in connection with the vesting of restricted stock units awarded on February 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Includes 262,069 shares of Tenaya Therapeutics, Inc. common stock that will be issued to the Reporting Person upon vesting of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Drimmer Rokovich,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7937" TargetMode="External"/><Relationship Id="rId5" Type="http://schemas.openxmlformats.org/officeDocument/2006/relationships/hyperlink" Target="http://www.sec.gov/cgi-bin/browse-edgar?action=getcompany&amp;CIK=00018588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849</Words>
  <Characters>4650</Characters>
  <CharactersWithSpaces>5399</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