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84353ddef14a.htm"/>
        <w:bookmarkStart w:id="1" w:name="ksd884353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w:t>
            </w:r>
            <w:r>
              <w:rPr>
                <w:rFonts w:ascii="Times New Roman" w:hAnsi="Times New Roman"/>
                <w:sz w:val="20"/>
              </w:rPr>
              <w:t> </w:t>
            </w:r>
            <w:r>
              <w:rPr>
                <w:rFonts w:ascii="Times New Roman" w:hAnsi="Times New Roman"/>
                <w:b/>
                <w:sz w:val="20"/>
              </w:rPr>
              <w:t>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TENAYA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587625" cy="927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7625" cy="927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(650) 825-6900 </w:t>
      </w:r>
    </w:p>
    <w:p>
      <w:pPr>
        <w:pStyle w:val="TextBody"/>
        <w:bidi w:val="0"/>
        <w:spacing w:before="240" w:after="0"/>
        <w:jc w:val="left"/>
        <w:rPr>
          <w:rFonts w:ascii="Times New Roman" w:hAnsi="Times New Roman"/>
          <w:sz w:val="20"/>
        </w:rPr>
      </w:pPr>
      <w:r>
        <w:rPr>
          <w:rFonts w:ascii="Times New Roman" w:hAnsi="Times New Roman"/>
          <w:sz w:val="20"/>
        </w:rPr>
        <w:t xml:space="preserve">April 17, 2025 </w:t>
      </w:r>
    </w:p>
    <w:p>
      <w:pPr>
        <w:pStyle w:val="TextBody"/>
        <w:bidi w:val="0"/>
        <w:spacing w:before="240" w:after="0"/>
        <w:jc w:val="left"/>
        <w:rPr>
          <w:rFonts w:ascii="Times New Roman" w:hAnsi="Times New Roman"/>
          <w:sz w:val="20"/>
        </w:rPr>
      </w:pPr>
      <w:r>
        <w:rPr>
          <w:rFonts w:ascii="Times New Roman" w:hAnsi="Times New Roman"/>
          <w:sz w:val="20"/>
        </w:rPr>
        <w:t xml:space="preserve">Dear Fellow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pleased to invite you to attend the annual meeting of stockholders of Tenaya Therapeutics, Inc. (Tenaya or the Company), to be held on Wednesday, May 28, 2025 at 8:00 a.m. Pacific Time. The annual meeting will be conducted virtually this year via a live audio webcast and will afford all of our stockholders the same rights and opportunities to participate as would be available at an in-person meeting. You will be able to attend the annual meeting virtually by visiting </w:t>
      </w:r>
      <w:r>
        <w:rPr>
          <w:rFonts w:ascii="Times New Roman" w:hAnsi="Times New Roman"/>
          <w:sz w:val="20"/>
          <w:u w:val="single"/>
        </w:rPr>
        <w:t>www.proxydocs.com/TNYA</w:t>
      </w:r>
      <w:r>
        <w:rPr>
          <w:rFonts w:ascii="Times New Roman" w:hAnsi="Times New Roman"/>
          <w:sz w:val="20"/>
        </w:rPr>
        <w:t xml:space="preserve">, where you will be able to listen to the meeting live, submit questions and vote online by entering the control number located on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attached formal meeting notice and proxy statement contain details of the business to be conducted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Whether or not you attend the annual meeting, it is important that your shares be represented and voted at the annual meeting. Therefore, we urge you to vote and submit your proxy promptly via the Internet, telephone or mail. </w:t>
      </w:r>
    </w:p>
    <w:p>
      <w:pPr>
        <w:pStyle w:val="TextBody"/>
        <w:bidi w:val="0"/>
        <w:spacing w:before="240" w:after="0"/>
        <w:jc w:val="left"/>
        <w:rPr>
          <w:rFonts w:ascii="Times New Roman" w:hAnsi="Times New Roman"/>
          <w:sz w:val="20"/>
        </w:rPr>
      </w:pPr>
      <w:r>
        <w:rPr>
          <w:rFonts w:ascii="Times New Roman" w:hAnsi="Times New Roman"/>
          <w:sz w:val="20"/>
        </w:rPr>
        <w:t xml:space="preserve">On behalf of our Board of Directors, we would like to express our appreciation for your continued support of and interest in Tenaya.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104900" cy="5340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53403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Faraz Ali, M.B.A.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171 Oyster Point Boulevard, Suite 500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 94080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2"/>
        <w:gridCol w:w="204"/>
        <w:gridCol w:w="6839"/>
      </w:tblGrid>
      <w:tr>
        <w:trPr/>
        <w:tc>
          <w:tcPr>
            <w:tcW w:w="316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Time and Date</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8:00 a.m. Pacific Time on Wednesday, May 28, 2025</w:t>
            </w:r>
          </w:p>
        </w:tc>
      </w:tr>
      <w:tr>
        <w:trPr>
          <w:trHeight w:val="24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Place</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 xml:space="preserve">The annual meeting will be conducted virtually via a live audio webcast. You will be able to attend the annual meeting virtually by visiting </w:t>
            </w:r>
            <w:r>
              <w:rPr>
                <w:u w:val="single"/>
              </w:rPr>
              <w:t>www.proxydocs.com/TNYA</w:t>
            </w:r>
            <w:r>
              <w:rPr/>
              <w:t xml:space="preserve">, where you will be able to listen to the meeting live, submit questions and vote online during the meeting by visiting </w:t>
            </w:r>
            <w:r>
              <w:rPr>
                <w:u w:val="single"/>
              </w:rPr>
              <w:t>www.proxypush.com/TNYA</w:t>
            </w:r>
            <w:r>
              <w:rPr/>
              <w:t>.</w:t>
            </w:r>
          </w:p>
        </w:tc>
      </w:tr>
      <w:tr>
        <w:trPr>
          <w:trHeight w:val="12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Items of Business</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0"/>
              <w:jc w:val="left"/>
              <w:rPr>
                <w:rFonts w:ascii="Times New Roman" w:hAnsi="Times New Roman"/>
                <w:sz w:val="20"/>
              </w:rPr>
            </w:pPr>
            <w:r>
              <w:rPr>
                <w:rFonts w:ascii="Times New Roman" w:hAnsi="Times New Roman"/>
                <w:sz w:val="20"/>
              </w:rPr>
              <w:t>  To elect three Class I directors to hold office until our 2028 annual meeting of stockholders and until their respective successors are elected and qualified.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  To ratify the appointment of Deloitte &amp; Touche LLP as our independent registered public accounting firm for our fiscal year ending December 31, 2025.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  To transact other business that may properly come before the annual meeting or any adjournments or postponements thereof.</w:t>
            </w:r>
          </w:p>
        </w:tc>
      </w:tr>
      <w:tr>
        <w:trPr>
          <w:trHeight w:val="24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Record Date</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0"/>
              <w:jc w:val="left"/>
              <w:rPr>
                <w:rFonts w:ascii="Times New Roman" w:hAnsi="Times New Roman"/>
                <w:sz w:val="20"/>
              </w:rPr>
            </w:pPr>
            <w:r>
              <w:rPr>
                <w:rFonts w:ascii="Times New Roman" w:hAnsi="Times New Roman"/>
                <w:sz w:val="20"/>
              </w:rPr>
              <w:t>Tuesday, April 1, 2025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Only stockholders of record as of Tuesday, April 1, 2025, at the close of business are entitled to notice of and to vote at the annual meeting.</w:t>
            </w:r>
          </w:p>
        </w:tc>
      </w:tr>
      <w:tr>
        <w:trPr>
          <w:trHeight w:val="24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Availability of Proxy Materials</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0"/>
              <w:jc w:val="left"/>
              <w:rPr>
                <w:rFonts w:ascii="Times New Roman" w:hAnsi="Times New Roman"/>
                <w:sz w:val="20"/>
              </w:rPr>
            </w:pPr>
            <w:r>
              <w:rPr>
                <w:rFonts w:ascii="Times New Roman" w:hAnsi="Times New Roman"/>
                <w:i/>
                <w:sz w:val="20"/>
              </w:rPr>
              <w:t>The Notice of Internet Availability of Proxy Materials containing instructions on how to access our proxy statement, notice of annual meeting, form of proxy and our annual report, is first being sent or given on or about April</w:t>
            </w:r>
            <w:r>
              <w:rPr>
                <w:rFonts w:ascii="Times New Roman" w:hAnsi="Times New Roman"/>
                <w:sz w:val="20"/>
              </w:rPr>
              <w:t> </w:t>
            </w:r>
            <w:r>
              <w:rPr>
                <w:rFonts w:ascii="Times New Roman" w:hAnsi="Times New Roman"/>
                <w:i/>
                <w:sz w:val="20"/>
              </w:rPr>
              <w:t>17, 2025, to all stockholders entitled to vote at the annual meeting</w:t>
            </w:r>
            <w:r>
              <w:rPr>
                <w:rFonts w:ascii="Times New Roman" w:hAnsi="Times New Roman"/>
                <w:sz w:val="20"/>
              </w:rPr>
              <w:t xml:space="preserve">. </w:t>
            </w:r>
            <w:r>
              <w:rPr>
                <w:rFonts w:ascii="Times New Roman" w:hAnsi="Times New Roman"/>
                <w:i/>
                <w:sz w:val="20"/>
              </w:rPr>
              <w:t>We are providing access to our proxy materials over the Internet under the rules adopted by the Securities and Exchange Commission (SEC).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The proxy materials and our annual report can be accessed as of April 17, 2025, by visiting </w:t>
            </w:r>
            <w:r>
              <w:rPr>
                <w:rFonts w:ascii="Times New Roman" w:hAnsi="Times New Roman"/>
                <w:sz w:val="20"/>
                <w:u w:val="single"/>
              </w:rPr>
              <w:t>www.proxydocs.com/TNYA</w:t>
            </w:r>
            <w:r>
              <w:rPr>
                <w:rFonts w:ascii="Times New Roman" w:hAnsi="Times New Roman"/>
                <w:sz w:val="20"/>
              </w:rPr>
              <w:t>.</w:t>
            </w:r>
          </w:p>
        </w:tc>
      </w:tr>
      <w:tr>
        <w:trPr>
          <w:trHeight w:val="24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b/>
              </w:rPr>
            </w:pPr>
            <w:r>
              <w:rPr>
                <w:b/>
              </w:rPr>
              <w:t>Voting</w:t>
            </w:r>
          </w:p>
        </w:tc>
        <w:tc>
          <w:tcPr>
            <w:tcW w:w="204"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b/>
              </w:rPr>
              <w:t>Your vote is important</w:t>
            </w:r>
            <w:r>
              <w:rPr/>
              <w:t>. Whether or not you plan to attend the annual meeting, we urge you to submit your proxy or voting instructions via the Internet, telephone or mail as soon as possible to ensure your shares are represented. For additional instructions for each of these voting options, please refer to the proxy card. Returning your proxy card does not deprive you of your right to attend the annual meeting and to vote your shares at the annual meeting. The proxy statement explains proxy voting and the matters to be voted on in more detail.</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1104900" cy="5340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04900" cy="534035"/>
                          </a:xfrm>
                          <a:prstGeom prst="rect">
                            <a:avLst/>
                          </a:prstGeom>
                        </pic:spPr>
                      </pic:pic>
                    </a:graphicData>
                  </a:graphic>
                </wp:inline>
              </w:drawing>
            </w:r>
            <w:r>
              <w:rPr/>
              <w:t xml:space="preserve">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Faraz Ali, M.B.A.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South San Francisco, California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April 17, 2025</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This proxy statement is being mailed to stockholders on or about April 17,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3"/>
        <w:gridCol w:w="350"/>
        <w:gridCol w:w="96"/>
        <w:gridCol w:w="424"/>
        <w:gridCol w:w="62"/>
      </w:tblGrid>
      <w:tr>
        <w:trPr/>
        <w:tc>
          <w:tcPr>
            <w:tcW w:w="9273"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73"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
              <w:r>
                <w:rPr>
                  <w:rStyle w:val="InternetLink"/>
                  <w:rFonts w:ascii="Times New Roman" w:hAnsi="Times New Roman"/>
                  <w:sz w:val="20"/>
                </w:rPr>
                <w:t>QUESTIONS AND ANSWERS ABOUT THE PROXY MATERIALS AND OUR ANNUAL MEETING</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
              <w:r>
                <w:rPr>
                  <w:rStyle w:val="InternetLink"/>
                  <w:rFonts w:ascii="Times New Roman" w:hAnsi="Times New Roman"/>
                  <w:sz w:val="20"/>
                </w:rPr>
                <w:t>BOARD OF DIRECTORS AND CORPORATE GOVERNANCE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
              <w:r>
                <w:rPr>
                  <w:rStyle w:val="InternetLink"/>
                  <w:rFonts w:ascii="Times New Roman" w:hAnsi="Times New Roman"/>
                  <w:sz w:val="20"/>
                </w:rPr>
                <w:t>Composition of the Board</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4">
              <w:r>
                <w:rPr>
                  <w:rStyle w:val="InternetLink"/>
                  <w:rFonts w:ascii="Times New Roman" w:hAnsi="Times New Roman"/>
                  <w:sz w:val="20"/>
                </w:rPr>
                <w:t>Class I Nominees for Director</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5">
              <w:r>
                <w:rPr>
                  <w:rStyle w:val="InternetLink"/>
                  <w:rFonts w:ascii="Times New Roman" w:hAnsi="Times New Roman"/>
                  <w:sz w:val="20"/>
                </w:rPr>
                <w:t>Continuing Directors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6">
              <w:r>
                <w:rPr>
                  <w:rStyle w:val="InternetLink"/>
                  <w:rFonts w:ascii="Times New Roman" w:hAnsi="Times New Roman"/>
                  <w:sz w:val="20"/>
                </w:rPr>
                <w:t>Director Independence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7">
              <w:r>
                <w:rPr>
                  <w:rStyle w:val="InternetLink"/>
                  <w:rFonts w:ascii="Times New Roman" w:hAnsi="Times New Roman"/>
                  <w:sz w:val="20"/>
                </w:rPr>
                <w:t>Board Leadership Structure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8">
              <w:r>
                <w:rPr>
                  <w:rStyle w:val="InternetLink"/>
                  <w:rFonts w:ascii="Times New Roman" w:hAnsi="Times New Roman"/>
                  <w:sz w:val="20"/>
                </w:rPr>
                <w:t>Role of Board in Risk Oversight Process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9">
              <w:r>
                <w:rPr>
                  <w:rStyle w:val="InternetLink"/>
                  <w:rFonts w:ascii="Times New Roman" w:hAnsi="Times New Roman"/>
                  <w:sz w:val="20"/>
                </w:rPr>
                <w:t>Board Committees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0">
              <w:r>
                <w:rPr>
                  <w:rStyle w:val="InternetLink"/>
                  <w:rFonts w:ascii="Times New Roman" w:hAnsi="Times New Roman"/>
                  <w:sz w:val="20"/>
                </w:rPr>
                <w:t>Attendance at Board and Stockholders Meetings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1">
              <w:r>
                <w:rPr>
                  <w:rStyle w:val="InternetLink"/>
                  <w:rFonts w:ascii="Times New Roman" w:hAnsi="Times New Roman"/>
                  <w:sz w:val="20"/>
                </w:rPr>
                <w:t>Compensation Committee Interlocks and Insider Participation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2">
              <w:r>
                <w:rPr>
                  <w:rStyle w:val="InternetLink"/>
                  <w:rFonts w:ascii="Times New Roman" w:hAnsi="Times New Roman"/>
                  <w:sz w:val="20"/>
                </w:rPr>
                <w:t>Considerations in Evaluating Director Nominees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3">
              <w:r>
                <w:rPr>
                  <w:rStyle w:val="InternetLink"/>
                  <w:rFonts w:ascii="Times New Roman" w:hAnsi="Times New Roman"/>
                  <w:sz w:val="20"/>
                </w:rPr>
                <w:t>Stockholders Recommendations and Nominations to our Board of Directors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4">
              <w:r>
                <w:rPr>
                  <w:rStyle w:val="InternetLink"/>
                  <w:rFonts w:ascii="Times New Roman" w:hAnsi="Times New Roman"/>
                  <w:sz w:val="20"/>
                </w:rPr>
                <w:t>Communications with the Board of Directors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5">
              <w:r>
                <w:rPr>
                  <w:rStyle w:val="InternetLink"/>
                  <w:rFonts w:ascii="Times New Roman" w:hAnsi="Times New Roman"/>
                  <w:sz w:val="20"/>
                </w:rPr>
                <w:t>Policy Prohibiting Hedging or Pledging of Securities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6">
              <w:r>
                <w:rPr>
                  <w:rStyle w:val="InternetLink"/>
                  <w:rFonts w:ascii="Times New Roman" w:hAnsi="Times New Roman"/>
                  <w:sz w:val="20"/>
                </w:rPr>
                <w:t>Insider Trading Policy</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7">
              <w:r>
                <w:rPr>
                  <w:rStyle w:val="InternetLink"/>
                  <w:rFonts w:ascii="Times New Roman" w:hAnsi="Times New Roman"/>
                  <w:sz w:val="20"/>
                </w:rPr>
                <w:t>Corporate Governance Guidelines and Code of Business Conduct and Ethics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8">
              <w:r>
                <w:rPr>
                  <w:rStyle w:val="InternetLink"/>
                  <w:rFonts w:ascii="Times New Roman" w:hAnsi="Times New Roman"/>
                  <w:sz w:val="20"/>
                </w:rPr>
                <w:t>Director Compensation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19">
              <w:r>
                <w:rPr>
                  <w:rStyle w:val="InternetLink"/>
                  <w:rFonts w:ascii="Times New Roman" w:hAnsi="Times New Roman"/>
                  <w:sz w:val="20"/>
                </w:rPr>
                <w:t>PROPOSAL NO. 1 ELECTION OF CLASS I DIRECTORS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0">
              <w:r>
                <w:rPr>
                  <w:rStyle w:val="InternetLink"/>
                  <w:rFonts w:ascii="Times New Roman" w:hAnsi="Times New Roman"/>
                  <w:sz w:val="20"/>
                </w:rPr>
                <w:t>Nominees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1">
              <w:r>
                <w:rPr>
                  <w:rStyle w:val="InternetLink"/>
                  <w:rFonts w:ascii="Times New Roman" w:hAnsi="Times New Roman"/>
                  <w:sz w:val="20"/>
                </w:rPr>
                <w:t>Vote Required</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2">
              <w:r>
                <w:rPr>
                  <w:rStyle w:val="InternetLink"/>
                  <w:rFonts w:ascii="Times New Roman" w:hAnsi="Times New Roman"/>
                  <w:sz w:val="20"/>
                </w:rPr>
                <w:t>Board Recommendation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3">
              <w:r>
                <w:rPr>
                  <w:rStyle w:val="InternetLink"/>
                  <w:rFonts w:ascii="Times New Roman" w:hAnsi="Times New Roman"/>
                  <w:sz w:val="20"/>
                </w:rPr>
                <w:t>PROPOSAL NO. 2 RATIFICATION OF APPOINTMENT OF INDEPENDENT REGISTERED PUBLIC ACCOUNTING FIRM</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4">
              <w:r>
                <w:rPr>
                  <w:rStyle w:val="InternetLink"/>
                  <w:rFonts w:ascii="Times New Roman" w:hAnsi="Times New Roman"/>
                  <w:sz w:val="20"/>
                </w:rPr>
                <w:t>Fees Paid to the Independent Registered Public Accounting Firm</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5">
              <w:r>
                <w:rPr>
                  <w:rStyle w:val="InternetLink"/>
                  <w:rFonts w:ascii="Times New Roman" w:hAnsi="Times New Roman"/>
                  <w:sz w:val="20"/>
                </w:rPr>
                <w:t>Auditor Independence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6">
              <w:r>
                <w:rPr>
                  <w:rStyle w:val="InternetLink"/>
                  <w:rFonts w:ascii="Times New Roman" w:hAnsi="Times New Roman"/>
                  <w:sz w:val="20"/>
                </w:rPr>
                <w:t>Audit Committee Policy on Pre-Approval of Audit and Permissible Non-Audit Services of Independent Registered Public Accounting Firm</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7">
              <w:r>
                <w:rPr>
                  <w:rStyle w:val="InternetLink"/>
                  <w:rFonts w:ascii="Times New Roman" w:hAnsi="Times New Roman"/>
                  <w:sz w:val="20"/>
                </w:rPr>
                <w:t>Vote Required</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8">
              <w:r>
                <w:rPr>
                  <w:rStyle w:val="InternetLink"/>
                  <w:rFonts w:ascii="Times New Roman" w:hAnsi="Times New Roman"/>
                  <w:sz w:val="20"/>
                </w:rPr>
                <w:t>Board Recommendation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29">
              <w:r>
                <w:rPr>
                  <w:rStyle w:val="InternetLink"/>
                  <w:rFonts w:ascii="Times New Roman" w:hAnsi="Times New Roman"/>
                  <w:sz w:val="20"/>
                </w:rPr>
                <w:t>AUDIT COMMITTEE REPORT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0">
              <w:r>
                <w:rPr>
                  <w:rStyle w:val="InternetLink"/>
                  <w:rFonts w:ascii="Times New Roman" w:hAnsi="Times New Roman"/>
                  <w:sz w:val="20"/>
                </w:rPr>
                <w:t>EXECUTIVE OFFICERS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1">
              <w:r>
                <w:rPr>
                  <w:rStyle w:val="InternetLink"/>
                  <w:rFonts w:ascii="Times New Roman" w:hAnsi="Times New Roman"/>
                  <w:sz w:val="20"/>
                </w:rPr>
                <w:t>EXECUTIVE COMPENSATION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2">
              <w:r>
                <w:rPr>
                  <w:rStyle w:val="InternetLink"/>
                  <w:rFonts w:ascii="Times New Roman" w:hAnsi="Times New Roman"/>
                  <w:sz w:val="20"/>
                </w:rPr>
                <w:t>Processes and Procedures for Compensation Decisions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3">
              <w:r>
                <w:rPr>
                  <w:rStyle w:val="InternetLink"/>
                  <w:rFonts w:ascii="Times New Roman" w:hAnsi="Times New Roman"/>
                  <w:sz w:val="20"/>
                </w:rPr>
                <w:t>Summary Compensation Table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4">
              <w:r>
                <w:rPr>
                  <w:rStyle w:val="InternetLink"/>
                  <w:rFonts w:ascii="Times New Roman" w:hAnsi="Times New Roman"/>
                  <w:sz w:val="20"/>
                </w:rPr>
                <w:t>Employment Arrangements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5">
              <w:r>
                <w:rPr>
                  <w:rStyle w:val="InternetLink"/>
                  <w:rFonts w:ascii="Times New Roman" w:hAnsi="Times New Roman"/>
                  <w:sz w:val="20"/>
                </w:rPr>
                <w:t>Executive Change in Control and Severance Plan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6">
              <w:r>
                <w:rPr>
                  <w:rStyle w:val="InternetLink"/>
                  <w:rFonts w:ascii="Times New Roman" w:hAnsi="Times New Roman"/>
                  <w:sz w:val="20"/>
                </w:rPr>
                <w:t>Equity Plans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7">
              <w:r>
                <w:rPr>
                  <w:rStyle w:val="InternetLink"/>
                  <w:rFonts w:ascii="Times New Roman" w:hAnsi="Times New Roman"/>
                  <w:sz w:val="20"/>
                </w:rPr>
                <w:t>Executive Incentive Compensation Plan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8">
              <w:r>
                <w:rPr>
                  <w:rStyle w:val="InternetLink"/>
                  <w:rFonts w:ascii="Times New Roman" w:hAnsi="Times New Roman"/>
                  <w:sz w:val="20"/>
                </w:rPr>
                <w:t>Clawback Policy</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39">
              <w:r>
                <w:rPr>
                  <w:rStyle w:val="InternetLink"/>
                  <w:rFonts w:ascii="Times New Roman" w:hAnsi="Times New Roman"/>
                  <w:sz w:val="20"/>
                </w:rPr>
                <w:t>401(k) Plan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40">
              <w:r>
                <w:rPr>
                  <w:rStyle w:val="InternetLink"/>
                  <w:rFonts w:ascii="Times New Roman" w:hAnsi="Times New Roman"/>
                  <w:sz w:val="20"/>
                </w:rPr>
                <w:t>Policies and Practices for Granting Certain Equity Awards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41">
              <w:r>
                <w:rPr>
                  <w:rStyle w:val="InternetLink"/>
                  <w:rFonts w:ascii="Times New Roman" w:hAnsi="Times New Roman"/>
                  <w:sz w:val="20"/>
                </w:rPr>
                <w:t xml:space="preserve">Outstanding Equity Awards at Fiscal 2024 Year-End </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42">
              <w:r>
                <w:rPr>
                  <w:rStyle w:val="InternetLink"/>
                  <w:rFonts w:ascii="Times New Roman" w:hAnsi="Times New Roman"/>
                  <w:sz w:val="20"/>
                </w:rPr>
                <w:t>Equity Compensation Plan Information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43">
              <w:r>
                <w:rPr>
                  <w:rStyle w:val="InternetLink"/>
                  <w:rFonts w:ascii="Times New Roman" w:hAnsi="Times New Roman"/>
                  <w:sz w:val="20"/>
                </w:rPr>
                <w:t>SECURITY OWNERSHIP OF CERTAIN BENEFICIAL OWNERS AND MANAGEMENT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44">
              <w:r>
                <w:rPr>
                  <w:rStyle w:val="InternetLink"/>
                  <w:rFonts w:ascii="Times New Roman" w:hAnsi="Times New Roman"/>
                  <w:sz w:val="20"/>
                </w:rPr>
                <w:t>RELATED PERSON TRANSACTIONS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45">
              <w:r>
                <w:rPr>
                  <w:rStyle w:val="InternetLink"/>
                  <w:rFonts w:ascii="Times New Roman" w:hAnsi="Times New Roman"/>
                  <w:sz w:val="20"/>
                </w:rPr>
                <w:t>Investors Rights Agreement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273" w:type="dxa"/>
            <w:tcBorders/>
          </w:tcPr>
          <w:p>
            <w:pPr>
              <w:pStyle w:val="TableContents"/>
              <w:bidi w:val="0"/>
              <w:spacing w:before="0" w:after="0"/>
              <w:jc w:val="left"/>
              <w:rPr/>
            </w:pPr>
            <w:hyperlink w:anchor="toc884353_46">
              <w:r>
                <w:rPr>
                  <w:rStyle w:val="InternetLink"/>
                  <w:rFonts w:ascii="Times New Roman" w:hAnsi="Times New Roman"/>
                  <w:sz w:val="20"/>
                </w:rPr>
                <w:t>Stock, Pre-funded Warrant, Warrant Issuances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257"/>
        <w:gridCol w:w="357"/>
        <w:gridCol w:w="96"/>
        <w:gridCol w:w="433"/>
        <w:gridCol w:w="62"/>
      </w:tblGrid>
      <w:tr>
        <w:trPr/>
        <w:tc>
          <w:tcPr>
            <w:tcW w:w="9257"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57"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oc884353_47">
              <w:r>
                <w:rPr>
                  <w:rStyle w:val="InternetLink"/>
                  <w:rFonts w:ascii="Times New Roman" w:hAnsi="Times New Roman"/>
                  <w:sz w:val="20"/>
                </w:rPr>
                <w:t>Indemnification Agreements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oc884353_48">
              <w:r>
                <w:rPr>
                  <w:rStyle w:val="InternetLink"/>
                  <w:rFonts w:ascii="Times New Roman" w:hAnsi="Times New Roman"/>
                  <w:sz w:val="20"/>
                </w:rPr>
                <w:t>Policies and Procedures for Related Person Transactions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oc884353_49">
              <w:r>
                <w:rPr>
                  <w:rStyle w:val="InternetLink"/>
                  <w:rFonts w:ascii="Times New Roman" w:hAnsi="Times New Roman"/>
                  <w:sz w:val="20"/>
                </w:rPr>
                <w:t>OTHER MATTERS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oc884353_50">
              <w:r>
                <w:rPr>
                  <w:rStyle w:val="InternetLink"/>
                  <w:rFonts w:ascii="Times New Roman" w:hAnsi="Times New Roman"/>
                  <w:sz w:val="20"/>
                </w:rPr>
                <w:t>Delinquent Section 16(a) Reports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57" w:type="dxa"/>
            <w:tcBorders/>
          </w:tcPr>
          <w:p>
            <w:pPr>
              <w:pStyle w:val="TableContents"/>
              <w:bidi w:val="0"/>
              <w:spacing w:before="0" w:after="0"/>
              <w:jc w:val="left"/>
              <w:rPr/>
            </w:pPr>
            <w:hyperlink w:anchor="toc884353_51">
              <w:r>
                <w:rPr>
                  <w:rStyle w:val="InternetLink"/>
                  <w:rFonts w:ascii="Times New Roman" w:hAnsi="Times New Roman"/>
                  <w:sz w:val="20"/>
                </w:rPr>
                <w:t>2024 Annual Report and SEC Filings</w:t>
              </w:r>
            </w:hyperlink>
          </w:p>
        </w:tc>
        <w:tc>
          <w:tcPr>
            <w:tcW w:w="35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2025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at 8:00 a.m. Pacific Time on Wednesday, May 28, 2025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bidi w:val="0"/>
        <w:spacing w:before="480" w:after="0"/>
        <w:jc w:val="center"/>
        <w:rPr>
          <w:rFonts w:ascii="Times New Roman" w:hAnsi="Times New Roman"/>
          <w:b/>
          <w:sz w:val="20"/>
        </w:rPr>
      </w:pPr>
      <w:bookmarkStart w:id="3" w:name="toc884353_1"/>
      <w:bookmarkEnd w:id="3"/>
      <w:r>
        <w:rPr>
          <w:rFonts w:ascii="Times New Roman" w:hAnsi="Times New Roman"/>
          <w:b/>
          <w:sz w:val="20"/>
        </w:rPr>
        <w:t xml:space="preserve">QUESTIONS AND ANSWERS ABOUT THE PROXY MATERIALS AND OUR ANNUAL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and the form of proxy are furnished in connection with the solicitation of proxies by our board of directors for use at the 2025 annual meeting of stockholders of Tenaya Therapeutics, Inc., a Delaware corporation, and any postponements, adjournments or continuations thereof. The annual meeting will be held on Wednesday, May 28, 2025 at 8:00 a.m. Pacific Time. The annual meeting will be conducted virtually via a live audio webcast. You will be able to attend the annual meeting virtually by visiting </w:t>
      </w:r>
      <w:r>
        <w:rPr>
          <w:rFonts w:ascii="Times New Roman" w:hAnsi="Times New Roman"/>
          <w:sz w:val="20"/>
          <w:u w:val="single"/>
        </w:rPr>
        <w:t>www.proxydocs.com/TNYA</w:t>
      </w:r>
      <w:r>
        <w:rPr>
          <w:rFonts w:ascii="Times New Roman" w:hAnsi="Times New Roman"/>
          <w:sz w:val="20"/>
        </w:rPr>
        <w:t xml:space="preserve">, where you will be able to listen to the meeting live, submit questions and vote online during the meeting by entering the control number on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17, 2025, to all stockholders of record as of the close of business on April 1, 2025. The proxy materials and our annual report can be accessed as of April 17, 2025, by visiting </w:t>
      </w:r>
      <w:r>
        <w:rPr>
          <w:rFonts w:ascii="Times New Roman" w:hAnsi="Times New Roman"/>
          <w:sz w:val="20"/>
          <w:u w:val="single"/>
        </w:rPr>
        <w:t>www.proxydocs.com/TNYA</w:t>
      </w:r>
      <w:r>
        <w:rPr>
          <w:rFonts w:ascii="Times New Roman" w:hAnsi="Times New Roman"/>
          <w:sz w:val="20"/>
        </w:rPr>
        <w:t xml:space="preserve">.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 </w:t>
      </w:r>
    </w:p>
    <w:p>
      <w:pPr>
        <w:pStyle w:val="TextBody"/>
        <w:bidi w:val="0"/>
        <w:spacing w:before="360" w:after="0"/>
        <w:jc w:val="left"/>
        <w:rPr>
          <w:rFonts w:ascii="Times New Roman" w:hAnsi="Times New Roman"/>
          <w:b/>
          <w:sz w:val="20"/>
        </w:rPr>
      </w:pPr>
      <w:r>
        <w:rPr>
          <w:rFonts w:ascii="Times New Roman" w:hAnsi="Times New Roman"/>
          <w:b/>
          <w:sz w:val="20"/>
        </w:rPr>
        <w:t xml:space="preserve">What proposals will be voted 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proposals will be voted on at the annual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three Class I directors to hold office until our 2028 annual meeting of stockholders and until their respective successors are elected and qualified;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Deloitte &amp; Touche LLP as our independent registered public accounting firm for our fiscal year ending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our management and board of directors were not aware of any other matters to be presented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of directors recommend that I vote on these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recommends that you vote your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election of each Class I director nominee named in this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Deloitte &amp; Touche LLP as our independent registered public accounting firm for our fiscal year ending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Who is entitled to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as of the close of business on April 1, 2025, the record date for the annual meeting, may vote at the annual meeting. As of the record date, there were 162,634,584 shares of our common stock outstanding. Each share of common stock is entitled to one vote on each matter properly brought before the annual meeting. Stockholders are not permitted to cumulate votes with respect to the election of directors. </w:t>
      </w:r>
    </w:p>
    <w:p>
      <w:pPr>
        <w:pStyle w:val="TextBody"/>
        <w:bidi w:val="0"/>
        <w:spacing w:before="24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your shares of common stock are registered directly in your name with our transfer agent, Computershare Trust Company, N.A.,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 </w:t>
      </w:r>
    </w:p>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Is there a list of registered stockholders entitled to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171 Oyster Point Boulevard, Suite 500, South San Francisco, CA 94080 by contacting our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quorum requirement for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quorum is the minimum number of shares required to be present or represented at the annual meeting for the meeting to be properly held under our amended and restated bylaws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Whether or not a quorum is present, the chairperson of the meeting may adjourn the meeting to another time or place.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are needed for approval of each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1</w:t>
            </w:r>
            <w:r>
              <w:rPr>
                <w:rFonts w:ascii="Times New Roman" w:hAnsi="Times New Roman"/>
                <w:sz w:val="20"/>
              </w:rPr>
              <w:t xml:space="preserve">: Each director is elected by a plurality of the voting power of the shares present in person (including virtually) or represented by proxy at the annual meeting and entitled to vote on the election of directors. A plurality means that the nominees with the largest number of FOR votes are elected as directors. You may (1) vote FOR the election of all of the director nominees named herein, (2)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 If you WITHHOLD your vote as to all nominees, you will be deemed to have abstained from voting on Proposal No. 1, and such abstention will have no effect on the outcome of the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2</w:t>
            </w:r>
            <w:r>
              <w:rPr>
                <w:rFonts w:ascii="Times New Roman" w:hAnsi="Times New Roman"/>
                <w:sz w:val="20"/>
              </w:rPr>
              <w:t xml:space="preserve">: The ratification of the appointment of Deloitte &amp; Touche LLP as our independent registered public accounting firm for our fiscal year ending December 31, 2025, 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Because this is a routine proposal, your broker, bank or other nominee will have discretion to vote your shares on this routine matter. See </w:t>
            </w:r>
            <w:r>
              <w:rPr>
                <w:rFonts w:ascii="Times New Roman" w:hAnsi="Times New Roman"/>
                <w:i/>
                <w:sz w:val="20"/>
              </w:rPr>
              <w:t>What if I do not specify how my shares are to be voted or fail to provide timely directions to my broker, bank or other nominee?</w:t>
            </w:r>
            <w:r>
              <w:rPr>
                <w:rFonts w:ascii="Times New Roman" w:hAnsi="Times New Roman"/>
                <w:sz w:val="20"/>
              </w:rPr>
              <w:t xml:space="preserve"> below. Therefore, we do not expect any broker non-votes on this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do I vote and what are the voting deadlines? </w:t>
      </w:r>
    </w:p>
    <w:p>
      <w:pPr>
        <w:pStyle w:val="TextBody"/>
        <w:bidi w:val="0"/>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you may vote in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Internet at </w:t>
            </w:r>
            <w:r>
              <w:rPr>
                <w:rFonts w:ascii="Times New Roman" w:hAnsi="Times New Roman"/>
                <w:sz w:val="20"/>
                <w:u w:val="single"/>
              </w:rPr>
              <w:t>www.proxypush.com/TNYA</w:t>
            </w:r>
            <w:r>
              <w:rPr>
                <w:rFonts w:ascii="Times New Roman" w:hAnsi="Times New Roman"/>
                <w:sz w:val="20"/>
              </w:rPr>
              <w:t xml:space="preserve">, 24 hours a day, 7 days a week, until 11:59 p.m. Eastern Time on May 27, 2025. To vote via the Internet prior to the annual meeting, go to </w:t>
            </w:r>
            <w:r>
              <w:rPr>
                <w:rFonts w:ascii="Times New Roman" w:hAnsi="Times New Roman"/>
                <w:sz w:val="20"/>
                <w:u w:val="single"/>
              </w:rPr>
              <w:t>www.proxydocs.com/TNYA</w:t>
            </w:r>
            <w:r>
              <w:rPr>
                <w:rFonts w:ascii="Times New Roman" w:hAnsi="Times New Roman"/>
                <w:sz w:val="20"/>
              </w:rPr>
              <w:t xml:space="preserve"> to complete an electronic proxy card. You will be asked to provide the control number from the proxy card you receive. If you vote via the Internet prior to the annual meeting, you do not need to return a proxy card by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toll-free telephone at 1-866-475-3780, 24 hours a day, 7 days a week, until 11:59 p.m. Eastern Time on May 27, 2025. You will be asked to provide the control number from the proxy card. If you vote by telephone, you do not need to return a proxy card by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completing, signing and mailing your proxy card that accompanies this proxy statement, which must be received prior to the annual meeting.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annual meeting virtually by visiting </w:t>
            </w:r>
            <w:r>
              <w:rPr>
                <w:rFonts w:ascii="Times New Roman" w:hAnsi="Times New Roman"/>
                <w:sz w:val="20"/>
                <w:u w:val="single"/>
              </w:rPr>
              <w:t>www.proxydocs.com/TNYA</w:t>
            </w:r>
            <w:r>
              <w:rPr>
                <w:rFonts w:ascii="Times New Roman" w:hAnsi="Times New Roman"/>
                <w:sz w:val="20"/>
              </w:rPr>
              <w:t xml:space="preserve">, where you may vote during the meeting (have your Notice of Internet Availability or proxy card in hand when you visit the website). </w:t>
            </w:r>
          </w:p>
        </w:tc>
      </w:tr>
    </w:tbl>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do not specify how my shares are to be voted or fail to provide timely directions to my broker, bank or other nominee? </w:t>
      </w:r>
    </w:p>
    <w:p>
      <w:pPr>
        <w:pStyle w:val="TextBody"/>
        <w:bidi w:val="0"/>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and you submit a proxy, but you do not provide voting instructions, your shares will be voted: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election of each Class I director nominee named in this proxy statement;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Deloitte &amp; Touche LLP as our independent registered public accounting firm for our fiscal year ending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any other matters are properly brought before the annual meeting, the persons named as proxies will be authorized to vote or otherwise act on those matters in accordance with their judgment. </w:t>
      </w:r>
    </w:p>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Deloitte &amp; Touche LLP as our independent registered public accounting firm for our fiscal year ending December 31, 2025.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effects of abstentions and broker non-votes? </w:t>
      </w:r>
    </w:p>
    <w:p>
      <w:pPr>
        <w:pStyle w:val="TextBody"/>
        <w:bidi w:val="0"/>
        <w:spacing w:before="120" w:after="0"/>
        <w:jc w:val="left"/>
        <w:rPr>
          <w:rFonts w:ascii="Times New Roman" w:hAnsi="Times New Roman"/>
          <w:sz w:val="20"/>
        </w:rPr>
      </w:pPr>
      <w:r>
        <w:rPr>
          <w:rFonts w:ascii="Times New Roman" w:hAnsi="Times New Roman"/>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thereon or a majority of the voting power of the shares of capital stock of the Company outstanding as of the record date and entitled to vote thereon (</w:t>
      </w:r>
      <w:r>
        <w:rPr>
          <w:rFonts w:ascii="Times New Roman" w:hAnsi="Times New Roman"/>
          <w:i/>
          <w:sz w:val="20"/>
        </w:rPr>
        <w:t>e.g.</w:t>
      </w:r>
      <w:r>
        <w:rPr>
          <w:rFonts w:ascii="Times New Roman" w:hAnsi="Times New Roman"/>
          <w:sz w:val="20"/>
        </w:rPr>
        <w:t xml:space="preserve">, Proposal No. 2). However, because the outcome of Proposal No. 1 (election of directors) will be determined by a plurality vote, abstentions will have no impact on the outcome of such proposal as long as a quorum exists. </w:t>
      </w:r>
    </w:p>
    <w:p>
      <w:pPr>
        <w:pStyle w:val="TextBody"/>
        <w:bidi w:val="0"/>
        <w:spacing w:before="240" w:after="0"/>
        <w:jc w:val="left"/>
        <w:rPr>
          <w:rFonts w:ascii="Times New Roman" w:hAnsi="Times New Roman"/>
          <w:sz w:val="20"/>
        </w:rPr>
      </w:pPr>
      <w:r>
        <w:rPr>
          <w:rFonts w:ascii="Times New Roman" w:hAnsi="Times New Roman"/>
          <w:sz w:val="20"/>
        </w:rPr>
        <w:t xml:space="preserve">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Proposals No. 1 and 2.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or revoke my proxy? </w:t>
      </w:r>
    </w:p>
    <w:p>
      <w:pPr>
        <w:pStyle w:val="TextBody"/>
        <w:bidi w:val="0"/>
        <w:spacing w:before="12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you can change your vote or revoke your proxy before the annual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a new vote by Internet or telephone (subject to the applicable deadlines for each method as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completing and returning a later-dated proxy card, which must be received prior to the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a written notice of revocation to our Secretary at Tenaya Therapeutics, Inc., 171 Oyster Point Boulevard, Suite 500, South San Francisco, CA 94080, Attention: Corporate Secretary, which must be received prior to the annual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virtually and voting at the annual meeting (although attendance at the annual meeting will not, by itself, revoke a proxy).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are a street name stockholder, then your broker, bank or other nominee can provide you with instructions on how to change or revoke your proxy. </w:t>
      </w:r>
    </w:p>
    <w:p>
      <w:pPr>
        <w:pStyle w:val="TextBody"/>
        <w:bidi w:val="0"/>
        <w:spacing w:before="360" w:after="0"/>
        <w:jc w:val="left"/>
        <w:rPr>
          <w:rFonts w:ascii="Times New Roman" w:hAnsi="Times New Roman"/>
          <w:b/>
          <w:sz w:val="20"/>
        </w:rPr>
      </w:pPr>
      <w:r>
        <w:rPr>
          <w:rFonts w:ascii="Times New Roman" w:hAnsi="Times New Roman"/>
          <w:b/>
          <w:sz w:val="20"/>
        </w:rPr>
        <w:t xml:space="preserve">What do I need to do to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be hosting the annual meeting via a live audio webcast only. </w:t>
      </w:r>
    </w:p>
    <w:p>
      <w:pPr>
        <w:pStyle w:val="TextBody"/>
        <w:bidi w:val="0"/>
        <w:spacing w:before="24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were a stockholder of record as of the record date, then you may attend the annual meeting virtually, and will be able to submit your questions during the meeting and vote your shares electronically during the meeting. To attend and participate in the annual meeting, you must register in advance at www.proxydocs.com/TNYA prior to the deadline of 7:59 a.m. Pacific Time on May 27, 2025. Upon completing your registration, you will receive further instructions via email, including your unique link that will allow you to access the annual meeting and to submit questions during the annual meeting. Stockholders are already provided the opportunity to submit questions prior to the annual meeting at the time of registration. The annual meeting via a live audio only webcast will begin promptly at 8:00 a.m. Pacific Time. We encourage you to access the meeting prior to the start time. Online check-in will begin at 7:45 a.m. Pacific Time on May 28, 2025, and you should allow ample time for the check-in procedures. </w:t>
      </w:r>
    </w:p>
    <w:p>
      <w:pPr>
        <w:pStyle w:val="TextBody"/>
        <w:bidi w:val="0"/>
        <w:spacing w:before="240" w:after="0"/>
        <w:jc w:val="left"/>
        <w:rPr>
          <w:rFonts w:ascii="Times New Roman" w:hAnsi="Times New Roman"/>
          <w:sz w:val="20"/>
        </w:rPr>
      </w:pPr>
      <w:r>
        <w:rPr>
          <w:rFonts w:ascii="Times New Roman" w:hAnsi="Times New Roman"/>
          <w:i/>
          <w:sz w:val="20"/>
        </w:rPr>
        <w:t>Street Name Stockholders</w:t>
      </w:r>
      <w:r>
        <w:rPr>
          <w:rFonts w:ascii="Times New Roman" w:hAnsi="Times New Roman"/>
          <w:sz w:val="20"/>
        </w:rPr>
        <w:t xml:space="preserve">. If you were a street name stockholder as of the record date and your voting instruction form or notice of internet availability of 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get help if I have trouble checking in or listening to the annual meeting online? </w:t>
      </w:r>
    </w:p>
    <w:p>
      <w:pPr>
        <w:pStyle w:val="TextBody"/>
        <w:bidi w:val="0"/>
        <w:spacing w:before="12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w:t>
      </w:r>
    </w:p>
    <w:p>
      <w:pPr>
        <w:pStyle w:val="TextBody"/>
        <w:bidi w:val="0"/>
        <w:spacing w:before="360" w:after="0"/>
        <w:jc w:val="left"/>
        <w:rPr>
          <w:rFonts w:ascii="Times New Roman" w:hAnsi="Times New Roman"/>
          <w:b/>
          <w:sz w:val="20"/>
        </w:rPr>
      </w:pPr>
      <w:r>
        <w:rPr>
          <w:rFonts w:ascii="Times New Roman" w:hAnsi="Times New Roman"/>
          <w:b/>
          <w:sz w:val="20"/>
        </w:rPr>
        <w:t xml:space="preserve">Why is the annual meeting held virtually?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a virtual annual meeting allows for participation by a broader group of stockholders and reduces the costs to stockholders associated with holding an in-person meeting. The virtual meeting format is intended to facilitate a level of transparency as close as possible to an in-person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effect of giving a proxy? </w:t>
      </w:r>
    </w:p>
    <w:p>
      <w:pPr>
        <w:pStyle w:val="TextBody"/>
        <w:bidi w:val="0"/>
        <w:spacing w:before="120" w:after="0"/>
        <w:jc w:val="left"/>
        <w:rPr>
          <w:rFonts w:ascii="Times New Roman" w:hAnsi="Times New Roman"/>
          <w:sz w:val="20"/>
        </w:rPr>
      </w:pPr>
      <w:r>
        <w:rPr>
          <w:rFonts w:ascii="Times New Roman" w:hAnsi="Times New Roman"/>
          <w:sz w:val="20"/>
        </w:rPr>
        <w:t xml:space="preserve">Proxies are solicited by and on behalf of our board of directors. Faraz Ali, our Chief Executive Officer, and Jennifer Drimmer Rokovich,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stockholders.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Who will count the votes? </w:t>
      </w:r>
    </w:p>
    <w:p>
      <w:pPr>
        <w:pStyle w:val="TextBody"/>
        <w:bidi w:val="0"/>
        <w:spacing w:before="120" w:after="0"/>
        <w:jc w:val="left"/>
        <w:rPr>
          <w:rFonts w:ascii="Times New Roman" w:hAnsi="Times New Roman"/>
          <w:sz w:val="20"/>
        </w:rPr>
      </w:pPr>
      <w:r>
        <w:rPr>
          <w:rFonts w:ascii="Times New Roman" w:hAnsi="Times New Roman"/>
          <w:sz w:val="20"/>
        </w:rPr>
        <w:t xml:space="preserve">A representative of Mediant Communications Inc. will tabulate the votes and act as inspector of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can I contact Tenayas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You may contact our transfer agent, Computershare Trust Company, N.A., by telephone at 800-736-3001, or by writing Computershare Trust Company, N.A, at 150 Royall Street, Canton, Massachusetts 02021. You may also access instructions with respect to certain stockholders matters (e.g., change of address) via the Internet at www-us.computershare.com. </w:t>
      </w:r>
    </w:p>
    <w:p>
      <w:pPr>
        <w:pStyle w:val="TextBody"/>
        <w:bidi w:val="0"/>
        <w:spacing w:before="360" w:after="0"/>
        <w:jc w:val="left"/>
        <w:rPr>
          <w:rFonts w:ascii="Times New Roman" w:hAnsi="Times New Roman"/>
          <w:b/>
          <w:sz w:val="20"/>
        </w:rPr>
      </w:pPr>
      <w:r>
        <w:rPr>
          <w:rFonts w:ascii="Times New Roman" w:hAnsi="Times New Roman"/>
          <w:b/>
          <w:sz w:val="20"/>
        </w:rPr>
        <w:t xml:space="preserve">How are proxies solicited for the annual meeting and who is paying for such solicitation?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I find the voting results of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Why did I receive a Notice of Internet Availability instead of a full set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Notice of Internet Availability or more than one set of printed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I share an address with another stockholder, and we received only one paper copy of the Notice of Internet Availability or proxy statement and annual report. How may I obtain an additional copy of the Notice of Internet Availability or proxy statement and annual report?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continue to be able to access and receive separate proxy cards. Upon written or oral request, we will deliver promptly a separate copy of the Notice of Internet Availability and, if applicable, the proxy statement and annual report, to any stockholders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 </w:t>
      </w:r>
    </w:p>
    <w:p>
      <w:pPr>
        <w:pStyle w:val="TextBody"/>
        <w:bidi w:val="0"/>
        <w:spacing w:before="120" w:after="0"/>
        <w:jc w:val="center"/>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Tel: (650) 825-6990 </w:t>
      </w:r>
    </w:p>
    <w:p>
      <w:pPr>
        <w:pStyle w:val="TextBody"/>
        <w:bidi w:val="0"/>
        <w:spacing w:before="240" w:after="0"/>
        <w:jc w:val="left"/>
        <w:rPr>
          <w:rFonts w:ascii="Times New Roman" w:hAnsi="Times New Roman"/>
          <w:sz w:val="20"/>
        </w:rPr>
      </w:pPr>
      <w:r>
        <w:rPr>
          <w:rFonts w:ascii="Times New Roman" w:hAnsi="Times New Roman"/>
          <w:sz w:val="20"/>
        </w:rPr>
        <w:t xml:space="preserve">Street name stockholders may contact their broker, bank or other nominee to request information about householding.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deadline to propose actions for consideration at next years annual meeting of stockholders or to nominate individuals to serve as directors?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2026 annual meeting of stockholders, our corporate secretary must receive the written proposal at our principal executive offices not later than December 18, 2025.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 </w:t>
      </w:r>
    </w:p>
    <w:p>
      <w:pPr>
        <w:pStyle w:val="TextBody"/>
        <w:bidi w:val="0"/>
        <w:spacing w:before="120" w:after="0"/>
        <w:jc w:val="center"/>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corporate secretary, which notice must contain the information specified in our Bylaws, provided that clause (iii) is the exclusive means under our Bylaws for stockholders to propose business other than such proposals as are properly made pursuant to the Exchange Act. To be timely for our 2026 annual meeting of stockholders, our corporate secretary must receive the written notice at our principal executive offices: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earlier than 8:00 a.m., Eastern time, January 28,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later 5:00 p.m., Eastern time, than February 27,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we hold our 2026 annual meeting of stockholders more than 25 days before or after the first anniversary of the date of this years annual meeting, then notice of a stockholder proposal that is not intended to be included in our proxy statement must be received no earlier than 8:00 a.m., Eastern time, on the 120th day before such annual meeting and no later than 5:00 p.m., Eastern time, on the later of the 90th day prior to the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annual meeting, or, if the first public announcement of the date of such annual meeting is less than 100 days prior to the date of such annual meeting, the 10th day following the day on which public announcement of the date of such annual meeting is first made.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does not appear to present his, her or its proposal at such annual meeting, we are not required to present the proposal for a vote at such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permit stockholders to nominate directors for election at an annual meeting of stockholders. To nominate a director, the stockholder must provide the information required by our Bylaws and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Availability of Bylaws </w:t>
      </w:r>
    </w:p>
    <w:p>
      <w:pPr>
        <w:pStyle w:val="TextBody"/>
        <w:bidi w:val="0"/>
        <w:spacing w:before="120" w:after="0"/>
        <w:jc w:val="left"/>
        <w:rPr>
          <w:rFonts w:ascii="Times New Roman" w:hAnsi="Times New Roman"/>
          <w:sz w:val="20"/>
        </w:rPr>
      </w:pPr>
      <w:r>
        <w:rPr>
          <w:rFonts w:ascii="Times New Roman" w:hAnsi="Times New Roman"/>
          <w:sz w:val="20"/>
        </w:rPr>
        <w:t xml:space="preserve">A copy of our Bylaws may be obtained by accessing our public filings on the SECs website at www.sec.gov. You may also contact our corporate secretary at our principal executive office for a copy of the relevant bylaw provisions regarding the requirements for making stockholder proposals and nominating director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884353_2"/>
      <w:bookmarkEnd w:id="4"/>
      <w:r>
        <w:rPr>
          <w:rFonts w:ascii="Times New Roman" w:hAnsi="Times New Roman"/>
          <w:b/>
          <w:sz w:val="20"/>
        </w:rPr>
        <w:t xml:space="preserve">BOARD OF DIRECTORS AND CORPORATE GOVERNANCE </w:t>
      </w:r>
    </w:p>
    <w:p>
      <w:pPr>
        <w:pStyle w:val="TextBody"/>
        <w:bidi w:val="0"/>
        <w:spacing w:before="240" w:after="0"/>
        <w:jc w:val="left"/>
        <w:rPr>
          <w:rFonts w:ascii="Times New Roman" w:hAnsi="Times New Roman"/>
          <w:b/>
          <w:sz w:val="20"/>
        </w:rPr>
      </w:pPr>
      <w:bookmarkStart w:id="5" w:name="toc884353_3"/>
      <w:bookmarkEnd w:id="5"/>
      <w:r>
        <w:rPr>
          <w:rFonts w:ascii="Times New Roman" w:hAnsi="Times New Roman"/>
          <w:b/>
          <w:sz w:val="20"/>
        </w:rPr>
        <w:t xml:space="preserve">Composition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nine (9) directors, eight (8)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 </w:t>
      </w:r>
    </w:p>
    <w:p>
      <w:pPr>
        <w:pStyle w:val="TextBody"/>
        <w:bidi w:val="0"/>
        <w:spacing w:before="240" w:after="0"/>
        <w:jc w:val="left"/>
        <w:rPr>
          <w:rFonts w:ascii="Times New Roman" w:hAnsi="Times New Roman"/>
          <w:sz w:val="20"/>
        </w:rPr>
      </w:pPr>
      <w:r>
        <w:rPr>
          <w:rFonts w:ascii="Times New Roman" w:hAnsi="Times New Roman"/>
          <w:sz w:val="20"/>
        </w:rPr>
        <w:t xml:space="preserve">Upon the recommendation of our corporate governance and nominating committee, we are nominating David Goeddel, Ph.D., R. Sanders Williams, M.D. and Jeffrey T. Walsh, M.B.A., as Class I directors at the annual meeting. If elected, Drs. Goeddel and Williams and Mr. Walsh will each hold office for a three-year term until the annual meeting of stockholders to be held in 2028 or until their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ages as of March 31, 2025, and certain other information for each of our directors and director nominees: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23"/>
        <w:gridCol w:w="60"/>
        <w:gridCol w:w="427"/>
        <w:gridCol w:w="60"/>
        <w:gridCol w:w="79"/>
        <w:gridCol w:w="346"/>
        <w:gridCol w:w="110"/>
        <w:gridCol w:w="60"/>
        <w:gridCol w:w="3542"/>
        <w:gridCol w:w="72"/>
        <w:gridCol w:w="93"/>
        <w:gridCol w:w="791"/>
        <w:gridCol w:w="91"/>
        <w:gridCol w:w="72"/>
        <w:gridCol w:w="91"/>
        <w:gridCol w:w="778"/>
        <w:gridCol w:w="72"/>
        <w:gridCol w:w="72"/>
        <w:gridCol w:w="146"/>
        <w:gridCol w:w="1241"/>
        <w:gridCol w:w="79"/>
      </w:tblGrid>
      <w:tr>
        <w:trPr/>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r>
      <w:tr>
        <w:trPr/>
        <w:tc>
          <w:tcPr>
            <w:tcW w:w="19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4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w:t>
            </w:r>
          </w:p>
        </w:tc>
        <w:tc>
          <w:tcPr>
            <w:tcW w:w="60"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c>
          <w:tcPr>
            <w:tcW w:w="72"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Director</w:t>
              <w:br/>
              <w:t>Since</w:t>
            </w:r>
          </w:p>
        </w:tc>
        <w:tc>
          <w:tcPr>
            <w:tcW w:w="9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br/>
              <w:t>Term</w:t>
              <w:br/>
              <w:t>Expires</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 of</w:t>
              <w:br/>
              <w:t>Term for</w:t>
              <w:br/>
              <w:t>Which</w:t>
              <w:br/>
              <w:t>Nominated</w:t>
            </w:r>
          </w:p>
        </w:tc>
        <w:tc>
          <w:tcPr>
            <w:tcW w:w="79" w:type="dxa"/>
            <w:tcBorders/>
            <w:vAlign w:val="bottom"/>
          </w:tcPr>
          <w:p>
            <w:pPr>
              <w:pStyle w:val="TableContents"/>
              <w:bidi w:val="0"/>
              <w:spacing w:before="0" w:after="283"/>
              <w:jc w:val="left"/>
              <w:rPr/>
            </w:pPr>
            <w:r>
              <w:rPr/>
              <w:t> </w:t>
            </w:r>
          </w:p>
        </w:tc>
      </w:tr>
      <w:tr>
        <w:trPr/>
        <w:tc>
          <w:tcPr>
            <w:tcW w:w="19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Nominees for Director</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4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r>
      <w:tr>
        <w:trPr/>
        <w:tc>
          <w:tcPr>
            <w:tcW w:w="1923" w:type="dxa"/>
            <w:tcBorders/>
          </w:tcPr>
          <w:p>
            <w:pPr>
              <w:pStyle w:val="TableContents"/>
              <w:bidi w:val="0"/>
              <w:spacing w:before="0" w:after="0"/>
              <w:jc w:val="left"/>
              <w:rPr>
                <w:rFonts w:ascii="Times New Roman" w:hAnsi="Times New Roman"/>
                <w:sz w:val="20"/>
              </w:rPr>
            </w:pPr>
            <w:r>
              <w:rPr>
                <w:rFonts w:ascii="Times New Roman" w:hAnsi="Times New Roman"/>
                <w:sz w:val="20"/>
              </w:rPr>
              <w:t>David Goeddel, Ph.D.(3)</w:t>
            </w:r>
          </w:p>
        </w:tc>
        <w:tc>
          <w:tcPr>
            <w:tcW w:w="6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right"/>
              <w:rPr/>
            </w:pPr>
            <w:r>
              <w:rPr/>
              <w:t>I</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6" w:type="dxa"/>
            <w:tcBorders/>
          </w:tcPr>
          <w:p>
            <w:pPr>
              <w:pStyle w:val="TableContents"/>
              <w:bidi w:val="0"/>
              <w:spacing w:before="0" w:after="283"/>
              <w:jc w:val="right"/>
              <w:rPr/>
            </w:pPr>
            <w:r>
              <w:rPr/>
              <w:t>73</w:t>
            </w:r>
          </w:p>
        </w:tc>
        <w:tc>
          <w:tcPr>
            <w:tcW w:w="11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2" w:type="dxa"/>
            <w:tcBorders/>
            <w:vAlign w:val="bottom"/>
          </w:tcPr>
          <w:p>
            <w:pPr>
              <w:pStyle w:val="TableContents"/>
              <w:bidi w:val="0"/>
              <w:spacing w:before="0" w:after="283"/>
              <w:jc w:val="left"/>
              <w:rPr/>
            </w:pPr>
            <w:r>
              <w:rPr/>
              <w:t>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91" w:type="dxa"/>
            <w:tcBorders/>
          </w:tcPr>
          <w:p>
            <w:pPr>
              <w:pStyle w:val="TableContents"/>
              <w:bidi w:val="0"/>
              <w:spacing w:before="0" w:after="283"/>
              <w:jc w:val="right"/>
              <w:rPr/>
            </w:pPr>
            <w:r>
              <w:rPr/>
              <w:t>2016</w:t>
            </w:r>
          </w:p>
        </w:tc>
        <w:tc>
          <w:tcPr>
            <w:tcW w:w="91"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778" w:type="dxa"/>
            <w:tcBorders/>
          </w:tcPr>
          <w:p>
            <w:pPr>
              <w:pStyle w:val="TableContents"/>
              <w:bidi w:val="0"/>
              <w:spacing w:before="0" w:after="283"/>
              <w:jc w:val="right"/>
              <w:rPr/>
            </w:pPr>
            <w:r>
              <w:rPr/>
              <w:t>2025</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1" w:type="dxa"/>
            <w:tcBorders/>
          </w:tcPr>
          <w:p>
            <w:pPr>
              <w:pStyle w:val="TableContents"/>
              <w:bidi w:val="0"/>
              <w:spacing w:before="0" w:after="283"/>
              <w:jc w:val="right"/>
              <w:rPr/>
            </w:pPr>
            <w:r>
              <w:rPr/>
              <w:t>2028</w:t>
            </w:r>
          </w:p>
        </w:tc>
        <w:tc>
          <w:tcPr>
            <w:tcW w:w="79" w:type="dxa"/>
            <w:tcBorders/>
          </w:tcPr>
          <w:p>
            <w:pPr>
              <w:pStyle w:val="TableContents"/>
              <w:bidi w:val="0"/>
              <w:spacing w:before="0" w:after="283"/>
              <w:jc w:val="left"/>
              <w:rPr/>
            </w:pPr>
            <w:r>
              <w:rPr/>
              <w:t> </w:t>
            </w:r>
          </w:p>
        </w:tc>
      </w:tr>
      <w:tr>
        <w:trPr/>
        <w:tc>
          <w:tcPr>
            <w:tcW w:w="1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T. Walsh, M.B.A.(1)(2)</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tcPr>
          <w:p>
            <w:pPr>
              <w:pStyle w:val="TableContents"/>
              <w:bidi w:val="0"/>
              <w:spacing w:before="0" w:after="283"/>
              <w:jc w:val="right"/>
              <w:rPr/>
            </w:pPr>
            <w:r>
              <w:rPr/>
              <w:t>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59</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42" w:type="dxa"/>
            <w:tcBorders/>
            <w:shd w:fill="CCEEFF" w:val="clear"/>
            <w:vAlign w:val="bottom"/>
          </w:tcPr>
          <w:p>
            <w:pPr>
              <w:pStyle w:val="TableContents"/>
              <w:bidi w:val="0"/>
              <w:spacing w:before="0" w:after="283"/>
              <w:jc w:val="left"/>
              <w:rPr/>
            </w:pPr>
            <w:r>
              <w:rPr/>
              <w:t>Director</w:t>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91" w:type="dxa"/>
            <w:tcBorders/>
            <w:shd w:fill="CCEEFF" w:val="clear"/>
          </w:tcPr>
          <w:p>
            <w:pPr>
              <w:pStyle w:val="TableContents"/>
              <w:bidi w:val="0"/>
              <w:spacing w:before="0" w:after="283"/>
              <w:jc w:val="right"/>
              <w:rPr/>
            </w:pPr>
            <w:r>
              <w:rPr/>
              <w:t>2020</w:t>
            </w:r>
          </w:p>
        </w:tc>
        <w:tc>
          <w:tcPr>
            <w:tcW w:w="91"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1" w:type="dxa"/>
            <w:tcBorders/>
            <w:shd w:fill="CCEEFF" w:val="clear"/>
          </w:tcPr>
          <w:p>
            <w:pPr>
              <w:pStyle w:val="TableContents"/>
              <w:bidi w:val="0"/>
              <w:spacing w:before="0" w:after="283"/>
              <w:jc w:val="left"/>
              <w:rPr/>
            </w:pPr>
            <w:r>
              <w:rPr/>
              <w:t> </w:t>
            </w:r>
          </w:p>
        </w:tc>
        <w:tc>
          <w:tcPr>
            <w:tcW w:w="778" w:type="dxa"/>
            <w:tcBorders/>
            <w:shd w:fill="CCEEFF" w:val="clear"/>
          </w:tcPr>
          <w:p>
            <w:pPr>
              <w:pStyle w:val="TableContents"/>
              <w:bidi w:val="0"/>
              <w:spacing w:before="0" w:after="283"/>
              <w:jc w:val="right"/>
              <w:rPr/>
            </w:pPr>
            <w:r>
              <w:rPr/>
              <w:t>2025</w:t>
            </w:r>
          </w:p>
        </w:tc>
        <w:tc>
          <w:tcPr>
            <w:tcW w:w="72"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1" w:type="dxa"/>
            <w:tcBorders/>
            <w:shd w:fill="CCEEFF" w:val="clear"/>
          </w:tcPr>
          <w:p>
            <w:pPr>
              <w:pStyle w:val="TableContents"/>
              <w:bidi w:val="0"/>
              <w:spacing w:before="0" w:after="283"/>
              <w:jc w:val="right"/>
              <w:rPr/>
            </w:pPr>
            <w:r>
              <w:rPr/>
              <w:t>2028</w:t>
            </w:r>
          </w:p>
        </w:tc>
        <w:tc>
          <w:tcPr>
            <w:tcW w:w="79" w:type="dxa"/>
            <w:tcBorders/>
            <w:shd w:fill="CCEEFF" w:val="clear"/>
          </w:tcPr>
          <w:p>
            <w:pPr>
              <w:pStyle w:val="TableContents"/>
              <w:bidi w:val="0"/>
              <w:spacing w:before="0" w:after="283"/>
              <w:jc w:val="left"/>
              <w:rPr/>
            </w:pPr>
            <w:r>
              <w:rPr/>
              <w:t> </w:t>
            </w:r>
          </w:p>
        </w:tc>
      </w:tr>
      <w:tr>
        <w:trPr/>
        <w:tc>
          <w:tcPr>
            <w:tcW w:w="1923" w:type="dxa"/>
            <w:tcBorders/>
          </w:tcPr>
          <w:p>
            <w:pPr>
              <w:pStyle w:val="TableContents"/>
              <w:bidi w:val="0"/>
              <w:spacing w:before="0" w:after="0"/>
              <w:jc w:val="left"/>
              <w:rPr>
                <w:rFonts w:ascii="Times New Roman" w:hAnsi="Times New Roman"/>
                <w:sz w:val="20"/>
              </w:rPr>
            </w:pPr>
            <w:r>
              <w:rPr>
                <w:rFonts w:ascii="Times New Roman" w:hAnsi="Times New Roman"/>
                <w:sz w:val="20"/>
              </w:rPr>
              <w:t>R. Sanders Williams, M.D.(2)(4)</w:t>
            </w:r>
          </w:p>
        </w:tc>
        <w:tc>
          <w:tcPr>
            <w:tcW w:w="6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right"/>
              <w:rPr/>
            </w:pPr>
            <w:r>
              <w:rPr/>
              <w:t>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76</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2" w:type="dxa"/>
            <w:tcBorders/>
            <w:vAlign w:val="bottom"/>
          </w:tcPr>
          <w:p>
            <w:pPr>
              <w:pStyle w:val="TableContents"/>
              <w:bidi w:val="0"/>
              <w:spacing w:before="0" w:after="283"/>
              <w:jc w:val="left"/>
              <w:rPr/>
            </w:pPr>
            <w:r>
              <w:rPr/>
              <w:t>Chair and 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91" w:type="dxa"/>
            <w:tcBorders/>
          </w:tcPr>
          <w:p>
            <w:pPr>
              <w:pStyle w:val="TableContents"/>
              <w:bidi w:val="0"/>
              <w:spacing w:before="0" w:after="283"/>
              <w:jc w:val="right"/>
              <w:rPr/>
            </w:pPr>
            <w:r>
              <w:rPr/>
              <w:t>2016</w:t>
            </w:r>
          </w:p>
        </w:tc>
        <w:tc>
          <w:tcPr>
            <w:tcW w:w="91"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778" w:type="dxa"/>
            <w:tcBorders/>
          </w:tcPr>
          <w:p>
            <w:pPr>
              <w:pStyle w:val="TableContents"/>
              <w:bidi w:val="0"/>
              <w:spacing w:before="0" w:after="283"/>
              <w:jc w:val="right"/>
              <w:rPr/>
            </w:pPr>
            <w:r>
              <w:rPr/>
              <w:t>2025</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1" w:type="dxa"/>
            <w:tcBorders/>
          </w:tcPr>
          <w:p>
            <w:pPr>
              <w:pStyle w:val="TableContents"/>
              <w:bidi w:val="0"/>
              <w:spacing w:before="0" w:after="283"/>
              <w:jc w:val="right"/>
              <w:rPr/>
            </w:pPr>
            <w:r>
              <w:rPr/>
              <w:t>2028</w:t>
            </w:r>
          </w:p>
        </w:tc>
        <w:tc>
          <w:tcPr>
            <w:tcW w:w="79" w:type="dxa"/>
            <w:tcBorders/>
          </w:tcPr>
          <w:p>
            <w:pPr>
              <w:pStyle w:val="TableContents"/>
              <w:bidi w:val="0"/>
              <w:spacing w:before="0" w:after="283"/>
              <w:jc w:val="left"/>
              <w:rPr/>
            </w:pPr>
            <w:r>
              <w:rPr/>
              <w:t> </w:t>
            </w:r>
          </w:p>
        </w:tc>
      </w:tr>
      <w:tr>
        <w:trPr/>
        <w:tc>
          <w:tcPr>
            <w:tcW w:w="19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Continuing Directors</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4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sz w:val="4"/>
                <w:szCs w:val="4"/>
              </w:rPr>
            </w:pPr>
            <w:r>
              <w:rPr>
                <w:sz w:val="4"/>
                <w:szCs w:val="4"/>
              </w:rPr>
            </w:r>
          </w:p>
        </w:tc>
        <w:tc>
          <w:tcPr>
            <w:tcW w:w="791" w:type="dxa"/>
            <w:tcBorders/>
            <w:shd w:fill="CCEEFF" w:val="clear"/>
          </w:tcPr>
          <w:p>
            <w:pPr>
              <w:pStyle w:val="TableContents"/>
              <w:bidi w:val="0"/>
              <w:spacing w:before="0" w:after="283"/>
              <w:jc w:val="left"/>
              <w:rPr>
                <w:sz w:val="4"/>
                <w:szCs w:val="4"/>
              </w:rPr>
            </w:pPr>
            <w:r>
              <w:rPr>
                <w:sz w:val="4"/>
                <w:szCs w:val="4"/>
              </w:rPr>
            </w:r>
          </w:p>
        </w:tc>
        <w:tc>
          <w:tcPr>
            <w:tcW w:w="91" w:type="dxa"/>
            <w:tcBorders/>
            <w:shd w:fill="CCEEFF" w:val="clear"/>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91" w:type="dxa"/>
            <w:tcBorders/>
            <w:shd w:fill="CCEEFF" w:val="clear"/>
          </w:tcPr>
          <w:p>
            <w:pPr>
              <w:pStyle w:val="TableContents"/>
              <w:bidi w:val="0"/>
              <w:spacing w:before="0" w:after="283"/>
              <w:jc w:val="left"/>
              <w:rPr>
                <w:sz w:val="4"/>
                <w:szCs w:val="4"/>
              </w:rPr>
            </w:pPr>
            <w:r>
              <w:rPr>
                <w:sz w:val="4"/>
                <w:szCs w:val="4"/>
              </w:rPr>
            </w:r>
          </w:p>
        </w:tc>
        <w:tc>
          <w:tcPr>
            <w:tcW w:w="778" w:type="dxa"/>
            <w:tcBorders/>
            <w:shd w:fill="CCEEFF" w:val="clear"/>
          </w:tcPr>
          <w:p>
            <w:pPr>
              <w:pStyle w:val="TableContents"/>
              <w:bidi w:val="0"/>
              <w:spacing w:before="0" w:after="283"/>
              <w:jc w:val="left"/>
              <w:rPr>
                <w:sz w:val="4"/>
                <w:szCs w:val="4"/>
              </w:rPr>
            </w:pPr>
            <w:r>
              <w:rPr>
                <w:sz w:val="4"/>
                <w:szCs w:val="4"/>
              </w:rPr>
            </w:r>
          </w:p>
        </w:tc>
        <w:tc>
          <w:tcPr>
            <w:tcW w:w="72" w:type="dxa"/>
            <w:tcBorders/>
            <w:shd w:fill="CCEEFF" w:val="clear"/>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sz w:val="4"/>
                <w:szCs w:val="4"/>
              </w:rPr>
            </w:pPr>
            <w:r>
              <w:rPr>
                <w:sz w:val="4"/>
                <w:szCs w:val="4"/>
              </w:rPr>
            </w:r>
          </w:p>
        </w:tc>
        <w:tc>
          <w:tcPr>
            <w:tcW w:w="1241" w:type="dxa"/>
            <w:tcBorders/>
            <w:shd w:fill="CCEEFF" w:val="clear"/>
          </w:tcPr>
          <w:p>
            <w:pPr>
              <w:pStyle w:val="TableContents"/>
              <w:bidi w:val="0"/>
              <w:spacing w:before="0" w:after="283"/>
              <w:jc w:val="left"/>
              <w:rPr>
                <w:sz w:val="4"/>
                <w:szCs w:val="4"/>
              </w:rPr>
            </w:pPr>
            <w:r>
              <w:rPr>
                <w:sz w:val="4"/>
                <w:szCs w:val="4"/>
              </w:rPr>
            </w:r>
          </w:p>
        </w:tc>
        <w:tc>
          <w:tcPr>
            <w:tcW w:w="79" w:type="dxa"/>
            <w:tcBorders/>
            <w:shd w:fill="CCEEFF" w:val="clear"/>
          </w:tcPr>
          <w:p>
            <w:pPr>
              <w:pStyle w:val="TableContents"/>
              <w:bidi w:val="0"/>
              <w:spacing w:before="0" w:after="283"/>
              <w:jc w:val="left"/>
              <w:rPr>
                <w:sz w:val="4"/>
                <w:szCs w:val="4"/>
              </w:rPr>
            </w:pPr>
            <w:r>
              <w:rPr>
                <w:sz w:val="4"/>
                <w:szCs w:val="4"/>
              </w:rPr>
            </w:r>
          </w:p>
        </w:tc>
      </w:tr>
      <w:tr>
        <w:trPr/>
        <w:tc>
          <w:tcPr>
            <w:tcW w:w="1923" w:type="dxa"/>
            <w:tcBorders/>
          </w:tcPr>
          <w:p>
            <w:pPr>
              <w:pStyle w:val="TableContents"/>
              <w:bidi w:val="0"/>
              <w:spacing w:before="0" w:after="0"/>
              <w:jc w:val="left"/>
              <w:rPr>
                <w:rFonts w:ascii="Times New Roman" w:hAnsi="Times New Roman"/>
                <w:sz w:val="20"/>
              </w:rPr>
            </w:pPr>
            <w:r>
              <w:rPr>
                <w:rFonts w:ascii="Times New Roman" w:hAnsi="Times New Roman"/>
                <w:sz w:val="20"/>
              </w:rPr>
              <w:t>Amy Burroughs, M.B.A.(1)</w:t>
            </w:r>
          </w:p>
        </w:tc>
        <w:tc>
          <w:tcPr>
            <w:tcW w:w="6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right"/>
              <w:rPr/>
            </w:pPr>
            <w:r>
              <w:rPr/>
              <w:t>II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54</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2" w:type="dxa"/>
            <w:tcBorders/>
            <w:vAlign w:val="bottom"/>
          </w:tcPr>
          <w:p>
            <w:pPr>
              <w:pStyle w:val="TableContents"/>
              <w:bidi w:val="0"/>
              <w:spacing w:before="0" w:after="283"/>
              <w:jc w:val="left"/>
              <w:rPr/>
            </w:pPr>
            <w:r>
              <w:rPr/>
              <w:t>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91" w:type="dxa"/>
            <w:tcBorders/>
          </w:tcPr>
          <w:p>
            <w:pPr>
              <w:pStyle w:val="TableContents"/>
              <w:bidi w:val="0"/>
              <w:spacing w:before="0" w:after="283"/>
              <w:jc w:val="right"/>
              <w:rPr/>
            </w:pPr>
            <w:r>
              <w:rPr/>
              <w:t>2022</w:t>
            </w:r>
          </w:p>
        </w:tc>
        <w:tc>
          <w:tcPr>
            <w:tcW w:w="91"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778" w:type="dxa"/>
            <w:tcBorders/>
          </w:tcPr>
          <w:p>
            <w:pPr>
              <w:pStyle w:val="TableContents"/>
              <w:bidi w:val="0"/>
              <w:spacing w:before="0" w:after="283"/>
              <w:jc w:val="right"/>
              <w:rPr/>
            </w:pPr>
            <w:r>
              <w:rPr/>
              <w:t>2026</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1" w:type="dxa"/>
            <w:tcBorders/>
          </w:tcPr>
          <w:p>
            <w:pPr>
              <w:pStyle w:val="TableContents"/>
              <w:bidi w:val="0"/>
              <w:spacing w:before="0" w:after="283"/>
              <w:jc w:val="right"/>
              <w:rPr/>
            </w:pPr>
            <w:r>
              <w:rPr/>
              <w:t> </w:t>
            </w:r>
          </w:p>
        </w:tc>
        <w:tc>
          <w:tcPr>
            <w:tcW w:w="79" w:type="dxa"/>
            <w:tcBorders/>
          </w:tcPr>
          <w:p>
            <w:pPr>
              <w:pStyle w:val="TableContents"/>
              <w:bidi w:val="0"/>
              <w:spacing w:before="0" w:after="283"/>
              <w:jc w:val="left"/>
              <w:rPr/>
            </w:pPr>
            <w:r>
              <w:rPr/>
              <w:t> </w:t>
            </w:r>
          </w:p>
        </w:tc>
      </w:tr>
      <w:tr>
        <w:trPr/>
        <w:tc>
          <w:tcPr>
            <w:tcW w:w="1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Karah Parschauer, J.D.(1)</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tcPr>
          <w:p>
            <w:pPr>
              <w:pStyle w:val="TableContents"/>
              <w:bidi w:val="0"/>
              <w:spacing w:before="0" w:after="283"/>
              <w:jc w:val="right"/>
              <w:rPr/>
            </w:pPr>
            <w:r>
              <w:rPr/>
              <w:t>II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47</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42" w:type="dxa"/>
            <w:tcBorders/>
            <w:shd w:fill="CCEEFF" w:val="clear"/>
            <w:vAlign w:val="bottom"/>
          </w:tcPr>
          <w:p>
            <w:pPr>
              <w:pStyle w:val="TableContents"/>
              <w:bidi w:val="0"/>
              <w:spacing w:before="0" w:after="283"/>
              <w:jc w:val="left"/>
              <w:rPr/>
            </w:pPr>
            <w:r>
              <w:rPr/>
              <w:t>Director</w:t>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91" w:type="dxa"/>
            <w:tcBorders/>
            <w:shd w:fill="CCEEFF" w:val="clear"/>
          </w:tcPr>
          <w:p>
            <w:pPr>
              <w:pStyle w:val="TableContents"/>
              <w:bidi w:val="0"/>
              <w:spacing w:before="0" w:after="283"/>
              <w:jc w:val="right"/>
              <w:rPr/>
            </w:pPr>
            <w:r>
              <w:rPr/>
              <w:t>2021</w:t>
            </w:r>
          </w:p>
        </w:tc>
        <w:tc>
          <w:tcPr>
            <w:tcW w:w="91"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1" w:type="dxa"/>
            <w:tcBorders/>
            <w:shd w:fill="CCEEFF" w:val="clear"/>
          </w:tcPr>
          <w:p>
            <w:pPr>
              <w:pStyle w:val="TableContents"/>
              <w:bidi w:val="0"/>
              <w:spacing w:before="0" w:after="283"/>
              <w:jc w:val="left"/>
              <w:rPr/>
            </w:pPr>
            <w:r>
              <w:rPr/>
              <w:t> </w:t>
            </w:r>
          </w:p>
        </w:tc>
        <w:tc>
          <w:tcPr>
            <w:tcW w:w="778" w:type="dxa"/>
            <w:tcBorders/>
            <w:shd w:fill="CCEEFF" w:val="clear"/>
          </w:tcPr>
          <w:p>
            <w:pPr>
              <w:pStyle w:val="TableContents"/>
              <w:bidi w:val="0"/>
              <w:spacing w:before="0" w:after="283"/>
              <w:jc w:val="right"/>
              <w:rPr/>
            </w:pPr>
            <w:r>
              <w:rPr/>
              <w:t>2026</w:t>
            </w:r>
          </w:p>
        </w:tc>
        <w:tc>
          <w:tcPr>
            <w:tcW w:w="72"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1" w:type="dxa"/>
            <w:tcBorders/>
            <w:shd w:fill="CCEEFF" w:val="clear"/>
          </w:tcPr>
          <w:p>
            <w:pPr>
              <w:pStyle w:val="TableContents"/>
              <w:bidi w:val="0"/>
              <w:spacing w:before="0" w:after="283"/>
              <w:jc w:val="right"/>
              <w:rPr/>
            </w:pPr>
            <w:r>
              <w:rPr/>
              <w:t> </w:t>
            </w:r>
          </w:p>
        </w:tc>
        <w:tc>
          <w:tcPr>
            <w:tcW w:w="79" w:type="dxa"/>
            <w:tcBorders/>
            <w:shd w:fill="CCEEFF" w:val="clear"/>
          </w:tcPr>
          <w:p>
            <w:pPr>
              <w:pStyle w:val="TableContents"/>
              <w:bidi w:val="0"/>
              <w:spacing w:before="0" w:after="283"/>
              <w:jc w:val="left"/>
              <w:rPr/>
            </w:pPr>
            <w:r>
              <w:rPr/>
              <w:t> </w:t>
            </w:r>
          </w:p>
        </w:tc>
      </w:tr>
      <w:tr>
        <w:trPr/>
        <w:tc>
          <w:tcPr>
            <w:tcW w:w="1923" w:type="dxa"/>
            <w:tcBorders/>
          </w:tcPr>
          <w:p>
            <w:pPr>
              <w:pStyle w:val="TableContents"/>
              <w:bidi w:val="0"/>
              <w:spacing w:before="0" w:after="0"/>
              <w:jc w:val="left"/>
              <w:rPr>
                <w:rFonts w:ascii="Times New Roman" w:hAnsi="Times New Roman"/>
                <w:sz w:val="20"/>
              </w:rPr>
            </w:pPr>
            <w:r>
              <w:rPr>
                <w:rFonts w:ascii="Times New Roman" w:hAnsi="Times New Roman"/>
                <w:sz w:val="20"/>
              </w:rPr>
              <w:t>Catherine Stehman-Breen, M.D.(4)</w:t>
            </w:r>
          </w:p>
        </w:tc>
        <w:tc>
          <w:tcPr>
            <w:tcW w:w="6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right"/>
              <w:rPr/>
            </w:pPr>
            <w:r>
              <w:rPr/>
              <w:t>II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62</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2" w:type="dxa"/>
            <w:tcBorders/>
            <w:vAlign w:val="bottom"/>
          </w:tcPr>
          <w:p>
            <w:pPr>
              <w:pStyle w:val="TableContents"/>
              <w:bidi w:val="0"/>
              <w:spacing w:before="0" w:after="283"/>
              <w:jc w:val="left"/>
              <w:rPr/>
            </w:pPr>
            <w:r>
              <w:rPr/>
              <w:t>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91" w:type="dxa"/>
            <w:tcBorders/>
          </w:tcPr>
          <w:p>
            <w:pPr>
              <w:pStyle w:val="TableContents"/>
              <w:bidi w:val="0"/>
              <w:spacing w:before="0" w:after="283"/>
              <w:jc w:val="right"/>
              <w:rPr/>
            </w:pPr>
            <w:r>
              <w:rPr/>
              <w:t>2020</w:t>
            </w:r>
          </w:p>
        </w:tc>
        <w:tc>
          <w:tcPr>
            <w:tcW w:w="91"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778" w:type="dxa"/>
            <w:tcBorders/>
          </w:tcPr>
          <w:p>
            <w:pPr>
              <w:pStyle w:val="TableContents"/>
              <w:bidi w:val="0"/>
              <w:spacing w:before="0" w:after="283"/>
              <w:jc w:val="right"/>
              <w:rPr/>
            </w:pPr>
            <w:r>
              <w:rPr/>
              <w:t>2026</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1" w:type="dxa"/>
            <w:tcBorders/>
          </w:tcPr>
          <w:p>
            <w:pPr>
              <w:pStyle w:val="TableContents"/>
              <w:bidi w:val="0"/>
              <w:spacing w:before="0" w:after="283"/>
              <w:jc w:val="right"/>
              <w:rPr/>
            </w:pPr>
            <w:r>
              <w:rPr/>
              <w:t> </w:t>
            </w:r>
          </w:p>
        </w:tc>
        <w:tc>
          <w:tcPr>
            <w:tcW w:w="79" w:type="dxa"/>
            <w:tcBorders/>
          </w:tcPr>
          <w:p>
            <w:pPr>
              <w:pStyle w:val="TableContents"/>
              <w:bidi w:val="0"/>
              <w:spacing w:before="0" w:after="283"/>
              <w:jc w:val="left"/>
              <w:rPr/>
            </w:pPr>
            <w:r>
              <w:rPr/>
              <w:t> </w:t>
            </w:r>
          </w:p>
        </w:tc>
      </w:tr>
      <w:tr>
        <w:trPr/>
        <w:tc>
          <w:tcPr>
            <w:tcW w:w="1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Faraz Ali, M.B.A.</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tcPr>
          <w:p>
            <w:pPr>
              <w:pStyle w:val="TableContents"/>
              <w:bidi w:val="0"/>
              <w:spacing w:before="0" w:after="283"/>
              <w:jc w:val="right"/>
              <w:rPr/>
            </w:pPr>
            <w:r>
              <w:rPr/>
              <w:t>III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52</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42" w:type="dxa"/>
            <w:tcBorders/>
            <w:shd w:fill="CCEEFF" w:val="clear"/>
            <w:vAlign w:val="bottom"/>
          </w:tcPr>
          <w:p>
            <w:pPr>
              <w:pStyle w:val="TableContents"/>
              <w:bidi w:val="0"/>
              <w:spacing w:before="0" w:after="283"/>
              <w:jc w:val="left"/>
              <w:rPr/>
            </w:pPr>
            <w:r>
              <w:rPr/>
              <w:t>Chief Executive Officer and Director</w:t>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91" w:type="dxa"/>
            <w:tcBorders/>
            <w:shd w:fill="CCEEFF" w:val="clear"/>
          </w:tcPr>
          <w:p>
            <w:pPr>
              <w:pStyle w:val="TableContents"/>
              <w:bidi w:val="0"/>
              <w:spacing w:before="0" w:after="283"/>
              <w:jc w:val="right"/>
              <w:rPr/>
            </w:pPr>
            <w:r>
              <w:rPr/>
              <w:t>2018</w:t>
            </w:r>
          </w:p>
        </w:tc>
        <w:tc>
          <w:tcPr>
            <w:tcW w:w="91"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1" w:type="dxa"/>
            <w:tcBorders/>
            <w:shd w:fill="CCEEFF" w:val="clear"/>
          </w:tcPr>
          <w:p>
            <w:pPr>
              <w:pStyle w:val="TableContents"/>
              <w:bidi w:val="0"/>
              <w:spacing w:before="0" w:after="283"/>
              <w:jc w:val="left"/>
              <w:rPr/>
            </w:pPr>
            <w:r>
              <w:rPr/>
              <w:t> </w:t>
            </w:r>
          </w:p>
        </w:tc>
        <w:tc>
          <w:tcPr>
            <w:tcW w:w="778" w:type="dxa"/>
            <w:tcBorders/>
            <w:shd w:fill="CCEEFF" w:val="clear"/>
          </w:tcPr>
          <w:p>
            <w:pPr>
              <w:pStyle w:val="TableContents"/>
              <w:bidi w:val="0"/>
              <w:spacing w:before="0" w:after="283"/>
              <w:jc w:val="right"/>
              <w:rPr/>
            </w:pPr>
            <w:r>
              <w:rPr/>
              <w:t>2027</w:t>
            </w:r>
          </w:p>
        </w:tc>
        <w:tc>
          <w:tcPr>
            <w:tcW w:w="72"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1" w:type="dxa"/>
            <w:tcBorders/>
            <w:shd w:fill="CCEEFF" w:val="clear"/>
          </w:tcPr>
          <w:p>
            <w:pPr>
              <w:pStyle w:val="TableContents"/>
              <w:bidi w:val="0"/>
              <w:spacing w:before="0" w:after="283"/>
              <w:jc w:val="right"/>
              <w:rPr/>
            </w:pPr>
            <w:r>
              <w:rPr/>
              <w:t> </w:t>
            </w:r>
          </w:p>
        </w:tc>
        <w:tc>
          <w:tcPr>
            <w:tcW w:w="79" w:type="dxa"/>
            <w:tcBorders/>
            <w:shd w:fill="CCEEFF" w:val="clear"/>
          </w:tcPr>
          <w:p>
            <w:pPr>
              <w:pStyle w:val="TableContents"/>
              <w:bidi w:val="0"/>
              <w:spacing w:before="0" w:after="283"/>
              <w:jc w:val="left"/>
              <w:rPr/>
            </w:pPr>
            <w:r>
              <w:rPr/>
              <w:t> </w:t>
            </w:r>
          </w:p>
        </w:tc>
      </w:tr>
      <w:tr>
        <w:trPr/>
        <w:tc>
          <w:tcPr>
            <w:tcW w:w="1923" w:type="dxa"/>
            <w:tcBorders/>
          </w:tcPr>
          <w:p>
            <w:pPr>
              <w:pStyle w:val="TableContents"/>
              <w:bidi w:val="0"/>
              <w:spacing w:before="0" w:after="0"/>
              <w:jc w:val="left"/>
              <w:rPr>
                <w:rFonts w:ascii="Times New Roman" w:hAnsi="Times New Roman"/>
                <w:sz w:val="20"/>
              </w:rPr>
            </w:pPr>
            <w:r>
              <w:rPr>
                <w:rFonts w:ascii="Times New Roman" w:hAnsi="Times New Roman"/>
                <w:sz w:val="20"/>
              </w:rPr>
              <w:t>June Lee, M.D. (2)(4)</w:t>
            </w:r>
          </w:p>
        </w:tc>
        <w:tc>
          <w:tcPr>
            <w:tcW w:w="60"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right"/>
              <w:rPr/>
            </w:pPr>
            <w:r>
              <w:rPr/>
              <w:t>III</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59</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2" w:type="dxa"/>
            <w:tcBorders/>
            <w:vAlign w:val="bottom"/>
          </w:tcPr>
          <w:p>
            <w:pPr>
              <w:pStyle w:val="TableContents"/>
              <w:bidi w:val="0"/>
              <w:spacing w:before="0" w:after="283"/>
              <w:jc w:val="left"/>
              <w:rPr/>
            </w:pPr>
            <w:r>
              <w:rPr/>
              <w:t>Director</w:t>
            </w:r>
          </w:p>
        </w:tc>
        <w:tc>
          <w:tcPr>
            <w:tcW w:w="7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791" w:type="dxa"/>
            <w:tcBorders/>
          </w:tcPr>
          <w:p>
            <w:pPr>
              <w:pStyle w:val="TableContents"/>
              <w:bidi w:val="0"/>
              <w:spacing w:before="0" w:after="283"/>
              <w:jc w:val="right"/>
              <w:rPr/>
            </w:pPr>
            <w:r>
              <w:rPr/>
              <w:t>2021</w:t>
            </w:r>
          </w:p>
        </w:tc>
        <w:tc>
          <w:tcPr>
            <w:tcW w:w="91"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1" w:type="dxa"/>
            <w:tcBorders/>
          </w:tcPr>
          <w:p>
            <w:pPr>
              <w:pStyle w:val="TableContents"/>
              <w:bidi w:val="0"/>
              <w:spacing w:before="0" w:after="283"/>
              <w:jc w:val="left"/>
              <w:rPr/>
            </w:pPr>
            <w:r>
              <w:rPr/>
              <w:t> </w:t>
            </w:r>
          </w:p>
        </w:tc>
        <w:tc>
          <w:tcPr>
            <w:tcW w:w="778" w:type="dxa"/>
            <w:tcBorders/>
          </w:tcPr>
          <w:p>
            <w:pPr>
              <w:pStyle w:val="TableContents"/>
              <w:bidi w:val="0"/>
              <w:spacing w:before="0" w:after="283"/>
              <w:jc w:val="right"/>
              <w:rPr/>
            </w:pPr>
            <w:r>
              <w:rPr/>
              <w:t>2027</w:t>
            </w:r>
          </w:p>
        </w:tc>
        <w:tc>
          <w:tcPr>
            <w:tcW w:w="72" w:type="dxa"/>
            <w:tcBorders/>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1" w:type="dxa"/>
            <w:tcBorders/>
          </w:tcPr>
          <w:p>
            <w:pPr>
              <w:pStyle w:val="TableContents"/>
              <w:bidi w:val="0"/>
              <w:spacing w:before="0" w:after="283"/>
              <w:jc w:val="right"/>
              <w:rPr/>
            </w:pPr>
            <w:r>
              <w:rPr/>
              <w:t> </w:t>
            </w:r>
          </w:p>
        </w:tc>
        <w:tc>
          <w:tcPr>
            <w:tcW w:w="79" w:type="dxa"/>
            <w:tcBorders/>
          </w:tcPr>
          <w:p>
            <w:pPr>
              <w:pStyle w:val="TableContents"/>
              <w:bidi w:val="0"/>
              <w:spacing w:before="0" w:after="283"/>
              <w:jc w:val="left"/>
              <w:rPr/>
            </w:pPr>
            <w:r>
              <w:rPr/>
              <w:t> </w:t>
            </w:r>
          </w:p>
        </w:tc>
      </w:tr>
      <w:tr>
        <w:trPr/>
        <w:tc>
          <w:tcPr>
            <w:tcW w:w="1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Deepak Srivastava, M.D. (3)(4)</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tcPr>
          <w:p>
            <w:pPr>
              <w:pStyle w:val="TableContents"/>
              <w:bidi w:val="0"/>
              <w:spacing w:before="0" w:after="283"/>
              <w:jc w:val="right"/>
              <w:rPr/>
            </w:pPr>
            <w:r>
              <w:rPr/>
              <w:t>III</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58</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42" w:type="dxa"/>
            <w:tcBorders/>
            <w:shd w:fill="CCEEFF" w:val="clear"/>
            <w:vAlign w:val="bottom"/>
          </w:tcPr>
          <w:p>
            <w:pPr>
              <w:pStyle w:val="TableContents"/>
              <w:bidi w:val="0"/>
              <w:spacing w:before="0" w:after="283"/>
              <w:jc w:val="left"/>
              <w:rPr/>
            </w:pPr>
            <w:r>
              <w:rPr/>
              <w:t>Director</w:t>
            </w:r>
          </w:p>
        </w:tc>
        <w:tc>
          <w:tcPr>
            <w:tcW w:w="7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791" w:type="dxa"/>
            <w:tcBorders/>
            <w:shd w:fill="CCEEFF" w:val="clear"/>
          </w:tcPr>
          <w:p>
            <w:pPr>
              <w:pStyle w:val="TableContents"/>
              <w:bidi w:val="0"/>
              <w:spacing w:before="0" w:after="283"/>
              <w:jc w:val="right"/>
              <w:rPr/>
            </w:pPr>
            <w:r>
              <w:rPr/>
              <w:t>2016</w:t>
            </w:r>
          </w:p>
        </w:tc>
        <w:tc>
          <w:tcPr>
            <w:tcW w:w="91"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1" w:type="dxa"/>
            <w:tcBorders/>
            <w:shd w:fill="CCEEFF" w:val="clear"/>
          </w:tcPr>
          <w:p>
            <w:pPr>
              <w:pStyle w:val="TableContents"/>
              <w:bidi w:val="0"/>
              <w:spacing w:before="0" w:after="283"/>
              <w:jc w:val="left"/>
              <w:rPr/>
            </w:pPr>
            <w:r>
              <w:rPr/>
              <w:t> </w:t>
            </w:r>
          </w:p>
        </w:tc>
        <w:tc>
          <w:tcPr>
            <w:tcW w:w="778" w:type="dxa"/>
            <w:tcBorders/>
            <w:shd w:fill="CCEEFF" w:val="clear"/>
          </w:tcPr>
          <w:p>
            <w:pPr>
              <w:pStyle w:val="TableContents"/>
              <w:bidi w:val="0"/>
              <w:spacing w:before="0" w:after="283"/>
              <w:jc w:val="right"/>
              <w:rPr/>
            </w:pPr>
            <w:r>
              <w:rPr/>
              <w:t>2027</w:t>
            </w:r>
          </w:p>
        </w:tc>
        <w:tc>
          <w:tcPr>
            <w:tcW w:w="72" w:type="dxa"/>
            <w:tcBorders/>
            <w:shd w:fill="CCEEFF" w:val="clear"/>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1" w:type="dxa"/>
            <w:tcBorders/>
            <w:shd w:fill="CCEEFF" w:val="clear"/>
          </w:tcPr>
          <w:p>
            <w:pPr>
              <w:pStyle w:val="TableContents"/>
              <w:bidi w:val="0"/>
              <w:spacing w:before="0" w:after="283"/>
              <w:jc w:val="right"/>
              <w:rPr/>
            </w:pPr>
            <w:r>
              <w:rPr/>
              <w:t> </w:t>
            </w:r>
          </w:p>
        </w:tc>
        <w:tc>
          <w:tcPr>
            <w:tcW w:w="79" w:type="dxa"/>
            <w:tcBorders/>
            <w:shd w:fill="CCEEFF" w:val="clea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audit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compensation committee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corporate governance and nominating committee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science and technology committee </w:t>
            </w:r>
          </w:p>
        </w:tc>
      </w:tr>
    </w:tbl>
    <w:p>
      <w:pPr>
        <w:pStyle w:val="TextBody"/>
        <w:bidi w:val="0"/>
        <w:spacing w:before="360" w:after="0"/>
        <w:jc w:val="left"/>
        <w:rPr>
          <w:rFonts w:ascii="Times New Roman" w:hAnsi="Times New Roman"/>
          <w:b/>
          <w:sz w:val="20"/>
        </w:rPr>
      </w:pPr>
      <w:bookmarkStart w:id="6" w:name="toc884353_4"/>
      <w:bookmarkEnd w:id="6"/>
      <w:r>
        <w:rPr>
          <w:rFonts w:ascii="Times New Roman" w:hAnsi="Times New Roman"/>
          <w:b/>
          <w:sz w:val="20"/>
        </w:rPr>
        <w:t xml:space="preserve">Class I Nominees for Director </w:t>
      </w:r>
    </w:p>
    <w:p>
      <w:pPr>
        <w:pStyle w:val="TextBody"/>
        <w:bidi w:val="0"/>
        <w:spacing w:before="120" w:after="0"/>
        <w:jc w:val="left"/>
        <w:rPr>
          <w:rFonts w:ascii="Times New Roman" w:hAnsi="Times New Roman"/>
          <w:sz w:val="20"/>
        </w:rPr>
      </w:pPr>
      <w:r>
        <w:rPr>
          <w:rFonts w:ascii="Times New Roman" w:hAnsi="Times New Roman"/>
          <w:b/>
          <w:i/>
          <w:sz w:val="20"/>
        </w:rPr>
        <w:t>David Goeddel, Ph.D.,</w:t>
      </w:r>
      <w:r>
        <w:rPr>
          <w:rFonts w:ascii="Times New Roman" w:hAnsi="Times New Roman"/>
          <w:sz w:val="20"/>
        </w:rPr>
        <w:t xml:space="preserve"> has served as a member of our board of directors since August 2016. Dr. Goeddel has served as a Managing Partner of The Column Group, a venture capital firm, since 2007. Dr. Goeddel is a member of the board of directors of A2 Biotherapeutics, Inc. (Chairman) and Hexagon Bio, Inc. (Chairman), both privately held biopharmaceutical companies. He previously served as a member of the board of directors for multiple other publicly and privately held companies, including most recently, NGM Biopharmaceuticals, Inc., RAPT Therapeutics, Inc., Nura Bio Inc., Surrozen, Inc., Exonics Therapeutics, Inc. and Peloton Therapeutics, Inc. Dr. Goeddel co-founded Tularik, Inc. (Tularik) in November 1991, was Vice President of Research until 1996, and served as Chief Executive Officer from 1996 until 2004. He then served as the first Senior Vice President of Amgen, Inc.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He holds a B.A. in chemistry from the University of California, San Diego and a Ph.D. in biochemistry from the University of Colorado.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his extensive experience in investing in diverse biotechnology companies and his experience as a public company board member, including within the biotechnology industry. </w:t>
      </w:r>
    </w:p>
    <w:p>
      <w:pPr>
        <w:pStyle w:val="TextBody"/>
        <w:bidi w:val="0"/>
        <w:spacing w:before="240" w:after="0"/>
        <w:jc w:val="left"/>
        <w:rPr>
          <w:rFonts w:ascii="Times New Roman" w:hAnsi="Times New Roman"/>
          <w:sz w:val="20"/>
        </w:rPr>
      </w:pPr>
      <w:r>
        <w:rPr>
          <w:rFonts w:ascii="Times New Roman" w:hAnsi="Times New Roman"/>
          <w:b/>
          <w:i/>
          <w:sz w:val="20"/>
        </w:rPr>
        <w:t>Jeffrey T. Walsh, M.B.A</w:t>
      </w:r>
      <w:r>
        <w:rPr>
          <w:rFonts w:ascii="Times New Roman" w:hAnsi="Times New Roman"/>
          <w:b/>
          <w:sz w:val="20"/>
        </w:rPr>
        <w:t>.</w:t>
      </w:r>
      <w:r>
        <w:rPr>
          <w:rFonts w:ascii="Times New Roman" w:hAnsi="Times New Roman"/>
          <w:sz w:val="20"/>
        </w:rPr>
        <w:t xml:space="preserve">, has served as a member of our board of directors since March 2020. In January 2025, Mr. Walsh began serving as Chief Executive Officer of NChroma Bio, Inc., a private biotechnology company focused on genetic medicines, following its merger with Nvelop Therapeutics, Inc. where he had served as Chief Executive Officer since April 2023. From January 2022 through April 2023, Mr. Walsh served as a part-time venture partner at Third Rock Ventures. Previously, between May 2011 and March 2021, he served in various roles at bluebird bio, Inc., including most recently as Strategic Advisor,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Mr. Walsh serves as a member of the Board of Tevard Biosciences, a private biotechnology company. He received a B.A. in sociology and economics from Yale University and an M.B.A. from the Kellogg Graduate School of Management at Northwestern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 </w:t>
      </w:r>
    </w:p>
    <w:p>
      <w:pPr>
        <w:pStyle w:val="TextBody"/>
        <w:bidi w:val="0"/>
        <w:spacing w:before="240" w:after="0"/>
        <w:jc w:val="left"/>
        <w:rPr>
          <w:rFonts w:ascii="Times New Roman" w:hAnsi="Times New Roman"/>
          <w:sz w:val="20"/>
        </w:rPr>
      </w:pPr>
      <w:r>
        <w:rPr>
          <w:rFonts w:ascii="Times New Roman" w:hAnsi="Times New Roman"/>
          <w:b/>
          <w:i/>
          <w:sz w:val="20"/>
        </w:rPr>
        <w:t>R. Sanders (Sandy) Williams, M.D</w:t>
      </w:r>
      <w:r>
        <w:rPr>
          <w:rFonts w:ascii="Times New Roman" w:hAnsi="Times New Roman"/>
          <w:b/>
          <w:sz w:val="20"/>
        </w:rPr>
        <w:t>.</w:t>
      </w:r>
      <w:r>
        <w:rPr>
          <w:rFonts w:ascii="Times New Roman" w:hAnsi="Times New Roman"/>
          <w:sz w:val="20"/>
        </w:rPr>
        <w:t xml:space="preserve">, has served as a member of our board of directors since October 2016 and as chair of our board of directors since January 2025.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Science &amp; Technology at Duke University and, from February 2021-January 2022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has served as a member of the board of directors of Scion Neurotism, Inc., a private biotechnology company since October 2023. From October 2014 to May 2024, he served as a member of the board of directors of the Laboratory Corporation of America Holdings from and Amgen, both publicly traded companies. Dr. Williams was elected to the National Academy of Medicine in 2002. Dr. Williams received an A.B. from Princeton University and an M.D. from Duke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Dr. Williams is qualified to serve on our board because of his scientific and educational background, his extensive expertise in the cardiovascular field, and his experience as a public company board member, including within the biotechnology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 w:name="toc884353_5"/>
      <w:bookmarkEnd w:id="7"/>
      <w:r>
        <w:rPr>
          <w:rFonts w:ascii="Times New Roman" w:hAnsi="Times New Roman"/>
          <w:b/>
          <w:sz w:val="20"/>
        </w:rPr>
        <w:t xml:space="preserve">Continuing Directors </w:t>
      </w:r>
    </w:p>
    <w:p>
      <w:pPr>
        <w:pStyle w:val="TextBody"/>
        <w:bidi w:val="0"/>
        <w:spacing w:before="120" w:after="0"/>
        <w:jc w:val="left"/>
        <w:rPr>
          <w:rFonts w:ascii="Times New Roman" w:hAnsi="Times New Roman"/>
          <w:sz w:val="20"/>
        </w:rPr>
      </w:pPr>
      <w:r>
        <w:rPr>
          <w:rFonts w:ascii="Times New Roman" w:hAnsi="Times New Roman"/>
          <w:b/>
          <w:i/>
          <w:sz w:val="20"/>
        </w:rPr>
        <w:t>Amy Burroughs, M.B.A.</w:t>
      </w:r>
      <w:r>
        <w:rPr>
          <w:rFonts w:ascii="Times New Roman" w:hAnsi="Times New Roman"/>
          <w:sz w:val="20"/>
        </w:rPr>
        <w:t xml:space="preserve">, has served as a member of our board of directors since December 2022. Since February 2024, she has served as Chief Executive Officer and Board member of Terns Pharmaceuticals, Inc., a clinical-stage biopharmaceutical company developing a portfolio of small-molecule product candidates to address serious diseases. From April 2019 until October 2023, Ms. Burroughs served as President and Chief Executive Officer and director of Cleave Therapeutics, Inc. (Cleave), a privately held biopharmaceutical company. She previously served as an executive in residence at 5AM Ventures and, in parallel, as senior advisor to one of its portfolio companies, Crinetics Pharmaceuticals. Earlier in her career, Ms. Burroughs held roles of increasing responsibility in commercial and strategy at Genentech, commercial and business development at other high growth therapeutics companies, talent and governance at Egon Zehnder International, and brand management at Procter &amp; Gamble. She has served as a member of the board of directors of Cleave, since April 2019, and previously served as a member of the board of directors of DiaMedica Therapeutics, Inc.. Ms. Burroughs holds a Bachelor of Arts in Computer Science and a minor in Economics from Dartmouth College and an MBA from Harvard Business School where she graduated as a Baker Scholar. </w:t>
      </w:r>
    </w:p>
    <w:p>
      <w:pPr>
        <w:pStyle w:val="TextBody"/>
        <w:bidi w:val="0"/>
        <w:spacing w:before="240" w:after="0"/>
        <w:jc w:val="left"/>
        <w:rPr>
          <w:rFonts w:ascii="Times New Roman" w:hAnsi="Times New Roman"/>
          <w:sz w:val="20"/>
        </w:rPr>
      </w:pPr>
      <w:r>
        <w:rPr>
          <w:rFonts w:ascii="Times New Roman" w:hAnsi="Times New Roman"/>
          <w:sz w:val="20"/>
        </w:rPr>
        <w:t xml:space="preserve">We believe Ms. Burroughs is qualified to serve on our board of directors because of her knowledge and experience in the biotechnology and pharmaceutical industries and her broad leadership experience resulting from service as an executive of a biotechnology company and service as a public company board member within the life sciences industry. </w:t>
      </w:r>
    </w:p>
    <w:p>
      <w:pPr>
        <w:pStyle w:val="TextBody"/>
        <w:bidi w:val="0"/>
        <w:spacing w:before="240" w:after="0"/>
        <w:jc w:val="left"/>
        <w:rPr>
          <w:rFonts w:ascii="Times New Roman" w:hAnsi="Times New Roman"/>
          <w:sz w:val="20"/>
        </w:rPr>
      </w:pPr>
      <w:r>
        <w:rPr>
          <w:rFonts w:ascii="Times New Roman" w:hAnsi="Times New Roman"/>
          <w:b/>
          <w:i/>
          <w:sz w:val="20"/>
        </w:rPr>
        <w:t>Karah Parschauer, J.D.</w:t>
      </w:r>
      <w:r>
        <w:rPr>
          <w:rFonts w:ascii="Times New Roman" w:hAnsi="Times New Roman"/>
          <w:sz w:val="20"/>
        </w:rPr>
        <w:t xml:space="preserve">, has served as a member of our board of directors since December 2021. In June 2016, Ms. Parschauer began serving as the General Counsel and Executive Vice President and is currently serving as Chief Legal Officer and Executive Vice President, Corporate Affairs of Ultragenyx Pharmaceutical Inc., a publicly traded biopharmaceutical company developing treatments for rare and ultra-rare genetic diseases. From June 2005 to June 2016, Ms. Parschauer served in various executive capacities, and most recently as Vice President, Associate General Counsel, at Allergan plc, a pharmaceutical company. Before Allergan, Ms. Parschauer was an attorney at Latham &amp; Watkins LLP, where she practiced in the areas of mergers and acquisitions, securities offerings and corporate governance. Ms. Parschauer is a member of the board of directors of Evolus, Inc., a publicly traded performance beauty company. She previously served as a member of the board of directors of Arcturus Therapeutics Holdings Inc., and Anebulo Pharmaceuticals, Inc. Ms. Parschauer holds a B.A. in biology from Miami University and a J.D. from Harvard Law School. </w:t>
      </w:r>
    </w:p>
    <w:p>
      <w:pPr>
        <w:pStyle w:val="TextBody"/>
        <w:bidi w:val="0"/>
        <w:spacing w:before="240" w:after="0"/>
        <w:jc w:val="left"/>
        <w:rPr>
          <w:rFonts w:ascii="Times New Roman" w:hAnsi="Times New Roman"/>
          <w:sz w:val="20"/>
        </w:rPr>
      </w:pPr>
      <w:r>
        <w:rPr>
          <w:rFonts w:ascii="Times New Roman" w:hAnsi="Times New Roman"/>
          <w:sz w:val="20"/>
        </w:rPr>
        <w:t xml:space="preserve">We believe Ms. Parschauer is qualified to serve on our board of directors because of her extensive experience as an executive in the life sciences sector, her legal expertise, and her experience as a public company board member within the life sciences industry. </w:t>
      </w:r>
    </w:p>
    <w:p>
      <w:pPr>
        <w:pStyle w:val="TextBody"/>
        <w:bidi w:val="0"/>
        <w:spacing w:before="240" w:after="0"/>
        <w:jc w:val="left"/>
        <w:rPr>
          <w:rFonts w:ascii="Times New Roman" w:hAnsi="Times New Roman"/>
          <w:sz w:val="20"/>
        </w:rPr>
      </w:pPr>
      <w:r>
        <w:rPr>
          <w:rFonts w:ascii="Times New Roman" w:hAnsi="Times New Roman"/>
          <w:b/>
          <w:i/>
          <w:sz w:val="20"/>
        </w:rPr>
        <w:t>Catherine Stehman-Breen, M.D.</w:t>
      </w:r>
      <w:r>
        <w:rPr>
          <w:rFonts w:ascii="Times New Roman" w:hAnsi="Times New Roman"/>
          <w:sz w:val="20"/>
        </w:rPr>
        <w:t xml:space="preserve">, has served as a member of our board of directors since June 2020. From December 2020 to January 2025, Dr. Stehman-Breen served as the Chief Executive Officer and a member of the board of directors of Chroma Medicine until its merger with Nvelop Therapeutics in December 2024. Previously, she served as the Chief Research and Development Officer of Obsidian Therapeutics, Inc., a private biotechnology company, from July 2019 to December 2020, and as an entrepreneur-in-residence at Atlas Ventures, serving as Chief Medical Officer of both Dyne Therapeutics, Inc., a biotechnology company, from March 2018 to July 2019 and Disarm Therapeutics, Inc., a biotechnology company, from April 2018 to July 2019. Dr. Stehman-Breen also served as Chief Medical Officer of Sarepta Therapeutics, Inc., a publicly traded biopharmaceutical company, from March 2017 to December 2017. Prior to that, she served as Vice President, Clinical Development and Regulatory Affairs at Regeneron Pharmaceuticals, Inc., a publicly traded biotechnology company, from January 2015 to March 2017. From 2003 to 2015, Dr. Stehman-Breen held senior leadership roles at Amgen, including Vice President, Global Development, leading the neuroscience, nephrology and bone therapeutic areas. She has also served on the boards of directors of Dyne Therapeutics, Inc. since June 2019 and Generation Bio Co., a publicly traded biotechnology company, since December 2017. Dr. Stehman-Breen earned a B.A. in biology and psychology from Colby College, an M.S. in epidemiology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University of Washington, where she also completed her residency and fellowship training, and an M.D. from the University of Chicago. </w:t>
      </w:r>
    </w:p>
    <w:p>
      <w:pPr>
        <w:pStyle w:val="TextBody"/>
        <w:bidi w:val="0"/>
        <w:spacing w:before="240" w:after="0"/>
        <w:jc w:val="left"/>
        <w:rPr>
          <w:rFonts w:ascii="Times New Roman" w:hAnsi="Times New Roman"/>
          <w:sz w:val="20"/>
        </w:rPr>
      </w:pPr>
      <w:r>
        <w:rPr>
          <w:rFonts w:ascii="Times New Roman" w:hAnsi="Times New Roman"/>
          <w:sz w:val="20"/>
        </w:rPr>
        <w:t xml:space="preserve">We believe Dr. Stehman-Breen is qualified to serve on our board based on her medical expertise, her experience with clinical development and regulatory affairs in many therapeutic areas, her expertise as an executive in the biotechnology industry and her experience as a public company board member, including within the biotechnology industry. </w:t>
      </w:r>
    </w:p>
    <w:p>
      <w:pPr>
        <w:pStyle w:val="TextBody"/>
        <w:bidi w:val="0"/>
        <w:spacing w:before="240" w:after="0"/>
        <w:jc w:val="left"/>
        <w:rPr>
          <w:rFonts w:ascii="Times New Roman" w:hAnsi="Times New Roman"/>
          <w:sz w:val="20"/>
        </w:rPr>
      </w:pPr>
      <w:r>
        <w:rPr>
          <w:rFonts w:ascii="Times New Roman" w:hAnsi="Times New Roman"/>
          <w:b/>
          <w:i/>
          <w:sz w:val="20"/>
        </w:rPr>
        <w:t>Faraz Ali, M.B.A.</w:t>
      </w:r>
      <w:r>
        <w:rPr>
          <w:rFonts w:ascii="Times New Roman" w:hAnsi="Times New Roman"/>
          <w:sz w:val="20"/>
        </w:rPr>
        <w:t xml:space="preserve">, has served as our Chief Executive Officer since June 2018 and as a member of our board of directors since September 2018. Prior to joining us, Mr. Ali was Chief Business Officer at REGENXBIO, a publicly traded biotechnology company, from February 2016 to January 2018. From May 2011 to February 2016, he served as Vice President, Global Commercial Development and External Affairs at bluebird bio, a publicly traded biotechnology company. From August 2001 to November 2010, Mr. Ali held various roles at Genzyme, including Head of U.S. Marketing and Strategic Planning for the rare disease business unit. Prior to Genzyme, he served in leadership roles at GE Corporate and GE Healthcare. Mr. Ali is a member of the Board of Directors of the Alliance for Regenerative Medicine. He holds a B.S. in Electrical Engineering from Stanford University and an M.B.A. with distinction from Harvard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therapies for rare and orphan diseases, and his educational background. </w:t>
      </w:r>
    </w:p>
    <w:p>
      <w:pPr>
        <w:pStyle w:val="TextBody"/>
        <w:bidi w:val="0"/>
        <w:spacing w:before="240" w:after="0"/>
        <w:jc w:val="left"/>
        <w:rPr>
          <w:rFonts w:ascii="Times New Roman" w:hAnsi="Times New Roman"/>
          <w:sz w:val="20"/>
        </w:rPr>
      </w:pPr>
      <w:r>
        <w:rPr>
          <w:rFonts w:ascii="Times New Roman" w:hAnsi="Times New Roman"/>
          <w:b/>
          <w:i/>
          <w:sz w:val="20"/>
        </w:rPr>
        <w:t>June Lee, M.D.</w:t>
      </w:r>
      <w:r>
        <w:rPr>
          <w:rFonts w:ascii="Times New Roman" w:hAnsi="Times New Roman"/>
          <w:sz w:val="20"/>
        </w:rPr>
        <w:t xml:space="preserve">, has served as a member of our board of directors since November 2021. Dr. Lee joined 5AM Ventures in July 2022 where she served as a part-time Venture Partner until November 2024. From February 2021 to November 2021, Dr. Lee served as Founder and Chief Executive Officer at Alumis Inc. (formerly known as Esker Therapeutics), a precision medicine company developing treatments for autoimmune diseases. From January 2017 until June 2020, Dr. Lee was Chief Development Officer and Chief Operating Officer of MyoKardia, Inc. (MyoKardia), a clinical stage biotechnology company with a focus on precision cardiovascular medicines. Prior to MyoKardia, from April 2011 to January 2017, Dr. Lee was Professor of Medicine at the University of California, San Francisco (UCSF) School of Medicine, where she served as Director of Translational Research. She is also the founding chair of the University of California Drug, Device, Discovery and Development Group. Previously, from March 2004 to April 2011, she was therapeutic area head in early clinical development in cardiovascular, metabolism, respiratory, and infectious diseases at Genentech. Dr. Lee is a member of the Board of Directors of Eledon Pharmaceuticals, Inc., and Abivax S.A., each publicly traded biotechnology companies and GenEdit, a privately held biotechnology company. She previously served as a member of the Board of Directors of CinCor Pharma, a publicly traded biotechnology company, from January 2022 until its acquisition by AstraZeneca Finance and Holdings Inc. in February 2023. Dr. Lee is the co-Founder and member of the Board of Directors of ElevAAte Biotech and previously served as Chair of the Board of Directors of the Council of Korean Americans. She is a founding member of the Translational Research Advisory Council of South Koreas MOGAM Research Institute, and the MTRAC for Life Sciences Innovation Hub Therapeutic/Diagnostic Oversight Committee, a unit associated with the University of Michigan Medical School. Dr. Lee currently serves on Johns Hopkins University Center for Therapeutic Translations Advisory Board, and previously served on the Scientific Advisory Boards for Aer Therapeutics, Inc. and Foresite Labs. She completed a Bachelor of Science in chemistry at the Johns Hopkins University, an M.D. at the School of Medicine at University of California, Davis, and her clinical training in internal medicine and pulmonary and critical care at the University of California, Los Angeles and UCSF. </w:t>
      </w:r>
    </w:p>
    <w:p>
      <w:pPr>
        <w:pStyle w:val="TextBody"/>
        <w:bidi w:val="0"/>
        <w:spacing w:before="240" w:after="0"/>
        <w:jc w:val="left"/>
        <w:rPr>
          <w:rFonts w:ascii="Times New Roman" w:hAnsi="Times New Roman"/>
          <w:sz w:val="20"/>
        </w:rPr>
      </w:pPr>
      <w:r>
        <w:rPr>
          <w:rFonts w:ascii="Times New Roman" w:hAnsi="Times New Roman"/>
          <w:sz w:val="20"/>
        </w:rPr>
        <w:t xml:space="preserve">We believe Dr. Lee is qualified to serve on our board of directors because of her extensive scientific background, medical training and leadership experience in the industry. </w:t>
      </w:r>
    </w:p>
    <w:p>
      <w:pPr>
        <w:pStyle w:val="TextBody"/>
        <w:bidi w:val="0"/>
        <w:spacing w:before="240" w:after="0"/>
        <w:jc w:val="left"/>
        <w:rPr>
          <w:rFonts w:ascii="Times New Roman" w:hAnsi="Times New Roman"/>
          <w:sz w:val="20"/>
        </w:rPr>
      </w:pPr>
      <w:r>
        <w:rPr>
          <w:rFonts w:ascii="Times New Roman" w:hAnsi="Times New Roman"/>
          <w:b/>
          <w:i/>
          <w:sz w:val="20"/>
        </w:rPr>
        <w:t>Deepak Srivastava, M.D.</w:t>
      </w:r>
      <w:r>
        <w:rPr>
          <w:rFonts w:ascii="Times New Roman" w:hAnsi="Times New Roman"/>
          <w:sz w:val="20"/>
        </w:rPr>
        <w:t xml:space="preserve">, has served as a member of our board of directors since October 2016. Dr. Srivastava has been a consultant for our company since September 2016 and Chairman of our Scientific Advisory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October 2016. Dr. Srivastava has been President of Gladstone Institutes since January 2018. He is currently the Robert W. and Linda Mahley Distinguished Professor and a senior investigator at the Gladstone Institute of Cardiovascular Disease and director of the Roddenberry Stem Cell Center. Since 2005, Dr. Srivastava has been a professor in the Departments of Pediatrics and Biochemistry and Biophysics at the University of California, San Francisco, and he is the Wilma and Adeline Pirag Distinguished Professor in pediatric developmental cardiology. He is past 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 </w:t>
      </w:r>
    </w:p>
    <w:p>
      <w:pPr>
        <w:pStyle w:val="TextBody"/>
        <w:bidi w:val="0"/>
        <w:spacing w:before="240" w:after="0"/>
        <w:jc w:val="left"/>
        <w:rPr>
          <w:rFonts w:ascii="Times New Roman" w:hAnsi="Times New Roman"/>
          <w:sz w:val="20"/>
        </w:rPr>
      </w:pPr>
      <w:r>
        <w:rPr>
          <w:rFonts w:ascii="Times New Roman" w:hAnsi="Times New Roman"/>
          <w:sz w:val="20"/>
        </w:rPr>
        <w:t xml:space="preserve">We believe Dr. Srivastava is qualified to serve on our board because of his scientific and educational background and his extensive expertise in the cardiovascular field and as a co-Founder of the company. </w:t>
      </w:r>
    </w:p>
    <w:p>
      <w:pPr>
        <w:pStyle w:val="TextBody"/>
        <w:bidi w:val="0"/>
        <w:spacing w:before="360" w:after="0"/>
        <w:jc w:val="left"/>
        <w:rPr>
          <w:rFonts w:ascii="Times New Roman" w:hAnsi="Times New Roman"/>
          <w:b/>
          <w:sz w:val="20"/>
        </w:rPr>
      </w:pPr>
      <w:bookmarkStart w:id="8" w:name="toc884353_6"/>
      <w:bookmarkEnd w:id="8"/>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rules of Nasdaq, independent directors must comprise a majority of our board of directors. A director will only qualify as independent under Nasdaq listing rules if, in the opinion of our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corporate governance and nominating committees be independent. </w:t>
      </w:r>
    </w:p>
    <w:p>
      <w:pPr>
        <w:pStyle w:val="TextBody"/>
        <w:bidi w:val="0"/>
        <w:spacing w:before="240" w:after="0"/>
        <w:jc w:val="left"/>
        <w:rPr>
          <w:rFonts w:ascii="Times New Roman" w:hAnsi="Times New Roman"/>
          <w:sz w:val="20"/>
        </w:rPr>
      </w:pPr>
      <w:r>
        <w:rPr>
          <w:rFonts w:ascii="Times New Roman" w:hAnsi="Times New Roman"/>
          <w:sz w:val="20"/>
        </w:rPr>
        <w:t xml:space="preserve">Audit committee members must also satisfy the additional independence criteria set forth in Rule 10A-3 under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undertaken a review of the independence of each of our directors. Based on information provided by each director concerning his or her background, employment and affiliations, our board of directors has determined that each of Drs. Goeddel, Lee, Srivastava, Stehman-Breen and Williams, Mses. Burroughs and Parschauer and Mr. Walsh, representing eight of our nine directors, do not have a relationship that would interfere with the exercise of independent judgment in carrying out the responsibilities of a director and that each of these directors is an independent director as defined under the listing standards of Nasdaq. Mr. Ali is not considered an independent director because of his position as our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our directors, director nominees or executive officers. </w:t>
      </w:r>
    </w:p>
    <w:p>
      <w:pPr>
        <w:pStyle w:val="TextBody"/>
        <w:bidi w:val="0"/>
        <w:spacing w:before="360" w:after="0"/>
        <w:jc w:val="left"/>
        <w:rPr>
          <w:rFonts w:ascii="Times New Roman" w:hAnsi="Times New Roman"/>
          <w:b/>
          <w:sz w:val="20"/>
        </w:rPr>
      </w:pPr>
      <w:bookmarkStart w:id="9" w:name="toc884353_7"/>
      <w:bookmarkEnd w:id="9"/>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currently chaired by Dr. Williams.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Williams serves as the Chair of our board of directors but is not an officer. We currently expect and intend the positions of Chair of our board of directors and Chief Executive Officer to continue to be held by two individuals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toc884353_8"/>
      <w:bookmarkEnd w:id="10"/>
      <w:r>
        <w:rPr>
          <w:rFonts w:ascii="Times New Roman" w:hAnsi="Times New Roman"/>
          <w:b/>
          <w:sz w:val="20"/>
        </w:rPr>
        <w:t xml:space="preserve">Role of Board in Risk Oversight Process </w:t>
      </w:r>
    </w:p>
    <w:p>
      <w:pPr>
        <w:pStyle w:val="TextBody"/>
        <w:bidi w:val="0"/>
        <w:spacing w:before="120" w:after="0"/>
        <w:jc w:val="left"/>
        <w:rPr>
          <w:rFonts w:ascii="Times New Roman" w:hAnsi="Times New Roman"/>
          <w:sz w:val="20"/>
        </w:rPr>
      </w:pPr>
      <w:r>
        <w:rPr>
          <w:rFonts w:ascii="Times New Roman" w:hAnsi="Times New Roman"/>
          <w:sz w:val="20"/>
        </w:rPr>
        <w:t xml:space="preserve">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board has tasked designated standing committees with oversight of certain categories of risk management.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audit committee assists our board in fulfilling its oversight responsibilities with respect to risk management in the areas of internal control over financial reporting and disclosure controls and procedures, cybersecurity and data security, legal and regulatory compliance, and also, among other things, discusses with management and the independent auditor guidelines and policies with respect to risk assessment and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compensation committee assesses risks relating to our executive compensation plans and arrangements, and whether our compensation policies and programs have the potential to encourage excessive risk taking.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corporate governance and nominating committee assesses risks relating to our corporate governance practices, the independence of the board and potential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science and technology committee assesses risks relating to our research and development strategy and product pipeline.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believes its current leadership structure supports the risk oversight function of the board. </w:t>
      </w:r>
    </w:p>
    <w:p>
      <w:pPr>
        <w:pStyle w:val="TextBody"/>
        <w:bidi w:val="0"/>
        <w:spacing w:before="360" w:after="0"/>
        <w:jc w:val="left"/>
        <w:rPr>
          <w:rFonts w:ascii="Times New Roman" w:hAnsi="Times New Roman"/>
          <w:b/>
          <w:sz w:val="20"/>
        </w:rPr>
      </w:pPr>
      <w:bookmarkStart w:id="11" w:name="toc884353_9"/>
      <w:bookmarkEnd w:id="11"/>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established the following standing committees of the board: audit committee; compensation committee; corporate governance and nominating committee; and science and technology committee. The composition and responsibilities of each of the committees of our board of directors is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current members of our audit committee are Mses. Burroughs and Parschauer and Mr. Walsh. Mr. Walsh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Mr. Walsh is an audit committee financial expert within the meaning of Item 407(d) of Regulation S-K. Our audit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retaining, compensating, evaluating, overseeing and, where appropriate, terminating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scope and plans for the audits and the audit fees and approving all non-audit and tax services to be performed by the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independence and qualifications of our independent registered public accounting firm;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financial statements, and discussing with management and our independent registered public accounting firm the results of the annual audit and the quarterly reviews;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our independent registered public accounting firm the quality and adequacy of our internal controls and our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our procedures regarding the presentation of our financial information, and reviewing earnings press releases and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design, implementation and performance of our internal audit function,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setting hiring policies with regard to the hiring of employees and former employees of our independent auditor and overseeing compliance with such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approving and monitoring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adopting and overseeing procedures to address complaints regarding accounting, internal accounting controls and auditing matters, including confidential, anonymous submissions by our employees of concerns regarding questionable accounting or auditing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our independent auditor the adequacy and effectiveness of our legal, regulatory and ethical compliance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our independent auditor our guidelines and policies to identify, monitor and address enterprise risks, including financial, operating, cybersecurity and data security risks.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operates under a written charter that satisfies the applicable rules and regulations of the SEC and the listing standards of Nasdaq. A copy of the charter of our audit committee is available on our website at investors.tenayatherapeutics.com/corporate-governance/governance-overview. During 2024, our audit committee held four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current members of our compensation committee are Drs. Lee and Williams and Mr. Walsh. Dr. Lee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approving or making recommendations to our board of directors regarding the compensation for our executive officers, including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approving and administering our employee benefit and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reviewing the compensation plans and programs of our employees, and ensuring that they are consistent with our general compensation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making recommendations to our board of directors regarding the creation or revision of any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our board of directors regarding non-employee director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compensation policies and practices to determine whether any policies are reasonably likely to have a material adverse effect on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operates under a written charter that satisfies the applicable rules and regulations of the SEC and the listing standards of Nasdaq. A copy of the charter of our compensation committee is available on our website at investors.tenayatherapeutics.com/corporate-governance/governance-overview. During 2024, our compensation committee held six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Corporate Governance and Nominating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current members of our corporate governance and nominating committee are Drs. Goeddel and Srivastava. Dr. Srivastava is the chairperson of our corporate governance and nominating committee. Our board of directors has determined that each member of our corporate governance and nominating committee meets the requirements for independence for corporate governance and nominating committee members under the listing standards of Nasdaq. Our corporate governance and nominating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and making recommendations to our board of directors regarding desired qualifications, expertise and characteristics sought of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evaluating, selecting or making recommendations to our board of directors regarding nominees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policies and procedures for considering stockholder nominees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succession planning process for our chief executive officer and any other members of our executive management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regarding the composition, organization and governance our board of directors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directors regarding our corporate governance guidelines and corporate governance framework;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our corporate sustainability strategy and policies and to oversee our implementation of and preparation of public disclosures pertaining to our environmental, social and governance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director orientation for new directors and continuing education for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performance of our board of directors and its committees;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compliance with our code of business conduct and ethics, and reviewing conflicts of interest of our board members and officers other than related party transactions reviewed by our audit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and nominating committee operates under a written charter that satisfies the applicable listing standards of Nasdaq. A copy of the charter of our corporate governance and nominating committee is available on our website at investors.tenayatherapeutics.com/corporate-governance/governance-overview. During 2024, our corporate governance and nominating committee held two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Science and Technology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current members of our science and technology committee are Drs. Lee, Srivastava, Stehman-Breen and Williams. Dr. Stehman-Breen is the chairperson of our science and technology committee. Our board of directors has determined that each member of our science and technology committee meets the requirements for independence under the listing standards of Nasdaq. Our science and technology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progress of our product pipeline, as well as the quality, direction and competitiveness of our research and development programs and related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scientific aspects of potential future business development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trends in the treatment landscape of areas of therapeutic interest to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the board with respect to the overall research, development and manufacturing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science and technology committee operates under a written charter. A copy of the charter of our science and technology committee is available on our website at investors.tenayatherapeutics.com/corporate-governance/governance-overview. During 2024, our science and technology committee held three meetings. </w:t>
      </w:r>
    </w:p>
    <w:p>
      <w:pPr>
        <w:pStyle w:val="TextBody"/>
        <w:bidi w:val="0"/>
        <w:spacing w:before="360" w:after="0"/>
        <w:jc w:val="left"/>
        <w:rPr>
          <w:rFonts w:ascii="Times New Roman" w:hAnsi="Times New Roman"/>
          <w:b/>
          <w:sz w:val="20"/>
        </w:rPr>
      </w:pPr>
      <w:bookmarkStart w:id="12" w:name="toc884353_10"/>
      <w:bookmarkEnd w:id="12"/>
      <w:r>
        <w:rPr>
          <w:rFonts w:ascii="Times New Roman" w:hAnsi="Times New Roman"/>
          <w:b/>
          <w:sz w:val="20"/>
        </w:rPr>
        <w:t xml:space="preserve">Attendance at Board and Stockholders Meetings </w:t>
      </w:r>
    </w:p>
    <w:p>
      <w:pPr>
        <w:pStyle w:val="TextBody"/>
        <w:bidi w:val="0"/>
        <w:spacing w:before="120" w:after="0"/>
        <w:jc w:val="left"/>
        <w:rPr>
          <w:rFonts w:ascii="Times New Roman" w:hAnsi="Times New Roman"/>
          <w:sz w:val="20"/>
        </w:rPr>
      </w:pPr>
      <w:r>
        <w:rPr>
          <w:rFonts w:ascii="Times New Roman" w:hAnsi="Times New Roman"/>
          <w:sz w:val="20"/>
        </w:rPr>
        <w:t xml:space="preserve">During our fiscal year ended December 31, 2024, our board of directors held seven meetings (including regularly scheduled and special meetings), and each director,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 </w:t>
      </w:r>
    </w:p>
    <w:p>
      <w:pPr>
        <w:pStyle w:val="TextBody"/>
        <w:bidi w:val="0"/>
        <w:spacing w:before="240" w:after="0"/>
        <w:jc w:val="left"/>
        <w:rPr>
          <w:rFonts w:ascii="Times New Roman" w:hAnsi="Times New Roman"/>
          <w:sz w:val="20"/>
        </w:rPr>
      </w:pPr>
      <w:r>
        <w:rPr>
          <w:rFonts w:ascii="Times New Roman" w:hAnsi="Times New Roman"/>
          <w:sz w:val="20"/>
        </w:rPr>
        <w:t xml:space="preserve">Although we do not have a formal policy regarding attendance by members of our board of directors at the annual meetings of stockholders, we encourage, but do not require, directors to attend. All our directors serving at the time were in attendance at the 2024 Annual Meeting of Stockholders. </w:t>
      </w:r>
    </w:p>
    <w:p>
      <w:pPr>
        <w:pStyle w:val="TextBody"/>
        <w:bidi w:val="0"/>
        <w:spacing w:before="360" w:after="0"/>
        <w:jc w:val="left"/>
        <w:rPr>
          <w:rFonts w:ascii="Times New Roman" w:hAnsi="Times New Roman"/>
          <w:b/>
          <w:sz w:val="20"/>
        </w:rPr>
      </w:pPr>
      <w:bookmarkStart w:id="13" w:name="toc884353_11"/>
      <w:bookmarkEnd w:id="13"/>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During 2024, the members of our compensation committee were Drs. Lee and Williams and Mr. Walsh. 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 </w:t>
      </w:r>
    </w:p>
    <w:p>
      <w:pPr>
        <w:pStyle w:val="TextBody"/>
        <w:bidi w:val="0"/>
        <w:spacing w:before="360" w:after="0"/>
        <w:jc w:val="left"/>
        <w:rPr>
          <w:rFonts w:ascii="Times New Roman" w:hAnsi="Times New Roman"/>
          <w:b/>
          <w:sz w:val="20"/>
        </w:rPr>
      </w:pPr>
      <w:bookmarkStart w:id="14" w:name="toc884353_12"/>
      <w:bookmarkEnd w:id="14"/>
      <w:r>
        <w:rPr>
          <w:rFonts w:ascii="Times New Roman" w:hAnsi="Times New Roman"/>
          <w:b/>
          <w:sz w:val="20"/>
        </w:rPr>
        <w:t xml:space="preserve">Considerations in Evaluating Director Nominees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and nominating committee uses a variety of methods for identifying and evaluating potential director nominees. In its evaluation of director candidates, including the current directors eligible for re-election, our corporate governance and nominating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corporate governance and nominating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corporate governance and nominating committee considers a broad range of perspectives, backgrounds and experiences. </w:t>
      </w:r>
    </w:p>
    <w:p>
      <w:pPr>
        <w:pStyle w:val="TextBody"/>
        <w:bidi w:val="0"/>
        <w:spacing w:before="240" w:after="0"/>
        <w:jc w:val="left"/>
        <w:rPr>
          <w:rFonts w:ascii="Times New Roman" w:hAnsi="Times New Roman"/>
          <w:sz w:val="20"/>
        </w:rPr>
      </w:pPr>
      <w:r>
        <w:rPr>
          <w:rFonts w:ascii="Times New Roman" w:hAnsi="Times New Roman"/>
          <w:sz w:val="20"/>
        </w:rPr>
        <w:t xml:space="preserve">If our corporate governance and nominating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w:t>
      </w:r>
    </w:p>
    <w:p>
      <w:pPr>
        <w:pStyle w:val="TextBody"/>
        <w:bidi w:val="0"/>
        <w:spacing w:before="240" w:after="0"/>
        <w:jc w:val="left"/>
        <w:rPr>
          <w:rFonts w:ascii="Times New Roman" w:hAnsi="Times New Roman"/>
          <w:sz w:val="20"/>
        </w:rPr>
      </w:pPr>
      <w:r>
        <w:rPr>
          <w:rFonts w:ascii="Times New Roman" w:hAnsi="Times New Roman"/>
          <w:sz w:val="20"/>
        </w:rPr>
        <w:t xml:space="preserve">After completing its review and evaluation of director candidates, our corporate governance and nominating committee recommends to our full board of directors the director nominees for selection. Our corporate governance and nominating committee has discretion to decide which individuals to recommend for nomination as directors and our board of directors has the final authority in determining the selection of director candidates for nomination to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5" w:name="toc884353_13"/>
      <w:bookmarkEnd w:id="15"/>
      <w:r>
        <w:rPr>
          <w:rFonts w:ascii="Times New Roman" w:hAnsi="Times New Roman"/>
          <w:b/>
          <w:sz w:val="20"/>
        </w:rPr>
        <w:t xml:space="preserve">Stockholders Recommendations and Nominations to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and nominating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Bylaws, all applicable company policies and all applicable laws, rules and regulations, including those promulgated by the SEC. Our corporate governance and nominating committee will evaluate such recommendations in accordance with its charter, our Bylaws and corporate governance guidelines and the director nominee criteria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wants to recommend a candidate to our board of directors should direct the recommendation in writing by letter to our corporate secretary at Tenaya Therapeutics, Inc., 171 Oyster Point Boulevard, Suite 500, South San Francisco, CA 94080,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stockholder(s) in support of the candidate. Our corporate governance and nominating committee has discretion to decide which individuals to recommend for nomination as directors. </w:t>
      </w:r>
    </w:p>
    <w:p>
      <w:pPr>
        <w:pStyle w:val="TextBody"/>
        <w:bidi w:val="0"/>
        <w:spacing w:before="240" w:after="0"/>
        <w:jc w:val="left"/>
        <w:rPr>
          <w:rFonts w:ascii="Times New Roman" w:hAnsi="Times New Roman"/>
          <w:sz w:val="20"/>
        </w:rPr>
      </w:pPr>
      <w:r>
        <w:rPr>
          <w:rFonts w:ascii="Times New Roman" w:hAnsi="Times New Roman"/>
          <w:sz w:val="20"/>
        </w:rPr>
        <w:t>Under our Bylaws, stockholders may also directly nominate persons for our board of directors. Any nomination must comply with the requirements set forth in our Bylaws and the rules and regulations of the SEC and should be sent in writing to our corporate secretary at the address above. To be timely for our 2026 annual meeting of stockholders, nominations must be received by our corporate secretary observing the deadlines discussed above under </w:t>
      </w:r>
      <w:r>
        <w:rPr>
          <w:rFonts w:ascii="Times New Roman" w:hAnsi="Times New Roman"/>
          <w:i/>
          <w:sz w:val="20"/>
        </w:rPr>
        <w:t>Questions and Answers About The Proxy MaterialsWhat is the deadline to propose actions for consideration at next years annual meeting of stockholders or to nominate individuals to serve as directors?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oc884353_14"/>
      <w:bookmarkEnd w:id="16"/>
      <w:r>
        <w:rPr>
          <w:rFonts w:ascii="Times New Roman" w:hAnsi="Times New Roman"/>
          <w:b/>
          <w:sz w:val="20"/>
        </w:rPr>
        <w:t xml:space="preserve">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interested parties wishing to communicate directly with our non-management directors, may do so by writing and sending the correspondence to our corporate secretary by mail to our principal executive offices at 171 Oyster Point Boulevard, Suite 500, South San Francisco, CA 94080, Attention: Corporate Secretary.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corporate secretary will route such communications to the appropriate director(s) or, if none is specified, then to the chairperson of the board. These policies and procedures do not apply to (a) communications to non-management directors from our officers or directors who are stockholders, (b) stockholder proposals submitted pursuant to Rule 14a-8 under the Exchange Act, or (c) communications to our audit committee pursuant to our complaint procedures for accounting and audit matters. </w:t>
      </w:r>
    </w:p>
    <w:p>
      <w:pPr>
        <w:pStyle w:val="TextBody"/>
        <w:bidi w:val="0"/>
        <w:spacing w:before="360" w:after="0"/>
        <w:jc w:val="left"/>
        <w:rPr>
          <w:rFonts w:ascii="Times New Roman" w:hAnsi="Times New Roman"/>
          <w:b/>
          <w:sz w:val="20"/>
        </w:rPr>
      </w:pPr>
      <w:bookmarkStart w:id="17" w:name="toc884353_15"/>
      <w:bookmarkEnd w:id="17"/>
      <w:r>
        <w:rPr>
          <w:rFonts w:ascii="Times New Roman" w:hAnsi="Times New Roman"/>
          <w:b/>
          <w:sz w:val="20"/>
        </w:rPr>
        <w:t xml:space="preserve">Policy Prohibiting Hedging or Pledging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Under our insider trading policy, our employees, including our executive officers, and the members of our board of directors are prohibited from, directly or indirectly, among other things, (1) engaging in short sales, (2) trading in publicly 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8" w:name="toc884353_16"/>
      <w:bookmarkEnd w:id="18"/>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promoting high standards of ethical business conduct and compliance with applicable laws, rules and regulations. As part of this commitment, we have adopted our Insider Trading Policy to help our directors, officers, employees and specified consultants, contractors and advisors comply with federal and state securities laws and regulations that govern trading in securities and to help our organization minimize our own legal and reputational risk. A copy of our Insider Trading Policy, as amended, is filed as Exhibit 19.1 to this Annual report on Form 10-K for the year ended December 31, 2024. </w:t>
      </w:r>
    </w:p>
    <w:p>
      <w:pPr>
        <w:pStyle w:val="TextBody"/>
        <w:bidi w:val="0"/>
        <w:spacing w:before="360" w:after="0"/>
        <w:jc w:val="left"/>
        <w:rPr>
          <w:rFonts w:ascii="Times New Roman" w:hAnsi="Times New Roman"/>
          <w:b/>
          <w:sz w:val="20"/>
        </w:rPr>
      </w:pPr>
      <w:bookmarkStart w:id="19" w:name="toc884353_17"/>
      <w:bookmarkEnd w:id="19"/>
      <w:r>
        <w:rPr>
          <w:rFonts w:ascii="Times New Roman" w:hAnsi="Times New Roman"/>
          <w:b/>
          <w:sz w:val="20"/>
        </w:rPr>
        <w:t xml:space="preserve">Corporate Governance Guidelines and 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investors.tenayatherapeutics.com/corporate-governance/governance-overview. We will post amendments to our code of business conduct and ethics or any waivers of our code of business conduct and ethics for directors and executive officers on the same website. </w:t>
      </w:r>
    </w:p>
    <w:p>
      <w:pPr>
        <w:pStyle w:val="TextBody"/>
        <w:bidi w:val="0"/>
        <w:spacing w:before="360" w:after="0"/>
        <w:jc w:val="left"/>
        <w:rPr>
          <w:rFonts w:ascii="Times New Roman" w:hAnsi="Times New Roman"/>
          <w:b/>
          <w:sz w:val="20"/>
        </w:rPr>
      </w:pPr>
      <w:bookmarkStart w:id="20" w:name="toc884353_18"/>
      <w:bookmarkEnd w:id="20"/>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our Outside Director Compensation Policy, non-employee directors receive compensation in the form of cash and equity, as described below. We also reimburse our non-employee directors for expenses incurred in connection with attending board and committee meetings, as well as continuing director education. </w:t>
      </w:r>
    </w:p>
    <w:p>
      <w:pPr>
        <w:pStyle w:val="TextBody"/>
        <w:bidi w:val="0"/>
        <w:spacing w:before="36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Each non-employee director is to be paid an annual cash retainer of $40,000. In addition, each non-employee director who serves as a chair or chair or member of a committee will be entitled to receive the following cash compensation for his or her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$30,000 per year for service as non-executive chair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$20,000 per year for service as a lead independent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$15,000 per year for service as chair of the audit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$7,500 per year for service as a member of the audit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 per year for service as chair of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 per year for service as a member of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$8,000 per year for service as chair of the corporate governance and nominating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$4,000 per year for service as a member of the corporate governance and nominating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 per year for service as chair of the science and technology committee;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 per year for service as a member of the science and technology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i/>
          <w:sz w:val="20"/>
        </w:rPr>
        <w:t>Initial Award</w:t>
      </w:r>
      <w:r>
        <w:rPr>
          <w:rFonts w:ascii="Times New Roman" w:hAnsi="Times New Roman"/>
          <w:sz w:val="20"/>
        </w:rPr>
        <w:t xml:space="preserve">. Pursuant to our Outside Director Compensation Policy, each person who first becomes a non-employee director after the initial effective date of such policy will receive, on the first trading day on or after the date that the person first becomes a non-employee director, an initial award, or the Initial Award, of stock options to purchase shares of our common stock with a grant date fair value as determined in accordance with U.S. GAAP equal to $320,000, provided that no more than 68,000 shares of our common stock could be subject to an Initial Award.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 </w:t>
      </w:r>
    </w:p>
    <w:p>
      <w:pPr>
        <w:pStyle w:val="TextBody"/>
        <w:bidi w:val="0"/>
        <w:spacing w:before="240" w:after="0"/>
        <w:jc w:val="left"/>
        <w:rPr>
          <w:rFonts w:ascii="Times New Roman" w:hAnsi="Times New Roman"/>
          <w:sz w:val="20"/>
        </w:rPr>
      </w:pPr>
      <w:r>
        <w:rPr>
          <w:rFonts w:ascii="Times New Roman" w:hAnsi="Times New Roman"/>
          <w:i/>
          <w:sz w:val="20"/>
        </w:rPr>
        <w:t>Annual Award</w:t>
      </w:r>
      <w:r>
        <w:rPr>
          <w:rFonts w:ascii="Times New Roman" w:hAnsi="Times New Roman"/>
          <w:sz w:val="20"/>
        </w:rPr>
        <w:t xml:space="preserve">. Pursuant to our Outside Director Compensation Policy, each non-employee director who has served continuously as an outside director since the date of the most recently preceding annual meeting of stockholders will automatically receive, on the first trading day immediately after the date of each annual meeting of our stockholders, an annual award, or the Annual Award, of stock options to purchase shares of our common stock with a grant date fair value as determined in accordance with U.S. GAAP equal to $160,000, provided that no more than 34,000 shares of our common stock could be subject to an Annual Award. Our Outside Director Compensation Policy further provides that, in the case of a director who joined our board after the immediately preceding annual meeting of stockholders, the number of shares subject to his or her first Annual Award will be prorated for the months the director served prior to and including the date of the annual meeting at which the Annual Award is to be granted. Each Annual Award will be scheduled to vest in full upon the first anniversary of the date of the grant, or if earlier, the day immediately before the date of the next annual meeting that occurs after the Annual Awards grant date, subject to the outside director remaining a service provider through the applicable vesting date.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in our 2021 Equity Incentive Plan, each non-employee directors then outstanding equity awards covering shares of our common stock will accelerate vesting in full, provided that he or she remains a non-employee director through the date of our change in control. </w:t>
      </w:r>
    </w:p>
    <w:p>
      <w:pPr>
        <w:pStyle w:val="TextBody"/>
        <w:bidi w:val="0"/>
        <w:spacing w:before="240" w:after="0"/>
        <w:jc w:val="left"/>
        <w:rPr>
          <w:rFonts w:ascii="Times New Roman" w:hAnsi="Times New Roman"/>
          <w:sz w:val="20"/>
        </w:rPr>
      </w:pPr>
      <w:r>
        <w:rPr>
          <w:rFonts w:ascii="Times New Roman" w:hAnsi="Times New Roman"/>
          <w:i/>
          <w:sz w:val="20"/>
        </w:rPr>
        <w:t>Other Award Terms</w:t>
      </w:r>
      <w:r>
        <w:rPr>
          <w:rFonts w:ascii="Times New Roman" w:hAnsi="Times New Roman"/>
          <w:sz w:val="20"/>
        </w:rPr>
        <w:t xml:space="preserve">. Each Initial Award and Annual Award will be granted under our 2021 Equity Incentive Plan (or its successor plan, as applicable) and form of award agreement under such plan. These awards will have a maximum term to expiration of ten years from their grant and a per-share exercise price equal to 100% of the fair market value of a share of our common stock on the awards grant date. </w:t>
      </w:r>
    </w:p>
    <w:p>
      <w:pPr>
        <w:pStyle w:val="TextBody"/>
        <w:bidi w:val="0"/>
        <w:spacing w:before="240" w:after="0"/>
        <w:jc w:val="left"/>
        <w:rPr>
          <w:rFonts w:ascii="Times New Roman" w:hAnsi="Times New Roman"/>
          <w:sz w:val="20"/>
        </w:rPr>
      </w:pPr>
      <w:r>
        <w:rPr>
          <w:rFonts w:ascii="Times New Roman" w:hAnsi="Times New Roman"/>
          <w:i/>
          <w:sz w:val="20"/>
        </w:rPr>
        <w:t>Director Compensation Limits</w:t>
      </w:r>
      <w:r>
        <w:rPr>
          <w:rFonts w:ascii="Times New Roman" w:hAnsi="Times New Roman"/>
          <w:sz w:val="20"/>
        </w:rPr>
        <w:t xml:space="preserve">. Our Outside Director Compensation Policy provides that in any fiscal year, a non-employee director may be granted equity awards or provided cash or other compensation with an aggregate value of no more than $500,000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for Fiscal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total compensation awarded to, earned by or paid to our non-employee directors for their service on our board of directors, for the fiscal year ended December 31, 2024. Directors who are also our employees receive no additional compensation for their service as directors. During 2024, Mr. Ali was an employee and executive officer of the company and therefore, did not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compensation as a director. See </w:t>
      </w:r>
      <w:r>
        <w:rPr>
          <w:rFonts w:ascii="Times New Roman" w:hAnsi="Times New Roman"/>
          <w:i/>
          <w:sz w:val="20"/>
        </w:rPr>
        <w:t>Executive Compensation</w:t>
      </w:r>
      <w:r>
        <w:rPr>
          <w:rFonts w:ascii="Times New Roman" w:hAnsi="Times New Roman"/>
          <w:sz w:val="20"/>
        </w:rPr>
        <w:t xml:space="preserve"> for additional information regarding Mr. Alis compensation.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963"/>
        <w:gridCol w:w="321"/>
        <w:gridCol w:w="89"/>
        <w:gridCol w:w="1242"/>
        <w:gridCol w:w="361"/>
        <w:gridCol w:w="220"/>
        <w:gridCol w:w="67"/>
        <w:gridCol w:w="766"/>
        <w:gridCol w:w="60"/>
        <w:gridCol w:w="321"/>
        <w:gridCol w:w="60"/>
        <w:gridCol w:w="852"/>
        <w:gridCol w:w="66"/>
      </w:tblGrid>
      <w:tr>
        <w:trPr/>
        <w:tc>
          <w:tcPr>
            <w:tcW w:w="4963"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9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21"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Paid or</w:t>
              <w:br/>
              <w:t>Earned in</w:t>
              <w:br/>
              <w:t>Cash ($)</w:t>
            </w:r>
          </w:p>
        </w:tc>
        <w:tc>
          <w:tcPr>
            <w:tcW w:w="3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6" w:type="dxa"/>
            <w:tcBorders/>
            <w:vAlign w:val="bottom"/>
          </w:tcPr>
          <w:p>
            <w:pPr>
              <w:pStyle w:val="TableContents"/>
              <w:bidi w:val="0"/>
              <w:spacing w:before="0" w:after="283"/>
              <w:jc w:val="left"/>
              <w:rPr/>
            </w:pPr>
            <w:r>
              <w:rPr/>
              <w:t> </w:t>
            </w:r>
          </w:p>
        </w:tc>
      </w:tr>
      <w:tr>
        <w:trPr/>
        <w:tc>
          <w:tcPr>
            <w:tcW w:w="4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Amy Burroughs, M.B.A.</w:t>
            </w:r>
          </w:p>
        </w:tc>
        <w:tc>
          <w:tcPr>
            <w:tcW w:w="32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47,400</w:t>
            </w:r>
          </w:p>
        </w:tc>
        <w:tc>
          <w:tcPr>
            <w:tcW w:w="3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50,823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98,323</w:t>
            </w:r>
          </w:p>
        </w:tc>
        <w:tc>
          <w:tcPr>
            <w:tcW w:w="66" w:type="dxa"/>
            <w:tcBorders/>
            <w:shd w:fill="CCEEFF" w:val="clear"/>
            <w:vAlign w:val="bottom"/>
          </w:tcPr>
          <w:p>
            <w:pPr>
              <w:pStyle w:val="TableContents"/>
              <w:bidi w:val="0"/>
              <w:spacing w:before="0" w:after="283"/>
              <w:jc w:val="left"/>
              <w:rPr/>
            </w:pPr>
            <w:r>
              <w:rPr/>
              <w:t> </w:t>
            </w:r>
          </w:p>
        </w:tc>
      </w:tr>
      <w:tr>
        <w:trPr/>
        <w:tc>
          <w:tcPr>
            <w:tcW w:w="4963" w:type="dxa"/>
            <w:tcBorders/>
          </w:tcPr>
          <w:p>
            <w:pPr>
              <w:pStyle w:val="TableContents"/>
              <w:bidi w:val="0"/>
              <w:spacing w:before="0" w:after="0"/>
              <w:jc w:val="left"/>
              <w:rPr>
                <w:rFonts w:ascii="Times New Roman" w:hAnsi="Times New Roman"/>
                <w:sz w:val="20"/>
              </w:rPr>
            </w:pPr>
            <w:r>
              <w:rPr>
                <w:rFonts w:ascii="Times New Roman" w:hAnsi="Times New Roman"/>
                <w:sz w:val="20"/>
              </w:rPr>
              <w:t>Jin-Long Chen, Ph.D.(3)</w:t>
            </w:r>
          </w:p>
        </w:tc>
        <w:tc>
          <w:tcPr>
            <w:tcW w:w="32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22,000</w:t>
            </w:r>
          </w:p>
        </w:tc>
        <w:tc>
          <w:tcPr>
            <w:tcW w:w="3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22,000</w:t>
            </w:r>
          </w:p>
        </w:tc>
        <w:tc>
          <w:tcPr>
            <w:tcW w:w="66" w:type="dxa"/>
            <w:tcBorders/>
            <w:vAlign w:val="bottom"/>
          </w:tcPr>
          <w:p>
            <w:pPr>
              <w:pStyle w:val="TableContents"/>
              <w:bidi w:val="0"/>
              <w:spacing w:before="0" w:after="283"/>
              <w:jc w:val="left"/>
              <w:rPr/>
            </w:pPr>
            <w:r>
              <w:rPr/>
              <w:t> </w:t>
            </w:r>
          </w:p>
        </w:tc>
      </w:tr>
      <w:tr>
        <w:trPr/>
        <w:tc>
          <w:tcPr>
            <w:tcW w:w="4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Goeddel, Ph.D.</w:t>
            </w:r>
          </w:p>
        </w:tc>
        <w:tc>
          <w:tcPr>
            <w:tcW w:w="32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74,000</w:t>
            </w:r>
          </w:p>
        </w:tc>
        <w:tc>
          <w:tcPr>
            <w:tcW w:w="3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50,823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124,823</w:t>
            </w:r>
          </w:p>
        </w:tc>
        <w:tc>
          <w:tcPr>
            <w:tcW w:w="66" w:type="dxa"/>
            <w:tcBorders/>
            <w:shd w:fill="CCEEFF" w:val="clear"/>
            <w:vAlign w:val="bottom"/>
          </w:tcPr>
          <w:p>
            <w:pPr>
              <w:pStyle w:val="TableContents"/>
              <w:bidi w:val="0"/>
              <w:spacing w:before="0" w:after="283"/>
              <w:jc w:val="left"/>
              <w:rPr/>
            </w:pPr>
            <w:r>
              <w:rPr/>
              <w:t> </w:t>
            </w:r>
          </w:p>
        </w:tc>
      </w:tr>
      <w:tr>
        <w:trPr/>
        <w:tc>
          <w:tcPr>
            <w:tcW w:w="4963" w:type="dxa"/>
            <w:tcBorders/>
          </w:tcPr>
          <w:p>
            <w:pPr>
              <w:pStyle w:val="TableContents"/>
              <w:bidi w:val="0"/>
              <w:spacing w:before="0" w:after="0"/>
              <w:jc w:val="left"/>
              <w:rPr>
                <w:rFonts w:ascii="Times New Roman" w:hAnsi="Times New Roman"/>
                <w:sz w:val="20"/>
              </w:rPr>
            </w:pPr>
            <w:r>
              <w:rPr>
                <w:rFonts w:ascii="Times New Roman" w:hAnsi="Times New Roman"/>
                <w:sz w:val="20"/>
              </w:rPr>
              <w:t>June Lee, M.D.</w:t>
            </w:r>
          </w:p>
        </w:tc>
        <w:tc>
          <w:tcPr>
            <w:tcW w:w="32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50,000</w:t>
            </w:r>
          </w:p>
        </w:tc>
        <w:tc>
          <w:tcPr>
            <w:tcW w:w="3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50,823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100,823</w:t>
            </w:r>
          </w:p>
        </w:tc>
        <w:tc>
          <w:tcPr>
            <w:tcW w:w="66" w:type="dxa"/>
            <w:tcBorders/>
            <w:vAlign w:val="bottom"/>
          </w:tcPr>
          <w:p>
            <w:pPr>
              <w:pStyle w:val="TableContents"/>
              <w:bidi w:val="0"/>
              <w:spacing w:before="0" w:after="283"/>
              <w:jc w:val="left"/>
              <w:rPr/>
            </w:pPr>
            <w:r>
              <w:rPr/>
              <w:t> </w:t>
            </w:r>
          </w:p>
        </w:tc>
      </w:tr>
      <w:tr>
        <w:trPr/>
        <w:tc>
          <w:tcPr>
            <w:tcW w:w="4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Karah Parschauer, J.D.</w:t>
            </w:r>
          </w:p>
        </w:tc>
        <w:tc>
          <w:tcPr>
            <w:tcW w:w="32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47,500</w:t>
            </w:r>
          </w:p>
        </w:tc>
        <w:tc>
          <w:tcPr>
            <w:tcW w:w="3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50,823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98,323</w:t>
            </w:r>
          </w:p>
        </w:tc>
        <w:tc>
          <w:tcPr>
            <w:tcW w:w="66" w:type="dxa"/>
            <w:tcBorders/>
            <w:shd w:fill="CCEEFF" w:val="clear"/>
            <w:vAlign w:val="bottom"/>
          </w:tcPr>
          <w:p>
            <w:pPr>
              <w:pStyle w:val="TableContents"/>
              <w:bidi w:val="0"/>
              <w:spacing w:before="0" w:after="283"/>
              <w:jc w:val="left"/>
              <w:rPr/>
            </w:pPr>
            <w:r>
              <w:rPr/>
              <w:t> </w:t>
            </w:r>
          </w:p>
        </w:tc>
      </w:tr>
      <w:tr>
        <w:trPr/>
        <w:tc>
          <w:tcPr>
            <w:tcW w:w="4963" w:type="dxa"/>
            <w:tcBorders/>
          </w:tcPr>
          <w:p>
            <w:pPr>
              <w:pStyle w:val="TableContents"/>
              <w:bidi w:val="0"/>
              <w:spacing w:before="0" w:after="0"/>
              <w:jc w:val="left"/>
              <w:rPr>
                <w:rFonts w:ascii="Times New Roman" w:hAnsi="Times New Roman"/>
                <w:sz w:val="20"/>
              </w:rPr>
            </w:pPr>
            <w:r>
              <w:rPr>
                <w:rFonts w:ascii="Times New Roman" w:hAnsi="Times New Roman"/>
                <w:sz w:val="20"/>
              </w:rPr>
              <w:t>Deepak Srivastava, M.D.</w:t>
            </w:r>
          </w:p>
        </w:tc>
        <w:tc>
          <w:tcPr>
            <w:tcW w:w="32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128,000</w:t>
            </w:r>
          </w:p>
        </w:tc>
        <w:tc>
          <w:tcPr>
            <w:tcW w:w="361" w:type="dxa"/>
            <w:tcBorders/>
            <w:vAlign w:val="bottom"/>
          </w:tcPr>
          <w:p>
            <w:pPr>
              <w:pStyle w:val="TableContents"/>
              <w:bidi w:val="0"/>
              <w:spacing w:before="0" w:after="283"/>
              <w:jc w:val="left"/>
              <w:rPr/>
            </w:pPr>
            <w:r>
              <w:rPr/>
              <w:t>(4) </w:t>
            </w:r>
          </w:p>
        </w:tc>
        <w:tc>
          <w:tcPr>
            <w:tcW w:w="2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50,823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178,823</w:t>
            </w:r>
          </w:p>
        </w:tc>
        <w:tc>
          <w:tcPr>
            <w:tcW w:w="66" w:type="dxa"/>
            <w:tcBorders/>
            <w:vAlign w:val="bottom"/>
          </w:tcPr>
          <w:p>
            <w:pPr>
              <w:pStyle w:val="TableContents"/>
              <w:bidi w:val="0"/>
              <w:spacing w:before="0" w:after="283"/>
              <w:jc w:val="left"/>
              <w:rPr/>
            </w:pPr>
            <w:r>
              <w:rPr/>
              <w:t> </w:t>
            </w:r>
          </w:p>
        </w:tc>
      </w:tr>
      <w:tr>
        <w:trPr/>
        <w:tc>
          <w:tcPr>
            <w:tcW w:w="4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Catherine Stehman-Breen, M.D.</w:t>
            </w:r>
          </w:p>
        </w:tc>
        <w:tc>
          <w:tcPr>
            <w:tcW w:w="32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50,000</w:t>
            </w:r>
          </w:p>
        </w:tc>
        <w:tc>
          <w:tcPr>
            <w:tcW w:w="3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50,823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100,823</w:t>
            </w:r>
          </w:p>
        </w:tc>
        <w:tc>
          <w:tcPr>
            <w:tcW w:w="66" w:type="dxa"/>
            <w:tcBorders/>
            <w:shd w:fill="CCEEFF" w:val="clear"/>
            <w:vAlign w:val="bottom"/>
          </w:tcPr>
          <w:p>
            <w:pPr>
              <w:pStyle w:val="TableContents"/>
              <w:bidi w:val="0"/>
              <w:spacing w:before="0" w:after="283"/>
              <w:jc w:val="left"/>
              <w:rPr/>
            </w:pPr>
            <w:r>
              <w:rPr/>
              <w:t> </w:t>
            </w:r>
          </w:p>
        </w:tc>
      </w:tr>
      <w:tr>
        <w:trPr/>
        <w:tc>
          <w:tcPr>
            <w:tcW w:w="4963" w:type="dxa"/>
            <w:tcBorders/>
          </w:tcPr>
          <w:p>
            <w:pPr>
              <w:pStyle w:val="TableContents"/>
              <w:bidi w:val="0"/>
              <w:spacing w:before="0" w:after="0"/>
              <w:jc w:val="left"/>
              <w:rPr>
                <w:rFonts w:ascii="Times New Roman" w:hAnsi="Times New Roman"/>
                <w:sz w:val="20"/>
              </w:rPr>
            </w:pPr>
            <w:r>
              <w:rPr>
                <w:rFonts w:ascii="Times New Roman" w:hAnsi="Times New Roman"/>
                <w:sz w:val="20"/>
              </w:rPr>
              <w:t>Jeffrey T. Walsh, M.B.A.</w:t>
            </w:r>
          </w:p>
        </w:tc>
        <w:tc>
          <w:tcPr>
            <w:tcW w:w="32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60,000</w:t>
            </w:r>
          </w:p>
        </w:tc>
        <w:tc>
          <w:tcPr>
            <w:tcW w:w="3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50,823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110,823</w:t>
            </w:r>
          </w:p>
        </w:tc>
        <w:tc>
          <w:tcPr>
            <w:tcW w:w="66" w:type="dxa"/>
            <w:tcBorders/>
            <w:vAlign w:val="bottom"/>
          </w:tcPr>
          <w:p>
            <w:pPr>
              <w:pStyle w:val="TableContents"/>
              <w:bidi w:val="0"/>
              <w:spacing w:before="0" w:after="283"/>
              <w:jc w:val="left"/>
              <w:rPr/>
            </w:pPr>
            <w:r>
              <w:rPr/>
              <w:t> </w:t>
            </w:r>
          </w:p>
        </w:tc>
      </w:tr>
      <w:tr>
        <w:trPr/>
        <w:tc>
          <w:tcPr>
            <w:tcW w:w="4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 Sanders Williams, M.D.</w:t>
            </w:r>
          </w:p>
        </w:tc>
        <w:tc>
          <w:tcPr>
            <w:tcW w:w="32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55,000</w:t>
            </w:r>
          </w:p>
        </w:tc>
        <w:tc>
          <w:tcPr>
            <w:tcW w:w="3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50,823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105,823</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the aggregate grant date fair value of option awards granted to the directors in the applicable fiscal year, computed in accordance with Financial Accounting Standards Board (FASB), Accounting Standards Codification Topic 718 (ASC 718). See Note 8 to our financial statements for the year ended December 31, 2024, included in our Annual Report on Form 10-K for the year ended December 31, 2024, filed with the SEC on March 10, 2025, for a discussion of the assumptions made by us in determining the grant date fair value of our equity awards. Our directors will only realize compensation to the extent the trading price of our common stock is greater than the exercise price of such stock options.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shares subject to all stock options held by each of our current non-employee directors as of December 31, 2024, is as follows: Ms. Burroughs88,766; Dr. Goeddel103,259; Dr. Lee122,196; Ms. Parschauer103,027; Dr. Srivastava140,759; Dr. Stehman-Breen125,134; Mr. Walsh143,259; and Dr. Williams103,259.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Chen resigned from the Board effective as of June 25,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disclosed includes $75,000 paid pursuant to our consulting agreement with Dr. Srivastava.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84353_19"/>
      <w:bookmarkEnd w:id="21"/>
      <w:r>
        <w:rPr>
          <w:rFonts w:ascii="Times New Roman" w:hAnsi="Times New Roman"/>
          <w:b/>
          <w:sz w:val="20"/>
        </w:rPr>
        <w:t xml:space="preserve">PROPOSAL NO. 1 </w:t>
      </w:r>
    </w:p>
    <w:p>
      <w:pPr>
        <w:pStyle w:val="TextBody"/>
        <w:bidi w:val="0"/>
        <w:spacing w:before="120" w:after="0"/>
        <w:jc w:val="center"/>
        <w:rPr>
          <w:rFonts w:ascii="Times New Roman" w:hAnsi="Times New Roman"/>
          <w:b/>
          <w:sz w:val="20"/>
        </w:rPr>
      </w:pPr>
      <w:r>
        <w:rPr>
          <w:rFonts w:ascii="Times New Roman" w:hAnsi="Times New Roman"/>
          <w:b/>
          <w:sz w:val="20"/>
        </w:rPr>
        <w:t xml:space="preserve">ELECTION OF CLASS I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currently consists of nine members. In accordance with our Amended and Restated Certificate of Incorporation, our board of directors is divided into three classes with staggered three-year terms. At the annual meeting, three Class 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 </w:t>
      </w:r>
    </w:p>
    <w:p>
      <w:pPr>
        <w:pStyle w:val="TextBody"/>
        <w:bidi w:val="0"/>
        <w:spacing w:before="360" w:after="0"/>
        <w:jc w:val="left"/>
        <w:rPr>
          <w:rFonts w:ascii="Times New Roman" w:hAnsi="Times New Roman"/>
          <w:b/>
          <w:sz w:val="20"/>
        </w:rPr>
      </w:pPr>
      <w:bookmarkStart w:id="22" w:name="toc884353_20"/>
      <w:bookmarkEnd w:id="22"/>
      <w:r>
        <w:rPr>
          <w:rFonts w:ascii="Times New Roman" w:hAnsi="Times New Roman"/>
          <w:b/>
          <w:sz w:val="20"/>
        </w:rPr>
        <w:t xml:space="preserve">Nominees </w:t>
      </w:r>
    </w:p>
    <w:p>
      <w:pPr>
        <w:pStyle w:val="TextBody"/>
        <w:bidi w:val="0"/>
        <w:spacing w:before="120" w:after="0"/>
        <w:jc w:val="left"/>
        <w:rPr>
          <w:rFonts w:ascii="Times New Roman" w:hAnsi="Times New Roman"/>
          <w:sz w:val="20"/>
        </w:rPr>
      </w:pPr>
      <w:r>
        <w:rPr>
          <w:rFonts w:ascii="Times New Roman" w:hAnsi="Times New Roman"/>
          <w:sz w:val="20"/>
        </w:rPr>
        <w:t>Our corporate governance and nominating committee has recommended, and our board of directors has approved, David Goeddel, Ph.D., Jeffrey Walsh, M.B.A., and R. Sanders Williams, M.D., as nominees for election as Class I directors at the annual meeting. If elected, each of Drs. Goeddel and Sanders and Mr. Walsh will serve as a Class I director until the 2028 annual meeting of stockholders and until his respective successor is elected and qualified or until his earlier death, resignation or removal. For more information concerning the nominees, please see the section titled </w:t>
      </w:r>
      <w:r>
        <w:rPr>
          <w:rFonts w:ascii="Times New Roman" w:hAnsi="Times New Roman"/>
          <w:i/>
          <w:sz w:val="20"/>
        </w:rPr>
        <w:t>Board of Directors and Corporate Governance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Drs. Goeddel and Williams and Mr. Walsh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 </w:t>
      </w:r>
    </w:p>
    <w:p>
      <w:pPr>
        <w:pStyle w:val="TextBody"/>
        <w:bidi w:val="0"/>
        <w:spacing w:before="360" w:after="0"/>
        <w:jc w:val="left"/>
        <w:rPr>
          <w:rFonts w:ascii="Times New Roman" w:hAnsi="Times New Roman"/>
          <w:b/>
          <w:sz w:val="20"/>
        </w:rPr>
      </w:pPr>
      <w:bookmarkStart w:id="23" w:name="toc884353_21"/>
      <w:bookmarkEnd w:id="23"/>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 </w:t>
      </w:r>
    </w:p>
    <w:p>
      <w:pPr>
        <w:pStyle w:val="TextBody"/>
        <w:bidi w:val="0"/>
        <w:spacing w:before="360" w:after="0"/>
        <w:jc w:val="left"/>
        <w:rPr>
          <w:rFonts w:ascii="Times New Roman" w:hAnsi="Times New Roman"/>
          <w:b/>
          <w:sz w:val="20"/>
        </w:rPr>
      </w:pPr>
      <w:bookmarkStart w:id="24" w:name="toc884353_22"/>
      <w:bookmarkEnd w:id="24"/>
      <w:r>
        <w:rPr>
          <w:rFonts w:ascii="Times New Roman" w:hAnsi="Times New Roman"/>
          <w:b/>
          <w:sz w:val="20"/>
        </w:rPr>
        <w:t xml:space="preserve">Board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OUR BOARD OF DIRECTORS RECOMMENDS A VOTE FOR THE ELECTION OF EACH OF THE DIRECTOR NOMINEES NAMED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84353_23"/>
      <w:bookmarkEnd w:id="25"/>
      <w:r>
        <w:rPr>
          <w:rFonts w:ascii="Times New Roman" w:hAnsi="Times New Roman"/>
          <w:b/>
          <w:sz w:val="20"/>
        </w:rPr>
        <w:t xml:space="preserve">PROPOSAL NO. 2 </w:t>
      </w:r>
    </w:p>
    <w:p>
      <w:pPr>
        <w:pStyle w:val="TextBody"/>
        <w:bidi w:val="0"/>
        <w:spacing w:before="120" w:after="0"/>
        <w:jc w:val="center"/>
        <w:rPr>
          <w:rFonts w:ascii="Times New Roman" w:hAnsi="Times New Roman"/>
          <w:b/>
          <w:sz w:val="20"/>
        </w:rPr>
      </w:pPr>
      <w:r>
        <w:rPr>
          <w:rFonts w:ascii="Times New Roman" w:hAnsi="Times New Roman"/>
          <w:b/>
          <w:sz w:val="20"/>
        </w:rPr>
        <w:t xml:space="preserve">RATIFICATION OF APPOINTMENT OF </w:t>
      </w:r>
    </w:p>
    <w:p>
      <w:pPr>
        <w:pStyle w:val="TextBody"/>
        <w:bidi w:val="0"/>
        <w:spacing w:before="0" w:after="0"/>
        <w:jc w:val="center"/>
        <w:rPr>
          <w:rFonts w:ascii="Times New Roman" w:hAnsi="Times New Roman"/>
          <w:b/>
          <w:sz w:val="20"/>
        </w:rPr>
      </w:pPr>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appointed Deloitte &amp; Touche LLP as our independent registered public accounting firm to audit our financial statements for our fiscal year ending December 31, 2025. Deloitte &amp; Touche LLP served as our independent registered public accounting firm for the fiscal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we are asking our stockholders to ratify the appointment of Deloitte &amp; Touche LLP as our independent registered public accounting firm for our fiscal year ending December 31, 2025. Our audit committee is submitting the appointment of Deloitte &amp; Touche LLP to our stockholders because we value our stockholders views on our independent registered public accounting firm and as a matter of good corporate governance. Notwithstanding the appointment of Deloitte &amp; Touche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Deloitte &amp; Touche LLP, then our audit committee may reconsider the appointment. One or more representatives of Deloitte &amp; Touche LLP are expected to be present at the annual meeting, and they will have an opportunity to make a statement and are expected to be available to respond to appropriate questions from our stockholders. </w:t>
      </w:r>
    </w:p>
    <w:p>
      <w:pPr>
        <w:pStyle w:val="TextBody"/>
        <w:bidi w:val="0"/>
        <w:spacing w:before="360" w:after="0"/>
        <w:jc w:val="left"/>
        <w:rPr>
          <w:rFonts w:ascii="Times New Roman" w:hAnsi="Times New Roman"/>
          <w:b/>
          <w:sz w:val="20"/>
        </w:rPr>
      </w:pPr>
      <w:bookmarkStart w:id="26" w:name="toc884353_24"/>
      <w:bookmarkEnd w:id="26"/>
      <w:r>
        <w:rPr>
          <w:rFonts w:ascii="Times New Roman" w:hAnsi="Times New Roman"/>
          <w:b/>
          <w:sz w:val="20"/>
        </w:rPr>
        <w:t xml:space="preserve">Fees Paid to the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fees for professional audit services and other services rendered to us by Deloitte &amp; Touche LLP for our fiscal years ended December 31, 2024, and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06"/>
        <w:gridCol w:w="357"/>
        <w:gridCol w:w="141"/>
        <w:gridCol w:w="1047"/>
        <w:gridCol w:w="60"/>
        <w:gridCol w:w="357"/>
        <w:gridCol w:w="141"/>
        <w:gridCol w:w="881"/>
        <w:gridCol w:w="65"/>
      </w:tblGrid>
      <w:tr>
        <w:trPr/>
        <w:tc>
          <w:tcPr>
            <w:tcW w:w="4706"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4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1,130,725</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951,700</w:t>
            </w:r>
          </w:p>
        </w:tc>
        <w:tc>
          <w:tcPr>
            <w:tcW w:w="65" w:type="dxa"/>
            <w:tcBorders/>
            <w:shd w:fill="CCEEFF" w:val="clear"/>
            <w:vAlign w:val="bottom"/>
          </w:tcPr>
          <w:p>
            <w:pPr>
              <w:pStyle w:val="TableContents"/>
              <w:bidi w:val="0"/>
              <w:spacing w:before="0" w:after="283"/>
              <w:jc w:val="left"/>
              <w:rPr/>
            </w:pPr>
            <w:r>
              <w:rPr/>
              <w:t> </w:t>
            </w:r>
          </w:p>
        </w:tc>
      </w:tr>
      <w:tr>
        <w:trPr/>
        <w:tc>
          <w:tcPr>
            <w:tcW w:w="4706"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Fees(2)</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25,254</w:t>
            </w:r>
          </w:p>
        </w:tc>
        <w:tc>
          <w:tcPr>
            <w:tcW w:w="65" w:type="dxa"/>
            <w:tcBorders/>
            <w:shd w:fill="CCEEFF" w:val="clear"/>
            <w:vAlign w:val="bottom"/>
          </w:tcPr>
          <w:p>
            <w:pPr>
              <w:pStyle w:val="TableContents"/>
              <w:bidi w:val="0"/>
              <w:spacing w:before="0" w:after="283"/>
              <w:jc w:val="left"/>
              <w:rPr/>
            </w:pPr>
            <w:r>
              <w:rPr/>
              <w:t> </w:t>
            </w:r>
          </w:p>
        </w:tc>
      </w:tr>
      <w:tr>
        <w:trPr/>
        <w:tc>
          <w:tcPr>
            <w:tcW w:w="4706"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70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1,130,725</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976,954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fees billed for professional services rendered for the audit of our consolidated financial statements and review of the interim financial statements included in quarterly reports and services that are normally provided by Deloitte &amp; Touche LLP in connection with statutory and regulatory filings and other engagements such as consents and review of documents filed with the SEC. The fees for 2023 include services associated with the activation of our at-the-market program and our follow-on offering in February 2024. The fees for 2024 include services associated with the activation of our at the market program and our follow-on offering in March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fees consist of fees for tax advice and tax planning. </w:t>
            </w:r>
          </w:p>
        </w:tc>
      </w:tr>
    </w:tbl>
    <w:p>
      <w:pPr>
        <w:pStyle w:val="TextBody"/>
        <w:bidi w:val="0"/>
        <w:spacing w:before="360" w:after="0"/>
        <w:jc w:val="left"/>
        <w:rPr>
          <w:rFonts w:ascii="Times New Roman" w:hAnsi="Times New Roman"/>
          <w:b/>
          <w:sz w:val="20"/>
        </w:rPr>
      </w:pPr>
      <w:bookmarkStart w:id="27" w:name="toc884353_25"/>
      <w:bookmarkEnd w:id="27"/>
      <w:r>
        <w:rPr>
          <w:rFonts w:ascii="Times New Roman" w:hAnsi="Times New Roman"/>
          <w:b/>
          <w:sz w:val="20"/>
        </w:rPr>
        <w:t xml:space="preserve">Auditor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In 2024, there were no other professional services provided by Deloitte &amp; Touche LLP, other than those listed above, that would have required our audit committee to consider their compatibility with maintaining the independence of Deloitte &amp; Touche LLP. </w:t>
      </w:r>
    </w:p>
    <w:p>
      <w:pPr>
        <w:pStyle w:val="TextBody"/>
        <w:bidi w:val="0"/>
        <w:spacing w:before="360" w:after="0"/>
        <w:jc w:val="left"/>
        <w:rPr>
          <w:rFonts w:ascii="Times New Roman" w:hAnsi="Times New Roman"/>
          <w:b/>
          <w:sz w:val="20"/>
        </w:rPr>
      </w:pPr>
      <w:bookmarkStart w:id="28" w:name="toc884353_26"/>
      <w:bookmarkEnd w:id="28"/>
      <w:r>
        <w:rPr>
          <w:rFonts w:ascii="Times New Roman" w:hAnsi="Times New Roman"/>
          <w:b/>
          <w:sz w:val="20"/>
        </w:rPr>
        <w:t xml:space="preserve">Audit Committee Policy on Pre-Approval of Audit and Permissible Non-Audit Services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established a policy governing our use of the services of our independent registered public accounting firm. Under this policy, our audit committee is required to pre-approve all services performed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our independent registered public accounting firm in order to ensure that the provision of such services does not impair such accounting firms independence. All fees paid to Deloitte &amp; Touche LLP for our fiscal year ended December 31, 2024, were pre-approved by our audit committee. </w:t>
      </w:r>
    </w:p>
    <w:p>
      <w:pPr>
        <w:pStyle w:val="TextBody"/>
        <w:bidi w:val="0"/>
        <w:spacing w:before="360" w:after="0"/>
        <w:jc w:val="left"/>
        <w:rPr>
          <w:rFonts w:ascii="Times New Roman" w:hAnsi="Times New Roman"/>
          <w:b/>
          <w:sz w:val="20"/>
        </w:rPr>
      </w:pPr>
      <w:bookmarkStart w:id="29" w:name="toc884353_27"/>
      <w:bookmarkEnd w:id="29"/>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The ratification of the appointment of Deloitte &amp; Touche LLP as our independent registered public accounting firm for our fiscal year ending December 31, 2025, requires the affirmative vote of a majority of the voting power of the shares present in person (including virtually) or represented by proxy at the annual meeting and entitled to vote thereon. Abstentions will have the same effect as a vote AGAINST this proposal. Because this is a routine proposal, your broker, bank or other nominee will have discretion to vote your shares on this routine matter. See </w:t>
      </w:r>
      <w:r>
        <w:rPr>
          <w:rFonts w:ascii="Times New Roman" w:hAnsi="Times New Roman"/>
          <w:i/>
          <w:sz w:val="20"/>
        </w:rPr>
        <w:t>What if I do not specify how my shares are to be voted or fail to provide timely directions to my broker, bank or other nominee?</w:t>
      </w:r>
      <w:r>
        <w:rPr>
          <w:rFonts w:ascii="Times New Roman" w:hAnsi="Times New Roman"/>
          <w:sz w:val="20"/>
        </w:rPr>
        <w:t xml:space="preserve"> above. Therefore, we do not expect any broker non-votes on this proposal. </w:t>
      </w:r>
    </w:p>
    <w:p>
      <w:pPr>
        <w:pStyle w:val="TextBody"/>
        <w:bidi w:val="0"/>
        <w:spacing w:before="360" w:after="0"/>
        <w:jc w:val="left"/>
        <w:rPr>
          <w:rFonts w:ascii="Times New Roman" w:hAnsi="Times New Roman"/>
          <w:b/>
          <w:sz w:val="20"/>
        </w:rPr>
      </w:pPr>
      <w:bookmarkStart w:id="30" w:name="toc884353_28"/>
      <w:bookmarkEnd w:id="30"/>
      <w:r>
        <w:rPr>
          <w:rFonts w:ascii="Times New Roman" w:hAnsi="Times New Roman"/>
          <w:b/>
          <w:sz w:val="20"/>
        </w:rPr>
        <w:t xml:space="preserve">Board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OUR BOARD OF DIRECTORS RECOMMENDS A VOTE FOR THE RATIFICATION OF THE APPOINTMENT OF DELOITTE &amp; TOUCHE LLP AS OUR INDEPENDENT REGISTERED PUBLIC ACCOUNTING FIRM FOR OUR FISCAL YEAR ENDING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884353_29"/>
      <w:bookmarkEnd w:id="31"/>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The audit committee reviews and assesses the adequacy of its charter and the audit committees performance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 </w:t>
      </w:r>
    </w:p>
    <w:p>
      <w:pPr>
        <w:pStyle w:val="TextBody"/>
        <w:bidi w:val="0"/>
        <w:spacing w:before="240" w:after="0"/>
        <w:jc w:val="left"/>
        <w:rPr>
          <w:rFonts w:ascii="Times New Roman" w:hAnsi="Times New Roman"/>
          <w:sz w:val="20"/>
        </w:rPr>
      </w:pPr>
      <w:r>
        <w:rPr>
          <w:rFonts w:ascii="Times New Roman" w:hAnsi="Times New Roman"/>
          <w:sz w:val="20"/>
        </w:rPr>
        <w:t xml:space="preserve">In the performance of its oversight function, the audit committee has: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the audited financial statements with management and Deloitte;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Deloitte the matters required to be discussed by the applicable requirements of the Public Company Accounting Oversight Board (PCAOB) and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received the written disclosures and the letter from Deloitte required by applicable requirements of the PCAOB regarding the independent accountants communications with the audit committee concerning independence and has discussed with Deloitte its independence.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with management and Deloitte, the audit committee recommended to the board of directors that the audited financial statements be included in the Companys Annual Report on Form 10-K for the fiscal year ended December 31, 2024, for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Respectfully submitted by the members of the audit committee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Jeffrey T. Walsh (Chair) </w:t>
      </w:r>
    </w:p>
    <w:p>
      <w:pPr>
        <w:pStyle w:val="TextBody"/>
        <w:bidi w:val="0"/>
        <w:spacing w:before="120" w:after="0"/>
        <w:jc w:val="left"/>
        <w:rPr>
          <w:rFonts w:ascii="Times New Roman" w:hAnsi="Times New Roman"/>
          <w:b/>
          <w:sz w:val="20"/>
        </w:rPr>
      </w:pPr>
      <w:r>
        <w:rPr>
          <w:rFonts w:ascii="Times New Roman" w:hAnsi="Times New Roman"/>
          <w:b/>
          <w:sz w:val="20"/>
        </w:rPr>
        <w:t xml:space="preserve">Amy Burroughs </w:t>
      </w:r>
    </w:p>
    <w:p>
      <w:pPr>
        <w:pStyle w:val="TextBody"/>
        <w:bidi w:val="0"/>
        <w:spacing w:before="120" w:after="0"/>
        <w:jc w:val="left"/>
        <w:rPr>
          <w:rFonts w:ascii="Times New Roman" w:hAnsi="Times New Roman"/>
          <w:b/>
          <w:sz w:val="20"/>
        </w:rPr>
      </w:pPr>
      <w:r>
        <w:rPr>
          <w:rFonts w:ascii="Times New Roman" w:hAnsi="Times New Roman"/>
          <w:b/>
          <w:sz w:val="20"/>
        </w:rPr>
        <w:t xml:space="preserve">Karah Parschauer </w:t>
      </w:r>
    </w:p>
    <w:p>
      <w:pPr>
        <w:pStyle w:val="TextBody"/>
        <w:bidi w:val="0"/>
        <w:spacing w:before="240" w:after="0"/>
        <w:jc w:val="left"/>
        <w:rPr>
          <w:rFonts w:ascii="Times New Roman" w:hAnsi="Times New Roman"/>
          <w:i/>
          <w:sz w:val="20"/>
        </w:rPr>
      </w:pPr>
      <w:r>
        <w:rPr>
          <w:rFonts w:ascii="Times New Roman" w:hAnsi="Times New Roman"/>
          <w:i/>
          <w:sz w:val="20"/>
        </w:rPr>
        <w:t xml:space="preserve">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Exchange Act, except to the extent the Company specifically requests that the information be treated as soliciting material or specifically incorporates it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884353_30"/>
      <w:bookmarkEnd w:id="32"/>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about our executive officers as of March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6"/>
        <w:gridCol w:w="120"/>
        <w:gridCol w:w="667"/>
        <w:gridCol w:w="189"/>
        <w:gridCol w:w="6033"/>
      </w:tblGrid>
      <w:tr>
        <w:trPr/>
        <w:tc>
          <w:tcPr>
            <w:tcW w:w="31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33"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667"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89" w:type="dxa"/>
            <w:tcBorders/>
            <w:vAlign w:val="bottom"/>
          </w:tcPr>
          <w:p>
            <w:pPr>
              <w:pStyle w:val="TableContents"/>
              <w:bidi w:val="0"/>
              <w:spacing w:before="0" w:after="283"/>
              <w:jc w:val="left"/>
              <w:rPr/>
            </w:pPr>
            <w:r>
              <w:rPr/>
              <w:t>  </w:t>
            </w:r>
          </w:p>
        </w:tc>
        <w:tc>
          <w:tcPr>
            <w:tcW w:w="60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Faraz Ali, M.B.A.</w:t>
            </w:r>
          </w:p>
        </w:tc>
        <w:tc>
          <w:tcPr>
            <w:tcW w:w="120"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center"/>
              <w:rPr/>
            </w:pPr>
            <w:r>
              <w:rPr/>
              <w:t>52</w:t>
            </w:r>
          </w:p>
        </w:tc>
        <w:tc>
          <w:tcPr>
            <w:tcW w:w="189" w:type="dxa"/>
            <w:tcBorders/>
            <w:vAlign w:val="bottom"/>
          </w:tcPr>
          <w:p>
            <w:pPr>
              <w:pStyle w:val="TableContents"/>
              <w:bidi w:val="0"/>
              <w:spacing w:before="0" w:after="283"/>
              <w:jc w:val="left"/>
              <w:rPr/>
            </w:pPr>
            <w:r>
              <w:rPr/>
              <w:t>  </w:t>
            </w:r>
          </w:p>
        </w:tc>
        <w:tc>
          <w:tcPr>
            <w:tcW w:w="6033" w:type="dxa"/>
            <w:tcBorders/>
            <w:vAlign w:val="bottom"/>
          </w:tcPr>
          <w:p>
            <w:pPr>
              <w:pStyle w:val="TableContents"/>
              <w:bidi w:val="0"/>
              <w:spacing w:before="0" w:after="283"/>
              <w:jc w:val="left"/>
              <w:rPr/>
            </w:pPr>
            <w:r>
              <w:rPr/>
              <w:t>Chief Executive Officer and Interim Principal Financial Officer</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Whittemore (Whit) Tingley, M.D., Ph.D.</w:t>
            </w:r>
          </w:p>
        </w:tc>
        <w:tc>
          <w:tcPr>
            <w:tcW w:w="120" w:type="dxa"/>
            <w:tcBorders/>
            <w:vAlign w:val="bottom"/>
          </w:tcPr>
          <w:p>
            <w:pPr>
              <w:pStyle w:val="TableContents"/>
              <w:bidi w:val="0"/>
              <w:spacing w:before="0" w:after="283"/>
              <w:jc w:val="left"/>
              <w:rPr/>
            </w:pPr>
            <w:r>
              <w:rPr/>
              <w:t>  </w:t>
            </w:r>
          </w:p>
        </w:tc>
        <w:tc>
          <w:tcPr>
            <w:tcW w:w="667" w:type="dxa"/>
            <w:tcBorders/>
          </w:tcPr>
          <w:p>
            <w:pPr>
              <w:pStyle w:val="TableContents"/>
              <w:bidi w:val="0"/>
              <w:spacing w:before="0" w:after="283"/>
              <w:jc w:val="center"/>
              <w:rPr/>
            </w:pPr>
            <w:r>
              <w:rPr/>
              <w:t>56</w:t>
            </w:r>
          </w:p>
        </w:tc>
        <w:tc>
          <w:tcPr>
            <w:tcW w:w="189" w:type="dxa"/>
            <w:tcBorders/>
            <w:vAlign w:val="bottom"/>
          </w:tcPr>
          <w:p>
            <w:pPr>
              <w:pStyle w:val="TableContents"/>
              <w:bidi w:val="0"/>
              <w:spacing w:before="0" w:after="283"/>
              <w:jc w:val="left"/>
              <w:rPr/>
            </w:pPr>
            <w:r>
              <w:rPr/>
              <w:t>  </w:t>
            </w:r>
          </w:p>
        </w:tc>
        <w:tc>
          <w:tcPr>
            <w:tcW w:w="6033" w:type="dxa"/>
            <w:tcBorders/>
            <w:vAlign w:val="bottom"/>
          </w:tcPr>
          <w:p>
            <w:pPr>
              <w:pStyle w:val="TableContents"/>
              <w:bidi w:val="0"/>
              <w:spacing w:before="0" w:after="283"/>
              <w:jc w:val="left"/>
              <w:rPr/>
            </w:pPr>
            <w:r>
              <w:rPr/>
              <w:t>Chief Medical Officer</w:t>
            </w:r>
          </w:p>
        </w:tc>
      </w:tr>
    </w:tbl>
    <w:p>
      <w:pPr>
        <w:pStyle w:val="TextBody"/>
        <w:bidi w:val="0"/>
        <w:spacing w:before="360" w:after="0"/>
        <w:jc w:val="left"/>
        <w:rPr>
          <w:rFonts w:ascii="Times New Roman" w:hAnsi="Times New Roman"/>
          <w:sz w:val="20"/>
        </w:rPr>
      </w:pPr>
      <w:r>
        <w:rPr>
          <w:rFonts w:ascii="Times New Roman" w:hAnsi="Times New Roman"/>
          <w:sz w:val="20"/>
        </w:rPr>
        <w:t>For the biography of Mr. Ali, please see </w:t>
      </w:r>
      <w:r>
        <w:rPr>
          <w:rFonts w:ascii="Times New Roman" w:hAnsi="Times New Roman"/>
          <w:i/>
          <w:sz w:val="20"/>
        </w:rPr>
        <w:t>Board of Directors and Corporate GovernanceContinuing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Whittemore (Whit) Tingley, M.D., Ph.D.</w:t>
      </w:r>
      <w:r>
        <w:rPr>
          <w:rFonts w:ascii="Times New Roman" w:hAnsi="Times New Roman"/>
          <w:sz w:val="20"/>
        </w:rPr>
        <w:t xml:space="preserve">, has served as our Chief Medical Officer since December 2018. Before joining us, he served as the Vice President of Clinical Research, Cardiology, at Cytokinetics, a publicly traded biotechnology company, from September 2017 to December 2018. From 2009 to September 2017, Dr. Tingley held various medical director and group medical director roles at Genentech. Before that, Dr. Tingley was adjunct assistant professor of medicine in the cardiology division at the University of California, San Francisco (UCSF),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UCSF and post-doctoral research at Gladstone Institutes.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884353_31"/>
      <w:bookmarkEnd w:id="33"/>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34" w:name="toc884353_32"/>
      <w:bookmarkEnd w:id="34"/>
      <w:r>
        <w:rPr>
          <w:rFonts w:ascii="Times New Roman" w:hAnsi="Times New Roman"/>
          <w:b/>
          <w:sz w:val="20"/>
        </w:rPr>
        <w:t xml:space="preserve">Processes and Procedures for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incentive compensation for all executive officers (other than himself) based on our results, an individual executive officers contribution toward these results and performance toward individual goal achievement. Our compensation committee then reviews the recommendations and other data furnished by its independent compensation consultant. Our compensation committee makes decisions as to total compensation for each executive officer other than the chief executive officer, although it may instead, in its discretion, make recommendations to our board of directors regarding executive compensation for its approval. Our compensation committee makes recommendations to our board of directors regarding our chief executive officers compensation and our board of directors makes decisions as to such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is authorized to retain the services of one or more executive compensation advisors, as it sees fit, in connection with the establishment of our compensation programs and related policies. Beginning in August 2022, our compensation committee retained Pearl Meyer, an independent compensation and leadership consulting firm, to provide it with information, recommendations and other advice relating to executive compensation and non-employee director compensation on an ongoing basis. Pearl Meyer served at the discretion of our compensation committee. As part of its engagement, Pearl Meyer assisted our compensation committee in developing a group of peer companies to help us determine the appropriate level of overall compensation for our executive officers, as well as assess each separate element of compensation, with a goal of ensuring that the compensation we offer to our executive officers is competitive and fair.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consisting of our principal executive officer and the two most highly compensated executive officers (other than our principal executive officer), as of December 31, 2024,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Faraz Ali, M.B.A.,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Whittemore (Whit) Tingley, M.D., Ph.D., our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Leone D. Patterson, M.B.A. our former Chief Financial and Business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oc884353_33"/>
      <w:bookmarkEnd w:id="35"/>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reportable for our named executive officers for the years ended December 31, 2024, and 2023. </w:t>
      </w:r>
    </w:p>
    <w:p>
      <w:pPr>
        <w:pStyle w:val="TextBody"/>
        <w:bidi w:val="0"/>
        <w:spacing w:before="0" w:after="0"/>
        <w:jc w:val="left"/>
        <w:rPr/>
      </w:pPr>
      <w:r>
        <w:rPr/>
        <w:t> </w:t>
      </w:r>
    </w:p>
    <w:tbl>
      <w:tblPr>
        <w:tblW w:w="14045" w:type="dxa"/>
        <w:jc w:val="center"/>
        <w:tblInd w:w="0" w:type="dxa"/>
        <w:tblLayout w:type="fixed"/>
        <w:tblCellMar>
          <w:top w:w="0" w:type="dxa"/>
          <w:left w:w="0" w:type="dxa"/>
          <w:bottom w:w="0" w:type="dxa"/>
          <w:right w:w="0" w:type="dxa"/>
        </w:tblCellMar>
      </w:tblPr>
      <w:tblGrid>
        <w:gridCol w:w="2930"/>
        <w:gridCol w:w="120"/>
        <w:gridCol w:w="60"/>
        <w:gridCol w:w="500"/>
        <w:gridCol w:w="60"/>
        <w:gridCol w:w="120"/>
        <w:gridCol w:w="60"/>
        <w:gridCol w:w="800"/>
        <w:gridCol w:w="60"/>
        <w:gridCol w:w="120"/>
        <w:gridCol w:w="199"/>
        <w:gridCol w:w="466"/>
        <w:gridCol w:w="60"/>
        <w:gridCol w:w="120"/>
        <w:gridCol w:w="60"/>
        <w:gridCol w:w="800"/>
        <w:gridCol w:w="60"/>
        <w:gridCol w:w="120"/>
        <w:gridCol w:w="60"/>
        <w:gridCol w:w="980"/>
        <w:gridCol w:w="60"/>
        <w:gridCol w:w="120"/>
        <w:gridCol w:w="103"/>
        <w:gridCol w:w="1387"/>
        <w:gridCol w:w="60"/>
        <w:gridCol w:w="120"/>
        <w:gridCol w:w="447"/>
        <w:gridCol w:w="1043"/>
        <w:gridCol w:w="60"/>
        <w:gridCol w:w="120"/>
        <w:gridCol w:w="144"/>
        <w:gridCol w:w="1346"/>
        <w:gridCol w:w="60"/>
        <w:gridCol w:w="120"/>
        <w:gridCol w:w="60"/>
        <w:gridCol w:w="980"/>
        <w:gridCol w:w="6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w:t>
              <w:br/>
              <w:t>Principal</w:t>
              <w:br/>
              <w:t>Position</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Nonqualified</w:t>
              <w:br/>
              <w:t>Deferred</w:t>
              <w:br/>
              <w:t>Compensation</w:t>
              <w:br/>
              <w:t>Earnings</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29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Faraz Ali, M.B.A.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636,189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443,700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2,047,927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153,450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636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3,281,901</w:t>
            </w:r>
          </w:p>
        </w:tc>
        <w:tc>
          <w:tcPr>
            <w:tcW w:w="60" w:type="dxa"/>
            <w:tcBorders/>
            <w:shd w:fill="CCEEFF" w:val="clear"/>
            <w:vAlign w:val="bottom"/>
          </w:tcPr>
          <w:p>
            <w:pPr>
              <w:pStyle w:val="TableContents"/>
              <w:bidi w:val="0"/>
              <w:spacing w:before="0" w:after="283"/>
              <w:jc w:val="left"/>
              <w:rPr/>
            </w:pPr>
            <w:r>
              <w:rPr/>
              <w:t> </w:t>
            </w:r>
          </w:p>
        </w:tc>
      </w:tr>
      <w:tr>
        <w:trPr/>
        <w:tc>
          <w:tcPr>
            <w:tcW w:w="293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593,800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382,500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1,617,503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293,931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2,328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2,890,062</w:t>
            </w:r>
          </w:p>
        </w:tc>
        <w:tc>
          <w:tcPr>
            <w:tcW w:w="60" w:type="dxa"/>
            <w:tcBorders/>
            <w:shd w:fill="CCEEFF" w:val="clear"/>
            <w:vAlign w:val="bottom"/>
          </w:tcPr>
          <w:p>
            <w:pPr>
              <w:pStyle w:val="TableContents"/>
              <w:bidi w:val="0"/>
              <w:spacing w:before="0" w:after="283"/>
              <w:jc w:val="left"/>
              <w:rPr/>
            </w:pPr>
            <w:r>
              <w:rPr/>
              <w:t> </w:t>
            </w:r>
          </w:p>
        </w:tc>
      </w:tr>
      <w:tr>
        <w:trPr/>
        <w:tc>
          <w:tcPr>
            <w:tcW w:w="2930" w:type="dxa"/>
            <w:tcBorders/>
          </w:tcPr>
          <w:p>
            <w:pPr>
              <w:pStyle w:val="TableContents"/>
              <w:bidi w:val="0"/>
              <w:spacing w:before="0" w:after="0"/>
              <w:jc w:val="left"/>
              <w:rPr>
                <w:rFonts w:ascii="Times New Roman" w:hAnsi="Times New Roman"/>
                <w:sz w:val="18"/>
              </w:rPr>
            </w:pPr>
            <w:r>
              <w:rPr>
                <w:rFonts w:ascii="Times New Roman" w:hAnsi="Times New Roman"/>
                <w:sz w:val="18"/>
              </w:rPr>
              <w:t>Whittemore (Whit) Tingley, M.D., Ph.D.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504,919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182,700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871,890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1,636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1,661,145</w:t>
            </w:r>
          </w:p>
        </w:tc>
        <w:tc>
          <w:tcPr>
            <w:tcW w:w="60" w:type="dxa"/>
            <w:tcBorders/>
            <w:vAlign w:val="bottom"/>
          </w:tcPr>
          <w:p>
            <w:pPr>
              <w:pStyle w:val="TableContents"/>
              <w:bidi w:val="0"/>
              <w:spacing w:before="0" w:after="283"/>
              <w:jc w:val="left"/>
              <w:rPr/>
            </w:pPr>
            <w:r>
              <w:rPr/>
              <w:t> </w:t>
            </w:r>
          </w:p>
        </w:tc>
      </w:tr>
      <w:tr>
        <w:trPr/>
        <w:tc>
          <w:tcPr>
            <w:tcW w:w="29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475,000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244,800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491,242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167,000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3,786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1,381,827</w:t>
            </w:r>
          </w:p>
        </w:tc>
        <w:tc>
          <w:tcPr>
            <w:tcW w:w="60" w:type="dxa"/>
            <w:tcBorders/>
            <w:vAlign w:val="bottom"/>
          </w:tcPr>
          <w:p>
            <w:pPr>
              <w:pStyle w:val="TableContents"/>
              <w:bidi w:val="0"/>
              <w:spacing w:before="0" w:after="283"/>
              <w:jc w:val="left"/>
              <w:rPr/>
            </w:pPr>
            <w:r>
              <w:rPr/>
              <w:t> </w:t>
            </w:r>
          </w:p>
        </w:tc>
      </w:tr>
      <w:tr>
        <w:trPr/>
        <w:tc>
          <w:tcPr>
            <w:tcW w:w="29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Leone D. Patterson, M.B.A.(4)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349,528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182,700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831,337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1,424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1,364,989</w:t>
            </w:r>
          </w:p>
        </w:tc>
        <w:tc>
          <w:tcPr>
            <w:tcW w:w="60" w:type="dxa"/>
            <w:tcBorders/>
            <w:shd w:fill="CCEEFF" w:val="clear"/>
            <w:vAlign w:val="bottom"/>
          </w:tcPr>
          <w:p>
            <w:pPr>
              <w:pStyle w:val="TableContents"/>
              <w:bidi w:val="0"/>
              <w:spacing w:before="0" w:after="283"/>
              <w:jc w:val="left"/>
              <w:rPr/>
            </w:pPr>
            <w:r>
              <w:rPr/>
              <w:t> </w:t>
            </w:r>
          </w:p>
        </w:tc>
      </w:tr>
      <w:tr>
        <w:trPr/>
        <w:tc>
          <w:tcPr>
            <w:tcW w:w="293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198,900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455,297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160,000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4,384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1,273,581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in this column represent the amount actually earned by each named executive officer for the indicated fiscal year.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column reflects the aggregate grant date fair value of option awards granted to the officer in the applicable fiscal year, computed in accordance with FASB ASC Topic 718. See Note 8 to our financial statements for the year ended December 31, 2024, included in our Annual Report on Form 10-K for the year ended December 31, 2024, filed with the SEC on March 10, 2025, for a discussion of the assumptions made by us in determining the grant date fair value of our equity awards. Our named executive officers will only realize compensation to the extent the trading price of our common stock is greater than the exercise price of such stock options.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represent the portion of the cash bonuses awarded under our Executive Incentive Compensation Plan that was based on the compensation committees assessment of the achievement of pre-determined corporate goals.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August 15, 2024, Ms. Patterson resigned as Chief Financial and Business Officer. </w:t>
            </w:r>
          </w:p>
        </w:tc>
      </w:tr>
    </w:tbl>
    <w:p>
      <w:pPr>
        <w:pStyle w:val="TextBody"/>
        <w:bidi w:val="0"/>
        <w:spacing w:before="360" w:after="0"/>
        <w:jc w:val="left"/>
        <w:rPr>
          <w:rFonts w:ascii="Times New Roman" w:hAnsi="Times New Roman"/>
          <w:b/>
          <w:sz w:val="20"/>
        </w:rPr>
      </w:pPr>
      <w:bookmarkStart w:id="36" w:name="toc884353_34"/>
      <w:bookmarkEnd w:id="36"/>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Each of our current executive officers has executed our standard form of confidential information, invention assignment and arbitration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employment offer letter agreement with each of our executive officers in connection with his or her employment with us. These offer letters provide for at will employment.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Faraz Ali, M.B.A.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confirmatory employment letter with Mr. Ali, our Chief Executive Officer. The confirmatory employment letter has no specific term and provides for at-will employment. Mr. Alis current annual base salary is $645,000 and his annual target bonus is 55% of his annual base salary.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Whittemore (Whit) Tingley, M.D., Ph.D.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confirmatory employment letter with Dr. Tingley, our Chief Medical Officer. The confirmatory employment letter has no specific term and provides for at-will employment. Dr. Tingleys current annual base salary is $506,000 and his annual target bonus is 40% of his annual base salary.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Leone D. Patterson, M.B.A. </w:t>
      </w:r>
    </w:p>
    <w:p>
      <w:pPr>
        <w:pStyle w:val="TextBody"/>
        <w:bidi w:val="0"/>
        <w:spacing w:before="120" w:after="0"/>
        <w:jc w:val="left"/>
        <w:rPr>
          <w:rFonts w:ascii="Times New Roman" w:hAnsi="Times New Roman"/>
          <w:sz w:val="20"/>
        </w:rPr>
      </w:pPr>
      <w:r>
        <w:rPr>
          <w:rFonts w:ascii="Times New Roman" w:hAnsi="Times New Roman"/>
          <w:sz w:val="20"/>
        </w:rPr>
        <w:t xml:space="preserve">We previously entered into an employment letter with Ms. Patterson, our former Chief Financial and Business Officer. The employment letter had no specific term and provided for at-will employment. Effective August 15, 2024, Ms. Patterson resigned as Chief Financial and Business Officer and the employment letter was terminated. </w:t>
      </w:r>
    </w:p>
    <w:p>
      <w:pPr>
        <w:pStyle w:val="TextBody"/>
        <w:bidi w:val="0"/>
        <w:spacing w:before="360" w:after="0"/>
        <w:jc w:val="left"/>
        <w:rPr>
          <w:rFonts w:ascii="Times New Roman" w:hAnsi="Times New Roman"/>
          <w:b/>
          <w:sz w:val="20"/>
        </w:rPr>
      </w:pPr>
      <w:bookmarkStart w:id="37" w:name="toc884353_35"/>
      <w:bookmarkEnd w:id="37"/>
      <w:r>
        <w:rPr>
          <w:rFonts w:ascii="Times New Roman" w:hAnsi="Times New Roman"/>
          <w:b/>
          <w:sz w:val="20"/>
        </w:rPr>
        <w:t xml:space="preserve">Executive Change in Control and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adopted an Executive Change in Control and Severance Plan, or the Executive Severance Plan, pursuant to which our named executive officers (including Ms. Patterson prior to her resignation) and certain other key employees are eligible to receive severance benefits, as specified in and subject to the employee signing a participation agreement under our Executive Severance Plan. This Executive Severance Plan was initially developed with input from our compensation committees independent compensation consultant regarding severance practices at comparable companies. It is designed to attract, retain and reward senior level employees. The Executive Severance Plan will be in lieu of any other severance payments and benefits to which such key employee was entitled prior to signing the participation agreement. Each of our named executive officers has signed a participation agreement under our Executive Severance Plan providing for the rights to the applicable payments and benefits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nine months of the named executive officers annual base salary as in effect immediately prior to his or her qualifying termination of employment, or 12 months in the case of Mr. Ali;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health coverage under COBRA or a lump sum payment equal to the premium cost of continued health coverage under the Consolidated Omnibus Reconciliation Act of 1985 as amended, or COBRA, for a period of nine months following his or her qualifying termination, or 12 months in the case of Mr. Ali.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 termination of employment by the named executive officer for good reason or by us for a reason other than cause or the named executive officers death or disability, in each case, within the change in control period (as described below), then the named executive officer will be entitled to the following payments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12 months of the named executive officers annual base salary as in effect immediately prior to his or her qualifying termination of employment, or 18 months in the case of Mr. Ali;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health coverage under COBRA or a lump sum payment equal to the cost of continued health coverage under COBRA for a period of 12 months, or 18 months in the case of Mr. Ali;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accelerated vesting of all outstanding equity awards, and, with respect to equity awards with performance-based vesting, all performance goals or other vesting criteria will be deemed achieved at 100% of target levels for the relevant performance period(s);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100% of his or her target annual bonus for the year in which the qualifying termination occurs, or 150% in the case of Mr. Ali.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 in control period is the period beginning three months prior to and ending 12 months following a change in control (as defined in our Executive Severance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receipt of the payments and benefits provided for under the Executive Severance Plan described above is conditioned on the named executive officer signing and not revoking a separation and release of claims agreement and such release becoming effective and irrevocable no later than the 60th day following the named executive officers involuntary termination of employment, as well as continued compliance with the invention assignment and confidentiality agreement applicable to the named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 Executive Severance Plan does not require us to provide any tax gross-up  payments to the named executive officers. </w:t>
      </w:r>
    </w:p>
    <w:p>
      <w:pPr>
        <w:pStyle w:val="TextBody"/>
        <w:bidi w:val="0"/>
        <w:spacing w:before="360" w:after="0"/>
        <w:jc w:val="left"/>
        <w:rPr>
          <w:rFonts w:ascii="Times New Roman" w:hAnsi="Times New Roman"/>
          <w:b/>
          <w:sz w:val="20"/>
        </w:rPr>
      </w:pPr>
      <w:bookmarkStart w:id="38" w:name="toc884353_36"/>
      <w:bookmarkEnd w:id="38"/>
      <w:r>
        <w:rPr>
          <w:rFonts w:ascii="Times New Roman" w:hAnsi="Times New Roman"/>
          <w:b/>
          <w:sz w:val="20"/>
        </w:rPr>
        <w:t xml:space="preserve">Equity Plans </w:t>
      </w:r>
    </w:p>
    <w:p>
      <w:pPr>
        <w:pStyle w:val="TextBody"/>
        <w:bidi w:val="0"/>
        <w:spacing w:before="120" w:after="0"/>
        <w:jc w:val="left"/>
        <w:rPr>
          <w:rFonts w:ascii="Times New Roman" w:hAnsi="Times New Roman"/>
          <w:sz w:val="20"/>
        </w:rPr>
      </w:pPr>
      <w:r>
        <w:rPr>
          <w:rFonts w:ascii="Times New Roman" w:hAnsi="Times New Roman"/>
          <w:sz w:val="20"/>
        </w:rPr>
        <w:t xml:space="preserve">Our 2016 Equity Incentive Plan and our 2021 Equity Incentive Plan each provide that in the event of a merger or change in control, as defined thereunder,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 </w:t>
      </w:r>
    </w:p>
    <w:p>
      <w:pPr>
        <w:pStyle w:val="TextBody"/>
        <w:bidi w:val="0"/>
        <w:spacing w:before="360" w:after="0"/>
        <w:jc w:val="left"/>
        <w:rPr>
          <w:rFonts w:ascii="Times New Roman" w:hAnsi="Times New Roman"/>
          <w:b/>
          <w:sz w:val="20"/>
        </w:rPr>
      </w:pPr>
      <w:bookmarkStart w:id="39" w:name="toc884353_37"/>
      <w:bookmarkEnd w:id="39"/>
      <w:r>
        <w:rPr>
          <w:rFonts w:ascii="Times New Roman" w:hAnsi="Times New Roman"/>
          <w:b/>
          <w:sz w:val="20"/>
        </w:rPr>
        <w:t xml:space="preserve">Executive Incentive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adopted the Executive Incentive Compensation Plan, or the Incentive Compensation Plan, and bonuses to our named executive officers for 2024 were subject to the terms and conditions of and were paid under this plan. Our Incentive Compensation Plan allows our compensation committee to grant incentive awards, generally payable in cash, to employees selected by our compensation committee, including our executive officers, based upon performance goals established by our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Under our Incentive Compensation Plan, our compensation committee will determine the performance goals, if any,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of our board of directors administers our Incentive Compensation Plan and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 </w:t>
      </w:r>
    </w:p>
    <w:p>
      <w:pPr>
        <w:pStyle w:val="TextBody"/>
        <w:bidi w:val="0"/>
        <w:spacing w:before="240" w:after="0"/>
        <w:jc w:val="left"/>
        <w:rPr>
          <w:rFonts w:ascii="Times New Roman" w:hAnsi="Times New Roman"/>
          <w:sz w:val="20"/>
        </w:rPr>
      </w:pPr>
      <w:r>
        <w:rPr>
          <w:rFonts w:ascii="Times New Roman" w:hAnsi="Times New Roman"/>
          <w:sz w:val="20"/>
        </w:rPr>
        <w:t xml:space="preserve">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and our compensation committee have the authority to amend, suspend or terminate our Incentive Compensation Plan, provided such action does not impair the existing rights of any participant with respect to any earned awards. </w:t>
      </w:r>
    </w:p>
    <w:p>
      <w:pPr>
        <w:pStyle w:val="TextBody"/>
        <w:bidi w:val="0"/>
        <w:spacing w:before="360" w:after="0"/>
        <w:jc w:val="left"/>
        <w:rPr>
          <w:rFonts w:ascii="Times New Roman" w:hAnsi="Times New Roman"/>
          <w:b/>
          <w:sz w:val="20"/>
        </w:rPr>
      </w:pPr>
      <w:bookmarkStart w:id="40" w:name="toc884353_38"/>
      <w:bookmarkEnd w:id="40"/>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has adopted a compensation recovery policy (the Clawback Policy), in compliance with SEC rules and applicable Nasdaq Listing Rules. Consistent with these requirements, the Clawback Policy provides that, subject to the limited exemptions permitted under these requirements, if we are required to prepare an accounting restatement due to our material noncompliance with financial reporting requirements under applicable securities laws, we must clawback from covered executive officers any incentive-based compensation received by them while he/she was an executive officer, during the applicable recoupment period (which generally includes the three completed fiscal years prior to the date we conclude, or reasonably should have concluded, that we are required to prepare, or the date on which a court, regulator or other legally authorized body directs us to prepare, a financial restatement) that was in excess of what they would have received had their incentive compensation been determined based on the restated amounts. </w:t>
      </w:r>
    </w:p>
    <w:p>
      <w:pPr>
        <w:pStyle w:val="TextBody"/>
        <w:bidi w:val="0"/>
        <w:spacing w:before="360" w:after="0"/>
        <w:jc w:val="left"/>
        <w:rPr>
          <w:rFonts w:ascii="Times New Roman" w:hAnsi="Times New Roman"/>
          <w:b/>
          <w:sz w:val="20"/>
        </w:rPr>
      </w:pPr>
      <w:bookmarkStart w:id="41" w:name="toc884353_39"/>
      <w:bookmarkEnd w:id="41"/>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For 2024, we matched pre-tax contributions dollar-for-dollar up to $1,000.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t>
      </w:r>
    </w:p>
    <w:p>
      <w:pPr>
        <w:pStyle w:val="TextBody"/>
        <w:bidi w:val="0"/>
        <w:spacing w:before="360" w:after="0"/>
        <w:jc w:val="left"/>
        <w:rPr>
          <w:rFonts w:ascii="Times New Roman" w:hAnsi="Times New Roman"/>
          <w:b/>
          <w:sz w:val="20"/>
        </w:rPr>
      </w:pPr>
      <w:bookmarkStart w:id="42" w:name="toc884353_40"/>
      <w:bookmarkEnd w:id="42"/>
      <w:r>
        <w:rPr>
          <w:rFonts w:ascii="Times New Roman" w:hAnsi="Times New Roman"/>
          <w:b/>
          <w:sz w:val="20"/>
        </w:rPr>
        <w:t xml:space="preserve">Policies and Practices for Granting Certain Equity Awards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 practice to time stock option awards in coordination with the release of material non-public information, and we do not time the release of material non-public information to affect the value of executive compensation. Annual equity awards granted to our executive officers for purposes of Section 16 of the Exchange Act of 1934 (together, the Executive Grantees), other than the Chief Executive Officer (together, the Executive Grantees) and new hire awards for employees are generally determined and approved at pre-scheduled Compensation Committee meetings. The grant dates may coincide with these meeting dates or may be such other future date as agreed upon by the Compensation Committee. The Compensation Committee reviews and recommends annual equity awards for our Chief Executive Officer to our Board of Directors for approval, which awards are generally approved by unanimous written consent to be effective as of the same date as the other Executive Grantees annual equity awards, although sometimes the effective date may differ, as, for example, in February 2025, when the Board of Directors approved the annual equity awards to our Chief Executive Officer at its regularly scheduled meeting concurrently with its approval of the repricing of certain of our Chief Executive Officers options,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may sometimes approve the grant of equity awards to Executive Grantees (other than our Chief Executive Officer) and other employees and consultants in advance of its next scheduled meeting, in connection with certain new hires and other circumstances, either at a special meeting or by unanimous written consent where the Compensation Committee deems it appropriate to make such grants. Annual equity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to employees that are not Executive Grantees generally are approved by our Management Equity Award Committee (MEAC), comprised solely of our Chief Executive Officer, acting pursuant to authority delegated to him by the Compensation Committee. Awards to our non-employee directors are granted automatically pursuant to our outside director compensation policy. All stock options are granted with an exercise price that is not less than the closing price of our common stock on The Nasdaq Global Select Market on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we have not timed the disclosure of material nonpublic information for the purpose of affecting the value of executive compensation and none of our named executive officers were awarded stock options with an effective grant date during any period beginning four business days before the filing or furnishing of a Form 10-Q, Form 10-K or Form 8-K that disclosed material non-public information, and ending one business day after the filing or furnishing of such reports. </w:t>
      </w:r>
    </w:p>
    <w:p>
      <w:pPr>
        <w:pStyle w:val="TextBody"/>
        <w:bidi w:val="0"/>
        <w:spacing w:before="360" w:after="0"/>
        <w:jc w:val="left"/>
        <w:rPr>
          <w:rFonts w:ascii="Times New Roman" w:hAnsi="Times New Roman"/>
          <w:b/>
          <w:sz w:val="20"/>
        </w:rPr>
      </w:pPr>
      <w:bookmarkStart w:id="43" w:name="toc884353_41"/>
      <w:bookmarkEnd w:id="43"/>
      <w:r>
        <w:rPr>
          <w:rFonts w:ascii="Times New Roman" w:hAnsi="Times New Roman"/>
          <w:b/>
          <w:sz w:val="20"/>
        </w:rPr>
        <w:t xml:space="preserve">Outstanding Equity Awards at Fiscal 2024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outstanding equity awards held by our named executive officers as of December 31, 2024. </w:t>
      </w:r>
    </w:p>
    <w:p>
      <w:pPr>
        <w:pStyle w:val="TextBody"/>
        <w:bidi w:val="0"/>
        <w:spacing w:before="0" w:after="0"/>
        <w:jc w:val="left"/>
        <w:rPr/>
      </w:pPr>
      <w:r>
        <w:rPr/>
        <w:t> </w:t>
      </w:r>
    </w:p>
    <w:tbl>
      <w:tblPr>
        <w:tblW w:w="10925" w:type="dxa"/>
        <w:jc w:val="center"/>
        <w:tblInd w:w="0" w:type="dxa"/>
        <w:tblLayout w:type="fixed"/>
        <w:tblCellMar>
          <w:top w:w="0" w:type="dxa"/>
          <w:left w:w="0" w:type="dxa"/>
          <w:bottom w:w="0" w:type="dxa"/>
          <w:right w:w="0" w:type="dxa"/>
        </w:tblCellMar>
      </w:tblPr>
      <w:tblGrid>
        <w:gridCol w:w="980"/>
        <w:gridCol w:w="120"/>
        <w:gridCol w:w="60"/>
        <w:gridCol w:w="1100"/>
        <w:gridCol w:w="60"/>
        <w:gridCol w:w="120"/>
        <w:gridCol w:w="88"/>
        <w:gridCol w:w="1177"/>
        <w:gridCol w:w="60"/>
        <w:gridCol w:w="120"/>
        <w:gridCol w:w="106"/>
        <w:gridCol w:w="1414"/>
        <w:gridCol w:w="350"/>
        <w:gridCol w:w="60"/>
        <w:gridCol w:w="84"/>
        <w:gridCol w:w="791"/>
        <w:gridCol w:w="60"/>
        <w:gridCol w:w="120"/>
        <w:gridCol w:w="64"/>
        <w:gridCol w:w="1051"/>
        <w:gridCol w:w="60"/>
        <w:gridCol w:w="120"/>
        <w:gridCol w:w="92"/>
        <w:gridCol w:w="1053"/>
        <w:gridCol w:w="350"/>
        <w:gridCol w:w="60"/>
        <w:gridCol w:w="79"/>
        <w:gridCol w:w="1066"/>
        <w:gridCol w:w="60"/>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Grant</w:t>
            </w:r>
            <w:r>
              <w:rPr/>
              <w:br/>
            </w:r>
            <w:r>
              <w:rPr>
                <w:b/>
              </w:rP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or</w:t>
              <w:br/>
              <w:t>Units of</w:t>
              <w:br/>
              <w:t>Stock That</w:t>
              <w:br/>
              <w:t>Have Not</w:t>
              <w:br/>
              <w:t>Vested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Stock That</w:t>
              <w:br/>
              <w:t>Have Not</w:t>
              <w:br/>
              <w:t>Vested ($)</w:t>
            </w:r>
          </w:p>
        </w:tc>
        <w:tc>
          <w:tcPr>
            <w:tcW w:w="6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Faraz Ali, M.B.A.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09/06/2018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425,000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0.66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9/05/2028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03/10/2020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41,666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3/09/2030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02/27/2021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407,985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8,681</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2/26/2031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06/17/2021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145,832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20,834</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9.36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6/16/2031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02/15/2022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284,317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117,073</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15.19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2/14/2032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2/15/2023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309,375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365,625</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2/14/2033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2/15/2023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78,125</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111,719</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2/23/2024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105,208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399,792</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2/22/2034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2/23/2024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74,375</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106,356</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Whittemore (Whit) Tingley, M.D., Ph.D.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12/10/2018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12/9/2028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1/19/2021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24,479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xml:space="preserve">521 </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1/18/2031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6/17/2021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94,791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13,542</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6/16/2031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2/15/2022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99,875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41,125</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2/14/2032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2/15/2023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93,958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111,042</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2/14/2033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2/15/2023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21,875</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31,281</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2/15/2023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11,250</w:t>
            </w:r>
          </w:p>
        </w:tc>
        <w:tc>
          <w:tcPr>
            <w:tcW w:w="350" w:type="dxa"/>
            <w:tcBorders/>
            <w:vAlign w:val="bottom"/>
          </w:tcPr>
          <w:p>
            <w:pPr>
              <w:pStyle w:val="TableContents"/>
              <w:bidi w:val="0"/>
              <w:spacing w:before="0" w:after="283"/>
              <w:jc w:val="left"/>
              <w:rPr/>
            </w:pPr>
            <w:r>
              <w:rPr/>
              <w:t>(6)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16,088</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44,791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170,209</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2/22/2034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30,625</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43,794</w:t>
            </w:r>
          </w:p>
        </w:tc>
        <w:tc>
          <w:tcPr>
            <w:tcW w:w="6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Leone D. Patterson, M.B.A.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Vesting of all options issued to our named executive officers are subject to acceleration as described under the caption Executive Change in Control and Severance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with respect to the September 6, 2018, December 10, 2018, and June 17, 2021, option grants for Mr. Ali and Dr. Tingley, these options were repriced in early 2025 to an exercise price of $1.21 per share. However, if Dr. Tingley or Mr. Ali exercises a repriced option before certain retention goals are achieved, they will be required to pay a premium exercise price that is equal to the exercise price per share of such stock option immediately prior to the repricing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 vests as to 1/48th of the total number of shares subject to the option on the one-month anniversary of the grant date and 1/48th of the total number of shares subject to the option on each monthly anniversary thereafter until fully vested.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 award vests as to 1/8th of the total number of shares subject to the RSU award on the six-month anniversary of the grant date, and 1/8th of the total number of shares subject to the RSU award every six months thereafter until fully vested.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 award vests as to 1/8th of the total number of shares subject to the restricted stock unit award on August 15, 2024, and 1/8th of the total number of shares subject to the restricted stock unit award every six months thereafter until fully vested.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 award vests as to 1/4th of the total number of shares subject to the RSU award on each of August 15, 2023, February 15, 2024, August 15, 2024, and February 15, 2025. </w:t>
            </w:r>
          </w:p>
        </w:tc>
      </w:tr>
    </w:tbl>
    <w:p>
      <w:pPr>
        <w:pStyle w:val="TextBody"/>
        <w:bidi w:val="0"/>
        <w:spacing w:before="360" w:after="0"/>
        <w:jc w:val="left"/>
        <w:rPr>
          <w:rFonts w:ascii="Times New Roman" w:hAnsi="Times New Roman"/>
          <w:b/>
          <w:sz w:val="20"/>
        </w:rPr>
      </w:pPr>
      <w:bookmarkStart w:id="44" w:name="toc884353_42"/>
      <w:bookmarkEnd w:id="44"/>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equity compensation plan information as of December 31, 2024. Information is included for equity compensation plans approved by our stockholders. We do not have any equity compensation plans not approved by our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6"/>
        <w:gridCol w:w="324"/>
        <w:gridCol w:w="114"/>
        <w:gridCol w:w="2138"/>
        <w:gridCol w:w="60"/>
        <w:gridCol w:w="324"/>
        <w:gridCol w:w="511"/>
        <w:gridCol w:w="1629"/>
        <w:gridCol w:w="357"/>
        <w:gridCol w:w="266"/>
        <w:gridCol w:w="129"/>
        <w:gridCol w:w="2153"/>
        <w:gridCol w:w="64"/>
      </w:tblGrid>
      <w:tr>
        <w:trPr/>
        <w:tc>
          <w:tcPr>
            <w:tcW w:w="2136"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1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324" w:type="dxa"/>
            <w:tcBorders/>
            <w:vAlign w:val="bottom"/>
          </w:tcPr>
          <w:p>
            <w:pPr>
              <w:pStyle w:val="TableContents"/>
              <w:bidi w:val="0"/>
              <w:spacing w:before="0" w:after="283"/>
              <w:jc w:val="left"/>
              <w:rPr/>
            </w:pPr>
            <w:r>
              <w:rPr/>
              <w:t>  </w:t>
            </w:r>
          </w:p>
        </w:tc>
        <w:tc>
          <w:tcPr>
            <w:tcW w:w="2252" w:type="dxa"/>
            <w:gridSpan w:val="2"/>
            <w:tcBorders>
              <w:bottom w:val="single" w:sz="8" w:space="0" w:color="000000"/>
            </w:tcBorders>
            <w:tcMar>
              <w:bottom w:w="28" w:type="dxa"/>
            </w:tcMar>
            <w:vAlign w:val="bottom"/>
          </w:tcPr>
          <w:p>
            <w:pPr>
              <w:pStyle w:val="TableContents"/>
              <w:bidi w:val="0"/>
              <w:spacing w:before="0" w:after="283"/>
              <w:jc w:val="center"/>
              <w:rPr/>
            </w:pPr>
            <w:r>
              <w:rPr>
                <w:b/>
              </w:rPr>
              <w:t>(a) Number of</w:t>
              <w:br/>
              <w:t>Securities to be</w:t>
            </w:r>
            <w:r>
              <w:rPr/>
              <w:br/>
            </w:r>
            <w:r>
              <w:rPr>
                <w:b/>
              </w:rPr>
              <w:t>Issued Upon Exercise</w:t>
            </w:r>
            <w:r>
              <w:rPr/>
              <w:br/>
            </w:r>
            <w:r>
              <w:rPr>
                <w:b/>
              </w:rPr>
              <w:t>of Outstanding</w:t>
              <w:br/>
              <w:t>Options, Warrants</w:t>
              <w:br/>
              <w:t>and Rights</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Weighted-</w:t>
              <w:br/>
              <w:t>Average Exercise</w:t>
              <w:br/>
              <w:t>Price of Outstanding</w:t>
              <w:br/>
              <w:t>Options, Warrants</w:t>
              <w:br/>
              <w:t>and Rights</w:t>
            </w:r>
          </w:p>
        </w:tc>
        <w:tc>
          <w:tcPr>
            <w:tcW w:w="35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 Number of</w:t>
              <w:br/>
              <w:t>Securities Remaining</w:t>
              <w:br/>
              <w:t>Available for Future</w:t>
              <w:br/>
              <w:t>Issuance Under</w:t>
              <w:br/>
              <w:t>Equity Compensation</w:t>
              <w:br/>
              <w:t>Plans (Excluding</w:t>
              <w:br/>
              <w:t>Securities Reflected</w:t>
              <w:br/>
              <w:t>in Column (a))</w:t>
            </w:r>
          </w:p>
        </w:tc>
        <w:tc>
          <w:tcPr>
            <w:tcW w:w="64" w:type="dxa"/>
            <w:tcBorders/>
            <w:vAlign w:val="bottom"/>
          </w:tcPr>
          <w:p>
            <w:pPr>
              <w:pStyle w:val="TableContents"/>
              <w:bidi w:val="0"/>
              <w:spacing w:before="0" w:after="283"/>
              <w:jc w:val="left"/>
              <w:rPr/>
            </w:pPr>
            <w:r>
              <w:rPr/>
              <w:t> </w:t>
            </w:r>
          </w:p>
        </w:tc>
      </w:tr>
      <w:tr>
        <w:trPr/>
        <w:tc>
          <w:tcPr>
            <w:tcW w:w="2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 2024 Inducement Equity Incentive Plan(1)</w:t>
            </w:r>
          </w:p>
        </w:tc>
        <w:tc>
          <w:tcPr>
            <w:tcW w:w="32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38" w:type="dxa"/>
            <w:tcBorders/>
            <w:shd w:fill="CCEEFF" w:val="clear"/>
            <w:vAlign w:val="bottom"/>
          </w:tcPr>
          <w:p>
            <w:pPr>
              <w:pStyle w:val="TableContents"/>
              <w:bidi w:val="0"/>
              <w:spacing w:before="0" w:after="283"/>
              <w:jc w:val="right"/>
              <w:rPr/>
            </w:pPr>
            <w:r>
              <w:rPr/>
              <w:t>12,000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629" w:type="dxa"/>
            <w:tcBorders/>
            <w:shd w:fill="CCEEFF" w:val="clear"/>
            <w:vAlign w:val="bottom"/>
          </w:tcPr>
          <w:p>
            <w:pPr>
              <w:pStyle w:val="TableContents"/>
              <w:bidi w:val="0"/>
              <w:spacing w:before="0" w:after="283"/>
              <w:jc w:val="right"/>
              <w:rPr/>
            </w:pPr>
            <w:r>
              <w:rPr/>
              <w:t>1.97</w:t>
            </w:r>
          </w:p>
        </w:tc>
        <w:tc>
          <w:tcPr>
            <w:tcW w:w="35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153" w:type="dxa"/>
            <w:tcBorders/>
            <w:shd w:fill="CCEEFF" w:val="clear"/>
            <w:vAlign w:val="bottom"/>
          </w:tcPr>
          <w:p>
            <w:pPr>
              <w:pStyle w:val="TableContents"/>
              <w:bidi w:val="0"/>
              <w:spacing w:before="0" w:after="283"/>
              <w:jc w:val="right"/>
              <w:rPr/>
            </w:pPr>
            <w:r>
              <w:rPr/>
              <w:t>1,188,000</w:t>
            </w:r>
          </w:p>
        </w:tc>
        <w:tc>
          <w:tcPr>
            <w:tcW w:w="64" w:type="dxa"/>
            <w:tcBorders/>
            <w:shd w:fill="CCEEFF" w:val="clear"/>
            <w:vAlign w:val="bottom"/>
          </w:tcPr>
          <w:p>
            <w:pPr>
              <w:pStyle w:val="TableContents"/>
              <w:bidi w:val="0"/>
              <w:spacing w:before="0" w:after="283"/>
              <w:jc w:val="left"/>
              <w:rPr/>
            </w:pPr>
            <w:r>
              <w:rPr/>
              <w:t> </w:t>
            </w:r>
          </w:p>
        </w:tc>
      </w:tr>
      <w:tr>
        <w:trPr/>
        <w:tc>
          <w:tcPr>
            <w:tcW w:w="2136"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32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21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sz w:val="4"/>
                <w:szCs w:val="4"/>
              </w:rPr>
            </w:pPr>
            <w:r>
              <w:rPr>
                <w:sz w:val="4"/>
                <w:szCs w:val="4"/>
              </w:rPr>
            </w:r>
          </w:p>
        </w:tc>
        <w:tc>
          <w:tcPr>
            <w:tcW w:w="162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215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Equity Incentive Plan(2)</w:t>
            </w:r>
          </w:p>
        </w:tc>
        <w:tc>
          <w:tcPr>
            <w:tcW w:w="32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38" w:type="dxa"/>
            <w:tcBorders/>
            <w:shd w:fill="CCEEFF" w:val="clear"/>
            <w:vAlign w:val="bottom"/>
          </w:tcPr>
          <w:p>
            <w:pPr>
              <w:pStyle w:val="TableContents"/>
              <w:bidi w:val="0"/>
              <w:spacing w:before="0" w:after="283"/>
              <w:jc w:val="right"/>
              <w:rPr/>
            </w:pPr>
            <w:r>
              <w:rPr/>
              <w:t>8,745,845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5.90</w:t>
            </w:r>
          </w:p>
        </w:tc>
        <w:tc>
          <w:tcPr>
            <w:tcW w:w="357" w:type="dxa"/>
            <w:tcBorders/>
            <w:shd w:fill="CCEEFF" w:val="clear"/>
            <w:vAlign w:val="bottom"/>
          </w:tcPr>
          <w:p>
            <w:pPr>
              <w:pStyle w:val="TableContents"/>
              <w:bidi w:val="0"/>
              <w:spacing w:before="0" w:after="283"/>
              <w:jc w:val="left"/>
              <w:rPr/>
            </w:pPr>
            <w:r>
              <w:rPr/>
              <w:t>(3) </w:t>
            </w:r>
          </w:p>
        </w:tc>
        <w:tc>
          <w:tcPr>
            <w:tcW w:w="26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153" w:type="dxa"/>
            <w:tcBorders/>
            <w:shd w:fill="CCEEFF" w:val="clear"/>
            <w:vAlign w:val="bottom"/>
          </w:tcPr>
          <w:p>
            <w:pPr>
              <w:pStyle w:val="TableContents"/>
              <w:bidi w:val="0"/>
              <w:spacing w:before="0" w:after="283"/>
              <w:jc w:val="right"/>
              <w:rPr/>
            </w:pPr>
            <w:r>
              <w:rPr/>
              <w:t>1,791,393</w:t>
            </w:r>
          </w:p>
        </w:tc>
        <w:tc>
          <w:tcPr>
            <w:tcW w:w="64" w:type="dxa"/>
            <w:tcBorders/>
            <w:shd w:fill="CCEEFF" w:val="clear"/>
            <w:vAlign w:val="bottom"/>
          </w:tcPr>
          <w:p>
            <w:pPr>
              <w:pStyle w:val="TableContents"/>
              <w:bidi w:val="0"/>
              <w:spacing w:before="0" w:after="283"/>
              <w:jc w:val="left"/>
              <w:rPr/>
            </w:pPr>
            <w:r>
              <w:rPr/>
              <w:t> </w:t>
            </w:r>
          </w:p>
        </w:tc>
      </w:tr>
      <w:tr>
        <w:trPr/>
        <w:tc>
          <w:tcPr>
            <w:tcW w:w="2136" w:type="dxa"/>
            <w:tcBorders/>
          </w:tcPr>
          <w:p>
            <w:pPr>
              <w:pStyle w:val="TableContents"/>
              <w:bidi w:val="0"/>
              <w:spacing w:before="0" w:after="0"/>
              <w:jc w:val="left"/>
              <w:rPr>
                <w:rFonts w:ascii="Times New Roman" w:hAnsi="Times New Roman"/>
                <w:sz w:val="20"/>
              </w:rPr>
            </w:pPr>
            <w:r>
              <w:rPr>
                <w:rFonts w:ascii="Times New Roman" w:hAnsi="Times New Roman"/>
                <w:sz w:val="20"/>
              </w:rPr>
              <w:t>2021 Employee Stock Purchase Plan(4)</w:t>
            </w:r>
          </w:p>
        </w:tc>
        <w:tc>
          <w:tcPr>
            <w:tcW w:w="32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153" w:type="dxa"/>
            <w:tcBorders/>
            <w:vAlign w:val="bottom"/>
          </w:tcPr>
          <w:p>
            <w:pPr>
              <w:pStyle w:val="TableContents"/>
              <w:bidi w:val="0"/>
              <w:spacing w:before="0" w:after="283"/>
              <w:jc w:val="right"/>
              <w:rPr/>
            </w:pPr>
            <w:r>
              <w:rPr/>
              <w:t>1,664,077</w:t>
            </w:r>
          </w:p>
        </w:tc>
        <w:tc>
          <w:tcPr>
            <w:tcW w:w="64" w:type="dxa"/>
            <w:tcBorders/>
            <w:vAlign w:val="bottom"/>
          </w:tcPr>
          <w:p>
            <w:pPr>
              <w:pStyle w:val="TableContents"/>
              <w:bidi w:val="0"/>
              <w:spacing w:before="0" w:after="283"/>
              <w:jc w:val="left"/>
              <w:rPr/>
            </w:pPr>
            <w:r>
              <w:rPr/>
              <w:t> </w:t>
            </w:r>
          </w:p>
        </w:tc>
      </w:tr>
      <w:tr>
        <w:trPr/>
        <w:tc>
          <w:tcPr>
            <w:tcW w:w="2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2016 Equity Incentive Plan(5)</w:t>
            </w:r>
          </w:p>
        </w:tc>
        <w:tc>
          <w:tcPr>
            <w:tcW w:w="32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38" w:type="dxa"/>
            <w:tcBorders/>
            <w:shd w:fill="CCEEFF" w:val="clear"/>
            <w:vAlign w:val="bottom"/>
          </w:tcPr>
          <w:p>
            <w:pPr>
              <w:pStyle w:val="TableContents"/>
              <w:bidi w:val="0"/>
              <w:spacing w:before="0" w:after="283"/>
              <w:jc w:val="right"/>
              <w:rPr/>
            </w:pPr>
            <w:r>
              <w:rPr/>
              <w:t>1,850,309</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4.70</w:t>
            </w:r>
          </w:p>
        </w:tc>
        <w:tc>
          <w:tcPr>
            <w:tcW w:w="35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15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1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38" w:type="dxa"/>
            <w:tcBorders/>
            <w:vAlign w:val="bottom"/>
          </w:tcPr>
          <w:p>
            <w:pPr>
              <w:pStyle w:val="TableContents"/>
              <w:bidi w:val="0"/>
              <w:spacing w:before="0" w:after="283"/>
              <w:jc w:val="right"/>
              <w:rPr/>
            </w:pPr>
            <w:r>
              <w:rPr/>
              <w:t>10,608,154</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w:t>
            </w:r>
          </w:p>
        </w:tc>
        <w:tc>
          <w:tcPr>
            <w:tcW w:w="1629" w:type="dxa"/>
            <w:tcBorders/>
            <w:vAlign w:val="bottom"/>
          </w:tcPr>
          <w:p>
            <w:pPr>
              <w:pStyle w:val="TableContents"/>
              <w:bidi w:val="0"/>
              <w:spacing w:before="0" w:after="283"/>
              <w:jc w:val="right"/>
              <w:rPr/>
            </w:pPr>
            <w:r>
              <w:rPr/>
              <w:t>5.68</w:t>
            </w:r>
          </w:p>
        </w:tc>
        <w:tc>
          <w:tcPr>
            <w:tcW w:w="35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153" w:type="dxa"/>
            <w:tcBorders/>
            <w:vAlign w:val="bottom"/>
          </w:tcPr>
          <w:p>
            <w:pPr>
              <w:pStyle w:val="TableContents"/>
              <w:bidi w:val="0"/>
              <w:spacing w:before="0" w:after="283"/>
              <w:jc w:val="right"/>
              <w:rPr/>
            </w:pPr>
            <w:r>
              <w:rPr/>
              <w:t>4,644,470</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2024, the Board adopted the 2024 Inducement Equity Incentive Plan (2024 Plan) pursuant to which we reserved 1,200,000 shares of our common stock for issuance under the 2024 Plan. The only persons eligible to receive grants of Awards under the 2016 Plan are individuals who satisfy the standards for inducement grants under Nasdaq Marketplace Rule 5635(c)(4)that is, generally, a person not previously an employee or director of the Company, or following a bona fide period of non-employment, as an inducement material to the individuals entering into employment with the Company. An Award is any right to receive Company common stock pursuant to the 2024 Plan, consisting of non-qualified stock options, RSU awards, or any other stock award.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available for issuance under our 2021 Equity Incentive Plan (2021 Plan) will automatically increase on the first day of each fiscal year, in an amount equal to the lesser of: 4,000,000 shares; 4% of our outstanding shares of common stock as of the last day of the immediately preceding year; or such other amount as our board of directors may determine.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weighted-average exercise price takes into account the shares subject to outstanding RSU awards, which have no exercise price. The weighted-average exercise price, excluding such outstanding RSU awards, is $6.98.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available for issuance under our 2021 Employee Stock Purchase Plan (2021 ESPP) will automatically increase on the first day of each fiscal year in an amount equal to the lesser of: 800,000 shares; 1% of the outstanding shares of the Companys common stock as of the last day of the immediately preceding year; or such other amount as the board of directors may determine.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 longer grant awards under the 2016 Equity Incentive Plan (2016 Plan); however, all outstanding options issued pursuant to the 2016 Plan continue to be governed by their existing terms. To the extent that any such awards are forfeited or lapse unexercised, are tendered to or withheld by the Company for payment of an exercise price or for tax withholding obligations, or are repurchased due to the failure to vest, the shares of common stock subject to such awards will become available for issuance under the 2021 Plan up to a maximum of 2,430,000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oc884353_43"/>
      <w:bookmarkEnd w:id="45"/>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as of March 31, 2025,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nominees for director;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We have based our calculation of the percentage of beneficial ownership on 162,660,097 shares of our common stock outstanding as of March 31, 2025. We have deemed shares of our common stock subject to stock options that are currently exercisable or exercisable within 60 days of March 31,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person or entity listed in the table is c/o Tenaya Therapeutics, Inc., 171 Oyster Point Boulevard, Suite 500, South San Francisco, CA 94080.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2"/>
        <w:gridCol w:w="311"/>
        <w:gridCol w:w="60"/>
        <w:gridCol w:w="1355"/>
        <w:gridCol w:w="60"/>
        <w:gridCol w:w="311"/>
        <w:gridCol w:w="110"/>
        <w:gridCol w:w="1043"/>
        <w:gridCol w:w="63"/>
      </w:tblGrid>
      <w:tr>
        <w:trPr/>
        <w:tc>
          <w:tcPr>
            <w:tcW w:w="4442"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42"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9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63" w:type="dxa"/>
            <w:tcBorders/>
            <w:vAlign w:val="bottom"/>
          </w:tcPr>
          <w:p>
            <w:pPr>
              <w:pStyle w:val="TableContents"/>
              <w:bidi w:val="0"/>
              <w:spacing w:before="0" w:after="283"/>
              <w:jc w:val="left"/>
              <w:rPr/>
            </w:pPr>
            <w:r>
              <w:rPr/>
              <w:t> </w:t>
            </w:r>
          </w:p>
        </w:tc>
      </w:tr>
      <w:tr>
        <w:trPr/>
        <w:tc>
          <w:tcPr>
            <w:tcW w:w="44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1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The Column Group(1)</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102,954,244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47.60</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Named Executive Officers and Directors</w:t>
            </w:r>
            <w:r>
              <w:rPr>
                <w:rFonts w:ascii="Times New Roman" w:hAnsi="Times New Roman"/>
                <w:b/>
                <w:sz w:val="20"/>
              </w:rPr>
              <w:t>:</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Faraz Ali, M.B.A.(2)</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2,051,411</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Whittemore (Whit) Tingley, M.D., Ph.D. (3)</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603,756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Amy Burroughs, M.B.A. (4)</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46,988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Goeddel, Ph.D.(1)(5)</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102,954,244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47.60</w:t>
            </w:r>
          </w:p>
        </w:tc>
        <w:tc>
          <w:tcPr>
            <w:tcW w:w="6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June Lee, M.D.(6)</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88,196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Karah Parschauer, J.D.(7)</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69,027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Deepak Srivastava, M.D.(8)</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670,860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Catherine Stehman-Breen, M.D.(9)</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99,259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Jeffrey T. Walsh, M.B.A.(10)</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109,259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 Sanders Williams, M.D.(11)</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99,258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Leone D. Patterson, M.B.A.</w:t>
            </w:r>
          </w:p>
        </w:tc>
        <w:tc>
          <w:tcPr>
            <w:tcW w:w="3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37,630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w:t>
              <w:br/>
              <w:t>(10 persons) (12)</w:t>
            </w:r>
          </w:p>
        </w:tc>
        <w:tc>
          <w:tcPr>
            <w:tcW w:w="3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106,754,628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48.65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taken from the Form 4 filed on March 7, 2025, consists of 49,313,559 shares held directly by The Column Group Opportunity III, LP (TCG Opportunity III LP), 4,414,720 shares held directly by The Column Group III, LP (TCG III LP) and 4,985,570 shares held directly by The Column Group III-A, LP (TCG III-A LP). TCG Opportunity III LP directly holds Series A Warrants to purchase 35,714,284 shares and Series B Warrants to purchase 17,857,142 shares. The Column Group Opportunity III, GP, LP (TCG Opportunity III GP LP) is the general partner of TCG Opportunity III LP and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deemed to have voting, investment and dispositive power with respect to the shares held by TCG Opportunity III LP. The Column Group III GP, LP (TCG III GP) is the general partner of both TCG III LP and TCG III-A LP and may be deemed to have voting, investment and dispositive power with respect to the shares held by TCG III LP and TCG III-A LP. The managing partners of TCG Opportunity III GP LP and TCG III GP are David V. Goeddel, Peter Svennilson and Tim Kutzkey who may be deemed to share voting and investment power with respect to the shares, and each of whom disclaim beneficial ownership of the shares held by TCG Opportunity III LP, TCG III LP and TCG III LP except to the extent of their pecuniary interests therein, if any. Dr. Goeddel is a member of our board of directors. The address of TCG Opportunity III LP, TCG III LP and TCG III-A LP is 1 Letterman Drive, Building D, Suite M-900, San Francisco, California 94129.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1,950,778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522,720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46,988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69,259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88,196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69,027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372,435 shares of common stock held by The J. David Gladstone Institute for which Dr. Srivastava serves as President and 106,759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91,134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109,259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69,259 shares subject to outstanding options exercisable within 60 days of March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3,123,379 shares subject to outstanding options exercisable within 60 days of March 31, 2025. Includes shares held by all directors, nominees and current executive officers.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oc884353_44"/>
      <w:bookmarkEnd w:id="46"/>
      <w:r>
        <w:rPr>
          <w:rFonts w:ascii="Times New Roman" w:hAnsi="Times New Roman"/>
          <w:b/>
          <w:sz w:val="20"/>
        </w:rPr>
        <w:t xml:space="preserve">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each transaction since January 1, 2023,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exceeded or exceeds $120,000;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(including director nominees), executive officers, or beneficial holders of more than 5% of any class of our voting securities, or any immediate family member of, or person sharing the household with, any of these individuals or entities, had or will have a direct or indirect material interest. </w:t>
            </w:r>
          </w:p>
        </w:tc>
      </w:tr>
    </w:tbl>
    <w:p>
      <w:pPr>
        <w:pStyle w:val="TextBody"/>
        <w:bidi w:val="0"/>
        <w:spacing w:before="360" w:after="0"/>
        <w:jc w:val="left"/>
        <w:rPr>
          <w:rFonts w:ascii="Times New Roman" w:hAnsi="Times New Roman"/>
          <w:b/>
          <w:sz w:val="20"/>
        </w:rPr>
      </w:pPr>
      <w:bookmarkStart w:id="47" w:name="toc884353_45"/>
      <w:bookmarkEnd w:id="47"/>
      <w:r>
        <w:rPr>
          <w:rFonts w:ascii="Times New Roman" w:hAnsi="Times New Roman"/>
          <w:b/>
          <w:sz w:val="20"/>
        </w:rPr>
        <w:t xml:space="preserve">Investors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investors rights agreement, as amended and restated, with certain holders of our capital stock, including entities affiliated with The Column Group III, LP, The Column Group III-A, Casdin Partners Master Fund, L.P., and Casdin Private Growth Equity fund, L.P.. Under our investors rights agreement, among other things, certain holders of our capital stock have the right to demand that we file a registration statement or request that their shares of our capital stock be covered by a registration statement that we are otherwise filing. </w:t>
      </w:r>
    </w:p>
    <w:p>
      <w:pPr>
        <w:pStyle w:val="TextBody"/>
        <w:bidi w:val="0"/>
        <w:spacing w:before="360" w:after="0"/>
        <w:jc w:val="left"/>
        <w:rPr>
          <w:rFonts w:ascii="Times New Roman" w:hAnsi="Times New Roman"/>
          <w:b/>
          <w:sz w:val="20"/>
        </w:rPr>
      </w:pPr>
      <w:bookmarkStart w:id="48" w:name="toc884353_46"/>
      <w:bookmarkEnd w:id="48"/>
      <w:r>
        <w:rPr>
          <w:rFonts w:ascii="Times New Roman" w:hAnsi="Times New Roman"/>
          <w:b/>
          <w:sz w:val="20"/>
        </w:rPr>
        <w:t xml:space="preserve">Stock, Pre-funded Warrant, Warrant Issuances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2024, we issued and sold an aggregate of 8,888,890 shares of our common stock at a purchase price of $4.50 per share and, to certain investors in lieu of common stock, pre-funded warrants to purchase 2,222,271 shares of our common stock at a price of $4.499 per pre-funded warrant. We received total net proceeds of $46.5 million after deducting underwriting discounts and commissions of $3.0 million and offering expenses of $0.5 million. </w:t>
      </w:r>
    </w:p>
    <w:p>
      <w:pPr>
        <w:pStyle w:val="TextBody"/>
        <w:bidi w:val="0"/>
        <w:spacing w:before="240" w:after="0"/>
        <w:jc w:val="left"/>
        <w:rPr>
          <w:rFonts w:ascii="Times New Roman" w:hAnsi="Times New Roman"/>
          <w:sz w:val="20"/>
        </w:rPr>
      </w:pPr>
      <w:r>
        <w:rPr>
          <w:rFonts w:ascii="Times New Roman" w:hAnsi="Times New Roman"/>
          <w:sz w:val="20"/>
        </w:rPr>
        <w:t xml:space="preserve">In March 2025, we issued and sold an aggregate of 75,000,000 units (the Units), at a public offering price of $0.70 per Unit, consisting of one share of Company common stock, one warrant to purchase one share of Company common stock at an exercise price of $0.80 per share which will expire five years from the date of issuance (a Series A Warrant) and one warrant to purchase one half of a share of Company common stock at an exercise price of $0.70 per share that will expire on June 30, 2026 (a Series B Warrant).We received total net proceeds of $48.9 million after deducting underwriting discounts and commissions of $3.2 million and offering expenses of $0.5 million.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our stock, pre-funded warrants and warrants include venture capital funds that beneficially own more than 5% of our outstanding capital stock and are or were represented on our board of directors. The following table presents the number of shares, pre-funded warrants and warrants and total purchase price paid by these entities.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8"/>
        <w:gridCol w:w="128"/>
        <w:gridCol w:w="60"/>
        <w:gridCol w:w="1110"/>
        <w:gridCol w:w="60"/>
        <w:gridCol w:w="128"/>
        <w:gridCol w:w="67"/>
        <w:gridCol w:w="1115"/>
        <w:gridCol w:w="60"/>
        <w:gridCol w:w="128"/>
        <w:gridCol w:w="60"/>
        <w:gridCol w:w="1110"/>
        <w:gridCol w:w="60"/>
        <w:gridCol w:w="127"/>
        <w:gridCol w:w="60"/>
        <w:gridCol w:w="1110"/>
        <w:gridCol w:w="60"/>
        <w:gridCol w:w="128"/>
        <w:gridCol w:w="140"/>
        <w:gridCol w:w="1110"/>
        <w:gridCol w:w="66"/>
      </w:tblGrid>
      <w:tr>
        <w:trPr/>
        <w:tc>
          <w:tcPr>
            <w:tcW w:w="331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Investor</w:t>
            </w:r>
          </w:p>
        </w:tc>
        <w:tc>
          <w:tcPr>
            <w:tcW w:w="128"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w:t>
              <w:br/>
              <w:t>Stock</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w:t>
              <w:br/>
              <w:t>Warrants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B</w:t>
              <w:br/>
              <w:t>Warrants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Purchase</w:t>
              <w:br/>
              <w:t>Price</w:t>
            </w:r>
          </w:p>
        </w:tc>
        <w:tc>
          <w:tcPr>
            <w:tcW w:w="66" w:type="dxa"/>
            <w:tcBorders/>
            <w:vAlign w:val="bottom"/>
          </w:tcPr>
          <w:p>
            <w:pPr>
              <w:pStyle w:val="TableContents"/>
              <w:bidi w:val="0"/>
              <w:spacing w:before="0" w:after="283"/>
              <w:jc w:val="left"/>
              <w:rPr/>
            </w:pPr>
            <w:r>
              <w:rPr/>
              <w:t> </w:t>
            </w:r>
          </w:p>
        </w:tc>
      </w:tr>
      <w:tr>
        <w:trPr/>
        <w:tc>
          <w:tcPr>
            <w:tcW w:w="3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Affiliated with The Column</w:t>
              <w:br/>
              <w:t>Group (1)</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37,936,506</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35,714,284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17,857,142</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34,999,999</w:t>
            </w:r>
          </w:p>
        </w:tc>
        <w:tc>
          <w:tcPr>
            <w:tcW w:w="66" w:type="dxa"/>
            <w:tcBorders/>
            <w:shd w:fill="CCEEFF" w:val="clear"/>
            <w:vAlign w:val="bottom"/>
          </w:tcPr>
          <w:p>
            <w:pPr>
              <w:pStyle w:val="TableContents"/>
              <w:bidi w:val="0"/>
              <w:spacing w:before="0" w:after="283"/>
              <w:jc w:val="left"/>
              <w:rPr/>
            </w:pPr>
            <w:r>
              <w:rPr/>
              <w:t> </w:t>
            </w:r>
          </w:p>
        </w:tc>
      </w:tr>
      <w:tr>
        <w:trPr/>
        <w:tc>
          <w:tcPr>
            <w:tcW w:w="3318" w:type="dxa"/>
            <w:tcBorders/>
          </w:tcPr>
          <w:p>
            <w:pPr>
              <w:pStyle w:val="TableContents"/>
              <w:bidi w:val="0"/>
              <w:spacing w:before="0" w:after="0"/>
              <w:jc w:val="left"/>
              <w:rPr>
                <w:rFonts w:ascii="Times New Roman" w:hAnsi="Times New Roman"/>
                <w:sz w:val="20"/>
              </w:rPr>
            </w:pPr>
            <w:r>
              <w:rPr>
                <w:rFonts w:ascii="Times New Roman" w:hAnsi="Times New Roman"/>
                <w:sz w:val="20"/>
              </w:rPr>
              <w:t>Funds Affiliated with RA Capital Management (2)</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2,222,271</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9,99,997</w:t>
            </w:r>
          </w:p>
        </w:tc>
        <w:tc>
          <w:tcPr>
            <w:tcW w:w="66" w:type="dxa"/>
            <w:tcBorders/>
            <w:vAlign w:val="bottom"/>
          </w:tcPr>
          <w:p>
            <w:pPr>
              <w:pStyle w:val="TableContents"/>
              <w:bidi w:val="0"/>
              <w:spacing w:before="0" w:after="283"/>
              <w:jc w:val="left"/>
              <w:rPr/>
            </w:pPr>
            <w:r>
              <w:rPr/>
              <w:t> </w:t>
            </w:r>
          </w:p>
        </w:tc>
      </w:tr>
      <w:tr>
        <w:trPr/>
        <w:tc>
          <w:tcPr>
            <w:tcW w:w="3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 Rowe Price Associates, Inc.</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222,222</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999,999</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The Column Group holding our securities are aggregated for reporting ownership information and include The Column Group Opportunity III, LP, The Column Group III, LP and The Column Group III-A, LP. David Goeddel, a member of our board of directors is the Managing Partner of The Column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RA Capital Management holding our securities are aggregated for reporting ownership information and include RA Capital Management, L.P. and RA Capital Nexus Fund II, L.P. </w:t>
            </w:r>
          </w:p>
        </w:tc>
      </w:tr>
    </w:tbl>
    <w:p>
      <w:pPr>
        <w:pStyle w:val="TextBody"/>
        <w:bidi w:val="0"/>
        <w:spacing w:before="360" w:after="0"/>
        <w:jc w:val="left"/>
        <w:rPr>
          <w:rFonts w:ascii="Times New Roman" w:hAnsi="Times New Roman"/>
          <w:b/>
          <w:sz w:val="20"/>
        </w:rPr>
      </w:pPr>
      <w:bookmarkStart w:id="49" w:name="toc884353_47"/>
      <w:bookmarkEnd w:id="49"/>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subject to certain exceptions.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 </w:t>
      </w:r>
    </w:p>
    <w:p>
      <w:pPr>
        <w:pStyle w:val="TextBody"/>
        <w:bidi w:val="0"/>
        <w:spacing w:before="360" w:after="0"/>
        <w:jc w:val="left"/>
        <w:rPr>
          <w:rFonts w:ascii="Times New Roman" w:hAnsi="Times New Roman"/>
          <w:b/>
          <w:sz w:val="20"/>
        </w:rPr>
      </w:pPr>
      <w:bookmarkStart w:id="50" w:name="toc884353_48"/>
      <w:bookmarkEnd w:id="50"/>
      <w:r>
        <w:rPr>
          <w:rFonts w:ascii="Times New Roman" w:hAnsi="Times New Roman"/>
          <w:b/>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adopted a formal written policy governing our entry into any transaction that exceeds $120,000 and in which any related person has a direct or indirect material interest. The policy provides that management shall present related party transactions to the audit committee for approval. The policy does not prevent management from entering into any related party transaction without prior approval of the audit committee, so long as such related party transaction is thereafter presented to the audit committee for ratification.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oc884353_49"/>
      <w:bookmarkEnd w:id="51"/>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bookmarkStart w:id="52" w:name="toc884353_50"/>
      <w:bookmarkEnd w:id="52"/>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2024, all directors, executive officers and greater than 10% stockholders complied with all Section  16(a) filing requirements applicable to them. </w:t>
      </w:r>
    </w:p>
    <w:p>
      <w:pPr>
        <w:pStyle w:val="TextBody"/>
        <w:bidi w:val="0"/>
        <w:spacing w:before="360" w:after="0"/>
        <w:jc w:val="left"/>
        <w:rPr>
          <w:rFonts w:ascii="Times New Roman" w:hAnsi="Times New Roman"/>
          <w:b/>
          <w:sz w:val="20"/>
        </w:rPr>
      </w:pPr>
      <w:bookmarkStart w:id="53" w:name="toc884353_51"/>
      <w:bookmarkEnd w:id="53"/>
      <w:r>
        <w:rPr>
          <w:rFonts w:ascii="Times New Roman" w:hAnsi="Times New Roman"/>
          <w:b/>
          <w:sz w:val="20"/>
        </w:rPr>
        <w:t xml:space="preserve">2024 Annual Report and SEC Filings </w:t>
      </w:r>
    </w:p>
    <w:p>
      <w:pPr>
        <w:pStyle w:val="TextBody"/>
        <w:bidi w:val="0"/>
        <w:spacing w:before="120" w:after="0"/>
        <w:jc w:val="left"/>
        <w:rPr>
          <w:rFonts w:ascii="Times New Roman" w:hAnsi="Times New Roman"/>
          <w:sz w:val="20"/>
        </w:rPr>
      </w:pPr>
      <w:r>
        <w:rPr>
          <w:rFonts w:ascii="Times New Roman" w:hAnsi="Times New Roman"/>
          <w:sz w:val="20"/>
        </w:rPr>
        <w:t xml:space="preserve">Our financial statements for our fiscal year ended December 31, 2024, are included in our annual report, which we will make available to stockholders at the same time as this proxy statement. Our proxy materials and our annual report are posted on our website at </w:t>
      </w:r>
      <w:r>
        <w:rPr>
          <w:rFonts w:ascii="Times New Roman" w:hAnsi="Times New Roman"/>
          <w:sz w:val="20"/>
          <w:u w:val="single"/>
        </w:rPr>
        <w:t>www.tenayatherapeutics.com</w:t>
      </w:r>
      <w:r>
        <w:rPr>
          <w:rFonts w:ascii="Times New Roman" w:hAnsi="Times New Roman"/>
          <w:sz w:val="20"/>
        </w:rPr>
        <w:t xml:space="preserve"> and are available from the SEC at its website at </w:t>
      </w:r>
      <w:r>
        <w:rPr>
          <w:rFonts w:ascii="Times New Roman" w:hAnsi="Times New Roman"/>
          <w:i/>
          <w:sz w:val="20"/>
        </w:rPr>
        <w:t>www.sec.gov</w:t>
      </w:r>
      <w:r>
        <w:rPr>
          <w:rFonts w:ascii="Times New Roman" w:hAnsi="Times New Roman"/>
          <w:sz w:val="20"/>
        </w:rPr>
        <w:t xml:space="preserve">. </w:t>
      </w:r>
      <w:r>
        <w:rPr>
          <w:rFonts w:ascii="Times New Roman" w:hAnsi="Times New Roman"/>
          <w:b/>
          <w:sz w:val="20"/>
        </w:rPr>
        <w:t xml:space="preserve">You may also obtain a copy of our annual report, free of charge, by sending a written request to: </w:t>
      </w:r>
    </w:p>
    <w:p>
      <w:pPr>
        <w:pStyle w:val="TextBody"/>
        <w:bidi w:val="0"/>
        <w:spacing w:before="120" w:after="0"/>
        <w:jc w:val="center"/>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that your shares be represented at the annual meeting, regardless of the number of shares that you hold. You are, therefore, urged to vote as promptly as possible to ensure your vote is recorded.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South 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17,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192"/>
        <w:gridCol w:w="95"/>
        <w:gridCol w:w="5918"/>
      </w:tblGrid>
      <w:tr>
        <w:trPr/>
        <w:tc>
          <w:tcPr>
            <w:tcW w:w="419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5918" w:type="dxa"/>
            <w:tcBorders/>
            <w:vAlign w:val="center"/>
          </w:tcPr>
          <w:p>
            <w:pPr>
              <w:pStyle w:val="TableContents"/>
              <w:bidi w:val="0"/>
              <w:spacing w:before="0" w:after="283"/>
              <w:jc w:val="left"/>
              <w:rPr>
                <w:sz w:val="4"/>
                <w:szCs w:val="4"/>
              </w:rPr>
            </w:pPr>
            <w:r>
              <w:rPr>
                <w:sz w:val="4"/>
                <w:szCs w:val="4"/>
              </w:rPr>
            </w:r>
          </w:p>
        </w:tc>
      </w:tr>
      <w:tr>
        <w:trPr/>
        <w:tc>
          <w:tcPr>
            <w:tcW w:w="4192"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62075"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62075" cy="533400"/>
                          </a:xfrm>
                          <a:prstGeom prst="rect">
                            <a:avLst/>
                          </a:prstGeom>
                        </pic:spPr>
                      </pic:pic>
                    </a:graphicData>
                  </a:graphic>
                </wp:inline>
              </w:drawing>
            </w:r>
            <w:r>
              <w:rPr/>
              <w:t xml:space="preserve"> </w:t>
            </w:r>
          </w:p>
          <w:p>
            <w:pPr>
              <w:pStyle w:val="TableContents"/>
              <w:bidi w:val="0"/>
              <w:spacing w:before="0" w:after="20"/>
              <w:jc w:val="left"/>
              <w:rPr>
                <w:rFonts w:ascii="ARIAL" w:hAnsi="ARIAL"/>
                <w:sz w:val="12"/>
              </w:rPr>
            </w:pPr>
            <w:r>
              <w:rPr>
                <w:rFonts w:ascii="ARIAL" w:hAnsi="ARIAL"/>
                <w:sz w:val="12"/>
              </w:rPr>
              <w:t>P.O. BOX 8016, CARY, NC 27512-9903</w:t>
            </w:r>
          </w:p>
        </w:tc>
        <w:tc>
          <w:tcPr>
            <w:tcW w:w="95" w:type="dxa"/>
            <w:tcBorders/>
            <w:vAlign w:val="bottom"/>
          </w:tcPr>
          <w:p>
            <w:pPr>
              <w:pStyle w:val="TableContents"/>
              <w:bidi w:val="0"/>
              <w:spacing w:before="0" w:after="283"/>
              <w:jc w:val="left"/>
              <w:rPr/>
            </w:pPr>
            <w:r>
              <w:rPr/>
              <w:t> </w:t>
            </w:r>
          </w:p>
        </w:tc>
        <w:tc>
          <w:tcPr>
            <w:tcW w:w="5918" w:type="dxa"/>
            <w:tcBorders/>
          </w:tcPr>
          <w:p>
            <w:pPr>
              <w:pStyle w:val="TableContents"/>
              <w:bidi w:val="0"/>
              <w:spacing w:before="0" w:after="283"/>
              <w:jc w:val="right"/>
              <w:rPr/>
            </w:pPr>
            <w:r>
              <w:rPr/>
              <w:drawing>
                <wp:inline distT="0" distB="0" distL="0" distR="0">
                  <wp:extent cx="3724275" cy="2562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724275" cy="25622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47"/>
        <w:gridCol w:w="104"/>
        <w:gridCol w:w="736"/>
        <w:gridCol w:w="104"/>
        <w:gridCol w:w="3914"/>
      </w:tblGrid>
      <w:tr>
        <w:trPr/>
        <w:tc>
          <w:tcPr>
            <w:tcW w:w="534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914" w:type="dxa"/>
            <w:tcBorders/>
            <w:vAlign w:val="center"/>
          </w:tcPr>
          <w:p>
            <w:pPr>
              <w:pStyle w:val="TableContents"/>
              <w:bidi w:val="0"/>
              <w:spacing w:before="0" w:after="283"/>
              <w:jc w:val="left"/>
              <w:rPr>
                <w:sz w:val="4"/>
                <w:szCs w:val="4"/>
              </w:rPr>
            </w:pPr>
            <w:r>
              <w:rPr>
                <w:sz w:val="4"/>
                <w:szCs w:val="4"/>
              </w:rPr>
            </w:r>
          </w:p>
        </w:tc>
      </w:tr>
      <w:tr>
        <w:trPr/>
        <w:tc>
          <w:tcPr>
            <w:tcW w:w="5347" w:type="dxa"/>
            <w:tcBorders/>
          </w:tcPr>
          <w:p>
            <w:pPr>
              <w:pStyle w:val="TableContents"/>
              <w:bidi w:val="0"/>
              <w:spacing w:before="0" w:after="283"/>
              <w:jc w:val="center"/>
              <w:rPr>
                <w:b/>
                <w:color w:val="356DEB"/>
                <w:sz w:val="28"/>
              </w:rPr>
            </w:pPr>
            <w:r>
              <w:rPr>
                <w:b/>
                <w:color w:val="356DEB"/>
                <w:sz w:val="28"/>
              </w:rPr>
              <w:t>Tenaya Therapeutics, Inc.</w:t>
            </w:r>
          </w:p>
        </w:tc>
        <w:tc>
          <w:tcPr>
            <w:tcW w:w="104" w:type="dxa"/>
            <w:vMerge w:val="restart"/>
            <w:tcBorders/>
            <w:vAlign w:val="bottom"/>
          </w:tcPr>
          <w:p>
            <w:pPr>
              <w:pStyle w:val="TableContents"/>
              <w:bidi w:val="0"/>
              <w:spacing w:before="0" w:after="283"/>
              <w:jc w:val="left"/>
              <w:rPr/>
            </w:pPr>
            <w:r>
              <w:rPr/>
              <w:t> </w:t>
            </w:r>
          </w:p>
        </w:tc>
        <w:tc>
          <w:tcPr>
            <w:tcW w:w="736" w:type="dxa"/>
            <w:vMerge w:val="restart"/>
            <w:tcBorders/>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2862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8625" cy="371475"/>
                          </a:xfrm>
                          <a:prstGeom prst="rect">
                            <a:avLst/>
                          </a:prstGeom>
                        </pic:spPr>
                      </pic:pic>
                    </a:graphicData>
                  </a:graphic>
                </wp:inline>
              </w:drawing>
            </w:r>
            <w:r>
              <w:rPr/>
              <w:t xml:space="preserve"> </w:t>
            </w:r>
          </w:p>
        </w:tc>
        <w:tc>
          <w:tcPr>
            <w:tcW w:w="104" w:type="dxa"/>
            <w:tcBorders/>
            <w:vAlign w:val="bottom"/>
          </w:tcPr>
          <w:p>
            <w:pPr>
              <w:pStyle w:val="TableContents"/>
              <w:bidi w:val="0"/>
              <w:spacing w:before="0" w:after="283"/>
              <w:jc w:val="left"/>
              <w:rPr/>
            </w:pPr>
            <w:r>
              <w:rPr/>
              <w:t> </w:t>
            </w:r>
          </w:p>
        </w:tc>
        <w:tc>
          <w:tcPr>
            <w:tcW w:w="3914" w:type="dxa"/>
            <w:tcBorders/>
            <w:vAlign w:val="bottom"/>
          </w:tcPr>
          <w:p>
            <w:pPr>
              <w:pStyle w:val="TableContents"/>
              <w:bidi w:val="0"/>
              <w:spacing w:before="0" w:after="283"/>
              <w:jc w:val="left"/>
              <w:rPr>
                <w:b/>
                <w:color w:val="356DEB"/>
              </w:rPr>
            </w:pPr>
            <w:r>
              <w:rPr>
                <w:b/>
                <w:color w:val="356DEB"/>
              </w:rPr>
              <w:t>Internet:</w:t>
            </w:r>
          </w:p>
        </w:tc>
      </w:tr>
      <w:tr>
        <w:trPr/>
        <w:tc>
          <w:tcPr>
            <w:tcW w:w="5347" w:type="dxa"/>
            <w:vMerge w:val="restart"/>
            <w:tcBorders/>
            <w:shd w:fill="356DEB" w:val="clear"/>
            <w:vAlign w:val="center"/>
          </w:tcPr>
          <w:p>
            <w:pPr>
              <w:pStyle w:val="TableContents"/>
              <w:bidi w:val="0"/>
              <w:spacing w:before="0" w:after="283"/>
              <w:jc w:val="center"/>
              <w:rPr>
                <w:b/>
                <w:color w:val="FFFFFF"/>
                <w:sz w:val="28"/>
              </w:rPr>
            </w:pPr>
            <w:r>
              <w:rPr>
                <w:b/>
                <w:color w:val="FFFFFF"/>
                <w:sz w:val="28"/>
              </w:rPr>
              <w:t>Annual Meeting of Stockholders</w:t>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283"/>
              <w:jc w:val="left"/>
              <w:rPr>
                <w:b/>
                <w:color w:val="DB421D"/>
              </w:rPr>
            </w:pPr>
            <w:r>
              <w:rPr>
                <w:b/>
                <w:color w:val="DB421D"/>
              </w:rPr>
              <w:t>www.proxypush.com/TNYA</w:t>
            </w:r>
          </w:p>
        </w:tc>
      </w:tr>
      <w:tr>
        <w:trPr/>
        <w:tc>
          <w:tcPr>
            <w:tcW w:w="5347" w:type="dxa"/>
            <w:vMerge w:val="continue"/>
            <w:tcBorders/>
            <w:shd w:fill="356DEB" w:val="clear"/>
            <w:vAlign w:val="center"/>
          </w:tcPr>
          <w:p>
            <w:pPr>
              <w:pStyle w:val="Normal"/>
              <w:bidi w:val="0"/>
              <w:jc w:val="left"/>
              <w:rPr/>
            </w:pPr>
            <w:r>
              <w:rPr/>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0"/>
              <w:jc w:val="left"/>
              <w:rPr/>
            </w:pPr>
            <w:r>
              <w:rPr/>
              <w:t>●  </w:t>
            </w:r>
            <w:r>
              <w:rPr>
                <w:rFonts w:ascii="ARIAL" w:hAnsi="ARIAL"/>
                <w:sz w:val="16"/>
              </w:rPr>
              <w:t>Cast your vote online</w:t>
            </w:r>
          </w:p>
        </w:tc>
      </w:tr>
      <w:tr>
        <w:trPr/>
        <w:tc>
          <w:tcPr>
            <w:tcW w:w="5347" w:type="dxa"/>
            <w:vMerge w:val="continue"/>
            <w:tcBorders/>
            <w:shd w:fill="356DEB" w:val="clear"/>
            <w:vAlign w:val="center"/>
          </w:tcPr>
          <w:p>
            <w:pPr>
              <w:pStyle w:val="Normal"/>
              <w:bidi w:val="0"/>
              <w:jc w:val="left"/>
              <w:rPr/>
            </w:pPr>
            <w:r>
              <w:rPr/>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0"/>
              <w:jc w:val="left"/>
              <w:rPr/>
            </w:pPr>
            <w:r>
              <w:rPr/>
              <w:t>●  </w:t>
            </w:r>
            <w:r>
              <w:rPr>
                <w:rFonts w:ascii="ARIAL" w:hAnsi="ARIAL"/>
                <w:b/>
                <w:sz w:val="16"/>
              </w:rPr>
              <w:t>Have your Proxy Card ready</w:t>
            </w:r>
          </w:p>
        </w:tc>
      </w:tr>
      <w:tr>
        <w:trPr/>
        <w:tc>
          <w:tcPr>
            <w:tcW w:w="5347" w:type="dxa"/>
            <w:vMerge w:val="continue"/>
            <w:tcBorders/>
            <w:shd w:fill="356DEB" w:val="clear"/>
            <w:vAlign w:val="center"/>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0"/>
              <w:jc w:val="left"/>
              <w:rPr/>
            </w:pPr>
            <w:r>
              <w:rPr/>
              <w:t>●  </w:t>
            </w:r>
            <w:r>
              <w:rPr>
                <w:rFonts w:ascii="ARIAL" w:hAnsi="ARIAL"/>
                <w:sz w:val="16"/>
              </w:rPr>
              <w:t>Follow the simple instructions to record your vote</w:t>
            </w:r>
          </w:p>
        </w:tc>
      </w:tr>
      <w:tr>
        <w:trPr/>
        <w:tc>
          <w:tcPr>
            <w:tcW w:w="5347" w:type="dxa"/>
            <w:tcBorders/>
            <w:shd w:fill="DB421D" w:val="clea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283"/>
              <w:jc w:val="left"/>
              <w:rPr>
                <w:sz w:val="4"/>
                <w:szCs w:val="4"/>
              </w:rPr>
            </w:pPr>
            <w:r>
              <w:rPr>
                <w:sz w:val="4"/>
                <w:szCs w:val="4"/>
              </w:rPr>
            </w:r>
          </w:p>
        </w:tc>
      </w:tr>
      <w:tr>
        <w:trPr>
          <w:trHeight w:val="30" w:hRule="atLeast"/>
        </w:trPr>
        <w:tc>
          <w:tcPr>
            <w:tcW w:w="5347" w:type="dxa"/>
            <w:tcBorders/>
            <w:vAlign w:val="center"/>
          </w:tcPr>
          <w:p>
            <w:pPr>
              <w:pStyle w:val="TableContents"/>
              <w:bidi w:val="0"/>
              <w:spacing w:before="0" w:after="283"/>
              <w:jc w:val="left"/>
              <w:rPr>
                <w:sz w:val="4"/>
                <w:szCs w:val="4"/>
              </w:rPr>
            </w:pPr>
            <w:r>
              <w:rPr>
                <w:sz w:val="4"/>
                <w:szCs w:val="4"/>
              </w:rPr>
            </w:r>
          </w:p>
        </w:tc>
        <w:tc>
          <w:tcPr>
            <w:tcW w:w="840" w:type="dxa"/>
            <w:gridSpan w:val="2"/>
            <w:tcBorders/>
            <w:vAlign w:val="center"/>
          </w:tcPr>
          <w:p>
            <w:pPr>
              <w:pStyle w:val="TableContents"/>
              <w:bidi w:val="0"/>
              <w:spacing w:before="0" w:after="283"/>
              <w:jc w:val="left"/>
              <w:rPr>
                <w:sz w:val="4"/>
                <w:szCs w:val="4"/>
              </w:rPr>
            </w:pPr>
            <w:r>
              <w:rPr>
                <w:sz w:val="4"/>
                <w:szCs w:val="4"/>
              </w:rPr>
            </w:r>
          </w:p>
        </w:tc>
        <w:tc>
          <w:tcPr>
            <w:tcW w:w="4018" w:type="dxa"/>
            <w:gridSpan w:val="2"/>
            <w:tcBorders/>
            <w:vAlign w:val="center"/>
          </w:tcPr>
          <w:p>
            <w:pPr>
              <w:pStyle w:val="TableContents"/>
              <w:bidi w:val="0"/>
              <w:spacing w:before="0" w:after="283"/>
              <w:jc w:val="left"/>
              <w:rPr>
                <w:sz w:val="4"/>
                <w:szCs w:val="4"/>
              </w:rPr>
            </w:pPr>
            <w:r>
              <w:rPr>
                <w:sz w:val="4"/>
                <w:szCs w:val="4"/>
              </w:rPr>
            </w:r>
          </w:p>
        </w:tc>
      </w:tr>
      <w:tr>
        <w:trPr/>
        <w:tc>
          <w:tcPr>
            <w:tcW w:w="5347" w:type="dxa"/>
            <w:tcBorders/>
          </w:tcPr>
          <w:p>
            <w:pPr>
              <w:pStyle w:val="TableContents"/>
              <w:bidi w:val="0"/>
              <w:spacing w:before="0" w:after="283"/>
              <w:jc w:val="center"/>
              <w:rPr>
                <w:sz w:val="18"/>
              </w:rPr>
            </w:pPr>
            <w:r>
              <w:rPr>
                <w:sz w:val="18"/>
              </w:rPr>
              <w:t>for Stockholders of record as of April 1, 2025</w:t>
            </w:r>
          </w:p>
        </w:tc>
        <w:tc>
          <w:tcPr>
            <w:tcW w:w="104" w:type="dxa"/>
            <w:vMerge w:val="restart"/>
            <w:tcBorders/>
            <w:vAlign w:val="bottom"/>
          </w:tcPr>
          <w:p>
            <w:pPr>
              <w:pStyle w:val="TableContents"/>
              <w:bidi w:val="0"/>
              <w:spacing w:before="0" w:after="283"/>
              <w:jc w:val="left"/>
              <w:rPr/>
            </w:pPr>
            <w:r>
              <w:rPr/>
              <w:t> </w:t>
            </w:r>
          </w:p>
        </w:tc>
        <w:tc>
          <w:tcPr>
            <w:tcW w:w="736" w:type="dxa"/>
            <w:vMerge w:val="restart"/>
            <w:tcBorders/>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4800" cy="438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04800" cy="438150"/>
                          </a:xfrm>
                          <a:prstGeom prst="rect">
                            <a:avLst/>
                          </a:prstGeom>
                        </pic:spPr>
                      </pic:pic>
                    </a:graphicData>
                  </a:graphic>
                </wp:inline>
              </w:drawing>
            </w:r>
            <w:r>
              <w:rPr/>
              <w:t xml:space="preserve"> </w:t>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283"/>
              <w:jc w:val="left"/>
              <w:rPr>
                <w:b/>
                <w:color w:val="356DEB"/>
              </w:rPr>
            </w:pPr>
            <w:r>
              <w:rPr>
                <w:b/>
                <w:color w:val="356DEB"/>
              </w:rPr>
              <w:t>Phone:</w:t>
            </w:r>
          </w:p>
        </w:tc>
      </w:tr>
      <w:tr>
        <w:trPr/>
        <w:tc>
          <w:tcPr>
            <w:tcW w:w="5347" w:type="dxa"/>
            <w:tcBorders/>
          </w:tcPr>
          <w:p>
            <w:pPr>
              <w:pStyle w:val="TableContents"/>
              <w:bidi w:val="0"/>
              <w:spacing w:before="0" w:after="0"/>
              <w:jc w:val="left"/>
              <w:rPr/>
            </w:pPr>
            <w:r>
              <w:rPr/>
              <w:t> </w:t>
            </w:r>
          </w:p>
          <w:p>
            <w:pPr>
              <w:pStyle w:val="TableContents"/>
              <w:bidi w:val="0"/>
              <w:spacing w:before="0" w:after="20"/>
              <w:jc w:val="center"/>
              <w:rPr>
                <w:rFonts w:ascii="ARIAL" w:hAnsi="ARIAL"/>
                <w:color w:val="356DEB"/>
                <w:sz w:val="18"/>
              </w:rPr>
            </w:pPr>
            <w:r>
              <w:rPr>
                <w:rFonts w:ascii="ARIAL" w:hAnsi="ARIAL"/>
                <w:color w:val="356DEB"/>
                <w:sz w:val="18"/>
              </w:rPr>
              <w:t>Wednesday, May 28, 2025 8:00 AM, Pacific Time</w:t>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283"/>
              <w:jc w:val="left"/>
              <w:rPr>
                <w:b/>
                <w:color w:val="DB421D"/>
              </w:rPr>
            </w:pPr>
            <w:r>
              <w:rPr>
                <w:b/>
                <w:color w:val="DB421D"/>
              </w:rPr>
              <w:t>1-866-475-3780</w:t>
            </w:r>
          </w:p>
        </w:tc>
      </w:tr>
      <w:tr>
        <w:trPr/>
        <w:tc>
          <w:tcPr>
            <w:tcW w:w="5347" w:type="dxa"/>
            <w:tcBorders/>
          </w:tcPr>
          <w:p>
            <w:pPr>
              <w:pStyle w:val="TableContents"/>
              <w:bidi w:val="0"/>
              <w:spacing w:before="0" w:after="0"/>
              <w:jc w:val="left"/>
              <w:rPr/>
            </w:pPr>
            <w:r>
              <w:rPr/>
              <w:t> </w:t>
            </w:r>
          </w:p>
          <w:p>
            <w:pPr>
              <w:pStyle w:val="TableContents"/>
              <w:bidi w:val="0"/>
              <w:spacing w:before="0" w:after="20"/>
              <w:jc w:val="center"/>
              <w:rPr>
                <w:rFonts w:ascii="ARIAL" w:hAnsi="ARIAL"/>
                <w:color w:val="356DEB"/>
                <w:sz w:val="17"/>
              </w:rPr>
            </w:pPr>
            <w:r>
              <w:rPr>
                <w:rFonts w:ascii="ARIAL" w:hAnsi="ARIAL"/>
                <w:color w:val="356DEB"/>
                <w:sz w:val="17"/>
              </w:rPr>
              <w:t>Annual Meeting to be held live via the Internet - please visit</w:t>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0"/>
              <w:jc w:val="left"/>
              <w:rPr/>
            </w:pPr>
            <w:r>
              <w:rPr/>
              <w:t>●  </w:t>
            </w:r>
            <w:r>
              <w:rPr>
                <w:rFonts w:ascii="ARIAL" w:hAnsi="ARIAL"/>
                <w:sz w:val="16"/>
              </w:rPr>
              <w:t>Use any touch-tone telephone</w:t>
            </w:r>
          </w:p>
        </w:tc>
      </w:tr>
      <w:tr>
        <w:trPr/>
        <w:tc>
          <w:tcPr>
            <w:tcW w:w="5347" w:type="dxa"/>
            <w:tcBorders/>
          </w:tcPr>
          <w:p>
            <w:pPr>
              <w:pStyle w:val="TableContents"/>
              <w:bidi w:val="0"/>
              <w:spacing w:before="0" w:after="0"/>
              <w:jc w:val="left"/>
              <w:rPr/>
            </w:pPr>
            <w:r>
              <w:rPr/>
              <w:t> </w:t>
            </w:r>
          </w:p>
          <w:p>
            <w:pPr>
              <w:pStyle w:val="TableContents"/>
              <w:pBdr>
                <w:bottom w:val="single" w:sz="2" w:space="1" w:color="356DEB"/>
              </w:pBdr>
              <w:bidi w:val="0"/>
              <w:spacing w:before="0" w:after="20"/>
              <w:jc w:val="center"/>
              <w:rPr>
                <w:rFonts w:ascii="ARIAL" w:hAnsi="ARIAL"/>
                <w:color w:val="356DEB"/>
                <w:sz w:val="17"/>
              </w:rPr>
            </w:pPr>
            <w:r>
              <w:rPr>
                <w:rFonts w:ascii="ARIAL" w:hAnsi="ARIAL"/>
                <w:color w:val="356DEB"/>
                <w:sz w:val="17"/>
              </w:rPr>
              <w:t>www.proxydocs.com/TNYA for more details.</w:t>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0"/>
              <w:jc w:val="left"/>
              <w:rPr/>
            </w:pPr>
            <w:r>
              <w:rPr/>
              <w:t>●  </w:t>
            </w:r>
            <w:r>
              <w:rPr>
                <w:rFonts w:ascii="ARIAL" w:hAnsi="ARIAL"/>
                <w:b/>
                <w:sz w:val="16"/>
              </w:rPr>
              <w:t>Have your Proxy Card ready</w:t>
            </w:r>
          </w:p>
          <w:p>
            <w:pPr>
              <w:pStyle w:val="TableContents"/>
              <w:bidi w:val="0"/>
              <w:spacing w:before="0" w:after="20"/>
              <w:jc w:val="left"/>
              <w:rPr/>
            </w:pPr>
            <w:r>
              <w:rPr/>
              <w:t>●  </w:t>
            </w:r>
            <w:r>
              <w:rPr>
                <w:rFonts w:ascii="ARIAL" w:hAnsi="ARIAL"/>
                <w:sz w:val="16"/>
              </w:rPr>
              <w:t>Follow the simple recorded instructions</w:t>
            </w:r>
          </w:p>
        </w:tc>
      </w:tr>
      <w:tr>
        <w:trPr>
          <w:trHeight w:val="60" w:hRule="atLeast"/>
        </w:trPr>
        <w:tc>
          <w:tcPr>
            <w:tcW w:w="5347" w:type="dxa"/>
            <w:tcBorders/>
            <w:vAlign w:val="center"/>
          </w:tcPr>
          <w:p>
            <w:pPr>
              <w:pStyle w:val="TableContents"/>
              <w:bidi w:val="0"/>
              <w:spacing w:before="0" w:after="283"/>
              <w:jc w:val="left"/>
              <w:rPr>
                <w:sz w:val="4"/>
                <w:szCs w:val="4"/>
              </w:rPr>
            </w:pPr>
            <w:r>
              <w:rPr>
                <w:sz w:val="4"/>
                <w:szCs w:val="4"/>
              </w:rPr>
            </w:r>
          </w:p>
        </w:tc>
        <w:tc>
          <w:tcPr>
            <w:tcW w:w="840" w:type="dxa"/>
            <w:gridSpan w:val="2"/>
            <w:tcBorders/>
            <w:vAlign w:val="center"/>
          </w:tcPr>
          <w:p>
            <w:pPr>
              <w:pStyle w:val="TableContents"/>
              <w:bidi w:val="0"/>
              <w:spacing w:before="0" w:after="283"/>
              <w:jc w:val="left"/>
              <w:rPr>
                <w:sz w:val="4"/>
                <w:szCs w:val="4"/>
              </w:rPr>
            </w:pPr>
            <w:r>
              <w:rPr>
                <w:sz w:val="4"/>
                <w:szCs w:val="4"/>
              </w:rPr>
            </w:r>
          </w:p>
        </w:tc>
        <w:tc>
          <w:tcPr>
            <w:tcW w:w="4018" w:type="dxa"/>
            <w:gridSpan w:val="2"/>
            <w:tcBorders/>
            <w:vAlign w:val="center"/>
          </w:tcPr>
          <w:p>
            <w:pPr>
              <w:pStyle w:val="TableContents"/>
              <w:bidi w:val="0"/>
              <w:spacing w:before="0" w:after="283"/>
              <w:jc w:val="left"/>
              <w:rPr>
                <w:sz w:val="4"/>
                <w:szCs w:val="4"/>
              </w:rPr>
            </w:pPr>
            <w:r>
              <w:rPr>
                <w:sz w:val="4"/>
                <w:szCs w:val="4"/>
              </w:rPr>
            </w:r>
          </w:p>
        </w:tc>
      </w:tr>
      <w:tr>
        <w:trPr/>
        <w:tc>
          <w:tcPr>
            <w:tcW w:w="5347" w:type="dxa"/>
            <w:tcBorders/>
          </w:tcPr>
          <w:p>
            <w:pPr>
              <w:pStyle w:val="TableContents"/>
              <w:bidi w:val="0"/>
              <w:spacing w:before="0" w:after="283"/>
              <w:jc w:val="left"/>
              <w:rPr>
                <w:sz w:val="4"/>
                <w:szCs w:val="4"/>
              </w:rPr>
            </w:pPr>
            <w:r>
              <w:rPr>
                <w:sz w:val="4"/>
                <w:szCs w:val="4"/>
              </w:rPr>
            </w:r>
          </w:p>
        </w:tc>
        <w:tc>
          <w:tcPr>
            <w:tcW w:w="104" w:type="dxa"/>
            <w:vMerge w:val="restart"/>
            <w:tcBorders/>
            <w:vAlign w:val="bottom"/>
          </w:tcPr>
          <w:p>
            <w:pPr>
              <w:pStyle w:val="TableContents"/>
              <w:bidi w:val="0"/>
              <w:spacing w:before="0" w:after="283"/>
              <w:jc w:val="left"/>
              <w:rPr/>
            </w:pPr>
            <w:r>
              <w:rPr/>
              <w:t> </w:t>
            </w:r>
          </w:p>
        </w:tc>
        <w:tc>
          <w:tcPr>
            <w:tcW w:w="736" w:type="dxa"/>
            <w:vMerge w:val="restart"/>
            <w:tcBorders/>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28625" cy="409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8625" cy="409575"/>
                          </a:xfrm>
                          <a:prstGeom prst="rect">
                            <a:avLst/>
                          </a:prstGeom>
                        </pic:spPr>
                      </pic:pic>
                    </a:graphicData>
                  </a:graphic>
                </wp:inline>
              </w:drawing>
            </w:r>
            <w:r>
              <w:rPr/>
              <w:t xml:space="preserve"> </w:t>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283"/>
              <w:jc w:val="left"/>
              <w:rPr>
                <w:b/>
                <w:color w:val="356DEB"/>
              </w:rPr>
            </w:pPr>
            <w:r>
              <w:rPr>
                <w:b/>
                <w:color w:val="356DEB"/>
              </w:rPr>
              <w:t>Mail:</w:t>
            </w:r>
          </w:p>
        </w:tc>
      </w:tr>
      <w:tr>
        <w:trPr/>
        <w:tc>
          <w:tcPr>
            <w:tcW w:w="5347" w:type="dxa"/>
            <w:tcBorders/>
          </w:tcPr>
          <w:p>
            <w:pPr>
              <w:pStyle w:val="TableContents"/>
              <w:bidi w:val="0"/>
              <w:spacing w:before="0" w:after="283"/>
              <w:jc w:val="left"/>
              <w:rPr>
                <w:sz w:val="4"/>
                <w:szCs w:val="4"/>
              </w:rPr>
            </w:pPr>
            <w:r>
              <w:rPr>
                <w:sz w:val="4"/>
                <w:szCs w:val="4"/>
              </w:rPr>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0"/>
              <w:jc w:val="left"/>
              <w:rPr/>
            </w:pPr>
            <w:r>
              <w:rPr/>
              <w:t>●  </w:t>
            </w:r>
            <w:r>
              <w:rPr>
                <w:rFonts w:ascii="ARIAL" w:hAnsi="ARIAL"/>
                <w:sz w:val="16"/>
              </w:rPr>
              <w:t>Mark, sign and date your Proxy Card</w:t>
            </w:r>
          </w:p>
        </w:tc>
      </w:tr>
      <w:tr>
        <w:trPr/>
        <w:tc>
          <w:tcPr>
            <w:tcW w:w="5347" w:type="dxa"/>
            <w:tcBorders/>
            <w:vAlign w:val="bottom"/>
          </w:tcPr>
          <w:p>
            <w:pPr>
              <w:pStyle w:val="TableContents"/>
              <w:bidi w:val="0"/>
              <w:spacing w:before="0" w:after="283"/>
              <w:jc w:val="center"/>
              <w:rPr>
                <w:b/>
                <w:sz w:val="20"/>
              </w:rPr>
            </w:pPr>
            <w:r>
              <w:rPr>
                <w:b/>
                <w:sz w:val="20"/>
              </w:rPr>
              <w:t>YOUR VOTE IS IMPORTANT!</w:t>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0"/>
              <w:jc w:val="left"/>
              <w:rPr/>
            </w:pPr>
            <w:r>
              <w:rPr/>
              <w:t>●  </w:t>
            </w:r>
            <w:r>
              <w:rPr>
                <w:rFonts w:ascii="ARIAL" w:hAnsi="ARIAL"/>
                <w:sz w:val="16"/>
              </w:rPr>
              <w:t>Fold and return your Proxy Card in the postage-paid envelope provided</w:t>
            </w:r>
          </w:p>
        </w:tc>
      </w:tr>
      <w:tr>
        <w:trPr/>
        <w:tc>
          <w:tcPr>
            <w:tcW w:w="5347" w:type="dxa"/>
            <w:tcBorders/>
          </w:tcPr>
          <w:p>
            <w:pPr>
              <w:pStyle w:val="TableContents"/>
              <w:bidi w:val="0"/>
              <w:spacing w:before="0" w:after="283"/>
              <w:jc w:val="center"/>
              <w:rPr>
                <w:b/>
              </w:rPr>
            </w:pPr>
            <w:r>
              <w:rPr>
                <w:b/>
              </w:rPr>
              <w:t>PLEASE VOTE BY:11:59 PM, Eastern Time, May 27, 2025.</w:t>
            </w:r>
          </w:p>
        </w:tc>
        <w:tc>
          <w:tcPr>
            <w:tcW w:w="104" w:type="dxa"/>
            <w:vMerge w:val="restart"/>
            <w:tcBorders/>
            <w:vAlign w:val="bottom"/>
          </w:tcPr>
          <w:p>
            <w:pPr>
              <w:pStyle w:val="TableContents"/>
              <w:bidi w:val="0"/>
              <w:spacing w:before="0" w:after="283"/>
              <w:jc w:val="left"/>
              <w:rPr/>
            </w:pPr>
            <w:r>
              <w:rPr/>
              <w:t> </w:t>
            </w:r>
          </w:p>
        </w:tc>
        <w:tc>
          <w:tcPr>
            <w:tcW w:w="736" w:type="dxa"/>
            <w:vMerge w:val="restart"/>
            <w:tcBorders/>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66725" cy="37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66725" cy="371475"/>
                          </a:xfrm>
                          <a:prstGeom prst="rect">
                            <a:avLst/>
                          </a:prstGeom>
                        </pic:spPr>
                      </pic:pic>
                    </a:graphicData>
                  </a:graphic>
                </wp:inline>
              </w:drawing>
            </w:r>
            <w:r>
              <w:rPr/>
              <w:t xml:space="preserve"> </w:t>
            </w:r>
          </w:p>
        </w:tc>
        <w:tc>
          <w:tcPr>
            <w:tcW w:w="104" w:type="dxa"/>
            <w:tcBorders/>
            <w:vAlign w:val="bottom"/>
          </w:tcPr>
          <w:p>
            <w:pPr>
              <w:pStyle w:val="TableContents"/>
              <w:bidi w:val="0"/>
              <w:spacing w:before="0" w:after="283"/>
              <w:jc w:val="left"/>
              <w:rPr/>
            </w:pPr>
            <w:r>
              <w:rPr/>
              <w:t> </w:t>
            </w:r>
          </w:p>
        </w:tc>
        <w:tc>
          <w:tcPr>
            <w:tcW w:w="3914" w:type="dxa"/>
            <w:tcBorders/>
            <w:vAlign w:val="bottom"/>
          </w:tcPr>
          <w:p>
            <w:pPr>
              <w:pStyle w:val="TableContents"/>
              <w:bidi w:val="0"/>
              <w:spacing w:before="0" w:after="283"/>
              <w:jc w:val="left"/>
              <w:rPr>
                <w:b/>
                <w:color w:val="356DEB"/>
              </w:rPr>
            </w:pPr>
            <w:r>
              <w:rPr>
                <w:b/>
                <w:color w:val="356DEB"/>
              </w:rPr>
              <w:t>Virtual:</w:t>
            </w:r>
          </w:p>
        </w:tc>
      </w:tr>
      <w:tr>
        <w:trPr/>
        <w:tc>
          <w:tcPr>
            <w:tcW w:w="5347" w:type="dxa"/>
            <w:tcBorders/>
          </w:tcPr>
          <w:p>
            <w:pPr>
              <w:pStyle w:val="TableContents"/>
              <w:bidi w:val="0"/>
              <w:spacing w:before="0" w:after="283"/>
              <w:jc w:val="left"/>
              <w:rPr>
                <w:sz w:val="4"/>
                <w:szCs w:val="4"/>
              </w:rPr>
            </w:pPr>
            <w:r>
              <w:rPr>
                <w:sz w:val="4"/>
                <w:szCs w:val="4"/>
              </w:rPr>
            </w:r>
          </w:p>
        </w:tc>
        <w:tc>
          <w:tcPr>
            <w:tcW w:w="104" w:type="dxa"/>
            <w:vMerge w:val="continue"/>
            <w:tcBorders/>
            <w:vAlign w:val="bottom"/>
          </w:tcPr>
          <w:p>
            <w:pPr>
              <w:pStyle w:val="Normal"/>
              <w:bidi w:val="0"/>
              <w:jc w:val="left"/>
              <w:rPr/>
            </w:pPr>
            <w:r>
              <w:rPr/>
            </w:r>
          </w:p>
        </w:tc>
        <w:tc>
          <w:tcPr>
            <w:tcW w:w="736"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283"/>
              <w:jc w:val="left"/>
              <w:rPr/>
            </w:pPr>
            <w:r>
              <w:rPr/>
              <w:t>You must register to attend the meeting online and/or participate at www.proxydocs.com/TNYA</w:t>
            </w:r>
          </w:p>
        </w:tc>
      </w:tr>
    </w:tbl>
    <w:p>
      <w:pPr>
        <w:pStyle w:val="TextBody"/>
        <w:bidi w:val="0"/>
        <w:spacing w:before="60" w:after="0"/>
        <w:jc w:val="left"/>
        <w:rPr>
          <w:rFonts w:ascii="ARIAL" w:hAnsi="ARIAL"/>
          <w:b/>
          <w:color w:val="356DEB"/>
          <w:sz w:val="20"/>
        </w:rPr>
      </w:pPr>
      <w:r>
        <w:rPr>
          <w:rFonts w:ascii="ARIAL" w:hAnsi="ARIAL"/>
          <w:b/>
          <w:color w:val="356DEB"/>
          <w:sz w:val="20"/>
        </w:rPr>
        <w:t xml:space="preserve">This proxy is being solicited on behalf of the Board of Directors </w:t>
      </w:r>
    </w:p>
    <w:p>
      <w:pPr>
        <w:pStyle w:val="TextBody"/>
        <w:bidi w:val="0"/>
        <w:spacing w:before="60" w:after="0"/>
        <w:jc w:val="left"/>
        <w:rPr>
          <w:rFonts w:ascii="ARIAL" w:hAnsi="ARIAL"/>
          <w:sz w:val="16"/>
        </w:rPr>
      </w:pPr>
      <w:r>
        <w:rPr>
          <w:rFonts w:ascii="ARIAL" w:hAnsi="ARIAL"/>
          <w:sz w:val="16"/>
        </w:rPr>
        <w:t xml:space="preserve">The undersigned hereby appoints Faraz Ali and Jennifer Drimmer Rokovich (the Named Proxies), and each or either of them, as proxies for the undersigned, with full power of substitution and revocation, and authorizes them, and each of them, to vote all the shares of capital stock of Tenaya Therapeutics, Inc. which the undersigned is entitled to vote at the Annual Meeting of Stockholders to be held at 8:00 AM Pacific Time on May 28, 2025, and any adjournment or postponement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sz w:val="16"/>
        </w:rPr>
        <w:t xml:space="preserve">THE SHARES REPRESENTED BY THIS PROXY WILL BE VOTED AS DIRECTED OR, </w:t>
      </w:r>
      <w:r>
        <w:rPr>
          <w:rFonts w:ascii="ARIAL" w:hAnsi="ARIAL"/>
          <w:b/>
          <w:sz w:val="16"/>
        </w:rPr>
        <w:t>IF NO DIRECTION IS GIVEN, SHARES WILL BE FOR ALL NOMINEES FOR DIRECTORS IN PROPOSAL 1, AND FOR PROPOSAL 2.</w:t>
      </w:r>
      <w:r>
        <w:rPr>
          <w:rFonts w:ascii="ARIAL" w:hAnsi="ARIAL"/>
          <w:sz w:val="16"/>
        </w:rPr>
        <w:t xml:space="preserve">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96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2025 BetaNXT, Inc. or its affiliates. All Rights Reserved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187"/>
        <w:gridCol w:w="103"/>
        <w:gridCol w:w="7915"/>
      </w:tblGrid>
      <w:tr>
        <w:trPr/>
        <w:tc>
          <w:tcPr>
            <w:tcW w:w="218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187" w:type="dxa"/>
            <w:tcBorders/>
          </w:tcPr>
          <w:p>
            <w:pPr>
              <w:pStyle w:val="TableContents"/>
              <w:bidi w:val="0"/>
              <w:spacing w:before="0" w:after="283"/>
              <w:jc w:val="left"/>
              <w:rPr/>
            </w:pPr>
            <w:r>
              <w:rPr/>
              <w:drawing>
                <wp:inline distT="0" distB="0" distL="0" distR="0">
                  <wp:extent cx="1362075" cy="533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62075" cy="533400"/>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283"/>
              <w:jc w:val="right"/>
              <w:rPr>
                <w:b/>
                <w:color w:val="356DEB"/>
              </w:rPr>
            </w:pPr>
            <w:r>
              <w:rPr>
                <w:b/>
                <w:color w:val="356DEB"/>
              </w:rPr>
              <w:t>Tenaya Therapeutics, Inc. Annual Meeting of Stockholders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6"/>
        <w:gridCol w:w="110"/>
        <w:gridCol w:w="7689"/>
      </w:tblGrid>
      <w:tr>
        <w:trPr/>
        <w:tc>
          <w:tcPr>
            <w:tcW w:w="240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7689" w:type="dxa"/>
            <w:tcBorders/>
            <w:vAlign w:val="center"/>
          </w:tcPr>
          <w:p>
            <w:pPr>
              <w:pStyle w:val="TableContents"/>
              <w:bidi w:val="0"/>
              <w:spacing w:before="0" w:after="283"/>
              <w:jc w:val="left"/>
              <w:rPr>
                <w:sz w:val="4"/>
                <w:szCs w:val="4"/>
              </w:rPr>
            </w:pPr>
            <w:r>
              <w:rPr>
                <w:sz w:val="4"/>
                <w:szCs w:val="4"/>
              </w:rPr>
            </w:r>
          </w:p>
        </w:tc>
      </w:tr>
      <w:tr>
        <w:trPr/>
        <w:tc>
          <w:tcPr>
            <w:tcW w:w="2406" w:type="dxa"/>
            <w:tcBorders/>
            <w:vAlign w:val="center"/>
          </w:tcPr>
          <w:p>
            <w:pPr>
              <w:pStyle w:val="TableContents"/>
              <w:bidi w:val="0"/>
              <w:spacing w:before="0" w:after="283"/>
              <w:jc w:val="left"/>
              <w:rPr>
                <w:b/>
                <w:sz w:val="16"/>
              </w:rPr>
            </w:pPr>
            <w:r>
              <w:rPr>
                <w:b/>
                <w:sz w:val="16"/>
              </w:rPr>
              <w:t>Please make your marks like this:</w:t>
            </w:r>
          </w:p>
        </w:tc>
        <w:tc>
          <w:tcPr>
            <w:tcW w:w="110" w:type="dxa"/>
            <w:tcBorders/>
            <w:vAlign w:val="bottom"/>
          </w:tcPr>
          <w:p>
            <w:pPr>
              <w:pStyle w:val="TableContents"/>
              <w:bidi w:val="0"/>
              <w:spacing w:before="0" w:after="283"/>
              <w:jc w:val="left"/>
              <w:rPr/>
            </w:pPr>
            <w:r>
              <w:rPr/>
              <w:t> </w:t>
            </w:r>
          </w:p>
        </w:tc>
        <w:tc>
          <w:tcPr>
            <w:tcW w:w="7689" w:type="dxa"/>
            <w:tcBorders/>
          </w:tcPr>
          <w:p>
            <w:pPr>
              <w:pStyle w:val="TableContents"/>
              <w:bidi w:val="0"/>
              <w:spacing w:before="0" w:after="283"/>
              <w:jc w:val="left"/>
              <w:rPr/>
            </w:pPr>
            <w:r>
              <w:rPr/>
              <w:drawing>
                <wp:inline distT="0" distB="0" distL="0" distR="0">
                  <wp:extent cx="219075" cy="219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9075" cy="219075"/>
                          </a:xfrm>
                          <a:prstGeom prst="rect">
                            <a:avLst/>
                          </a:prstGeom>
                        </pic:spPr>
                      </pic:pic>
                    </a:graphicData>
                  </a:graphic>
                </wp:inline>
              </w:drawing>
            </w:r>
            <w:r>
              <w:rPr/>
              <w:t xml:space="preserve"> </w:t>
            </w:r>
          </w:p>
        </w:tc>
      </w:tr>
    </w:tbl>
    <w:p>
      <w:pPr>
        <w:pStyle w:val="TextBody"/>
        <w:bidi w:val="0"/>
        <w:spacing w:before="60" w:after="0"/>
        <w:jc w:val="left"/>
        <w:rPr>
          <w:rFonts w:ascii="ARIAL" w:hAnsi="ARIAL"/>
          <w:sz w:val="16"/>
        </w:rPr>
      </w:pPr>
      <w:r>
        <w:rPr>
          <w:rFonts w:ascii="ARIAL" w:hAnsi="ARIAL"/>
          <w:sz w:val="16"/>
        </w:rPr>
        <w:t xml:space="preserve">The Board of Directors recommends a vote </w:t>
      </w:r>
      <w:r>
        <w:rPr>
          <w:rFonts w:ascii="ARIAL" w:hAnsi="ARIAL"/>
          <w:b/>
          <w:sz w:val="16"/>
        </w:rPr>
        <w:t xml:space="preserve">FOR </w:t>
      </w:r>
      <w:r>
        <w:rPr>
          <w:rFonts w:ascii="ARIAL" w:hAnsi="ARIAL"/>
          <w:sz w:val="16"/>
        </w:rPr>
        <w:t xml:space="preserve">each Nominee listed below in Proposal 1 and </w:t>
      </w:r>
      <w:r>
        <w:rPr>
          <w:rFonts w:ascii="ARIAL" w:hAnsi="ARIAL"/>
          <w:b/>
          <w:sz w:val="16"/>
        </w:rPr>
        <w:t>FOR</w:t>
      </w:r>
      <w:r>
        <w:rPr>
          <w:rFonts w:ascii="ARIAL" w:hAnsi="ARIAL"/>
          <w:sz w:val="16"/>
        </w:rPr>
        <w:t xml:space="preserve"> Proposal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63"/>
        <w:gridCol w:w="60"/>
        <w:gridCol w:w="538"/>
        <w:gridCol w:w="107"/>
        <w:gridCol w:w="1427"/>
        <w:gridCol w:w="107"/>
        <w:gridCol w:w="1181"/>
        <w:gridCol w:w="107"/>
        <w:gridCol w:w="915"/>
      </w:tblGrid>
      <w:tr>
        <w:trPr/>
        <w:tc>
          <w:tcPr>
            <w:tcW w:w="57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5763" w:type="dxa"/>
            <w:tcBorders/>
            <w:shd w:fill="CCCCCC" w:val="clear"/>
            <w:vAlign w:val="bottom"/>
          </w:tcPr>
          <w:p>
            <w:pPr>
              <w:pStyle w:val="TableContents"/>
              <w:bidi w:val="0"/>
              <w:spacing w:before="0" w:after="0"/>
              <w:jc w:val="left"/>
              <w:rPr>
                <w:rFonts w:ascii="ARIAL" w:hAnsi="ARIAL"/>
                <w:b/>
                <w:sz w:val="12"/>
              </w:rPr>
            </w:pPr>
            <w:r>
              <w:rPr>
                <w:rFonts w:ascii="ARIAL" w:hAnsi="ARIAL"/>
                <w:b/>
                <w:sz w:val="12"/>
              </w:rPr>
              <w:t>PROPOSAL</w:t>
            </w:r>
          </w:p>
        </w:tc>
        <w:tc>
          <w:tcPr>
            <w:tcW w:w="60" w:type="dxa"/>
            <w:tcBorders/>
            <w:shd w:fill="CCCCCC" w:val="clear"/>
            <w:vAlign w:val="bottom"/>
          </w:tcPr>
          <w:p>
            <w:pPr>
              <w:pStyle w:val="TableContents"/>
              <w:bidi w:val="0"/>
              <w:spacing w:before="0" w:after="283"/>
              <w:jc w:val="left"/>
              <w:rPr/>
            </w:pPr>
            <w:r>
              <w:rPr/>
              <w:t> </w:t>
            </w:r>
          </w:p>
        </w:tc>
        <w:tc>
          <w:tcPr>
            <w:tcW w:w="538" w:type="dxa"/>
            <w:tcBorders/>
            <w:shd w:fill="CCCCCC" w:val="clear"/>
          </w:tcPr>
          <w:p>
            <w:pPr>
              <w:pStyle w:val="TableContents"/>
              <w:bidi w:val="0"/>
              <w:spacing w:before="0" w:after="283"/>
              <w:jc w:val="left"/>
              <w:rPr>
                <w:sz w:val="4"/>
                <w:szCs w:val="4"/>
              </w:rPr>
            </w:pPr>
            <w:r>
              <w:rPr>
                <w:sz w:val="4"/>
                <w:szCs w:val="4"/>
              </w:rPr>
            </w:r>
          </w:p>
        </w:tc>
        <w:tc>
          <w:tcPr>
            <w:tcW w:w="107" w:type="dxa"/>
            <w:tcBorders/>
            <w:shd w:fill="CCCCCC" w:val="clear"/>
            <w:vAlign w:val="bottom"/>
          </w:tcPr>
          <w:p>
            <w:pPr>
              <w:pStyle w:val="TableContents"/>
              <w:bidi w:val="0"/>
              <w:spacing w:before="0" w:after="283"/>
              <w:jc w:val="left"/>
              <w:rPr/>
            </w:pPr>
            <w:r>
              <w:rPr/>
              <w:t> </w:t>
            </w:r>
          </w:p>
        </w:tc>
        <w:tc>
          <w:tcPr>
            <w:tcW w:w="1427" w:type="dxa"/>
            <w:tcBorders/>
            <w:shd w:fill="CCCCCC" w:val="clear"/>
            <w:vAlign w:val="bottom"/>
          </w:tcPr>
          <w:p>
            <w:pPr>
              <w:pStyle w:val="TableContents"/>
              <w:bidi w:val="0"/>
              <w:spacing w:before="0" w:after="283"/>
              <w:jc w:val="center"/>
              <w:rPr>
                <w:b/>
                <w:sz w:val="12"/>
              </w:rPr>
            </w:pPr>
            <w:r>
              <w:rPr>
                <w:b/>
                <w:sz w:val="12"/>
              </w:rPr>
              <w:t>YOUR VOTE</w:t>
            </w:r>
          </w:p>
        </w:tc>
        <w:tc>
          <w:tcPr>
            <w:tcW w:w="107" w:type="dxa"/>
            <w:tcBorders/>
            <w:shd w:fill="CCCCCC" w:val="clear"/>
            <w:vAlign w:val="bottom"/>
          </w:tcPr>
          <w:p>
            <w:pPr>
              <w:pStyle w:val="TableContents"/>
              <w:bidi w:val="0"/>
              <w:spacing w:before="0" w:after="283"/>
              <w:jc w:val="left"/>
              <w:rPr/>
            </w:pPr>
            <w:r>
              <w:rPr/>
              <w:t> </w:t>
            </w:r>
          </w:p>
        </w:tc>
        <w:tc>
          <w:tcPr>
            <w:tcW w:w="1181" w:type="dxa"/>
            <w:tcBorders>
              <w:right w:val="single" w:sz="2" w:space="0" w:color="000000"/>
            </w:tcBorders>
            <w:shd w:fill="CCCCCC" w:val="clear"/>
            <w:tcMar>
              <w:right w:w="28" w:type="dxa"/>
            </w:tcMa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15" w:type="dxa"/>
            <w:tcBorders/>
          </w:tcPr>
          <w:p>
            <w:pPr>
              <w:pStyle w:val="TableContents"/>
              <w:bidi w:val="0"/>
              <w:jc w:val="center"/>
              <w:rPr>
                <w:b/>
                <w:sz w:val="12"/>
              </w:rPr>
            </w:pPr>
            <w:r>
              <w:rPr>
                <w:b/>
                <w:sz w:val="12"/>
              </w:rPr>
              <w:t>BOARD OF</w:t>
            </w:r>
          </w:p>
          <w:p>
            <w:pPr>
              <w:pStyle w:val="TableContents"/>
              <w:bidi w:val="0"/>
              <w:spacing w:before="0" w:after="0"/>
              <w:jc w:val="center"/>
              <w:rPr>
                <w:rFonts w:ascii="ARIAL" w:hAnsi="ARIAL"/>
                <w:b/>
                <w:sz w:val="12"/>
              </w:rPr>
            </w:pPr>
            <w:r>
              <w:rPr>
                <w:rFonts w:ascii="ARIAL" w:hAnsi="ARIAL"/>
                <w:b/>
                <w:sz w:val="12"/>
              </w:rPr>
              <w:t>DIRECTORS</w:t>
            </w:r>
          </w:p>
          <w:p>
            <w:pPr>
              <w:pStyle w:val="TableContents"/>
              <w:bidi w:val="0"/>
              <w:spacing w:before="0" w:after="20"/>
              <w:jc w:val="center"/>
              <w:rPr>
                <w:rFonts w:ascii="ARIAL" w:hAnsi="ARIAL"/>
                <w:b/>
                <w:sz w:val="12"/>
              </w:rPr>
            </w:pPr>
            <w:r>
              <w:rPr>
                <w:rFonts w:ascii="ARIAL" w:hAnsi="ARIAL"/>
                <w:b/>
                <w:sz w:val="12"/>
              </w:rPr>
              <w:t>RECOMMENDS</w:t>
            </w:r>
          </w:p>
        </w:tc>
      </w:tr>
      <w:tr>
        <w:trPr/>
        <w:tc>
          <w:tcPr>
            <w:tcW w:w="5763" w:type="dxa"/>
            <w:tcBorders/>
          </w:tcPr>
          <w:p>
            <w:pPr>
              <w:pStyle w:val="TableContents"/>
              <w:bidi w:val="0"/>
              <w:spacing w:before="0" w:after="0"/>
              <w:jc w:val="left"/>
              <w:rPr>
                <w:rFonts w:ascii="ARIAL" w:hAnsi="ARIAL"/>
                <w:sz w:val="16"/>
              </w:rPr>
            </w:pPr>
            <w:r>
              <w:rPr>
                <w:rFonts w:ascii="ARIAL" w:hAnsi="ARIAL"/>
                <w:sz w:val="16"/>
              </w:rPr>
              <w:t>1.  To elect three Class I directors to hold office until our 2028 annual meeting of stockholders and until their respective successors are elected and qualified.</w:t>
            </w:r>
          </w:p>
        </w:tc>
        <w:tc>
          <w:tcPr>
            <w:tcW w:w="60" w:type="dxa"/>
            <w:tcBorders/>
            <w:vAlign w:val="bottom"/>
          </w:tcPr>
          <w:p>
            <w:pPr>
              <w:pStyle w:val="TableContents"/>
              <w:bidi w:val="0"/>
              <w:spacing w:before="0" w:after="283"/>
              <w:jc w:val="left"/>
              <w:rPr/>
            </w:pPr>
            <w:r>
              <w:rPr/>
              <w:t> </w:t>
            </w:r>
          </w:p>
        </w:tc>
        <w:tc>
          <w:tcPr>
            <w:tcW w:w="53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2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181" w:type="dxa"/>
            <w:tcBorders>
              <w:right w:val="single" w:sz="2" w:space="0" w:color="000000"/>
            </w:tcBorders>
            <w:tcMar>
              <w:right w:w="28" w:type="dxa"/>
            </w:tcMar>
          </w:tcPr>
          <w:p>
            <w:pPr>
              <w:pStyle w:val="TableContents"/>
              <w:bidi w:val="0"/>
              <w:spacing w:before="0" w:after="283"/>
              <w:jc w:val="left"/>
              <w:rPr/>
            </w:pPr>
            <w:r>
              <w:rPr/>
              <w:t> </w:t>
            </w:r>
          </w:p>
        </w:tc>
        <w:tc>
          <w:tcPr>
            <w:tcW w:w="107" w:type="dxa"/>
            <w:vMerge w:val="restart"/>
            <w:tcBorders/>
            <w:vAlign w:val="bottom"/>
          </w:tcPr>
          <w:p>
            <w:pPr>
              <w:pStyle w:val="TableContents"/>
              <w:bidi w:val="0"/>
              <w:spacing w:before="0" w:after="283"/>
              <w:jc w:val="left"/>
              <w:rPr/>
            </w:pPr>
            <w:r>
              <w:rPr/>
              <w:t> </w:t>
            </w:r>
          </w:p>
        </w:tc>
        <w:tc>
          <w:tcPr>
            <w:tcW w:w="915" w:type="dxa"/>
            <w:vMerge w:val="restart"/>
            <w:tcBorders/>
          </w:tcPr>
          <w:p>
            <w:pPr>
              <w:pStyle w:val="TableContents"/>
              <w:bidi w:val="0"/>
              <w:spacing w:before="0" w:after="283"/>
              <w:jc w:val="center"/>
              <w:rPr/>
            </w:pPr>
            <w:r>
              <w:rPr/>
              <w:drawing>
                <wp:inline distT="0" distB="0" distL="0" distR="0">
                  <wp:extent cx="361950" cy="409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1950" cy="409575"/>
                          </a:xfrm>
                          <a:prstGeom prst="rect">
                            <a:avLst/>
                          </a:prstGeom>
                        </pic:spPr>
                      </pic:pic>
                    </a:graphicData>
                  </a:graphic>
                </wp:inline>
              </w:drawing>
            </w:r>
            <w:r>
              <w:rPr/>
              <w:t xml:space="preserve"> </w:t>
            </w:r>
          </w:p>
        </w:tc>
      </w:tr>
      <w:tr>
        <w:trPr/>
        <w:tc>
          <w:tcPr>
            <w:tcW w:w="57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8" w:type="dxa"/>
            <w:tcBorders/>
          </w:tcPr>
          <w:p>
            <w:pPr>
              <w:pStyle w:val="TableContents"/>
              <w:bidi w:val="0"/>
              <w:spacing w:before="0" w:after="283"/>
              <w:jc w:val="center"/>
              <w:rPr>
                <w:b/>
              </w:rPr>
            </w:pPr>
            <w:r>
              <w:rPr>
                <w:b/>
              </w:rPr>
              <w:t>FOR</w:t>
            </w:r>
          </w:p>
        </w:tc>
        <w:tc>
          <w:tcPr>
            <w:tcW w:w="107" w:type="dxa"/>
            <w:tcBorders/>
            <w:vAlign w:val="bottom"/>
          </w:tcPr>
          <w:p>
            <w:pPr>
              <w:pStyle w:val="TableContents"/>
              <w:bidi w:val="0"/>
              <w:spacing w:before="0" w:after="283"/>
              <w:jc w:val="left"/>
              <w:rPr/>
            </w:pPr>
            <w:r>
              <w:rPr/>
              <w:t> </w:t>
            </w:r>
          </w:p>
        </w:tc>
        <w:tc>
          <w:tcPr>
            <w:tcW w:w="1427" w:type="dxa"/>
            <w:tcBorders/>
          </w:tcPr>
          <w:p>
            <w:pPr>
              <w:pStyle w:val="TableContents"/>
              <w:bidi w:val="0"/>
              <w:spacing w:before="0" w:after="283"/>
              <w:jc w:val="center"/>
              <w:rPr>
                <w:b/>
              </w:rPr>
            </w:pPr>
            <w:r>
              <w:rPr>
                <w:b/>
              </w:rPr>
              <w:t>WITHHOLD</w:t>
            </w:r>
          </w:p>
        </w:tc>
        <w:tc>
          <w:tcPr>
            <w:tcW w:w="107" w:type="dxa"/>
            <w:tcBorders/>
            <w:vAlign w:val="bottom"/>
          </w:tcPr>
          <w:p>
            <w:pPr>
              <w:pStyle w:val="TableContents"/>
              <w:bidi w:val="0"/>
              <w:spacing w:before="0" w:after="283"/>
              <w:jc w:val="left"/>
              <w:rPr/>
            </w:pPr>
            <w:r>
              <w:rPr/>
              <w:t> </w:t>
            </w:r>
          </w:p>
        </w:tc>
        <w:tc>
          <w:tcPr>
            <w:tcW w:w="1181" w:type="dxa"/>
            <w:tcBorders>
              <w:right w:val="single" w:sz="2" w:space="0" w:color="000000"/>
            </w:tcBorders>
            <w:tcMar>
              <w:right w:w="28" w:type="dxa"/>
            </w:tcMar>
          </w:tcPr>
          <w:p>
            <w:pPr>
              <w:pStyle w:val="TableContents"/>
              <w:bidi w:val="0"/>
              <w:spacing w:before="0" w:after="283"/>
              <w:jc w:val="left"/>
              <w:rPr/>
            </w:pPr>
            <w:r>
              <w:rPr/>
              <w:t> </w:t>
            </w:r>
          </w:p>
        </w:tc>
        <w:tc>
          <w:tcPr>
            <w:tcW w:w="107" w:type="dxa"/>
            <w:vMerge w:val="continue"/>
            <w:tcBorders/>
            <w:vAlign w:val="bottom"/>
          </w:tcPr>
          <w:p>
            <w:pPr>
              <w:pStyle w:val="Normal"/>
              <w:bidi w:val="0"/>
              <w:jc w:val="left"/>
              <w:rPr/>
            </w:pPr>
            <w:r>
              <w:rPr/>
            </w:r>
          </w:p>
        </w:tc>
        <w:tc>
          <w:tcPr>
            <w:tcW w:w="915" w:type="dxa"/>
            <w:vMerge w:val="continue"/>
            <w:tcBorders/>
          </w:tcPr>
          <w:p>
            <w:pPr>
              <w:pStyle w:val="Normal"/>
              <w:bidi w:val="0"/>
              <w:jc w:val="left"/>
              <w:rPr/>
            </w:pPr>
            <w:r>
              <w:rPr/>
            </w:r>
          </w:p>
        </w:tc>
      </w:tr>
      <w:tr>
        <w:trPr/>
        <w:tc>
          <w:tcPr>
            <w:tcW w:w="5763" w:type="dxa"/>
            <w:tcBorders/>
          </w:tcPr>
          <w:p>
            <w:pPr>
              <w:pStyle w:val="TableContents"/>
              <w:bidi w:val="0"/>
              <w:spacing w:before="0" w:after="0"/>
              <w:jc w:val="left"/>
              <w:rPr>
                <w:rFonts w:ascii="ARIAL" w:hAnsi="ARIAL"/>
                <w:sz w:val="16"/>
              </w:rPr>
            </w:pPr>
            <w:r>
              <w:rPr>
                <w:rFonts w:ascii="ARIAL" w:hAnsi="ARIAL"/>
                <w:sz w:val="16"/>
              </w:rPr>
              <w:t>1.01 David Goeddel, Ph.D.</w:t>
            </w:r>
          </w:p>
        </w:tc>
        <w:tc>
          <w:tcPr>
            <w:tcW w:w="60" w:type="dxa"/>
            <w:tcBorders/>
            <w:vAlign w:val="bottom"/>
          </w:tcPr>
          <w:p>
            <w:pPr>
              <w:pStyle w:val="TableContents"/>
              <w:bidi w:val="0"/>
              <w:spacing w:before="0" w:after="283"/>
              <w:jc w:val="left"/>
              <w:rPr/>
            </w:pPr>
            <w:r>
              <w:rPr/>
              <w:t> </w:t>
            </w:r>
          </w:p>
        </w:tc>
        <w:tc>
          <w:tcPr>
            <w:tcW w:w="538" w:type="dxa"/>
            <w:tcBorders/>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427" w:type="dxa"/>
            <w:tcBorders/>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181" w:type="dxa"/>
            <w:tcBorders>
              <w:right w:val="single" w:sz="2" w:space="0" w:color="000000"/>
            </w:tcBorders>
            <w:tcMar>
              <w:right w:w="28" w:type="dxa"/>
            </w:tcMa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b/>
                <w:sz w:val="16"/>
              </w:rPr>
            </w:pPr>
            <w:r>
              <w:rPr>
                <w:b/>
                <w:sz w:val="16"/>
              </w:rPr>
              <w:t>FOR</w:t>
            </w:r>
          </w:p>
        </w:tc>
      </w:tr>
      <w:tr>
        <w:trPr>
          <w:trHeight w:val="75" w:hRule="atLeast"/>
        </w:trPr>
        <w:tc>
          <w:tcPr>
            <w:tcW w:w="5763"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1534" w:type="dxa"/>
            <w:gridSpan w:val="2"/>
            <w:tcBorders/>
            <w:vAlign w:val="center"/>
          </w:tcPr>
          <w:p>
            <w:pPr>
              <w:pStyle w:val="TableContents"/>
              <w:bidi w:val="0"/>
              <w:spacing w:before="0" w:after="283"/>
              <w:jc w:val="left"/>
              <w:rPr>
                <w:sz w:val="4"/>
                <w:szCs w:val="4"/>
              </w:rPr>
            </w:pPr>
            <w:r>
              <w:rPr>
                <w:sz w:val="4"/>
                <w:szCs w:val="4"/>
              </w:rPr>
            </w:r>
          </w:p>
        </w:tc>
        <w:tc>
          <w:tcPr>
            <w:tcW w:w="128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left"/>
              <w:rPr>
                <w:sz w:val="4"/>
                <w:szCs w:val="4"/>
              </w:rPr>
            </w:pPr>
            <w:r>
              <w:rPr>
                <w:sz w:val="4"/>
                <w:szCs w:val="4"/>
              </w:rPr>
            </w:r>
          </w:p>
        </w:tc>
      </w:tr>
      <w:tr>
        <w:trPr/>
        <w:tc>
          <w:tcPr>
            <w:tcW w:w="5763" w:type="dxa"/>
            <w:tcBorders/>
          </w:tcPr>
          <w:p>
            <w:pPr>
              <w:pStyle w:val="TableContents"/>
              <w:bidi w:val="0"/>
              <w:spacing w:before="0" w:after="0"/>
              <w:jc w:val="left"/>
              <w:rPr>
                <w:rFonts w:ascii="ARIAL" w:hAnsi="ARIAL"/>
                <w:sz w:val="16"/>
              </w:rPr>
            </w:pPr>
            <w:r>
              <w:rPr>
                <w:rFonts w:ascii="ARIAL" w:hAnsi="ARIAL"/>
                <w:sz w:val="16"/>
              </w:rPr>
              <w:t>1.02 Jeffrey T. Walsh, M.B.A.</w:t>
            </w:r>
          </w:p>
        </w:tc>
        <w:tc>
          <w:tcPr>
            <w:tcW w:w="60" w:type="dxa"/>
            <w:tcBorders/>
            <w:vAlign w:val="bottom"/>
          </w:tcPr>
          <w:p>
            <w:pPr>
              <w:pStyle w:val="TableContents"/>
              <w:bidi w:val="0"/>
              <w:spacing w:before="0" w:after="283"/>
              <w:jc w:val="left"/>
              <w:rPr/>
            </w:pPr>
            <w:r>
              <w:rPr/>
              <w:t> </w:t>
            </w:r>
          </w:p>
        </w:tc>
        <w:tc>
          <w:tcPr>
            <w:tcW w:w="538" w:type="dxa"/>
            <w:tcBorders/>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427" w:type="dxa"/>
            <w:tcBorders/>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181" w:type="dxa"/>
            <w:tcBorders>
              <w:right w:val="single" w:sz="2" w:space="0" w:color="000000"/>
            </w:tcBorders>
            <w:tcMar>
              <w:right w:w="28" w:type="dxa"/>
            </w:tcMa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b/>
                <w:sz w:val="16"/>
              </w:rPr>
            </w:pPr>
            <w:r>
              <w:rPr>
                <w:b/>
                <w:sz w:val="16"/>
              </w:rPr>
              <w:t>FOR</w:t>
            </w:r>
          </w:p>
        </w:tc>
      </w:tr>
      <w:tr>
        <w:trPr>
          <w:trHeight w:val="75" w:hRule="atLeast"/>
        </w:trPr>
        <w:tc>
          <w:tcPr>
            <w:tcW w:w="5763"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1534" w:type="dxa"/>
            <w:gridSpan w:val="2"/>
            <w:tcBorders/>
            <w:vAlign w:val="center"/>
          </w:tcPr>
          <w:p>
            <w:pPr>
              <w:pStyle w:val="TableContents"/>
              <w:bidi w:val="0"/>
              <w:spacing w:before="0" w:after="283"/>
              <w:jc w:val="left"/>
              <w:rPr>
                <w:sz w:val="4"/>
                <w:szCs w:val="4"/>
              </w:rPr>
            </w:pPr>
            <w:r>
              <w:rPr>
                <w:sz w:val="4"/>
                <w:szCs w:val="4"/>
              </w:rPr>
            </w:r>
          </w:p>
        </w:tc>
        <w:tc>
          <w:tcPr>
            <w:tcW w:w="128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left"/>
              <w:rPr>
                <w:sz w:val="4"/>
                <w:szCs w:val="4"/>
              </w:rPr>
            </w:pPr>
            <w:r>
              <w:rPr>
                <w:sz w:val="4"/>
                <w:szCs w:val="4"/>
              </w:rPr>
            </w:r>
          </w:p>
        </w:tc>
      </w:tr>
      <w:tr>
        <w:trPr/>
        <w:tc>
          <w:tcPr>
            <w:tcW w:w="5763" w:type="dxa"/>
            <w:tcBorders/>
          </w:tcPr>
          <w:p>
            <w:pPr>
              <w:pStyle w:val="TableContents"/>
              <w:bidi w:val="0"/>
              <w:spacing w:before="0" w:after="0"/>
              <w:jc w:val="left"/>
              <w:rPr>
                <w:rFonts w:ascii="ARIAL" w:hAnsi="ARIAL"/>
                <w:sz w:val="16"/>
              </w:rPr>
            </w:pPr>
            <w:r>
              <w:rPr>
                <w:rFonts w:ascii="ARIAL" w:hAnsi="ARIAL"/>
                <w:sz w:val="16"/>
              </w:rPr>
              <w:t>1.03 R. Sanders Williams, M.D.</w:t>
            </w:r>
          </w:p>
        </w:tc>
        <w:tc>
          <w:tcPr>
            <w:tcW w:w="60" w:type="dxa"/>
            <w:tcBorders/>
            <w:vAlign w:val="bottom"/>
          </w:tcPr>
          <w:p>
            <w:pPr>
              <w:pStyle w:val="TableContents"/>
              <w:bidi w:val="0"/>
              <w:spacing w:before="0" w:after="283"/>
              <w:jc w:val="left"/>
              <w:rPr/>
            </w:pPr>
            <w:r>
              <w:rPr/>
              <w:t> </w:t>
            </w:r>
          </w:p>
        </w:tc>
        <w:tc>
          <w:tcPr>
            <w:tcW w:w="538" w:type="dxa"/>
            <w:tcBorders/>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427" w:type="dxa"/>
            <w:tcBorders/>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181" w:type="dxa"/>
            <w:tcBorders>
              <w:right w:val="single" w:sz="2" w:space="0" w:color="000000"/>
            </w:tcBorders>
            <w:tcMar>
              <w:right w:w="28" w:type="dxa"/>
            </w:tcMa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b/>
                <w:sz w:val="16"/>
              </w:rPr>
            </w:pPr>
            <w:r>
              <w:rPr>
                <w:b/>
                <w:sz w:val="16"/>
              </w:rPr>
              <w:t>FOR</w:t>
            </w:r>
          </w:p>
        </w:tc>
      </w:tr>
      <w:tr>
        <w:trPr>
          <w:trHeight w:val="240" w:hRule="atLeast"/>
        </w:trPr>
        <w:tc>
          <w:tcPr>
            <w:tcW w:w="5763"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1534" w:type="dxa"/>
            <w:gridSpan w:val="2"/>
            <w:tcBorders/>
            <w:vAlign w:val="center"/>
          </w:tcPr>
          <w:p>
            <w:pPr>
              <w:pStyle w:val="TableContents"/>
              <w:bidi w:val="0"/>
              <w:spacing w:before="0" w:after="283"/>
              <w:jc w:val="left"/>
              <w:rPr>
                <w:sz w:val="4"/>
                <w:szCs w:val="4"/>
              </w:rPr>
            </w:pPr>
            <w:r>
              <w:rPr>
                <w:sz w:val="4"/>
                <w:szCs w:val="4"/>
              </w:rPr>
            </w:r>
          </w:p>
        </w:tc>
        <w:tc>
          <w:tcPr>
            <w:tcW w:w="128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left"/>
              <w:rPr>
                <w:sz w:val="4"/>
                <w:szCs w:val="4"/>
              </w:rPr>
            </w:pPr>
            <w:r>
              <w:rPr>
                <w:sz w:val="4"/>
                <w:szCs w:val="4"/>
              </w:rPr>
            </w:r>
          </w:p>
        </w:tc>
      </w:tr>
      <w:tr>
        <w:trPr/>
        <w:tc>
          <w:tcPr>
            <w:tcW w:w="57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8" w:type="dxa"/>
            <w:tcBorders/>
          </w:tcPr>
          <w:p>
            <w:pPr>
              <w:pStyle w:val="TableContents"/>
              <w:bidi w:val="0"/>
              <w:spacing w:before="0" w:after="283"/>
              <w:jc w:val="center"/>
              <w:rPr>
                <w:b/>
              </w:rPr>
            </w:pPr>
            <w:r>
              <w:rPr>
                <w:b/>
              </w:rPr>
              <w:t>FOR</w:t>
            </w:r>
          </w:p>
        </w:tc>
        <w:tc>
          <w:tcPr>
            <w:tcW w:w="107" w:type="dxa"/>
            <w:tcBorders/>
            <w:vAlign w:val="bottom"/>
          </w:tcPr>
          <w:p>
            <w:pPr>
              <w:pStyle w:val="TableContents"/>
              <w:bidi w:val="0"/>
              <w:spacing w:before="0" w:after="283"/>
              <w:jc w:val="left"/>
              <w:rPr/>
            </w:pPr>
            <w:r>
              <w:rPr/>
              <w:t> </w:t>
            </w:r>
          </w:p>
        </w:tc>
        <w:tc>
          <w:tcPr>
            <w:tcW w:w="1427" w:type="dxa"/>
            <w:tcBorders/>
          </w:tcPr>
          <w:p>
            <w:pPr>
              <w:pStyle w:val="TableContents"/>
              <w:bidi w:val="0"/>
              <w:spacing w:before="0" w:after="283"/>
              <w:jc w:val="center"/>
              <w:rPr>
                <w:b/>
              </w:rPr>
            </w:pPr>
            <w:r>
              <w:rPr>
                <w:b/>
              </w:rPr>
              <w:t>AGAINST</w:t>
            </w:r>
          </w:p>
        </w:tc>
        <w:tc>
          <w:tcPr>
            <w:tcW w:w="107" w:type="dxa"/>
            <w:tcBorders/>
            <w:vAlign w:val="bottom"/>
          </w:tcPr>
          <w:p>
            <w:pPr>
              <w:pStyle w:val="TableContents"/>
              <w:bidi w:val="0"/>
              <w:spacing w:before="0" w:after="283"/>
              <w:jc w:val="left"/>
              <w:rPr/>
            </w:pPr>
            <w:r>
              <w:rPr/>
              <w:t> </w:t>
            </w:r>
          </w:p>
        </w:tc>
        <w:tc>
          <w:tcPr>
            <w:tcW w:w="1181" w:type="dxa"/>
            <w:tcBorders>
              <w:right w:val="single" w:sz="2" w:space="0" w:color="000000"/>
            </w:tcBorders>
            <w:tcMar>
              <w:right w:w="28" w:type="dxa"/>
            </w:tcMar>
          </w:tcPr>
          <w:p>
            <w:pPr>
              <w:pStyle w:val="TableContents"/>
              <w:bidi w:val="0"/>
              <w:spacing w:before="0" w:after="283"/>
              <w:jc w:val="center"/>
              <w:rPr>
                <w:b/>
              </w:rPr>
            </w:pPr>
            <w:r>
              <w:rPr>
                <w:b/>
              </w:rPr>
              <w:t>ABSTAIN </w:t>
            </w:r>
          </w:p>
        </w:tc>
        <w:tc>
          <w:tcPr>
            <w:tcW w:w="107"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left"/>
              <w:rPr>
                <w:sz w:val="4"/>
                <w:szCs w:val="4"/>
              </w:rPr>
            </w:pPr>
            <w:r>
              <w:rPr>
                <w:sz w:val="4"/>
                <w:szCs w:val="4"/>
              </w:rPr>
            </w:r>
          </w:p>
        </w:tc>
      </w:tr>
      <w:tr>
        <w:trPr/>
        <w:tc>
          <w:tcPr>
            <w:tcW w:w="5763" w:type="dxa"/>
            <w:tcBorders/>
          </w:tcPr>
          <w:p>
            <w:pPr>
              <w:pStyle w:val="TableContents"/>
              <w:bidi w:val="0"/>
              <w:spacing w:before="0" w:after="0"/>
              <w:jc w:val="left"/>
              <w:rPr>
                <w:rFonts w:ascii="ARIAL" w:hAnsi="ARIAL"/>
                <w:sz w:val="16"/>
              </w:rPr>
            </w:pPr>
            <w:r>
              <w:rPr>
                <w:rFonts w:ascii="ARIAL" w:hAnsi="ARIAL"/>
                <w:sz w:val="16"/>
              </w:rPr>
              <w:t>2.  To ratify the appointment of Deloitte &amp; Touche LLP as our independent registered public accounting firm for our fiscal year ending December 31, 2025.</w:t>
            </w:r>
          </w:p>
        </w:tc>
        <w:tc>
          <w:tcPr>
            <w:tcW w:w="60" w:type="dxa"/>
            <w:tcBorders/>
            <w:vAlign w:val="bottom"/>
          </w:tcPr>
          <w:p>
            <w:pPr>
              <w:pStyle w:val="TableContents"/>
              <w:bidi w:val="0"/>
              <w:spacing w:before="0" w:after="283"/>
              <w:jc w:val="left"/>
              <w:rPr/>
            </w:pPr>
            <w:r>
              <w:rPr/>
              <w:t> </w:t>
            </w:r>
          </w:p>
        </w:tc>
        <w:tc>
          <w:tcPr>
            <w:tcW w:w="538" w:type="dxa"/>
            <w:tcBorders/>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427" w:type="dxa"/>
            <w:tcBorders/>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181" w:type="dxa"/>
            <w:tcBorders>
              <w:right w:val="single" w:sz="2" w:space="0" w:color="000000"/>
            </w:tcBorders>
            <w:tcMar>
              <w:right w:w="28" w:type="dxa"/>
            </w:tcMar>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b/>
                <w:sz w:val="16"/>
              </w:rPr>
            </w:pPr>
            <w:r>
              <w:rPr>
                <w:b/>
                <w:sz w:val="16"/>
              </w:rPr>
              <w:t>FOR</w:t>
            </w:r>
          </w:p>
        </w:tc>
      </w:tr>
      <w:tr>
        <w:trPr>
          <w:trHeight w:val="120" w:hRule="atLeast"/>
        </w:trPr>
        <w:tc>
          <w:tcPr>
            <w:tcW w:w="5763" w:type="dxa"/>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1534" w:type="dxa"/>
            <w:gridSpan w:val="2"/>
            <w:tcBorders/>
            <w:vAlign w:val="center"/>
          </w:tcPr>
          <w:p>
            <w:pPr>
              <w:pStyle w:val="TableContents"/>
              <w:bidi w:val="0"/>
              <w:spacing w:before="0" w:after="283"/>
              <w:jc w:val="left"/>
              <w:rPr>
                <w:sz w:val="4"/>
                <w:szCs w:val="4"/>
              </w:rPr>
            </w:pPr>
            <w:r>
              <w:rPr>
                <w:sz w:val="4"/>
                <w:szCs w:val="4"/>
              </w:rPr>
            </w:r>
          </w:p>
        </w:tc>
        <w:tc>
          <w:tcPr>
            <w:tcW w:w="128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left"/>
              <w:rPr>
                <w:sz w:val="4"/>
                <w:szCs w:val="4"/>
              </w:rPr>
            </w:pPr>
            <w:r>
              <w:rPr>
                <w:sz w:val="4"/>
                <w:szCs w:val="4"/>
              </w:rPr>
            </w:r>
          </w:p>
        </w:tc>
      </w:tr>
      <w:tr>
        <w:trPr/>
        <w:tc>
          <w:tcPr>
            <w:tcW w:w="5763" w:type="dxa"/>
            <w:tcBorders/>
          </w:tcPr>
          <w:p>
            <w:pPr>
              <w:pStyle w:val="TableContents"/>
              <w:bidi w:val="0"/>
              <w:spacing w:before="0" w:after="0"/>
              <w:jc w:val="left"/>
              <w:rPr>
                <w:rFonts w:ascii="ARIAL" w:hAnsi="ARIAL"/>
                <w:sz w:val="16"/>
              </w:rPr>
            </w:pPr>
            <w:r>
              <w:rPr>
                <w:rFonts w:ascii="ARIAL" w:hAnsi="ARIAL"/>
                <w:sz w:val="16"/>
              </w:rPr>
              <w:t>NOTE: In their discretion, the Named Proxies are authorized to vote upon such other business as may properly come before the Annual Meeting or any adjustment or postponements thereof.</w:t>
            </w:r>
          </w:p>
        </w:tc>
        <w:tc>
          <w:tcPr>
            <w:tcW w:w="60" w:type="dxa"/>
            <w:tcBorders/>
            <w:vAlign w:val="bottom"/>
          </w:tcPr>
          <w:p>
            <w:pPr>
              <w:pStyle w:val="TableContents"/>
              <w:bidi w:val="0"/>
              <w:spacing w:before="0" w:after="283"/>
              <w:jc w:val="left"/>
              <w:rPr/>
            </w:pPr>
            <w:r>
              <w:rPr/>
              <w:t> </w:t>
            </w:r>
          </w:p>
        </w:tc>
        <w:tc>
          <w:tcPr>
            <w:tcW w:w="53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2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181" w:type="dxa"/>
            <w:tcBorders>
              <w:right w:val="single" w:sz="2" w:space="0" w:color="000000"/>
            </w:tcBorders>
            <w:tcMar>
              <w:right w:w="28" w:type="dxa"/>
            </w:tcMa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2400" w:after="0"/>
        <w:jc w:val="left"/>
        <w:rPr>
          <w:rFonts w:ascii="ARIAL" w:hAnsi="ARIAL"/>
          <w:b/>
          <w:sz w:val="16"/>
        </w:rPr>
      </w:pPr>
      <w:r>
        <w:rPr>
          <w:rFonts w:ascii="ARIAL" w:hAnsi="ARIAL"/>
          <w:b/>
          <w:sz w:val="16"/>
        </w:rPr>
        <w:t xml:space="preserve">You must register to attend the meeting online and/or participate at www.proxydocs.com/TNYA </w:t>
      </w:r>
    </w:p>
    <w:p>
      <w:pPr>
        <w:pStyle w:val="TextBody"/>
        <w:bidi w:val="0"/>
        <w:spacing w:before="0" w:after="0"/>
        <w:jc w:val="left"/>
        <w:rPr>
          <w:rFonts w:ascii="ARIAL" w:hAnsi="ARIAL"/>
          <w:sz w:val="16"/>
        </w:rPr>
      </w:pPr>
      <w:r>
        <w:rPr>
          <w:rFonts w:ascii="ARIAL" w:hAnsi="ARIAL"/>
          <w:sz w:val="16"/>
        </w:rPr>
        <w:t xml:space="preserve">Authorized Signatures - Must be completed for your instructions to be executed. </w:t>
      </w:r>
    </w:p>
    <w:p>
      <w:pPr>
        <w:pStyle w:val="TextBody"/>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7"/>
        <w:gridCol w:w="107"/>
        <w:gridCol w:w="1337"/>
        <w:gridCol w:w="120"/>
        <w:gridCol w:w="23"/>
        <w:gridCol w:w="107"/>
        <w:gridCol w:w="3525"/>
        <w:gridCol w:w="107"/>
        <w:gridCol w:w="1342"/>
      </w:tblGrid>
      <w:tr>
        <w:trPr/>
        <w:tc>
          <w:tcPr>
            <w:tcW w:w="353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537" w:type="dxa"/>
            <w:tcBorders>
              <w:top w:val="single" w:sz="16" w:space="0" w:color="000000"/>
            </w:tcBorders>
            <w:tcMar>
              <w:top w:w="28" w:type="dxa"/>
            </w:tcMar>
          </w:tcPr>
          <w:p>
            <w:pPr>
              <w:pStyle w:val="TableContents"/>
              <w:bidi w:val="0"/>
              <w:spacing w:before="0" w:after="283"/>
              <w:jc w:val="left"/>
              <w:rPr/>
            </w:pPr>
            <w:r>
              <w:rPr/>
              <w:t>Signature (and Title if applicable)</w:t>
            </w:r>
          </w:p>
        </w:tc>
        <w:tc>
          <w:tcPr>
            <w:tcW w:w="107" w:type="dxa"/>
            <w:tcBorders>
              <w:top w:val="single" w:sz="16" w:space="0" w:color="000000"/>
            </w:tcBorders>
            <w:tcMar>
              <w:top w:w="28" w:type="dxa"/>
            </w:tcMar>
            <w:vAlign w:val="bottom"/>
          </w:tcPr>
          <w:p>
            <w:pPr>
              <w:pStyle w:val="TableContents"/>
              <w:bidi w:val="0"/>
              <w:spacing w:before="0" w:after="283"/>
              <w:jc w:val="left"/>
              <w:rPr/>
            </w:pPr>
            <w:r>
              <w:rPr/>
              <w:t> </w:t>
            </w:r>
          </w:p>
        </w:tc>
        <w:tc>
          <w:tcPr>
            <w:tcW w:w="1337" w:type="dxa"/>
            <w:tcBorders>
              <w:top w:val="single" w:sz="16" w:space="0" w:color="000000"/>
            </w:tcBorders>
            <w:tcMar>
              <w:top w:w="28" w:type="dxa"/>
            </w:tcMar>
          </w:tcPr>
          <w:p>
            <w:pPr>
              <w:pStyle w:val="TableContents"/>
              <w:bidi w:val="0"/>
              <w:spacing w:before="0" w:after="283"/>
              <w:jc w:val="left"/>
              <w:rPr/>
            </w:pPr>
            <w:r>
              <w:rPr/>
              <w:t>Date</w:t>
            </w:r>
          </w:p>
        </w:tc>
        <w:tc>
          <w:tcPr>
            <w:tcW w:w="1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7" w:type="dxa"/>
            <w:tcBorders>
              <w:top w:val="single" w:sz="16" w:space="0" w:color="000000"/>
            </w:tcBorders>
            <w:tcMar>
              <w:top w:w="28" w:type="dxa"/>
            </w:tcMar>
            <w:vAlign w:val="bottom"/>
          </w:tcPr>
          <w:p>
            <w:pPr>
              <w:pStyle w:val="TableContents"/>
              <w:bidi w:val="0"/>
              <w:spacing w:before="0" w:after="283"/>
              <w:jc w:val="left"/>
              <w:rPr/>
            </w:pPr>
            <w:r>
              <w:rPr/>
              <w:t> </w:t>
            </w:r>
          </w:p>
        </w:tc>
        <w:tc>
          <w:tcPr>
            <w:tcW w:w="3525" w:type="dxa"/>
            <w:tcBorders>
              <w:top w:val="single" w:sz="16" w:space="0" w:color="000000"/>
            </w:tcBorders>
            <w:tcMar>
              <w:top w:w="28" w:type="dxa"/>
            </w:tcMar>
          </w:tcPr>
          <w:p>
            <w:pPr>
              <w:pStyle w:val="TableContents"/>
              <w:bidi w:val="0"/>
              <w:spacing w:before="0" w:after="283"/>
              <w:jc w:val="left"/>
              <w:rPr/>
            </w:pPr>
            <w:r>
              <w:rPr/>
              <w:t>Signature (if held jointly)</w:t>
            </w:r>
          </w:p>
        </w:tc>
        <w:tc>
          <w:tcPr>
            <w:tcW w:w="107" w:type="dxa"/>
            <w:tcBorders>
              <w:top w:val="single" w:sz="16" w:space="0" w:color="000000"/>
            </w:tcBorders>
            <w:tcMar>
              <w:top w:w="28" w:type="dxa"/>
            </w:tcMar>
            <w:vAlign w:val="bottom"/>
          </w:tcPr>
          <w:p>
            <w:pPr>
              <w:pStyle w:val="TableContents"/>
              <w:bidi w:val="0"/>
              <w:spacing w:before="0" w:after="283"/>
              <w:jc w:val="left"/>
              <w:rPr/>
            </w:pPr>
            <w:r>
              <w:rPr/>
              <w:t> </w:t>
            </w:r>
          </w:p>
        </w:tc>
        <w:tc>
          <w:tcPr>
            <w:tcW w:w="1342" w:type="dxa"/>
            <w:tcBorders>
              <w:top w:val="single" w:sz="16" w:space="0" w:color="000000"/>
            </w:tcBorders>
            <w:tcMar>
              <w:top w:w="28" w:type="dxa"/>
            </w:tcMar>
          </w:tcPr>
          <w:p>
            <w:pPr>
              <w:pStyle w:val="TableContents"/>
              <w:bidi w:val="0"/>
              <w:spacing w:before="0" w:after="283"/>
              <w:jc w:val="left"/>
              <w:rPr/>
            </w:pPr>
            <w:r>
              <w:rPr/>
              <w:t>Date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3.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22446</Words>
  <Characters>119220</Characters>
  <CharactersWithSpaces>142617</CharactersWithSpaces>
  <Paragraphs>2853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