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308"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43"/>
          <w:szCs w:val="43"/>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720" w:firstLine="8"/>
        <w:spacing w:after="0" w:line="284" w:lineRule="auto"/>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13d-1(b) X Rule 13d-1(c)</w:t>
      </w: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3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87990A106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60"/>
              <w:spacing w:after="0"/>
              <w:rPr>
                <w:sz w:val="20"/>
                <w:szCs w:val="20"/>
                <w:color w:val="auto"/>
              </w:rPr>
            </w:pPr>
            <w:r>
              <w:rPr>
                <w:rFonts w:ascii="Arial" w:cs="Arial" w:eastAsia="Arial" w:hAnsi="Arial"/>
                <w:sz w:val="18"/>
                <w:szCs w:val="18"/>
                <w:color w:val="auto"/>
                <w:w w:val="83"/>
              </w:rPr>
              <w:t>Page 2 of 6 pages</w:t>
            </w:r>
          </w:p>
        </w:tc>
        <w:tc>
          <w:tcPr>
            <w:tcW w:w="0" w:type="dxa"/>
            <w:vAlign w:val="bottom"/>
          </w:tcPr>
          <w:p>
            <w:pPr>
              <w:spacing w:after="0"/>
              <w:rPr>
                <w:sz w:val="1"/>
                <w:szCs w:val="1"/>
                <w:color w:val="auto"/>
              </w:rPr>
            </w:pPr>
          </w:p>
        </w:tc>
      </w:tr>
      <w:tr>
        <w:trPr>
          <w:trHeight w:val="702"/>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8"/>
                <w:szCs w:val="18"/>
                <w:color w:val="auto"/>
              </w:rPr>
              <w:t>Thomas Layton Walton</w:t>
            </w: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984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98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6"/>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2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54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Tenaya Therapeutics, Inc.</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171 Oyster Point Blvd., Fifth Floor, South San Francisco, CA 94080</w:t>
      </w:r>
    </w:p>
    <w:p>
      <w:pPr>
        <w:spacing w:after="0" w:line="3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Thomas Layton Walton</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PO Box 1860, Bentonville, AR 72712</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7" w:lineRule="exact"/>
        <w:rPr>
          <w:sz w:val="20"/>
          <w:szCs w:val="20"/>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00" w:hanging="320"/>
        <w:spacing w:after="0" w:line="239"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184" w:lineRule="exact"/>
        <w:tabs>
          <w:tab w:leader="none" w:pos="13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Section 240.13d-1(b)(1)(ii)(K). If filing as a non-U.S. institution in accordance with Section 240.13d-1(b)</w:t>
      </w:r>
    </w:p>
    <w:p>
      <w:pPr>
        <w:spacing w:after="0" w:line="8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____________________________ .</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right="7880" w:hanging="320"/>
        <w:spacing w:after="0" w:line="52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30" w:lineRule="exact"/>
        <w:rPr>
          <w:rFonts w:ascii="Arial" w:cs="Arial" w:eastAsia="Arial" w:hAnsi="Arial"/>
          <w:sz w:val="18"/>
          <w:szCs w:val="18"/>
          <w:color w:val="auto"/>
        </w:rPr>
      </w:pPr>
    </w:p>
    <w:p>
      <w:pPr>
        <w:ind w:left="1300" w:right="8760" w:hanging="320"/>
        <w:spacing w:after="0" w:line="51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620" w:right="6580" w:hanging="316"/>
        <w:spacing w:after="0" w:line="516"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620" w:right="584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620" w:right="56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8"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shares are no longer beneficially owned by such reporting person and the reporting person specifically disclaims beneficial ownership of the securities except to the extent of his pecuniary interest therein. The shares are directly held by SymBiosis II, LLC, through which the reporting person holds his pecuniary interest in the shares, but does not possess voting or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55" w:gutter="0" w:footer="0" w:header="0"/>
        </w:sectPr>
      </w:pPr>
    </w:p>
    <w:bookmarkStart w:id="4" w:name="page5"/>
    <w:bookmarkEnd w:id="4"/>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6 of 6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Thomas Layton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Thomas Layton Walton</w:t>
      </w:r>
    </w:p>
    <w:p>
      <w:pPr>
        <w:spacing w:after="0" w:line="200" w:lineRule="exact"/>
        <w:rPr>
          <w:sz w:val="20"/>
          <w:szCs w:val="20"/>
          <w:color w:val="auto"/>
        </w:rPr>
      </w:pPr>
    </w:p>
    <w:p>
      <w:pPr>
        <w:spacing w:after="0" w:line="261"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Reporting Person specifically disclaims beneficial ownership of the securities referenced herein except to the extent of his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71361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2022-02-14T15:10:03Z</dcterms:created>
  <dcterms:modified xsi:type="dcterms:W3CDTF">2022-02-14T15:10:03Z</dcterms:modified>
</cp:coreProperties>
</file>