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74726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Tingley Whittemore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02/03/2026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859"/>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52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6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6"/>
                <w:szCs w:val="16"/>
                <w:color w:val="0000FF"/>
              </w:rPr>
              <w:t>02/03/2026</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w w:val="95"/>
              </w:rPr>
              <w:t>48,750</w:t>
            </w:r>
          </w:p>
        </w:tc>
        <w:tc>
          <w:tcPr>
            <w:tcW w:w="6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223,778</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0.915</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02/03/2026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318,500</w:t>
            </w:r>
          </w:p>
        </w:tc>
        <w:tc>
          <w:tcPr>
            <w:tcW w:w="220" w:type="dxa"/>
            <w:vAlign w:val="bottom"/>
          </w:tcPr>
          <w:p>
            <w:pPr>
              <w:spacing w:after="0"/>
              <w:rPr>
                <w:sz w:val="17"/>
                <w:szCs w:val="17"/>
                <w:color w:val="auto"/>
              </w:rPr>
            </w:pPr>
          </w:p>
        </w:tc>
        <w:tc>
          <w:tcPr>
            <w:tcW w:w="9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3"/>
                <w:szCs w:val="13"/>
                <w:color w:val="0000FF"/>
              </w:rPr>
              <w:t>03/03/2026</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02/02/2036</w:t>
            </w:r>
          </w:p>
        </w:tc>
        <w:tc>
          <w:tcPr>
            <w:tcW w:w="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318,500</w:t>
            </w:r>
          </w:p>
        </w:tc>
        <w:tc>
          <w:tcPr>
            <w:tcW w:w="2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318,500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2026, and 1/8th of the total number of shares subject to the restricted stock unit award every six months thereafter until fully vested.</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134,588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68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4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849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2026-02-05T17:05:22Z</dcterms:created>
  <dcterms:modified xsi:type="dcterms:W3CDTF">2026-02-05T17:05:22Z</dcterms:modified>
</cp:coreProperties>
</file>