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455357ddef14a.htm"/>
        <w:bookmarkStart w:id="1" w:name="ksd455357ddef14a"/>
        <w:bookmarkEnd w:id="0"/>
        <w:bookmarkEnd w:id="1"/>
        <w:r>
          <w:rPr>
            <w:rStyle w:val="InternetLink"/>
          </w:rPr>
          <w:t>Table of Contents</w:t>
        </w:r>
      </w:hyperlink>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SCHEDULE 14A </w:t>
      </w:r>
    </w:p>
    <w:p>
      <w:pPr>
        <w:pStyle w:val="TextBody"/>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Filed by the Registrant  ☒ </w:t>
      </w:r>
    </w:p>
    <w:p>
      <w:pPr>
        <w:pStyle w:val="TextBody"/>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spacing w:before="240" w:after="0"/>
        <w:jc w:val="center"/>
        <w:rPr>
          <w:rFonts w:ascii="Times New Roman" w:hAnsi="Times New Roman"/>
          <w:b/>
          <w:sz w:val="36"/>
        </w:rPr>
      </w:pPr>
      <w:r>
        <w:rPr>
          <w:rFonts w:ascii="Times New Roman" w:hAnsi="Times New Roman"/>
          <w:b/>
          <w:sz w:val="36"/>
        </w:rPr>
        <w:t xml:space="preserve">TENAYA THERAPEUTICS, INC. </w:t>
      </w:r>
    </w:p>
    <w:p>
      <w:pPr>
        <w:pStyle w:val="TextBody"/>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259715" cy="927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9715" cy="92710"/>
                    </a:xfrm>
                    <a:prstGeom prst="rect">
                      <a:avLst/>
                    </a:prstGeom>
                  </pic:spPr>
                </pic:pic>
              </a:graphicData>
            </a:graphic>
          </wp:inline>
        </w:drawing>
      </w:r>
      <w:r>
        <w:rPr/>
        <w:t xml:space="preserve"> </w:t>
      </w:r>
    </w:p>
    <w:p>
      <w:pPr>
        <w:pStyle w:val="TextBody"/>
        <w:spacing w:before="240" w:after="0"/>
        <w:jc w:val="center"/>
        <w:rPr>
          <w:rFonts w:ascii="Times New Roman" w:hAnsi="Times New Roman"/>
          <w:sz w:val="20"/>
        </w:rPr>
      </w:pPr>
      <w:r>
        <w:rPr>
          <w:rFonts w:ascii="Times New Roman" w:hAnsi="Times New Roman"/>
          <w:sz w:val="20"/>
        </w:rPr>
        <w:t xml:space="preserve">171 Oyster Point Boulevard, Suite 500 </w:t>
      </w:r>
    </w:p>
    <w:p>
      <w:pPr>
        <w:pStyle w:val="TextBody"/>
        <w:spacing w:before="0" w:after="0"/>
        <w:jc w:val="center"/>
        <w:rPr>
          <w:rFonts w:ascii="Times New Roman" w:hAnsi="Times New Roman"/>
          <w:sz w:val="20"/>
        </w:rPr>
      </w:pPr>
      <w:r>
        <w:rPr>
          <w:rFonts w:ascii="Times New Roman" w:hAnsi="Times New Roman"/>
          <w:sz w:val="20"/>
        </w:rPr>
        <w:t xml:space="preserve">South San Francisco, CA 94080 </w:t>
      </w:r>
    </w:p>
    <w:p>
      <w:pPr>
        <w:pStyle w:val="TextBody"/>
        <w:spacing w:before="0" w:after="0"/>
        <w:jc w:val="center"/>
        <w:rPr>
          <w:rFonts w:ascii="Times New Roman" w:hAnsi="Times New Roman"/>
          <w:sz w:val="20"/>
        </w:rPr>
      </w:pPr>
      <w:r>
        <w:rPr>
          <w:rFonts w:ascii="Times New Roman" w:hAnsi="Times New Roman"/>
          <w:sz w:val="20"/>
        </w:rPr>
        <w:t xml:space="preserve">(650) 825-6900 </w:t>
      </w:r>
    </w:p>
    <w:p>
      <w:pPr>
        <w:pStyle w:val="TextBody"/>
        <w:spacing w:before="240" w:after="0"/>
        <w:jc w:val="left"/>
        <w:rPr>
          <w:rFonts w:ascii="Times New Roman" w:hAnsi="Times New Roman"/>
          <w:sz w:val="20"/>
        </w:rPr>
      </w:pPr>
      <w:r>
        <w:rPr>
          <w:rFonts w:ascii="Times New Roman" w:hAnsi="Times New Roman"/>
          <w:sz w:val="20"/>
        </w:rPr>
        <w:t xml:space="preserve">April 27, 2023 </w:t>
      </w:r>
    </w:p>
    <w:p>
      <w:pPr>
        <w:pStyle w:val="TextBody"/>
        <w:spacing w:before="240" w:after="0"/>
        <w:jc w:val="left"/>
        <w:rPr>
          <w:rFonts w:ascii="Times New Roman" w:hAnsi="Times New Roman"/>
          <w:sz w:val="20"/>
        </w:rPr>
      </w:pPr>
      <w:r>
        <w:rPr>
          <w:rFonts w:ascii="Times New Roman" w:hAnsi="Times New Roman"/>
          <w:sz w:val="20"/>
        </w:rPr>
        <w:t xml:space="preserve">Dear Fellow Stockholders: </w:t>
      </w:r>
    </w:p>
    <w:p>
      <w:pPr>
        <w:pStyle w:val="TextBody"/>
        <w:spacing w:before="120" w:after="0"/>
        <w:jc w:val="left"/>
        <w:rPr>
          <w:rFonts w:ascii="Times New Roman" w:hAnsi="Times New Roman"/>
          <w:sz w:val="20"/>
        </w:rPr>
      </w:pPr>
      <w:r>
        <w:rPr>
          <w:rFonts w:ascii="Times New Roman" w:hAnsi="Times New Roman"/>
          <w:sz w:val="20"/>
        </w:rPr>
        <w:t xml:space="preserve">We are pleased to invite you to attend the annual meeting of stockholders of Tenaya Therapeutics, Inc. (Tenaya or the Company), to be held on Thursday, June 8, 2023 at 8:00 a.m. Pacific Time. The annual meeting will be conducted virtually this year via a live audio webcast and will afford all of our stockholders the same rights and opportunities to participate as would be available at an in-person meeting. You will be able to attend the annual meeting virtually by visiting www.proxydocs.com/TNYA, where you will be able to listen to the meeting live, submit questions and vote online by entering the control number located on your proxy card. </w:t>
      </w:r>
    </w:p>
    <w:p>
      <w:pPr>
        <w:pStyle w:val="TextBody"/>
        <w:spacing w:before="240" w:after="0"/>
        <w:jc w:val="left"/>
        <w:rPr>
          <w:rFonts w:ascii="Times New Roman" w:hAnsi="Times New Roman"/>
          <w:sz w:val="20"/>
        </w:rPr>
      </w:pPr>
      <w:r>
        <w:rPr>
          <w:rFonts w:ascii="Times New Roman" w:hAnsi="Times New Roman"/>
          <w:sz w:val="20"/>
        </w:rPr>
        <w:t xml:space="preserve">The attached formal meeting notice and proxy statement contain details of the business to be conducted at the annual meeting. </w:t>
      </w:r>
    </w:p>
    <w:p>
      <w:pPr>
        <w:pStyle w:val="TextBody"/>
        <w:spacing w:before="240" w:after="0"/>
        <w:jc w:val="left"/>
        <w:rPr>
          <w:rFonts w:ascii="Times New Roman" w:hAnsi="Times New Roman"/>
          <w:sz w:val="20"/>
        </w:rPr>
      </w:pPr>
      <w:r>
        <w:rPr>
          <w:rFonts w:ascii="Times New Roman" w:hAnsi="Times New Roman"/>
          <w:sz w:val="20"/>
        </w:rPr>
        <w:t xml:space="preserve">Your vote is important. Whether or not you attend the annual meeting, it is important that your shares be represented and voted at the annual meeting. Therefore, we urge you to vote and submit your proxy promptly via the Internet, telephone or mail. </w:t>
      </w:r>
    </w:p>
    <w:p>
      <w:pPr>
        <w:pStyle w:val="TextBody"/>
        <w:spacing w:before="240" w:after="0"/>
        <w:jc w:val="left"/>
        <w:rPr>
          <w:rFonts w:ascii="Times New Roman" w:hAnsi="Times New Roman"/>
          <w:sz w:val="20"/>
        </w:rPr>
      </w:pPr>
      <w:r>
        <w:rPr>
          <w:rFonts w:ascii="Times New Roman" w:hAnsi="Times New Roman"/>
          <w:sz w:val="20"/>
        </w:rPr>
        <w:t xml:space="preserve">On behalf of our Board of Directors, we would like to express our appreciation for your continued support of and interest in Tenaya. </w:t>
      </w:r>
    </w:p>
    <w:p>
      <w:pPr>
        <w:pStyle w:val="TextBody"/>
        <w:spacing w:before="240" w:after="0"/>
        <w:jc w:val="left"/>
        <w:rPr>
          <w:rFonts w:ascii="Times New Roman" w:hAnsi="Times New Roman"/>
          <w:sz w:val="20"/>
        </w:rPr>
      </w:pPr>
      <w:r>
        <w:rPr>
          <w:rFonts w:ascii="Times New Roman" w:hAnsi="Times New Roman"/>
          <w:sz w:val="20"/>
        </w:rPr>
        <w:t xml:space="preserve">Sincerely, </w:t>
      </w:r>
    </w:p>
    <w:p>
      <w:pPr>
        <w:pStyle w:val="TextBody"/>
        <w:spacing w:before="0" w:after="0"/>
        <w:jc w:val="left"/>
        <w:rPr/>
      </w:pPr>
      <w:r>
        <w:rPr/>
        <w:t> </w:t>
      </w:r>
    </w:p>
    <w:p>
      <w:pPr>
        <w:pStyle w:val="TextBody"/>
        <w:spacing w:before="0" w:after="0"/>
        <w:jc w:val="left"/>
        <w:rPr/>
      </w:pPr>
      <w:r>
        <w:rPr/>
        <w:drawing>
          <wp:inline distT="0" distB="0" distL="0" distR="0">
            <wp:extent cx="111125" cy="533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125" cy="53340"/>
                    </a:xfrm>
                    <a:prstGeom prst="rect">
                      <a:avLst/>
                    </a:prstGeom>
                  </pic:spPr>
                </pic:pic>
              </a:graphicData>
            </a:graphic>
          </wp:inline>
        </w:drawing>
      </w:r>
      <w:r>
        <w:rPr/>
        <w:t xml:space="preserve"> </w:t>
      </w:r>
    </w:p>
    <w:p>
      <w:pPr>
        <w:pStyle w:val="TextBody"/>
        <w:spacing w:before="240" w:after="0"/>
        <w:jc w:val="left"/>
        <w:rPr>
          <w:rFonts w:ascii="Times New Roman" w:hAnsi="Times New Roman"/>
          <w:sz w:val="20"/>
        </w:rPr>
      </w:pPr>
      <w:r>
        <w:rPr>
          <w:rFonts w:ascii="Times New Roman" w:hAnsi="Times New Roman"/>
          <w:sz w:val="20"/>
        </w:rPr>
        <w:t xml:space="preserve">Faraz Ali, M.B.A. </w:t>
      </w:r>
    </w:p>
    <w:p>
      <w:pPr>
        <w:pStyle w:val="TextBody"/>
        <w:spacing w:before="0" w:after="0"/>
        <w:jc w:val="left"/>
        <w:rPr>
          <w:rFonts w:ascii="Times New Roman" w:hAnsi="Times New Roman"/>
          <w:sz w:val="20"/>
        </w:rPr>
      </w:pPr>
      <w:r>
        <w:rPr>
          <w:rFonts w:ascii="Times New Roman" w:hAnsi="Times New Roman"/>
          <w:sz w:val="20"/>
        </w:rPr>
        <w:t xml:space="preserve">Chief Executive Officer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TENAYA THERAPEUTICS, INC. </w:t>
      </w:r>
    </w:p>
    <w:p>
      <w:pPr>
        <w:pStyle w:val="TextBody"/>
        <w:spacing w:before="0" w:after="0"/>
        <w:jc w:val="center"/>
        <w:rPr>
          <w:rFonts w:ascii="Times New Roman" w:hAnsi="Times New Roman"/>
          <w:b/>
          <w:sz w:val="20"/>
        </w:rPr>
      </w:pPr>
      <w:r>
        <w:rPr>
          <w:rFonts w:ascii="Times New Roman" w:hAnsi="Times New Roman"/>
          <w:b/>
          <w:sz w:val="20"/>
        </w:rPr>
        <w:t xml:space="preserve">171 Oyster Point Boulevard, Suite 500 </w:t>
      </w:r>
    </w:p>
    <w:p>
      <w:pPr>
        <w:pStyle w:val="TextBody"/>
        <w:spacing w:before="0" w:after="0"/>
        <w:jc w:val="center"/>
        <w:rPr>
          <w:rFonts w:ascii="Times New Roman" w:hAnsi="Times New Roman"/>
          <w:b/>
          <w:sz w:val="20"/>
        </w:rPr>
      </w:pPr>
      <w:r>
        <w:rPr>
          <w:rFonts w:ascii="Times New Roman" w:hAnsi="Times New Roman"/>
          <w:b/>
          <w:sz w:val="20"/>
        </w:rPr>
        <w:t xml:space="preserve">South San Francisco, CA 94080 </w:t>
      </w:r>
    </w:p>
    <w:p>
      <w:pPr>
        <w:pStyle w:val="TextBody"/>
        <w:spacing w:before="24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162"/>
        <w:gridCol w:w="204"/>
        <w:gridCol w:w="6839"/>
      </w:tblGrid>
      <w:tr>
        <w:trPr/>
        <w:tc>
          <w:tcPr>
            <w:tcW w:w="316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6839" w:type="dxa"/>
            <w:tcBorders/>
            <w:shd w:fill="auto" w:val="clear"/>
            <w:vAlign w:val="center"/>
          </w:tcPr>
          <w:p>
            <w:pPr>
              <w:pStyle w:val="TableContents"/>
              <w:spacing w:before="0" w:after="283"/>
              <w:rPr>
                <w:sz w:val="4"/>
                <w:szCs w:val="4"/>
              </w:rPr>
            </w:pPr>
            <w:r>
              <w:rPr>
                <w:sz w:val="4"/>
                <w:szCs w:val="4"/>
              </w:rPr>
            </w:r>
          </w:p>
        </w:tc>
      </w:tr>
      <w:tr>
        <w:trPr/>
        <w:tc>
          <w:tcPr>
            <w:tcW w:w="3162" w:type="dxa"/>
            <w:tcBorders/>
            <w:shd w:fill="auto" w:val="clear"/>
          </w:tcPr>
          <w:p>
            <w:pPr>
              <w:pStyle w:val="TableContents"/>
              <w:spacing w:before="0" w:after="283"/>
              <w:rPr>
                <w:b/>
              </w:rPr>
            </w:pPr>
            <w:r>
              <w:rPr>
                <w:b/>
              </w:rPr>
              <w:t>Time and Date</w:t>
            </w:r>
          </w:p>
        </w:tc>
        <w:tc>
          <w:tcPr>
            <w:tcW w:w="204" w:type="dxa"/>
            <w:tcBorders/>
            <w:shd w:fill="auto" w:val="clear"/>
            <w:vAlign w:val="bottom"/>
          </w:tcPr>
          <w:p>
            <w:pPr>
              <w:pStyle w:val="TableContents"/>
              <w:spacing w:before="0" w:after="283"/>
              <w:rPr/>
            </w:pPr>
            <w:r>
              <w:rPr/>
              <w:t>  </w:t>
            </w:r>
          </w:p>
        </w:tc>
        <w:tc>
          <w:tcPr>
            <w:tcW w:w="6839" w:type="dxa"/>
            <w:tcBorders/>
            <w:shd w:fill="auto" w:val="clear"/>
          </w:tcPr>
          <w:p>
            <w:pPr>
              <w:pStyle w:val="TableContents"/>
              <w:spacing w:before="0" w:after="283"/>
              <w:rPr/>
            </w:pPr>
            <w:r>
              <w:rPr/>
              <w:t>8:00 a.m. Pacific Time on Thursday, June 8, 2023</w:t>
            </w:r>
          </w:p>
        </w:tc>
      </w:tr>
      <w:tr>
        <w:trPr>
          <w:trHeight w:val="120" w:hRule="atLeast"/>
        </w:trPr>
        <w:tc>
          <w:tcPr>
            <w:tcW w:w="3162" w:type="dxa"/>
            <w:tcBorders/>
            <w:shd w:fill="auto" w:val="clear"/>
            <w:vAlign w:val="center"/>
          </w:tcPr>
          <w:p>
            <w:pPr>
              <w:pStyle w:val="TableContents"/>
              <w:spacing w:before="0" w:after="283"/>
              <w:rPr>
                <w:sz w:val="4"/>
                <w:szCs w:val="4"/>
              </w:rPr>
            </w:pPr>
            <w:r>
              <w:rPr>
                <w:sz w:val="4"/>
                <w:szCs w:val="4"/>
              </w:rPr>
            </w:r>
          </w:p>
        </w:tc>
        <w:tc>
          <w:tcPr>
            <w:tcW w:w="7043" w:type="dxa"/>
            <w:gridSpan w:val="2"/>
            <w:tcBorders/>
            <w:shd w:fill="auto" w:val="clear"/>
            <w:vAlign w:val="center"/>
          </w:tcPr>
          <w:p>
            <w:pPr>
              <w:pStyle w:val="TableContents"/>
              <w:spacing w:before="0" w:after="283"/>
              <w:rPr>
                <w:sz w:val="4"/>
                <w:szCs w:val="4"/>
              </w:rPr>
            </w:pPr>
            <w:r>
              <w:rPr>
                <w:sz w:val="4"/>
                <w:szCs w:val="4"/>
              </w:rPr>
            </w:r>
          </w:p>
        </w:tc>
      </w:tr>
      <w:tr>
        <w:trPr/>
        <w:tc>
          <w:tcPr>
            <w:tcW w:w="3162" w:type="dxa"/>
            <w:tcBorders/>
            <w:shd w:fill="auto" w:val="clear"/>
          </w:tcPr>
          <w:p>
            <w:pPr>
              <w:pStyle w:val="TableContents"/>
              <w:spacing w:before="0" w:after="283"/>
              <w:rPr>
                <w:b/>
              </w:rPr>
            </w:pPr>
            <w:r>
              <w:rPr>
                <w:b/>
              </w:rPr>
              <w:t>Place</w:t>
            </w:r>
          </w:p>
        </w:tc>
        <w:tc>
          <w:tcPr>
            <w:tcW w:w="204" w:type="dxa"/>
            <w:tcBorders/>
            <w:shd w:fill="auto" w:val="clear"/>
            <w:vAlign w:val="bottom"/>
          </w:tcPr>
          <w:p>
            <w:pPr>
              <w:pStyle w:val="TableContents"/>
              <w:spacing w:before="0" w:after="283"/>
              <w:rPr/>
            </w:pPr>
            <w:r>
              <w:rPr/>
              <w:t>  </w:t>
            </w:r>
          </w:p>
        </w:tc>
        <w:tc>
          <w:tcPr>
            <w:tcW w:w="6839" w:type="dxa"/>
            <w:tcBorders/>
            <w:shd w:fill="auto" w:val="clear"/>
          </w:tcPr>
          <w:p>
            <w:pPr>
              <w:pStyle w:val="TableContents"/>
              <w:spacing w:before="0" w:after="283"/>
              <w:rPr/>
            </w:pPr>
            <w:r>
              <w:rPr/>
              <w:t>The annual meeting will be conducted virtually via a live audio webcast. You will be able to attend the annual meeting virtually by visiting www.proxydocs.com/TNYA, where you will be able to listen to the meeting live, submit questions and vote online during the meeting by visiting www.proxydocs.com/TNYA.</w:t>
            </w:r>
          </w:p>
        </w:tc>
      </w:tr>
      <w:tr>
        <w:trPr>
          <w:trHeight w:val="120" w:hRule="atLeast"/>
        </w:trPr>
        <w:tc>
          <w:tcPr>
            <w:tcW w:w="3162" w:type="dxa"/>
            <w:tcBorders/>
            <w:shd w:fill="auto" w:val="clear"/>
            <w:vAlign w:val="center"/>
          </w:tcPr>
          <w:p>
            <w:pPr>
              <w:pStyle w:val="TableContents"/>
              <w:spacing w:before="0" w:after="283"/>
              <w:rPr>
                <w:sz w:val="4"/>
                <w:szCs w:val="4"/>
              </w:rPr>
            </w:pPr>
            <w:r>
              <w:rPr>
                <w:sz w:val="4"/>
                <w:szCs w:val="4"/>
              </w:rPr>
            </w:r>
          </w:p>
        </w:tc>
        <w:tc>
          <w:tcPr>
            <w:tcW w:w="7043" w:type="dxa"/>
            <w:gridSpan w:val="2"/>
            <w:tcBorders/>
            <w:shd w:fill="auto" w:val="clear"/>
            <w:vAlign w:val="center"/>
          </w:tcPr>
          <w:p>
            <w:pPr>
              <w:pStyle w:val="TableContents"/>
              <w:spacing w:before="0" w:after="283"/>
              <w:rPr>
                <w:sz w:val="4"/>
                <w:szCs w:val="4"/>
              </w:rPr>
            </w:pPr>
            <w:r>
              <w:rPr>
                <w:sz w:val="4"/>
                <w:szCs w:val="4"/>
              </w:rPr>
            </w:r>
          </w:p>
        </w:tc>
      </w:tr>
      <w:tr>
        <w:trPr/>
        <w:tc>
          <w:tcPr>
            <w:tcW w:w="3162" w:type="dxa"/>
            <w:tcBorders/>
            <w:shd w:fill="auto" w:val="clear"/>
          </w:tcPr>
          <w:p>
            <w:pPr>
              <w:pStyle w:val="TableContents"/>
              <w:spacing w:before="0" w:after="283"/>
              <w:rPr>
                <w:b/>
              </w:rPr>
            </w:pPr>
            <w:r>
              <w:rPr>
                <w:b/>
              </w:rPr>
              <w:t>Items of Business</w:t>
            </w:r>
          </w:p>
        </w:tc>
        <w:tc>
          <w:tcPr>
            <w:tcW w:w="204" w:type="dxa"/>
            <w:tcBorders/>
            <w:shd w:fill="auto" w:val="clear"/>
            <w:vAlign w:val="bottom"/>
          </w:tcPr>
          <w:p>
            <w:pPr>
              <w:pStyle w:val="TableContents"/>
              <w:spacing w:before="0" w:after="283"/>
              <w:rPr/>
            </w:pPr>
            <w:r>
              <w:rPr/>
              <w:t>  </w:t>
            </w:r>
          </w:p>
        </w:tc>
        <w:tc>
          <w:tcPr>
            <w:tcW w:w="6839" w:type="dxa"/>
            <w:tcBorders/>
            <w:shd w:fill="auto" w:val="clear"/>
          </w:tcPr>
          <w:p>
            <w:pPr>
              <w:pStyle w:val="TableContents"/>
              <w:spacing w:before="0" w:after="0"/>
              <w:rPr>
                <w:rFonts w:ascii="Times New Roman" w:hAnsi="Times New Roman"/>
                <w:sz w:val="20"/>
              </w:rPr>
            </w:pPr>
            <w:r>
              <w:rPr>
                <w:rFonts w:ascii="Times New Roman" w:hAnsi="Times New Roman"/>
                <w:sz w:val="20"/>
              </w:rPr>
              <w:t>  To elect three Class II directors to hold office until our 2026 annual meeting of stockholders and until their respective successors are elected and qualified.</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  To ratify the appointment of Deloitte &amp; Touche LLP as our independent registered public accounting firm for our fiscal year ending December 31, 2023.</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  To approve an amendment to our Amended and Restated Certificate of Incorporation to reflect recently adopted Delaware law provisions regarding officer exculpation.</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  To transact other business that may properly come before the annual meeting or any adjournments or postponements thereof.</w:t>
            </w:r>
          </w:p>
        </w:tc>
      </w:tr>
      <w:tr>
        <w:trPr>
          <w:trHeight w:val="120" w:hRule="atLeast"/>
        </w:trPr>
        <w:tc>
          <w:tcPr>
            <w:tcW w:w="3162" w:type="dxa"/>
            <w:tcBorders/>
            <w:shd w:fill="auto" w:val="clear"/>
            <w:vAlign w:val="center"/>
          </w:tcPr>
          <w:p>
            <w:pPr>
              <w:pStyle w:val="TableContents"/>
              <w:spacing w:before="0" w:after="283"/>
              <w:rPr>
                <w:sz w:val="4"/>
                <w:szCs w:val="4"/>
              </w:rPr>
            </w:pPr>
            <w:r>
              <w:rPr>
                <w:sz w:val="4"/>
                <w:szCs w:val="4"/>
              </w:rPr>
            </w:r>
          </w:p>
        </w:tc>
        <w:tc>
          <w:tcPr>
            <w:tcW w:w="7043" w:type="dxa"/>
            <w:gridSpan w:val="2"/>
            <w:tcBorders/>
            <w:shd w:fill="auto" w:val="clear"/>
            <w:vAlign w:val="center"/>
          </w:tcPr>
          <w:p>
            <w:pPr>
              <w:pStyle w:val="TableContents"/>
              <w:spacing w:before="0" w:after="283"/>
              <w:rPr>
                <w:sz w:val="4"/>
                <w:szCs w:val="4"/>
              </w:rPr>
            </w:pPr>
            <w:r>
              <w:rPr>
                <w:sz w:val="4"/>
                <w:szCs w:val="4"/>
              </w:rPr>
            </w:r>
          </w:p>
        </w:tc>
      </w:tr>
      <w:tr>
        <w:trPr/>
        <w:tc>
          <w:tcPr>
            <w:tcW w:w="3162" w:type="dxa"/>
            <w:tcBorders/>
            <w:shd w:fill="auto" w:val="clear"/>
          </w:tcPr>
          <w:p>
            <w:pPr>
              <w:pStyle w:val="TableContents"/>
              <w:spacing w:before="0" w:after="283"/>
              <w:rPr>
                <w:b/>
              </w:rPr>
            </w:pPr>
            <w:r>
              <w:rPr>
                <w:b/>
              </w:rPr>
              <w:t>Record Date</w:t>
            </w:r>
          </w:p>
        </w:tc>
        <w:tc>
          <w:tcPr>
            <w:tcW w:w="204" w:type="dxa"/>
            <w:tcBorders/>
            <w:shd w:fill="auto" w:val="clear"/>
            <w:vAlign w:val="bottom"/>
          </w:tcPr>
          <w:p>
            <w:pPr>
              <w:pStyle w:val="TableContents"/>
              <w:spacing w:before="0" w:after="283"/>
              <w:rPr/>
            </w:pPr>
            <w:r>
              <w:rPr/>
              <w:t>  </w:t>
            </w:r>
          </w:p>
        </w:tc>
        <w:tc>
          <w:tcPr>
            <w:tcW w:w="6839" w:type="dxa"/>
            <w:tcBorders/>
            <w:shd w:fill="auto" w:val="clear"/>
          </w:tcPr>
          <w:p>
            <w:pPr>
              <w:pStyle w:val="TableContents"/>
              <w:spacing w:before="0" w:after="0"/>
              <w:rPr>
                <w:rFonts w:ascii="Times New Roman" w:hAnsi="Times New Roman"/>
                <w:sz w:val="20"/>
              </w:rPr>
            </w:pPr>
            <w:r>
              <w:rPr>
                <w:rFonts w:ascii="Times New Roman" w:hAnsi="Times New Roman"/>
                <w:sz w:val="20"/>
              </w:rPr>
              <w:t>Monday, April 10, 2023</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Only stockholders of record as of Monday, April 10, 2023, at the close of business are entitled to notice of and to vote at the annual meeting.</w:t>
            </w:r>
          </w:p>
        </w:tc>
      </w:tr>
      <w:tr>
        <w:trPr>
          <w:trHeight w:val="120" w:hRule="atLeast"/>
        </w:trPr>
        <w:tc>
          <w:tcPr>
            <w:tcW w:w="3162" w:type="dxa"/>
            <w:tcBorders/>
            <w:shd w:fill="auto" w:val="clear"/>
            <w:vAlign w:val="center"/>
          </w:tcPr>
          <w:p>
            <w:pPr>
              <w:pStyle w:val="TableContents"/>
              <w:spacing w:before="0" w:after="283"/>
              <w:rPr>
                <w:sz w:val="4"/>
                <w:szCs w:val="4"/>
              </w:rPr>
            </w:pPr>
            <w:r>
              <w:rPr>
                <w:sz w:val="4"/>
                <w:szCs w:val="4"/>
              </w:rPr>
            </w:r>
          </w:p>
        </w:tc>
        <w:tc>
          <w:tcPr>
            <w:tcW w:w="7043" w:type="dxa"/>
            <w:gridSpan w:val="2"/>
            <w:tcBorders/>
            <w:shd w:fill="auto" w:val="clear"/>
            <w:vAlign w:val="center"/>
          </w:tcPr>
          <w:p>
            <w:pPr>
              <w:pStyle w:val="TableContents"/>
              <w:spacing w:before="0" w:after="283"/>
              <w:rPr>
                <w:sz w:val="4"/>
                <w:szCs w:val="4"/>
              </w:rPr>
            </w:pPr>
            <w:r>
              <w:rPr>
                <w:sz w:val="4"/>
                <w:szCs w:val="4"/>
              </w:rPr>
            </w:r>
          </w:p>
        </w:tc>
      </w:tr>
      <w:tr>
        <w:trPr/>
        <w:tc>
          <w:tcPr>
            <w:tcW w:w="3162" w:type="dxa"/>
            <w:tcBorders/>
            <w:shd w:fill="auto" w:val="clear"/>
          </w:tcPr>
          <w:p>
            <w:pPr>
              <w:pStyle w:val="TableContents"/>
              <w:spacing w:before="0" w:after="283"/>
              <w:rPr>
                <w:b/>
              </w:rPr>
            </w:pPr>
            <w:r>
              <w:rPr>
                <w:b/>
              </w:rPr>
              <w:t>Availability of Proxy Materials</w:t>
            </w:r>
          </w:p>
        </w:tc>
        <w:tc>
          <w:tcPr>
            <w:tcW w:w="204" w:type="dxa"/>
            <w:tcBorders/>
            <w:shd w:fill="auto" w:val="clear"/>
            <w:vAlign w:val="bottom"/>
          </w:tcPr>
          <w:p>
            <w:pPr>
              <w:pStyle w:val="TableContents"/>
              <w:spacing w:before="0" w:after="283"/>
              <w:rPr/>
            </w:pPr>
            <w:r>
              <w:rPr/>
              <w:t>  </w:t>
            </w:r>
          </w:p>
        </w:tc>
        <w:tc>
          <w:tcPr>
            <w:tcW w:w="6839" w:type="dxa"/>
            <w:tcBorders/>
            <w:shd w:fill="auto" w:val="clear"/>
          </w:tcPr>
          <w:p>
            <w:pPr>
              <w:pStyle w:val="TableContents"/>
              <w:spacing w:before="0" w:after="0"/>
              <w:rPr>
                <w:rFonts w:ascii="Times New Roman" w:hAnsi="Times New Roman"/>
                <w:sz w:val="20"/>
              </w:rPr>
            </w:pPr>
            <w:r>
              <w:rPr>
                <w:rFonts w:ascii="Times New Roman" w:hAnsi="Times New Roman"/>
                <w:i/>
                <w:sz w:val="20"/>
              </w:rPr>
              <w:t>The Notice of Internet Availability of Proxy Materials containing instructions on how to access our proxy statement, notice of annual meeting, form of proxy and our annual report, is first being sent or given on or about April 27, 2023 to all stockholders entitled to vote at the annual meeting</w:t>
            </w:r>
            <w:r>
              <w:rPr>
                <w:rFonts w:ascii="Times New Roman" w:hAnsi="Times New Roman"/>
                <w:sz w:val="20"/>
              </w:rPr>
              <w:t xml:space="preserve">. </w:t>
            </w:r>
            <w:r>
              <w:rPr>
                <w:rFonts w:ascii="Times New Roman" w:hAnsi="Times New Roman"/>
                <w:i/>
                <w:sz w:val="20"/>
              </w:rPr>
              <w:t>We are providing access to our proxy materials over the Internet under the rules adopted by the Securities and Exchange Commission (SEC).</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The proxy materials and our annual report can be accessed as of April 27, 2023 by visiting www.proxydocs.com/TNYA.</w:t>
            </w:r>
          </w:p>
        </w:tc>
      </w:tr>
      <w:tr>
        <w:trPr>
          <w:trHeight w:val="120" w:hRule="atLeast"/>
        </w:trPr>
        <w:tc>
          <w:tcPr>
            <w:tcW w:w="3162" w:type="dxa"/>
            <w:tcBorders/>
            <w:shd w:fill="auto" w:val="clear"/>
            <w:vAlign w:val="center"/>
          </w:tcPr>
          <w:p>
            <w:pPr>
              <w:pStyle w:val="TableContents"/>
              <w:spacing w:before="0" w:after="283"/>
              <w:rPr>
                <w:sz w:val="4"/>
                <w:szCs w:val="4"/>
              </w:rPr>
            </w:pPr>
            <w:r>
              <w:rPr>
                <w:sz w:val="4"/>
                <w:szCs w:val="4"/>
              </w:rPr>
            </w:r>
          </w:p>
        </w:tc>
        <w:tc>
          <w:tcPr>
            <w:tcW w:w="7043" w:type="dxa"/>
            <w:gridSpan w:val="2"/>
            <w:tcBorders/>
            <w:shd w:fill="auto" w:val="clear"/>
            <w:vAlign w:val="center"/>
          </w:tcPr>
          <w:p>
            <w:pPr>
              <w:pStyle w:val="TableContents"/>
              <w:spacing w:before="0" w:after="283"/>
              <w:rPr>
                <w:sz w:val="4"/>
                <w:szCs w:val="4"/>
              </w:rPr>
            </w:pPr>
            <w:r>
              <w:rPr>
                <w:sz w:val="4"/>
                <w:szCs w:val="4"/>
              </w:rPr>
            </w:r>
          </w:p>
        </w:tc>
      </w:tr>
      <w:tr>
        <w:trPr/>
        <w:tc>
          <w:tcPr>
            <w:tcW w:w="3162" w:type="dxa"/>
            <w:tcBorders/>
            <w:shd w:fill="auto" w:val="clear"/>
          </w:tcPr>
          <w:p>
            <w:pPr>
              <w:pStyle w:val="TableContents"/>
              <w:spacing w:before="0" w:after="283"/>
              <w:rPr>
                <w:b/>
              </w:rPr>
            </w:pPr>
            <w:r>
              <w:rPr>
                <w:b/>
              </w:rPr>
              <w:t>Voting</w:t>
            </w:r>
          </w:p>
        </w:tc>
        <w:tc>
          <w:tcPr>
            <w:tcW w:w="204" w:type="dxa"/>
            <w:tcBorders/>
            <w:shd w:fill="auto" w:val="clear"/>
            <w:vAlign w:val="bottom"/>
          </w:tcPr>
          <w:p>
            <w:pPr>
              <w:pStyle w:val="TableContents"/>
              <w:spacing w:before="0" w:after="283"/>
              <w:rPr/>
            </w:pPr>
            <w:r>
              <w:rPr/>
              <w:t>  </w:t>
            </w:r>
          </w:p>
        </w:tc>
        <w:tc>
          <w:tcPr>
            <w:tcW w:w="6839" w:type="dxa"/>
            <w:tcBorders/>
            <w:shd w:fill="auto" w:val="clear"/>
          </w:tcPr>
          <w:p>
            <w:pPr>
              <w:pStyle w:val="TableContents"/>
              <w:spacing w:before="0" w:after="283"/>
              <w:rPr/>
            </w:pPr>
            <w:r>
              <w:rPr>
                <w:b/>
              </w:rPr>
              <w:t>Your vote is important</w:t>
            </w:r>
            <w:r>
              <w:rPr/>
              <w:t>. Whether or not you plan to attend the annual meeting, we urge you to submit your proxy or voting instructions via the Internet, telephone or mail as soon as possible to ensure your shares are represented. For additional instructions for each of these voting options, please refer to the proxy card. Returning your proxy card does not deprive you of your right to attend the annual meeting and to vote your shares at the annual meeting. The proxy statement explains proxy voting and the matters to be voted on in more detail.</w:t>
            </w:r>
          </w:p>
        </w:tc>
      </w:tr>
    </w:tbl>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By order of the Board of Directors,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drawing>
                <wp:inline distT="0" distB="0" distL="0" distR="0">
                  <wp:extent cx="111125" cy="5334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125" cy="53340"/>
                          </a:xfrm>
                          <a:prstGeom prst="rect">
                            <a:avLst/>
                          </a:prstGeom>
                        </pic:spPr>
                      </pic:pic>
                    </a:graphicData>
                  </a:graphic>
                </wp:inline>
              </w:drawing>
            </w:r>
            <w:r>
              <w:rPr/>
              <w:t xml:space="preserve"> </w:t>
            </w:r>
          </w:p>
        </w:tc>
      </w:tr>
      <w:tr>
        <w:trPr/>
        <w:tc>
          <w:tcPr>
            <w:tcW w:w="4082" w:type="dxa"/>
            <w:tcBorders/>
            <w:shd w:fill="auto" w:val="clear"/>
            <w:vAlign w:val="bottom"/>
          </w:tcPr>
          <w:p>
            <w:pPr>
              <w:pStyle w:val="TableContents"/>
              <w:spacing w:before="0" w:after="283"/>
              <w:rPr/>
            </w:pPr>
            <w:r>
              <w:rPr/>
              <w:t>Faraz Ali, M.B.A.</w:t>
            </w:r>
          </w:p>
        </w:tc>
      </w:tr>
      <w:tr>
        <w:trPr/>
        <w:tc>
          <w:tcPr>
            <w:tcW w:w="4082" w:type="dxa"/>
            <w:tcBorders/>
            <w:shd w:fill="auto" w:val="clear"/>
            <w:vAlign w:val="bottom"/>
          </w:tcPr>
          <w:p>
            <w:pPr>
              <w:pStyle w:val="TableContents"/>
              <w:spacing w:before="0" w:after="283"/>
              <w:rPr/>
            </w:pPr>
            <w:r>
              <w:rPr/>
              <w:t>Chief Executive Officer</w:t>
            </w:r>
          </w:p>
        </w:tc>
      </w:tr>
      <w:tr>
        <w:trPr/>
        <w:tc>
          <w:tcPr>
            <w:tcW w:w="4082"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South San Francisco, California</w:t>
            </w:r>
          </w:p>
          <w:p>
            <w:pPr>
              <w:pStyle w:val="TableContents"/>
              <w:spacing w:before="0" w:after="20"/>
              <w:rPr>
                <w:rFonts w:ascii="Times New Roman" w:hAnsi="Times New Roman"/>
                <w:sz w:val="20"/>
              </w:rPr>
            </w:pPr>
            <w:r>
              <w:rPr>
                <w:rFonts w:ascii="Times New Roman" w:hAnsi="Times New Roman"/>
                <w:sz w:val="20"/>
              </w:rPr>
              <w:t>April 27, 2023</w:t>
            </w:r>
          </w:p>
        </w:tc>
      </w:tr>
    </w:tbl>
    <w:p>
      <w:pPr>
        <w:pStyle w:val="TextBody"/>
        <w:spacing w:before="240" w:after="0"/>
        <w:jc w:val="center"/>
        <w:rPr>
          <w:rFonts w:ascii="Times New Roman" w:hAnsi="Times New Roman"/>
          <w:sz w:val="20"/>
        </w:rPr>
      </w:pPr>
      <w:r>
        <w:rPr>
          <w:rFonts w:ascii="Times New Roman" w:hAnsi="Times New Roman"/>
          <w:sz w:val="20"/>
        </w:rPr>
        <w:t xml:space="preserve">This proxy statement is being mailed to stockholders on or about April 27,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272"/>
        <w:gridCol w:w="349"/>
        <w:gridCol w:w="96"/>
        <w:gridCol w:w="425"/>
        <w:gridCol w:w="63"/>
      </w:tblGrid>
      <w:tr>
        <w:trPr/>
        <w:tc>
          <w:tcPr>
            <w:tcW w:w="9272"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272"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52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1">
              <w:r>
                <w:rPr>
                  <w:rStyle w:val="InternetLink"/>
                  <w:rFonts w:ascii="Times New Roman" w:hAnsi="Times New Roman"/>
                  <w:sz w:val="20"/>
                </w:rPr>
                <w:t>QUESTIONS AND ANSWERS ABOUT THE PROXY MATERIALS AND OUR ANNUAL MEETING</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2">
              <w:r>
                <w:rPr>
                  <w:rStyle w:val="InternetLink"/>
                  <w:rFonts w:ascii="Times New Roman" w:hAnsi="Times New Roman"/>
                  <w:sz w:val="20"/>
                </w:rPr>
                <w:t>BOARD OF DIRECTORS AND CORPORATE GOVERNANCE</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9</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3">
              <w:r>
                <w:rPr>
                  <w:rStyle w:val="InternetLink"/>
                  <w:rFonts w:ascii="Times New Roman" w:hAnsi="Times New Roman"/>
                  <w:sz w:val="20"/>
                </w:rPr>
                <w:t>Composition of the Board</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9</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4">
              <w:r>
                <w:rPr>
                  <w:rStyle w:val="InternetLink"/>
                  <w:rFonts w:ascii="Times New Roman" w:hAnsi="Times New Roman"/>
                  <w:sz w:val="20"/>
                </w:rPr>
                <w:t>Class II Nominees for Director</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9</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5">
              <w:r>
                <w:rPr>
                  <w:rStyle w:val="InternetLink"/>
                  <w:rFonts w:ascii="Times New Roman" w:hAnsi="Times New Roman"/>
                  <w:sz w:val="20"/>
                </w:rPr>
                <w:t>Continuing Directors</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10</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6">
              <w:r>
                <w:rPr>
                  <w:rStyle w:val="InternetLink"/>
                  <w:rFonts w:ascii="Times New Roman" w:hAnsi="Times New Roman"/>
                  <w:sz w:val="20"/>
                </w:rPr>
                <w:t>Director Independence</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13</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7">
              <w:r>
                <w:rPr>
                  <w:rStyle w:val="InternetLink"/>
                  <w:rFonts w:ascii="Times New Roman" w:hAnsi="Times New Roman"/>
                  <w:sz w:val="20"/>
                </w:rPr>
                <w:t>Board Leadership Structure</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14</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8">
              <w:r>
                <w:rPr>
                  <w:rStyle w:val="InternetLink"/>
                  <w:rFonts w:ascii="Times New Roman" w:hAnsi="Times New Roman"/>
                  <w:sz w:val="20"/>
                </w:rPr>
                <w:t>Role of Board in Risk Oversight Process</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14</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9">
              <w:r>
                <w:rPr>
                  <w:rStyle w:val="InternetLink"/>
                  <w:rFonts w:ascii="Times New Roman" w:hAnsi="Times New Roman"/>
                  <w:sz w:val="20"/>
                </w:rPr>
                <w:t>Board Committees</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14</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10">
              <w:r>
                <w:rPr>
                  <w:rStyle w:val="InternetLink"/>
                  <w:rFonts w:ascii="Times New Roman" w:hAnsi="Times New Roman"/>
                  <w:sz w:val="20"/>
                </w:rPr>
                <w:t>Attendance at Board and Stockholders Meetings</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16</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11">
              <w:r>
                <w:rPr>
                  <w:rStyle w:val="InternetLink"/>
                  <w:rFonts w:ascii="Times New Roman" w:hAnsi="Times New Roman"/>
                  <w:sz w:val="20"/>
                </w:rPr>
                <w:t>Compensation Committee Interlocks and Insider Participation</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16</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12">
              <w:r>
                <w:rPr>
                  <w:rStyle w:val="InternetLink"/>
                  <w:rFonts w:ascii="Times New Roman" w:hAnsi="Times New Roman"/>
                  <w:sz w:val="20"/>
                </w:rPr>
                <w:t>Considerations in Evaluating Director Nominees</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17</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13">
              <w:r>
                <w:rPr>
                  <w:rStyle w:val="InternetLink"/>
                  <w:rFonts w:ascii="Times New Roman" w:hAnsi="Times New Roman"/>
                  <w:sz w:val="20"/>
                </w:rPr>
                <w:t>Stockholders Recommendations and Nominations to our Board of Directors</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17</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14">
              <w:r>
                <w:rPr>
                  <w:rStyle w:val="InternetLink"/>
                  <w:rFonts w:ascii="Times New Roman" w:hAnsi="Times New Roman"/>
                  <w:sz w:val="20"/>
                </w:rPr>
                <w:t>Communications with the Board of Directors</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18</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15">
              <w:r>
                <w:rPr>
                  <w:rStyle w:val="InternetLink"/>
                  <w:rFonts w:ascii="Times New Roman" w:hAnsi="Times New Roman"/>
                  <w:sz w:val="20"/>
                </w:rPr>
                <w:t>Policy Prohibiting Hedging or Pledging of Securities</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18</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16">
              <w:r>
                <w:rPr>
                  <w:rStyle w:val="InternetLink"/>
                  <w:rFonts w:ascii="Times New Roman" w:hAnsi="Times New Roman"/>
                  <w:sz w:val="20"/>
                </w:rPr>
                <w:t>Corporate Governance Guidelines and Code of Business Conduct and Ethics</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18</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17">
              <w:r>
                <w:rPr>
                  <w:rStyle w:val="InternetLink"/>
                  <w:rFonts w:ascii="Times New Roman" w:hAnsi="Times New Roman"/>
                  <w:sz w:val="20"/>
                </w:rPr>
                <w:t>Board Diversity</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18</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18">
              <w:r>
                <w:rPr>
                  <w:rStyle w:val="InternetLink"/>
                  <w:rFonts w:ascii="Times New Roman" w:hAnsi="Times New Roman"/>
                  <w:sz w:val="20"/>
                </w:rPr>
                <w:t>Director Compensation</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19</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19">
              <w:r>
                <w:rPr>
                  <w:rStyle w:val="InternetLink"/>
                  <w:rFonts w:ascii="Times New Roman" w:hAnsi="Times New Roman"/>
                  <w:sz w:val="20"/>
                </w:rPr>
                <w:t>PROPOSAL NO. 1: ELECTION OF CLASS I DIRECTORS</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22</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20">
              <w:r>
                <w:rPr>
                  <w:rStyle w:val="InternetLink"/>
                  <w:rFonts w:ascii="Times New Roman" w:hAnsi="Times New Roman"/>
                  <w:sz w:val="20"/>
                </w:rPr>
                <w:t>Nominees</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22</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21">
              <w:r>
                <w:rPr>
                  <w:rStyle w:val="InternetLink"/>
                  <w:rFonts w:ascii="Times New Roman" w:hAnsi="Times New Roman"/>
                  <w:sz w:val="20"/>
                </w:rPr>
                <w:t>Vote Required</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22</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22">
              <w:r>
                <w:rPr>
                  <w:rStyle w:val="InternetLink"/>
                  <w:rFonts w:ascii="Times New Roman" w:hAnsi="Times New Roman"/>
                  <w:sz w:val="20"/>
                </w:rPr>
                <w:t>Board Recommendation</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22</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23">
              <w:r>
                <w:rPr>
                  <w:rStyle w:val="InternetLink"/>
                  <w:rFonts w:ascii="Times New Roman" w:hAnsi="Times New Roman"/>
                  <w:sz w:val="20"/>
                </w:rPr>
                <w:t>PROPOSAL NO. 2: RATIFICATION OF APPOINTMENT OF INDEPENDENT REGISTERED PUBLIC ACCOUNTING FIRM</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23</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24">
              <w:r>
                <w:rPr>
                  <w:rStyle w:val="InternetLink"/>
                  <w:rFonts w:ascii="Times New Roman" w:hAnsi="Times New Roman"/>
                  <w:sz w:val="20"/>
                </w:rPr>
                <w:t>Fees Paid to the Independent Registered Public Accounting Firm</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23</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25">
              <w:r>
                <w:rPr>
                  <w:rStyle w:val="InternetLink"/>
                  <w:rFonts w:ascii="Times New Roman" w:hAnsi="Times New Roman"/>
                  <w:sz w:val="20"/>
                </w:rPr>
                <w:t>Auditor Independence</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23</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26">
              <w:r>
                <w:rPr>
                  <w:rStyle w:val="InternetLink"/>
                  <w:rFonts w:ascii="Times New Roman" w:hAnsi="Times New Roman"/>
                  <w:sz w:val="20"/>
                </w:rPr>
                <w:t>Audit Committee Policy on Pre-Approval of Audit and Permissible Non-Audit Services of Independent Registered Public Accounting Firm</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23</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27">
              <w:r>
                <w:rPr>
                  <w:rStyle w:val="InternetLink"/>
                  <w:rFonts w:ascii="Times New Roman" w:hAnsi="Times New Roman"/>
                  <w:sz w:val="20"/>
                </w:rPr>
                <w:t>Vote Required</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24</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28">
              <w:r>
                <w:rPr>
                  <w:rStyle w:val="InternetLink"/>
                  <w:rFonts w:ascii="Times New Roman" w:hAnsi="Times New Roman"/>
                  <w:sz w:val="20"/>
                </w:rPr>
                <w:t>Board Recommendation</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24</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29">
              <w:r>
                <w:rPr>
                  <w:rStyle w:val="InternetLink"/>
                  <w:rFonts w:ascii="Times New Roman" w:hAnsi="Times New Roman"/>
                  <w:sz w:val="20"/>
                </w:rPr>
                <w:t>PROPOSAL NO. 3: AMENDMENT OF OUR AMENDED AND RESTATED CERTIFICATE OF INCORPORATION REGARDING EXCULPATION</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25</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30">
              <w:r>
                <w:rPr>
                  <w:rStyle w:val="InternetLink"/>
                  <w:rFonts w:ascii="Times New Roman" w:hAnsi="Times New Roman"/>
                  <w:sz w:val="20"/>
                </w:rPr>
                <w:t>Vote Required</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26</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31">
              <w:r>
                <w:rPr>
                  <w:rStyle w:val="InternetLink"/>
                  <w:rFonts w:ascii="Times New Roman" w:hAnsi="Times New Roman"/>
                  <w:sz w:val="20"/>
                </w:rPr>
                <w:t>Board Recommendation</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26</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32">
              <w:r>
                <w:rPr>
                  <w:rStyle w:val="InternetLink"/>
                  <w:rFonts w:ascii="Times New Roman" w:hAnsi="Times New Roman"/>
                  <w:sz w:val="20"/>
                </w:rPr>
                <w:t>AUDIT COMMITTEE REPORT</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27</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33">
              <w:r>
                <w:rPr>
                  <w:rStyle w:val="InternetLink"/>
                  <w:rFonts w:ascii="Times New Roman" w:hAnsi="Times New Roman"/>
                  <w:sz w:val="20"/>
                </w:rPr>
                <w:t>EXECUTIVE OFFICERS</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28</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34">
              <w:r>
                <w:rPr>
                  <w:rStyle w:val="InternetLink"/>
                  <w:rFonts w:ascii="Times New Roman" w:hAnsi="Times New Roman"/>
                  <w:sz w:val="20"/>
                </w:rPr>
                <w:t>EXECUTIVE COMPENSATION</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29</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35">
              <w:r>
                <w:rPr>
                  <w:rStyle w:val="InternetLink"/>
                  <w:rFonts w:ascii="Times New Roman" w:hAnsi="Times New Roman"/>
                  <w:sz w:val="20"/>
                </w:rPr>
                <w:t>Processes and Procedures for Compensation Decisions</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29</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36">
              <w:r>
                <w:rPr>
                  <w:rStyle w:val="InternetLink"/>
                  <w:rFonts w:ascii="Times New Roman" w:hAnsi="Times New Roman"/>
                  <w:sz w:val="20"/>
                </w:rPr>
                <w:t>Summary Compensation Table for Fiscal 2022</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29</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37">
              <w:r>
                <w:rPr>
                  <w:rStyle w:val="InternetLink"/>
                  <w:rFonts w:ascii="Times New Roman" w:hAnsi="Times New Roman"/>
                  <w:sz w:val="20"/>
                </w:rPr>
                <w:t>Employment Arrangements</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30</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38">
              <w:r>
                <w:rPr>
                  <w:rStyle w:val="InternetLink"/>
                  <w:rFonts w:ascii="Times New Roman" w:hAnsi="Times New Roman"/>
                  <w:sz w:val="20"/>
                </w:rPr>
                <w:t>Executive Change in Control and Severance Plan</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30</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39">
              <w:r>
                <w:rPr>
                  <w:rStyle w:val="InternetLink"/>
                  <w:rFonts w:ascii="Times New Roman" w:hAnsi="Times New Roman"/>
                  <w:sz w:val="20"/>
                </w:rPr>
                <w:t>Executive Incentive Compensation Plan</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32</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40">
              <w:r>
                <w:rPr>
                  <w:rStyle w:val="InternetLink"/>
                  <w:rFonts w:ascii="Times New Roman" w:hAnsi="Times New Roman"/>
                  <w:sz w:val="20"/>
                </w:rPr>
                <w:t xml:space="preserve">Outstanding Equity Awards at Fiscal 2022 Year-End </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33</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41">
              <w:r>
                <w:rPr>
                  <w:rStyle w:val="InternetLink"/>
                  <w:rFonts w:ascii="Times New Roman" w:hAnsi="Times New Roman"/>
                  <w:sz w:val="20"/>
                </w:rPr>
                <w:t>Equity Compensation Plan Information</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33</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42">
              <w:r>
                <w:rPr>
                  <w:rStyle w:val="InternetLink"/>
                  <w:rFonts w:ascii="Times New Roman" w:hAnsi="Times New Roman"/>
                  <w:sz w:val="20"/>
                </w:rPr>
                <w:t>SECURITY OWNERSHIP OF CERTAIN BENEFICIAL OWNERS AND MANAGEMENT</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35</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43">
              <w:r>
                <w:rPr>
                  <w:rStyle w:val="InternetLink"/>
                  <w:rFonts w:ascii="Times New Roman" w:hAnsi="Times New Roman"/>
                  <w:sz w:val="20"/>
                </w:rPr>
                <w:t>RELATED PERSON TRANSACTIONS</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37</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44">
              <w:r>
                <w:rPr>
                  <w:rStyle w:val="InternetLink"/>
                  <w:rFonts w:ascii="Times New Roman" w:hAnsi="Times New Roman"/>
                  <w:sz w:val="20"/>
                </w:rPr>
                <w:t>Policies and Procedures for Related Person Transactions</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38</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45">
              <w:r>
                <w:rPr>
                  <w:rStyle w:val="InternetLink"/>
                  <w:rFonts w:ascii="Times New Roman" w:hAnsi="Times New Roman"/>
                  <w:sz w:val="20"/>
                </w:rPr>
                <w:t>OTHER MATTERS</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39</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46">
              <w:r>
                <w:rPr>
                  <w:rStyle w:val="InternetLink"/>
                  <w:rFonts w:ascii="Times New Roman" w:hAnsi="Times New Roman"/>
                  <w:sz w:val="20"/>
                </w:rPr>
                <w:t>Delinquent Section 16(a) Reports</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39</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tcPr>
          <w:p>
            <w:pPr>
              <w:pStyle w:val="TableContents"/>
              <w:spacing w:before="0" w:after="0"/>
              <w:rPr/>
            </w:pPr>
            <w:hyperlink w:anchor="toc455357_47">
              <w:r>
                <w:rPr>
                  <w:rStyle w:val="InternetLink"/>
                  <w:rFonts w:ascii="Times New Roman" w:hAnsi="Times New Roman"/>
                  <w:sz w:val="20"/>
                </w:rPr>
                <w:t>Fiscal Year 2022 Annual Report</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39</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TENAYA THERAPEUTICS, INC. </w:t>
      </w:r>
    </w:p>
    <w:p>
      <w:pPr>
        <w:pStyle w:val="TextBody"/>
        <w:spacing w:before="240" w:after="0"/>
        <w:jc w:val="center"/>
        <w:rPr>
          <w:rFonts w:ascii="Times New Roman" w:hAnsi="Times New Roman"/>
          <w:b/>
          <w:sz w:val="20"/>
        </w:rPr>
      </w:pPr>
      <w:r>
        <w:rPr>
          <w:rFonts w:ascii="Times New Roman" w:hAnsi="Times New Roman"/>
          <w:b/>
          <w:sz w:val="20"/>
        </w:rPr>
        <w:t xml:space="preserve">PROXY STATEMENT </w:t>
      </w:r>
    </w:p>
    <w:p>
      <w:pPr>
        <w:pStyle w:val="TextBody"/>
        <w:spacing w:before="240" w:after="0"/>
        <w:jc w:val="center"/>
        <w:rPr>
          <w:rFonts w:ascii="Times New Roman" w:hAnsi="Times New Roman"/>
          <w:b/>
          <w:sz w:val="20"/>
        </w:rPr>
      </w:pPr>
      <w:r>
        <w:rPr>
          <w:rFonts w:ascii="Times New Roman" w:hAnsi="Times New Roman"/>
          <w:b/>
          <w:sz w:val="20"/>
        </w:rPr>
        <w:t xml:space="preserve">FOR THE 2023 ANNUAL MEETING OF STOCKHOLDERS </w:t>
      </w:r>
    </w:p>
    <w:p>
      <w:pPr>
        <w:pStyle w:val="TextBody"/>
        <w:spacing w:before="0" w:after="0"/>
        <w:jc w:val="center"/>
        <w:rPr>
          <w:rFonts w:ascii="Times New Roman" w:hAnsi="Times New Roman"/>
          <w:b/>
          <w:sz w:val="20"/>
        </w:rPr>
      </w:pPr>
      <w:r>
        <w:rPr>
          <w:rFonts w:ascii="Times New Roman" w:hAnsi="Times New Roman"/>
          <w:b/>
          <w:sz w:val="20"/>
        </w:rPr>
        <w:t xml:space="preserve">To be held at 8:00 a.m. Pacific Time on Thursday, June 8, 2023 </w:t>
      </w:r>
    </w:p>
    <w:p>
      <w:pPr>
        <w:pStyle w:val="TextBody"/>
        <w:spacing w:before="240" w:after="0"/>
        <w:jc w:val="left"/>
        <w:rPr>
          <w:rFonts w:ascii="Times New Roman" w:hAnsi="Times New Roman"/>
          <w:sz w:val="20"/>
        </w:rPr>
      </w:pPr>
      <w:r>
        <w:rPr>
          <w:rFonts w:ascii="Times New Roman" w:hAnsi="Times New Roman"/>
          <w:sz w:val="20"/>
        </w:rPr>
        <w:t xml:space="preserve">The information provided in the question and answer format below is for your convenience only and is merely a summary of the information contained in this proxy statement. You should read this entire proxy statement carefully. </w:t>
      </w:r>
    </w:p>
    <w:p>
      <w:pPr>
        <w:pStyle w:val="TextBody"/>
        <w:spacing w:before="480" w:after="0"/>
        <w:jc w:val="center"/>
        <w:rPr>
          <w:rFonts w:ascii="Times New Roman" w:hAnsi="Times New Roman"/>
          <w:b/>
          <w:sz w:val="20"/>
        </w:rPr>
      </w:pPr>
      <w:bookmarkStart w:id="3" w:name="toc455357_1"/>
      <w:bookmarkEnd w:id="3"/>
      <w:r>
        <w:rPr>
          <w:rFonts w:ascii="Times New Roman" w:hAnsi="Times New Roman"/>
          <w:b/>
          <w:sz w:val="20"/>
        </w:rPr>
        <w:t xml:space="preserve">QUESTIONS AND ANSWERS ABOUT THE PROXY MATERIALS AND OUR ANNUAL MEETING </w:t>
      </w:r>
    </w:p>
    <w:p>
      <w:pPr>
        <w:pStyle w:val="TextBody"/>
        <w:spacing w:before="240" w:after="0"/>
        <w:jc w:val="left"/>
        <w:rPr>
          <w:rFonts w:ascii="Times New Roman" w:hAnsi="Times New Roman"/>
          <w:b/>
          <w:sz w:val="20"/>
        </w:rPr>
      </w:pPr>
      <w:r>
        <w:rPr>
          <w:rFonts w:ascii="Times New Roman" w:hAnsi="Times New Roman"/>
          <w:b/>
          <w:sz w:val="20"/>
        </w:rPr>
        <w:t xml:space="preserve">Why am I receiving these materials? </w:t>
      </w:r>
    </w:p>
    <w:p>
      <w:pPr>
        <w:pStyle w:val="TextBody"/>
        <w:spacing w:before="120" w:after="0"/>
        <w:jc w:val="left"/>
        <w:rPr>
          <w:rFonts w:ascii="Times New Roman" w:hAnsi="Times New Roman"/>
          <w:sz w:val="20"/>
        </w:rPr>
      </w:pPr>
      <w:r>
        <w:rPr>
          <w:rFonts w:ascii="Times New Roman" w:hAnsi="Times New Roman"/>
          <w:sz w:val="20"/>
        </w:rPr>
        <w:t xml:space="preserve">This proxy statement and the form of proxy are furnished in connection with the solicitation of proxies by our board of directors for use at the 2023 annual meeting of stockholders of Tenaya Therapeutics, Inc., a Delaware corporation, and any postponements, adjournments or continuations thereof. The annual meeting will be held on Thursday, June 8, 2023, at 8:00 a.m. Pacific Time. The annual meeting will be conducted virtually via a live audio webcast. You will be able to attend the annual meeting virtually by visiting www.proxydocs.com/TNYA, where you will be able to listen to the meeting live, submit questions and vote online during the meeting by entering the control number on your proxy card. </w:t>
      </w:r>
    </w:p>
    <w:p>
      <w:pPr>
        <w:pStyle w:val="TextBody"/>
        <w:spacing w:before="240" w:after="0"/>
        <w:jc w:val="left"/>
        <w:rPr>
          <w:rFonts w:ascii="Times New Roman" w:hAnsi="Times New Roman"/>
          <w:sz w:val="20"/>
        </w:rPr>
      </w:pPr>
      <w:r>
        <w:rPr>
          <w:rFonts w:ascii="Times New Roman" w:hAnsi="Times New Roman"/>
          <w:sz w:val="20"/>
        </w:rPr>
        <w:t xml:space="preserve">The Notice of Internet Availability of Proxy Materials, or Notice of Internet Availability, containing instructions on how to access this proxy statement, the accompanying notice of annual meeting and form of proxy, and our annual report, is first being sent or given on or about April 27, 2023 to all stockholders of record as of the close of business on April 10, 2023. The proxy materials and our annual report can be accessed as of April 27, 2023 by visiting www.proxydocs.com/TNYA. If you receive a Notice of Internet Availability, then you will not receive a printed copy of the proxy materials or our annual report in the mail unless you specifically request these materials. Instructions for requesting a printed copy of the proxy materials and our annual report are set forth in the Notice of Internet Availability. </w:t>
      </w:r>
    </w:p>
    <w:p>
      <w:pPr>
        <w:pStyle w:val="TextBody"/>
        <w:spacing w:before="360" w:after="0"/>
        <w:jc w:val="left"/>
        <w:rPr>
          <w:rFonts w:ascii="Times New Roman" w:hAnsi="Times New Roman"/>
          <w:b/>
          <w:sz w:val="20"/>
        </w:rPr>
      </w:pPr>
      <w:r>
        <w:rPr>
          <w:rFonts w:ascii="Times New Roman" w:hAnsi="Times New Roman"/>
          <w:b/>
          <w:sz w:val="20"/>
        </w:rPr>
        <w:t xml:space="preserve">What proposals will be voted on at the annual meeting? </w:t>
      </w:r>
    </w:p>
    <w:p>
      <w:pPr>
        <w:pStyle w:val="TextBody"/>
        <w:spacing w:before="120" w:after="0"/>
        <w:jc w:val="left"/>
        <w:rPr>
          <w:rFonts w:ascii="Times New Roman" w:hAnsi="Times New Roman"/>
          <w:sz w:val="20"/>
        </w:rPr>
      </w:pPr>
      <w:r>
        <w:rPr>
          <w:rFonts w:ascii="Times New Roman" w:hAnsi="Times New Roman"/>
          <w:sz w:val="20"/>
        </w:rPr>
        <w:t xml:space="preserve">The following proposals will be voted on at the annual meeting: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election of three Class II directors to hold office until our 2026 annual meeting of stockholders and until their respective successors are elected and qualified;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ratification of the appointment of Deloitte &amp; Touche LLP as our independent registered public accounting firm for our fiscal year ending December 31, 2023;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amendment to our Amended and Restated Certificate of Incorporation to reflect recently adopted Delaware law provisions regarding officer exculpation. </w:t>
            </w:r>
          </w:p>
        </w:tc>
      </w:tr>
    </w:tbl>
    <w:p>
      <w:pPr>
        <w:pStyle w:val="TextBody"/>
        <w:spacing w:before="240" w:after="0"/>
        <w:jc w:val="left"/>
        <w:rPr>
          <w:rFonts w:ascii="Times New Roman" w:hAnsi="Times New Roman"/>
          <w:sz w:val="20"/>
        </w:rPr>
      </w:pPr>
      <w:r>
        <w:rPr>
          <w:rFonts w:ascii="Times New Roman" w:hAnsi="Times New Roman"/>
          <w:sz w:val="20"/>
        </w:rPr>
        <w:t xml:space="preserve">As of the date of this proxy statement, our management and board of directors were not aware of any other matters to be presented at the annual meeting. </w:t>
      </w:r>
    </w:p>
    <w:p>
      <w:pPr>
        <w:pStyle w:val="TextBody"/>
        <w:spacing w:before="360" w:after="0"/>
        <w:jc w:val="left"/>
        <w:rPr>
          <w:rFonts w:ascii="Times New Roman" w:hAnsi="Times New Roman"/>
          <w:b/>
          <w:sz w:val="20"/>
        </w:rPr>
      </w:pPr>
      <w:r>
        <w:rPr>
          <w:rFonts w:ascii="Times New Roman" w:hAnsi="Times New Roman"/>
          <w:b/>
          <w:sz w:val="20"/>
        </w:rPr>
        <w:t xml:space="preserve">How does the board of directors recommend that I vote on these proposals? </w:t>
      </w:r>
    </w:p>
    <w:p>
      <w:pPr>
        <w:pStyle w:val="TextBody"/>
        <w:spacing w:before="120" w:after="0"/>
        <w:jc w:val="left"/>
        <w:rPr>
          <w:rFonts w:ascii="Times New Roman" w:hAnsi="Times New Roman"/>
          <w:sz w:val="20"/>
        </w:rPr>
      </w:pPr>
      <w:r>
        <w:rPr>
          <w:rFonts w:ascii="Times New Roman" w:hAnsi="Times New Roman"/>
          <w:sz w:val="20"/>
        </w:rPr>
        <w:t xml:space="preserve">Our board of directors recommends that you vote your shares: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the election of each Class II director nominee named in this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the ratification of the appointment of Deloitte &amp; Touche LLP as our independent registered public accounting firm for our fiscal year ending December 31, 2023; and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the amendment to our Amended and Restated Certificate of Incorporation to reflect recently adopted Delaware law provisions regarding officer exculpation. </w:t>
            </w:r>
          </w:p>
        </w:tc>
      </w:tr>
    </w:tbl>
    <w:p>
      <w:pPr>
        <w:pStyle w:val="TextBody"/>
        <w:spacing w:before="360" w:after="0"/>
        <w:jc w:val="left"/>
        <w:rPr>
          <w:rFonts w:ascii="Times New Roman" w:hAnsi="Times New Roman"/>
          <w:b/>
          <w:sz w:val="20"/>
        </w:rPr>
      </w:pPr>
      <w:r>
        <w:rPr>
          <w:rFonts w:ascii="Times New Roman" w:hAnsi="Times New Roman"/>
          <w:b/>
          <w:sz w:val="20"/>
        </w:rPr>
        <w:t xml:space="preserve">Who is entitled to vote at the annual meeting? </w:t>
      </w:r>
    </w:p>
    <w:p>
      <w:pPr>
        <w:pStyle w:val="TextBody"/>
        <w:spacing w:before="120" w:after="0"/>
        <w:jc w:val="left"/>
        <w:rPr>
          <w:rFonts w:ascii="Times New Roman" w:hAnsi="Times New Roman"/>
          <w:sz w:val="20"/>
        </w:rPr>
      </w:pPr>
      <w:r>
        <w:rPr>
          <w:rFonts w:ascii="Times New Roman" w:hAnsi="Times New Roman"/>
          <w:sz w:val="20"/>
        </w:rPr>
        <w:t xml:space="preserve">Holders of our common stock as of the close of business on April 10, 2023, the record date for the annual meeting, may vote at the annual meeting. As of the record date, there were 66,865,424 shares of our common stock outstanding. Each share of common stock is entitled to one vote on each matter properly brought before the annual meeting. Stockholders are not permitted to cumulate votes with respect to the election of directors. </w:t>
      </w:r>
    </w:p>
    <w:p>
      <w:pPr>
        <w:pStyle w:val="TextBody"/>
        <w:spacing w:before="240" w:after="0"/>
        <w:jc w:val="left"/>
        <w:rPr>
          <w:rFonts w:ascii="Times New Roman" w:hAnsi="Times New Roman"/>
          <w:sz w:val="20"/>
        </w:rPr>
      </w:pPr>
      <w:r>
        <w:rPr>
          <w:rFonts w:ascii="Times New Roman" w:hAnsi="Times New Roman"/>
          <w:i/>
          <w:sz w:val="20"/>
        </w:rPr>
        <w:t>Stockholders of Record</w:t>
      </w:r>
      <w:r>
        <w:rPr>
          <w:rFonts w:ascii="Times New Roman" w:hAnsi="Times New Roman"/>
          <w:sz w:val="20"/>
        </w:rPr>
        <w:t xml:space="preserve">. If your shares of common stock are registered directly in your name with our transfer agent, Computershare Trust Company, N.A., then you are considered the stockholder of record with respect to those shares, and the Notice of Internet Availability was sent directly to you by us. As a stockholder of record, you have the right to grant your voting proxy directly to the individuals listed on the proxy card or to vote on your own behalf at the annual meeting. Throughout this proxy statement, we refer to these holders as stockholders of record. </w:t>
      </w:r>
    </w:p>
    <w:p>
      <w:pPr>
        <w:pStyle w:val="TextBody"/>
        <w:spacing w:before="240" w:after="0"/>
        <w:jc w:val="left"/>
        <w:rPr>
          <w:rFonts w:ascii="Times New Roman" w:hAnsi="Times New Roman"/>
          <w:sz w:val="20"/>
        </w:rPr>
      </w:pPr>
      <w:r>
        <w:rPr>
          <w:rFonts w:ascii="Times New Roman" w:hAnsi="Times New Roman"/>
          <w:i/>
          <w:sz w:val="20"/>
        </w:rPr>
        <w:t>Street Name Stockholders</w:t>
      </w:r>
      <w:r>
        <w:rPr>
          <w:rFonts w:ascii="Times New Roman" w:hAnsi="Times New Roman"/>
          <w:sz w:val="20"/>
        </w:rPr>
        <w:t xml:space="preserve">. If your shares are held in a brokerage account or by a broker, bank or other nominee, then you are considered the beneficial owner of shares held in street name, and the Notice of Internet Availability was forwarded to you by your broker, bank or other nominee, which is considered the stockholder of record with respect to those shares. As a beneficial owner, you have the right to direct your broker, bank or other nominee on how to vote the shares held in your account by following the instructions that your broker, bank or other nominee sent to you. Throughout this proxy statement, we refer to these holders as street name stockholders. </w:t>
      </w:r>
    </w:p>
    <w:p>
      <w:pPr>
        <w:pStyle w:val="TextBody"/>
        <w:spacing w:before="360" w:after="0"/>
        <w:jc w:val="left"/>
        <w:rPr>
          <w:rFonts w:ascii="Times New Roman" w:hAnsi="Times New Roman"/>
          <w:b/>
          <w:sz w:val="20"/>
        </w:rPr>
      </w:pPr>
      <w:r>
        <w:rPr>
          <w:rFonts w:ascii="Times New Roman" w:hAnsi="Times New Roman"/>
          <w:b/>
          <w:sz w:val="20"/>
        </w:rPr>
        <w:t xml:space="preserve">Is there a list of registered stockholders entitled to vote at the annual meeting? </w:t>
      </w:r>
    </w:p>
    <w:p>
      <w:pPr>
        <w:pStyle w:val="TextBody"/>
        <w:spacing w:before="120" w:after="0"/>
        <w:jc w:val="left"/>
        <w:rPr>
          <w:rFonts w:ascii="Times New Roman" w:hAnsi="Times New Roman"/>
          <w:sz w:val="20"/>
        </w:rPr>
      </w:pPr>
      <w:r>
        <w:rPr>
          <w:rFonts w:ascii="Times New Roman" w:hAnsi="Times New Roman"/>
          <w:sz w:val="20"/>
        </w:rPr>
        <w:t xml:space="preserve">A list of registered stockholders entitled to vote at the annual meeting will be made available for examination by any stockholder for any purpose germane to the meeting for a period of at least ten days prior to the meeting between the hours of 9:00 a.m. and 4:30 p.m. Pacific Time at our principal executive offices located at 171 Oyster Point Boulevard, Suite 500, South San Francisco, CA 94080 by contacting our corporate secretary. </w:t>
      </w:r>
    </w:p>
    <w:p>
      <w:pPr>
        <w:pStyle w:val="TextBody"/>
        <w:spacing w:before="360" w:after="0"/>
        <w:jc w:val="left"/>
        <w:rPr>
          <w:rFonts w:ascii="Times New Roman" w:hAnsi="Times New Roman"/>
          <w:b/>
          <w:sz w:val="20"/>
        </w:rPr>
      </w:pPr>
      <w:r>
        <w:rPr>
          <w:rFonts w:ascii="Times New Roman" w:hAnsi="Times New Roman"/>
          <w:b/>
          <w:sz w:val="20"/>
        </w:rPr>
        <w:t xml:space="preserve">What is the quorum requirement for the annual meeting? </w:t>
      </w:r>
    </w:p>
    <w:p>
      <w:pPr>
        <w:pStyle w:val="TextBody"/>
        <w:spacing w:before="120" w:after="0"/>
        <w:jc w:val="left"/>
        <w:rPr>
          <w:rFonts w:ascii="Times New Roman" w:hAnsi="Times New Roman"/>
          <w:sz w:val="20"/>
        </w:rPr>
      </w:pPr>
      <w:r>
        <w:rPr>
          <w:rFonts w:ascii="Times New Roman" w:hAnsi="Times New Roman"/>
          <w:sz w:val="20"/>
        </w:rPr>
        <w:t xml:space="preserve">A quorum is the minimum number of shares required to be present or represented at the annual meeting for the meeting to be properly held under our amended and restated bylaws (Bylaws) and Delaware law. The presence, in person (including virtually) or by proxy, of a majority of the voting power of our capital stock issued and outstanding and entitled to vote will constitute a quorum to transact business at the annual meeting. Abstentions, choosing to withhold authority to vote and broker non-votes are counted as present and entitled to vote for purposes of determining a quorum. Whether or not a quorum is present, the chairperson of the meeting may adjourn the meeting to another time or place. </w:t>
      </w:r>
    </w:p>
    <w:p>
      <w:pPr>
        <w:pStyle w:val="TextBody"/>
        <w:spacing w:before="360" w:after="0"/>
        <w:jc w:val="left"/>
        <w:rPr>
          <w:rFonts w:ascii="Times New Roman" w:hAnsi="Times New Roman"/>
          <w:b/>
          <w:sz w:val="20"/>
        </w:rPr>
      </w:pPr>
      <w:r>
        <w:rPr>
          <w:rFonts w:ascii="Times New Roman" w:hAnsi="Times New Roman"/>
          <w:b/>
          <w:sz w:val="20"/>
        </w:rPr>
        <w:t xml:space="preserve">How many votes are needed for approval of each proposal?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Proposal No.</w:t>
            </w:r>
            <w:r>
              <w:rPr>
                <w:rFonts w:ascii="Times New Roman" w:hAnsi="Times New Roman"/>
                <w:sz w:val="20"/>
              </w:rPr>
              <w:t> </w:t>
            </w:r>
            <w:r>
              <w:rPr>
                <w:rFonts w:ascii="Times New Roman" w:hAnsi="Times New Roman"/>
                <w:i/>
                <w:sz w:val="20"/>
              </w:rPr>
              <w:t>1</w:t>
            </w:r>
            <w:r>
              <w:rPr>
                <w:rFonts w:ascii="Times New Roman" w:hAnsi="Times New Roman"/>
                <w:sz w:val="20"/>
              </w:rPr>
              <w:t xml:space="preserve">: Each director is elected by a plurality of the voting power of the shares present in person (including virtually) or represented by proxy at the annual meeting and entitled to vote on the election of directors. A plurality means that the nominees with the largest number of FOR votes are elected as directors. You may (1) vote FOR the election of all of the director nominees named herein, (2) WITHHOLD authority to vote for all such director nominees or (3) vote FOR the election of all such director nominees other than any nominees with respect to whom the vote is specifically WITHHELD by indicating in the space provided on the proxy. Because the outcome of this proposal will be determined by a plurality vote, any shares not voted FOR a particular nominee, whether as a result of choosing to WITHHOLD authority to vote or a broker non-vote, will have no effect on the outcome of the election. If you WITHHOLD your vote as to all nominees, you will be deemed to have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1"/>
        <w:gridCol w:w="9294"/>
      </w:tblGrid>
      <w:tr>
        <w:trPr/>
        <w:tc>
          <w:tcPr>
            <w:tcW w:w="911" w:type="dxa"/>
            <w:tcBorders/>
            <w:shd w:fill="auto" w:val="clear"/>
            <w:vAlign w:val="center"/>
          </w:tcPr>
          <w:p>
            <w:pPr>
              <w:pStyle w:val="TableContents"/>
              <w:spacing w:before="0" w:after="283"/>
              <w:rPr/>
            </w:pPr>
            <w:r>
              <w:rPr/>
              <w:t> </w:t>
            </w:r>
          </w:p>
        </w:tc>
        <w:tc>
          <w:tcPr>
            <w:tcW w:w="9294"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abstained from voting on Proposal No. 1, and such abstention will have no effect on the outcome of the proposal.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pPr>
            <w:r>
              <w:rPr>
                <w:rFonts w:ascii="Times New Roman" w:hAnsi="Times New Roman"/>
                <w:i/>
                <w:sz w:val="20"/>
              </w:rPr>
              <w:t>Proposal No.</w:t>
            </w:r>
            <w:r>
              <w:rPr>
                <w:rFonts w:ascii="Times New Roman" w:hAnsi="Times New Roman"/>
                <w:sz w:val="20"/>
              </w:rPr>
              <w:t> </w:t>
            </w:r>
            <w:r>
              <w:rPr>
                <w:rFonts w:ascii="Times New Roman" w:hAnsi="Times New Roman"/>
                <w:i/>
                <w:sz w:val="20"/>
              </w:rPr>
              <w:t>2</w:t>
            </w:r>
            <w:r>
              <w:rPr>
                <w:rFonts w:ascii="Times New Roman" w:hAnsi="Times New Roman"/>
                <w:sz w:val="20"/>
              </w:rPr>
              <w:t xml:space="preserve">: The ratification of the appointment of Deloitte &amp; Touche LLP as our independent registered public accounting firm for our fiscal year ending December 31, 2023 requires the affirmative vote of a majority of the voting power of the shares present in person (including virtually) or represented by proxy at the annual meeting and entitled to vote thereon. You may vote FOR or AGAINST this proposal, or you may indicate that you wish to ABSTAIN from voting on this proposal. Abstentions will be counted for purposes of determining the presence or absence of a quorum and will also count as votes against this proposal, i.e., will have the same effect as a vote AGAINST this proposal. Because this is a routine proposal, your broker, bank or other nominee will have discretion to vote your shares on this routine matter. See </w:t>
            </w:r>
            <w:r>
              <w:rPr>
                <w:rFonts w:ascii="Times New Roman" w:hAnsi="Times New Roman"/>
                <w:i/>
                <w:sz w:val="20"/>
              </w:rPr>
              <w:t></w:t>
            </w:r>
            <w:r>
              <w:fldChar w:fldCharType="begin"/>
            </w:r>
            <w:r>
              <w:rPr>
                <w:rStyle w:val="InternetLink"/>
                <w:sz w:val="20"/>
                <w:i/>
                <w:rFonts w:ascii="Times New Roman" w:hAnsi="Times New Roman"/>
              </w:rPr>
              <w:instrText> HYPERLINK "http://www.sec.gov/Archives/edgar/data/939767/000119312521117232/d63026ddef14a.htm" \l "tx63026_a1"</w:instrText>
            </w:r>
            <w:r>
              <w:rPr>
                <w:rStyle w:val="InternetLink"/>
                <w:sz w:val="20"/>
                <w:i/>
                <w:rFonts w:ascii="Times New Roman" w:hAnsi="Times New Roman"/>
              </w:rPr>
              <w:fldChar w:fldCharType="separate"/>
            </w:r>
            <w:r>
              <w:rPr>
                <w:rStyle w:val="InternetLink"/>
                <w:rFonts w:ascii="Times New Roman" w:hAnsi="Times New Roman"/>
                <w:i/>
                <w:sz w:val="20"/>
              </w:rPr>
              <w:t>What if I do not specify how my shares are to be voted or fail to provide timely directions to my broker, bank or other nominee</w:t>
            </w:r>
            <w:r>
              <w:rPr>
                <w:rStyle w:val="InternetLink"/>
                <w:sz w:val="20"/>
                <w:i/>
                <w:rFonts w:ascii="Times New Roman" w:hAnsi="Times New Roman"/>
              </w:rPr>
              <w:fldChar w:fldCharType="end"/>
            </w:r>
            <w:r>
              <w:rPr>
                <w:rFonts w:ascii="Times New Roman" w:hAnsi="Times New Roman"/>
                <w:i/>
                <w:sz w:val="20"/>
              </w:rPr>
              <w:t>?</w:t>
            </w:r>
            <w:r>
              <w:rPr>
                <w:rFonts w:ascii="Times New Roman" w:hAnsi="Times New Roman"/>
                <w:sz w:val="20"/>
              </w:rPr>
              <w:t xml:space="preserve"> below. Therefore, we do not expect any broker non-votes on this proposal.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Proposal No.</w:t>
            </w:r>
            <w:r>
              <w:rPr>
                <w:rFonts w:ascii="Times New Roman" w:hAnsi="Times New Roman"/>
                <w:sz w:val="20"/>
              </w:rPr>
              <w:t> </w:t>
            </w:r>
            <w:r>
              <w:rPr>
                <w:rFonts w:ascii="Times New Roman" w:hAnsi="Times New Roman"/>
                <w:i/>
                <w:sz w:val="20"/>
              </w:rPr>
              <w:t>3</w:t>
            </w:r>
            <w:r>
              <w:rPr>
                <w:rFonts w:ascii="Times New Roman" w:hAnsi="Times New Roman"/>
                <w:sz w:val="20"/>
              </w:rPr>
              <w:t xml:space="preserve">: The amendment to our Amended and Restated Certificate of Incorporation to allow for the exculpation of officers requires the affirmative vote of a majority of the voting power of the shares of capital stock of the Company outstanding as of the record date and entitled to vote thereon. You may vote FOR or AGAINST this proposal, or you may indicate that you wish to ABSTAIN from voting on this proposal. Abstentions and broker non-votes will be counted for purposes of determining the presence or absence of a quorum and will also count as votes against this proposal, i.e., will have the same effect as a vote AGAINST this proposal. </w:t>
            </w:r>
          </w:p>
        </w:tc>
      </w:tr>
    </w:tbl>
    <w:p>
      <w:pPr>
        <w:pStyle w:val="TextBody"/>
        <w:spacing w:before="360" w:after="0"/>
        <w:jc w:val="left"/>
        <w:rPr>
          <w:rFonts w:ascii="Times New Roman" w:hAnsi="Times New Roman"/>
          <w:b/>
          <w:sz w:val="20"/>
        </w:rPr>
      </w:pPr>
      <w:r>
        <w:rPr>
          <w:rFonts w:ascii="Times New Roman" w:hAnsi="Times New Roman"/>
          <w:b/>
          <w:sz w:val="20"/>
        </w:rPr>
        <w:t xml:space="preserve">How do I vote and what are the voting deadlines? </w:t>
      </w:r>
    </w:p>
    <w:p>
      <w:pPr>
        <w:pStyle w:val="TextBody"/>
        <w:spacing w:before="120" w:after="0"/>
        <w:jc w:val="left"/>
        <w:rPr>
          <w:rFonts w:ascii="Times New Roman" w:hAnsi="Times New Roman"/>
          <w:sz w:val="20"/>
        </w:rPr>
      </w:pPr>
      <w:r>
        <w:rPr>
          <w:rFonts w:ascii="Times New Roman" w:hAnsi="Times New Roman"/>
          <w:i/>
          <w:sz w:val="20"/>
        </w:rPr>
        <w:t>Stockholders of Record</w:t>
      </w:r>
      <w:r>
        <w:rPr>
          <w:rFonts w:ascii="Times New Roman" w:hAnsi="Times New Roman"/>
          <w:sz w:val="20"/>
        </w:rPr>
        <w:t xml:space="preserve">. If you are a stockholder of record, you may vote in one of the following ways: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by Internet at www.proxydocs.com/TNYA, 24 hours a day, 7 days a week, until 11:59 p.m. Eastern Time on June 7, 2023. To vote via the Internet prior to the annual meeting, go to www.proxydocs.com/TNYA to complete an electronic proxy card. You will be asked to provide the control number from the proxy card you receive. If you vote via the Internet prior to the annual meeting, you do not need to return a proxy card by mail.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by toll-free telephone at 1-866-475-3780, 24 hours a day, 7 days a week, until 11:59 p.m. Eastern Time on June 7, 2023. You will be asked to provide the control number from the proxy card. If you vote by telephone, you do not need to return a proxy card by mail.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by completing, signing and mailing your proxy card that accompanies this proxy statement, which must be received prior to the annual meeting. The persons named in the proxy card will vote the shares you own in accordance with your instructions on the proxy card you mail. If you return the proxy card, but do not give any instructions on a particular matter to be voted on at the annual meeting, the persons named in the proxy card will vote the shares you own in accordance with the recommendations of our board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by attending the annual meeting virtually by visiting www.proxydocs.com/TNYA, where you may vote during the meeting (have your Notice of Internet Availability or proxy card in hand when you visit the website). </w:t>
            </w:r>
          </w:p>
        </w:tc>
      </w:tr>
    </w:tbl>
    <w:p>
      <w:pPr>
        <w:pStyle w:val="TextBody"/>
        <w:spacing w:before="240" w:after="0"/>
        <w:jc w:val="left"/>
        <w:rPr>
          <w:rFonts w:ascii="Times New Roman" w:hAnsi="Times New Roman"/>
          <w:sz w:val="20"/>
        </w:rPr>
      </w:pPr>
      <w:r>
        <w:rPr>
          <w:rFonts w:ascii="Times New Roman" w:hAnsi="Times New Roman"/>
          <w:i/>
          <w:sz w:val="20"/>
        </w:rPr>
        <w:t>Street Name Stockholders</w:t>
      </w:r>
      <w:r>
        <w:rPr>
          <w:rFonts w:ascii="Times New Roman" w:hAnsi="Times New Roman"/>
          <w:sz w:val="20"/>
        </w:rPr>
        <w:t xml:space="preserve">. If you are a street name stockholder, then you will receive voting instructions from your broker, bank or other nominee. The availability of Internet and telephone voting options will depend on the voting process of your broker, bank or other nominee. We therefore recommend that you follow the voting instructions in the materials you receive. If your voting instruction form or notice of internet availability of proxy materials indicates that you may vote your shares through the proxyvote.com website, then you may vote those shares at the annual meeting with the control number indicated on that voting instruction form or notice of internet availability of proxy materials. Otherwise, you may not vote your shares at the annual meeting unless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you obtain a legal proxy from your broker, bank or other nominee. 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spacing w:before="360" w:after="0"/>
        <w:jc w:val="left"/>
        <w:rPr>
          <w:rFonts w:ascii="Times New Roman" w:hAnsi="Times New Roman"/>
          <w:b/>
          <w:sz w:val="20"/>
        </w:rPr>
      </w:pPr>
      <w:r>
        <w:rPr>
          <w:rFonts w:ascii="Times New Roman" w:hAnsi="Times New Roman"/>
          <w:b/>
          <w:sz w:val="20"/>
        </w:rPr>
        <w:t xml:space="preserve">What if I do not specify how my shares are to be voted or fail to provide timely directions to my broker, bank or other nominee? </w:t>
      </w:r>
    </w:p>
    <w:p>
      <w:pPr>
        <w:pStyle w:val="TextBody"/>
        <w:spacing w:before="120" w:after="0"/>
        <w:jc w:val="left"/>
        <w:rPr>
          <w:rFonts w:ascii="Times New Roman" w:hAnsi="Times New Roman"/>
          <w:sz w:val="20"/>
        </w:rPr>
      </w:pPr>
      <w:r>
        <w:rPr>
          <w:rFonts w:ascii="Times New Roman" w:hAnsi="Times New Roman"/>
          <w:i/>
          <w:sz w:val="20"/>
        </w:rPr>
        <w:t>Stockholders of Record</w:t>
      </w:r>
      <w:r>
        <w:rPr>
          <w:rFonts w:ascii="Times New Roman" w:hAnsi="Times New Roman"/>
          <w:sz w:val="20"/>
        </w:rPr>
        <w:t xml:space="preserve">. If you are a stockholder of record and you submit a proxy, but you do not provide voting instructions, your shares will be voted: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the election of each Class II director nominee named in this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the ratification of the appointment of Deloitte &amp; Touche LLP as our independent registered public accounting firm for our fiscal year ending December 31, 2023;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the amendment to our Amended and Restated Certificate of Incorporation to reflect recently adopted Delaware law provisions regarding officer exculpation. </w:t>
            </w:r>
          </w:p>
        </w:tc>
      </w:tr>
    </w:tbl>
    <w:p>
      <w:pPr>
        <w:pStyle w:val="TextBody"/>
        <w:spacing w:before="240" w:after="0"/>
        <w:jc w:val="left"/>
        <w:rPr>
          <w:rFonts w:ascii="Times New Roman" w:hAnsi="Times New Roman"/>
          <w:sz w:val="20"/>
        </w:rPr>
      </w:pPr>
      <w:r>
        <w:rPr>
          <w:rFonts w:ascii="Times New Roman" w:hAnsi="Times New Roman"/>
          <w:sz w:val="20"/>
        </w:rPr>
        <w:t xml:space="preserve">In addition, if any other matters are properly brought before the annual meeting, the persons named as proxies will be authorized to vote or otherwise act on those matters in accordance with their judgment. </w:t>
      </w:r>
    </w:p>
    <w:p>
      <w:pPr>
        <w:pStyle w:val="TextBody"/>
        <w:spacing w:before="240" w:after="0"/>
        <w:jc w:val="left"/>
        <w:rPr>
          <w:rFonts w:ascii="Times New Roman" w:hAnsi="Times New Roman"/>
          <w:sz w:val="20"/>
        </w:rPr>
      </w:pPr>
      <w:r>
        <w:rPr>
          <w:rFonts w:ascii="Times New Roman" w:hAnsi="Times New Roman"/>
          <w:i/>
          <w:sz w:val="20"/>
        </w:rPr>
        <w:t>Street Name Stockholders</w:t>
      </w:r>
      <w:r>
        <w:rPr>
          <w:rFonts w:ascii="Times New Roman" w:hAnsi="Times New Roman"/>
          <w:sz w:val="20"/>
        </w:rPr>
        <w:t xml:space="preserve">. Brokers, banks and other nominees holding shares of common stock in street name for customers are generally required to vote such shares in the manner directed by their customers. In the absence of timely directions, your broker, bank or other nominee will have discretion to vote your shares on our sole routine matter: the proposal to ratify the appointment of Deloitte &amp; Touche LLP as our independent registered public accounting firm for our fiscal year ending December 31, 2023. Your broker, bank or other nominee will not have discretion to vote on any other proposals, which are considered non-routine matters, absent direction from you. In the event that your broker, bank or other nominee votes your shares on our sole routine matter, but is not able to vote your shares on the non-routine matters, then those shares will be treated as broker non-votes with respect to the non-routine proposals. Accordingly, if you own shares through a nominee, such as a broker or bank, please be sure to instruct your nominee how to vote to ensure that your shares are counted on each of the proposals. </w:t>
      </w:r>
    </w:p>
    <w:p>
      <w:pPr>
        <w:pStyle w:val="TextBody"/>
        <w:spacing w:before="360" w:after="0"/>
        <w:jc w:val="left"/>
        <w:rPr>
          <w:rFonts w:ascii="Times New Roman" w:hAnsi="Times New Roman"/>
          <w:b/>
          <w:sz w:val="20"/>
        </w:rPr>
      </w:pPr>
      <w:r>
        <w:rPr>
          <w:rFonts w:ascii="Times New Roman" w:hAnsi="Times New Roman"/>
          <w:b/>
          <w:sz w:val="20"/>
        </w:rPr>
        <w:t xml:space="preserve">What are the effects of abstentions and broker non-votes? </w:t>
      </w:r>
    </w:p>
    <w:p>
      <w:pPr>
        <w:pStyle w:val="TextBody"/>
        <w:spacing w:before="120" w:after="0"/>
        <w:jc w:val="left"/>
        <w:rPr>
          <w:rFonts w:ascii="Times New Roman" w:hAnsi="Times New Roman"/>
          <w:sz w:val="20"/>
        </w:rPr>
      </w:pPr>
      <w:r>
        <w:rPr>
          <w:rFonts w:ascii="Times New Roman" w:hAnsi="Times New Roman"/>
          <w:sz w:val="20"/>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and entitled to vote thereon or a majority of the voting power of the shares of capital stock of the Company outstanding as of the record date and entitled to vote thereon (</w:t>
      </w:r>
      <w:r>
        <w:rPr>
          <w:rFonts w:ascii="Times New Roman" w:hAnsi="Times New Roman"/>
          <w:i/>
          <w:sz w:val="20"/>
        </w:rPr>
        <w:t>e.g.</w:t>
      </w:r>
      <w:r>
        <w:rPr>
          <w:rFonts w:ascii="Times New Roman" w:hAnsi="Times New Roman"/>
          <w:sz w:val="20"/>
        </w:rPr>
        <w:t xml:space="preserve">, Proposals No. 2 and 3, respectively). However, because the outcome of Proposal No. 1 (election of directors) will be determined by a plurality vote, abstentions will have no impact on the outcome of such proposal as long as a quorum exists. </w:t>
      </w:r>
    </w:p>
    <w:p>
      <w:pPr>
        <w:pStyle w:val="TextBody"/>
        <w:spacing w:before="240" w:after="0"/>
        <w:jc w:val="left"/>
        <w:rPr>
          <w:rFonts w:ascii="Times New Roman" w:hAnsi="Times New Roman"/>
          <w:sz w:val="20"/>
        </w:rPr>
      </w:pPr>
      <w:r>
        <w:rPr>
          <w:rFonts w:ascii="Times New Roman" w:hAnsi="Times New Roman"/>
          <w:sz w:val="20"/>
        </w:rPr>
        <w:t xml:space="preserve">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Proposals No. 1 and 2. A broker non-vote will be treated as a vote AGAINST Proposal No. 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Can I change my vote or revoke my proxy? </w:t>
      </w:r>
    </w:p>
    <w:p>
      <w:pPr>
        <w:pStyle w:val="TextBody"/>
        <w:spacing w:before="120" w:after="0"/>
        <w:jc w:val="left"/>
        <w:rPr>
          <w:rFonts w:ascii="Times New Roman" w:hAnsi="Times New Roman"/>
          <w:sz w:val="20"/>
        </w:rPr>
      </w:pPr>
      <w:r>
        <w:rPr>
          <w:rFonts w:ascii="Times New Roman" w:hAnsi="Times New Roman"/>
          <w:i/>
          <w:sz w:val="20"/>
        </w:rPr>
        <w:t>Stockholders of Record</w:t>
      </w:r>
      <w:r>
        <w:rPr>
          <w:rFonts w:ascii="Times New Roman" w:hAnsi="Times New Roman"/>
          <w:sz w:val="20"/>
        </w:rPr>
        <w:t xml:space="preserve">. If you are a stockholder of record, you can change your vote or revoke your proxy before the annual meeting by: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entering a new vote by Internet or telephone (subject to the applicable deadlines for each method as set forth above);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completing and returning a later-dated proxy card, which must be received prior to the annual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delivering a written notice of revocation to our Secretary at Tenaya Therapeutics, Inc., 171 Oyster Point Boulevard, Suite 500, South San Francisco, CA 94080, Attention: Corporate Secretary, which must be received prior to the annual meeting;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attending virtually and voting at the annual meeting (although attendance at the annual meeting will not, by itself, revoke a proxy). </w:t>
            </w:r>
          </w:p>
        </w:tc>
      </w:tr>
    </w:tbl>
    <w:p>
      <w:pPr>
        <w:pStyle w:val="TextBody"/>
        <w:spacing w:before="240" w:after="0"/>
        <w:jc w:val="left"/>
        <w:rPr>
          <w:rFonts w:ascii="Times New Roman" w:hAnsi="Times New Roman"/>
          <w:sz w:val="20"/>
        </w:rPr>
      </w:pPr>
      <w:r>
        <w:rPr>
          <w:rFonts w:ascii="Times New Roman" w:hAnsi="Times New Roman"/>
          <w:i/>
          <w:sz w:val="20"/>
        </w:rPr>
        <w:t>Street Name Stockholders</w:t>
      </w:r>
      <w:r>
        <w:rPr>
          <w:rFonts w:ascii="Times New Roman" w:hAnsi="Times New Roman"/>
          <w:sz w:val="20"/>
        </w:rPr>
        <w:t xml:space="preserve">. If you are a street name stockholder, then your broker, bank or other nominee can provide you with instructions on how to change or revoke your proxy. </w:t>
      </w:r>
    </w:p>
    <w:p>
      <w:pPr>
        <w:pStyle w:val="TextBody"/>
        <w:spacing w:before="360" w:after="0"/>
        <w:jc w:val="left"/>
        <w:rPr>
          <w:rFonts w:ascii="Times New Roman" w:hAnsi="Times New Roman"/>
          <w:b/>
          <w:sz w:val="20"/>
        </w:rPr>
      </w:pPr>
      <w:r>
        <w:rPr>
          <w:rFonts w:ascii="Times New Roman" w:hAnsi="Times New Roman"/>
          <w:b/>
          <w:sz w:val="20"/>
        </w:rPr>
        <w:t xml:space="preserve">What do I need to do to attend the annual meeting? </w:t>
      </w:r>
    </w:p>
    <w:p>
      <w:pPr>
        <w:pStyle w:val="TextBody"/>
        <w:spacing w:before="120" w:after="0"/>
        <w:jc w:val="left"/>
        <w:rPr>
          <w:rFonts w:ascii="Times New Roman" w:hAnsi="Times New Roman"/>
          <w:sz w:val="20"/>
        </w:rPr>
      </w:pPr>
      <w:r>
        <w:rPr>
          <w:rFonts w:ascii="Times New Roman" w:hAnsi="Times New Roman"/>
          <w:sz w:val="20"/>
        </w:rPr>
        <w:t xml:space="preserve">We will be hosting the annual meeting via a live audio webcast only. </w:t>
      </w:r>
    </w:p>
    <w:p>
      <w:pPr>
        <w:pStyle w:val="TextBody"/>
        <w:spacing w:before="240" w:after="0"/>
        <w:jc w:val="left"/>
        <w:rPr>
          <w:rFonts w:ascii="Times New Roman" w:hAnsi="Times New Roman"/>
          <w:sz w:val="20"/>
        </w:rPr>
      </w:pPr>
      <w:r>
        <w:rPr>
          <w:rFonts w:ascii="Times New Roman" w:hAnsi="Times New Roman"/>
          <w:i/>
          <w:sz w:val="20"/>
        </w:rPr>
        <w:t>Stockholders of Record</w:t>
      </w:r>
      <w:r>
        <w:rPr>
          <w:rFonts w:ascii="Times New Roman" w:hAnsi="Times New Roman"/>
          <w:sz w:val="20"/>
        </w:rPr>
        <w:t xml:space="preserve">. If you were a stockholder of record as of the record date, then you may attend the annual meeting virtually, and will be able to submit your questions during the meeting and vote your shares electronically during the meeting. To attend and participate in the annual meeting, you must register in advance at www.proxydocs.com/TNYA prior to the deadline of 7:59 a.m. Pacific Time on June 7, 2023. Upon completing your registration, you will receive further instructions via email, including your unique link that will allow you to access the annual meeting and to submit questions during the annual meeting. Stockholders are already provided the opportunity to submit questions prior to the annual meeting at the time of registration. The annual meeting via a live audio only webcast will begin promptly at 8:00 a.m. Pacific Time. We encourage you to access the meeting prior to the start time. Online check-in will begin at 7:45 a.m. Pacific Time on June 8, 2023, and you should allow ample time for the check-in procedures. </w:t>
      </w:r>
    </w:p>
    <w:p>
      <w:pPr>
        <w:pStyle w:val="TextBody"/>
        <w:spacing w:before="240" w:after="0"/>
        <w:jc w:val="left"/>
        <w:rPr>
          <w:rFonts w:ascii="Times New Roman" w:hAnsi="Times New Roman"/>
          <w:sz w:val="20"/>
        </w:rPr>
      </w:pPr>
      <w:r>
        <w:rPr>
          <w:rFonts w:ascii="Times New Roman" w:hAnsi="Times New Roman"/>
          <w:i/>
          <w:sz w:val="20"/>
        </w:rPr>
        <w:t>Street Name Stockholders</w:t>
      </w:r>
      <w:r>
        <w:rPr>
          <w:rFonts w:ascii="Times New Roman" w:hAnsi="Times New Roman"/>
          <w:sz w:val="20"/>
        </w:rPr>
        <w:t xml:space="preserve">. If you were a street name stockholder as of the record date and your voting instruction form or notice of internet availability of proxy materials indicates that you may vote your shares through the proxyvote.com website, then you may access and participate in the annual meeting with the control number indicated on that voting instruction form or notice of internet availability of proxy materials. Otherwise, street name stockholders should contact their bank, broker or other nominee and obtain a legal proxy in order to be able to attend and participate in the annual meeting. </w:t>
      </w:r>
    </w:p>
    <w:p>
      <w:pPr>
        <w:pStyle w:val="TextBody"/>
        <w:spacing w:before="360" w:after="0"/>
        <w:jc w:val="left"/>
        <w:rPr>
          <w:rFonts w:ascii="Times New Roman" w:hAnsi="Times New Roman"/>
          <w:b/>
          <w:sz w:val="20"/>
        </w:rPr>
      </w:pPr>
      <w:r>
        <w:rPr>
          <w:rFonts w:ascii="Times New Roman" w:hAnsi="Times New Roman"/>
          <w:b/>
          <w:sz w:val="20"/>
        </w:rPr>
        <w:t xml:space="preserve">How can I get help if I have trouble checking in or listening to the annual meeting online? </w:t>
      </w:r>
    </w:p>
    <w:p>
      <w:pPr>
        <w:pStyle w:val="TextBody"/>
        <w:spacing w:before="120" w:after="0"/>
        <w:jc w:val="left"/>
        <w:rPr>
          <w:rFonts w:ascii="Times New Roman" w:hAnsi="Times New Roman"/>
          <w:sz w:val="20"/>
        </w:rPr>
      </w:pPr>
      <w:r>
        <w:rPr>
          <w:rFonts w:ascii="Times New Roman" w:hAnsi="Times New Roman"/>
          <w:sz w:val="20"/>
        </w:rPr>
        <w:t xml:space="preserve">We will have technicians ready to assist you with any technical difficulties you may have accessing the annual meeting. If you encounter any difficulties accessing the virtual-only annual meeting platform, including any difficulties voting or submitting questions, you may call the technical support number that will be posted in your instructional email. </w:t>
      </w:r>
    </w:p>
    <w:p>
      <w:pPr>
        <w:pStyle w:val="TextBody"/>
        <w:spacing w:before="360" w:after="0"/>
        <w:jc w:val="left"/>
        <w:rPr>
          <w:rFonts w:ascii="Times New Roman" w:hAnsi="Times New Roman"/>
          <w:b/>
          <w:sz w:val="20"/>
        </w:rPr>
      </w:pPr>
      <w:r>
        <w:rPr>
          <w:rFonts w:ascii="Times New Roman" w:hAnsi="Times New Roman"/>
          <w:b/>
          <w:sz w:val="20"/>
        </w:rPr>
        <w:t xml:space="preserve">Why is the annual meeting held virtually? </w:t>
      </w:r>
    </w:p>
    <w:p>
      <w:pPr>
        <w:pStyle w:val="TextBody"/>
        <w:spacing w:before="120" w:after="0"/>
        <w:jc w:val="left"/>
        <w:rPr>
          <w:rFonts w:ascii="Times New Roman" w:hAnsi="Times New Roman"/>
          <w:sz w:val="20"/>
        </w:rPr>
      </w:pPr>
      <w:r>
        <w:rPr>
          <w:rFonts w:ascii="Times New Roman" w:hAnsi="Times New Roman"/>
          <w:sz w:val="20"/>
        </w:rPr>
        <w:t xml:space="preserve">We believe that a virtual annual meeting allows for participation by a broader group of stockholders and reduces the costs to stockholders associated with holding an in-person meeting. The virtual meeting format is intended to facilitate a level of transparency as close as possible to an in-person meeting.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What is the effect of giving a proxy? </w:t>
      </w:r>
    </w:p>
    <w:p>
      <w:pPr>
        <w:pStyle w:val="TextBody"/>
        <w:spacing w:before="120" w:after="0"/>
        <w:jc w:val="left"/>
        <w:rPr>
          <w:rFonts w:ascii="Times New Roman" w:hAnsi="Times New Roman"/>
          <w:sz w:val="20"/>
        </w:rPr>
      </w:pPr>
      <w:r>
        <w:rPr>
          <w:rFonts w:ascii="Times New Roman" w:hAnsi="Times New Roman"/>
          <w:sz w:val="20"/>
        </w:rPr>
        <w:t xml:space="preserve">Proxies are solicited by and on behalf of our board of directors. Faraz Ali, our Chief Executive Officer, Leone D. Patterson, our Chief Financial and Business Officer, and Jennifer Drimmer Rokovich, our General Counsel and Corporate Secretary (the Named Proxies), have been designated as proxy holders for the annual meeting by our board of directors. When proxies are properly dated, executed and returned, the shares represented by such proxies will be voted at the annual meeting in accordance with the instructions of the stockholders. If the proxy is dated and signed, but no specific instructions are given, however, the shares will be voted in accordance with the recommendations of our board of directors on the proposals as described above. If any other matters are properly brought before the annual meeting, then the Named Proxies will use their own judgment to determine how to vote your shares. If the annual meeting is postponed or adjourned, then the Named Proxies can vote your shares on the new meeting date, unless you have properly revoked your proxy, as described above. </w:t>
      </w:r>
    </w:p>
    <w:p>
      <w:pPr>
        <w:pStyle w:val="TextBody"/>
        <w:spacing w:before="360" w:after="0"/>
        <w:jc w:val="left"/>
        <w:rPr>
          <w:rFonts w:ascii="Times New Roman" w:hAnsi="Times New Roman"/>
          <w:b/>
          <w:sz w:val="20"/>
        </w:rPr>
      </w:pPr>
      <w:r>
        <w:rPr>
          <w:rFonts w:ascii="Times New Roman" w:hAnsi="Times New Roman"/>
          <w:b/>
          <w:sz w:val="20"/>
        </w:rPr>
        <w:t xml:space="preserve">Who will count the votes? </w:t>
      </w:r>
    </w:p>
    <w:p>
      <w:pPr>
        <w:pStyle w:val="TextBody"/>
        <w:spacing w:before="120" w:after="0"/>
        <w:jc w:val="left"/>
        <w:rPr>
          <w:rFonts w:ascii="Times New Roman" w:hAnsi="Times New Roman"/>
          <w:sz w:val="20"/>
        </w:rPr>
      </w:pPr>
      <w:r>
        <w:rPr>
          <w:rFonts w:ascii="Times New Roman" w:hAnsi="Times New Roman"/>
          <w:sz w:val="20"/>
        </w:rPr>
        <w:t xml:space="preserve">A representative of Mediant Communications Inc. will tabulate the votes and act as inspector of election. </w:t>
      </w:r>
    </w:p>
    <w:p>
      <w:pPr>
        <w:pStyle w:val="TextBody"/>
        <w:spacing w:before="360" w:after="0"/>
        <w:jc w:val="left"/>
        <w:rPr>
          <w:rFonts w:ascii="Times New Roman" w:hAnsi="Times New Roman"/>
          <w:b/>
          <w:sz w:val="20"/>
        </w:rPr>
      </w:pPr>
      <w:r>
        <w:rPr>
          <w:rFonts w:ascii="Times New Roman" w:hAnsi="Times New Roman"/>
          <w:b/>
          <w:sz w:val="20"/>
        </w:rPr>
        <w:t xml:space="preserve">How can I contact Tenayas transfer agent? </w:t>
      </w:r>
    </w:p>
    <w:p>
      <w:pPr>
        <w:pStyle w:val="TextBody"/>
        <w:spacing w:before="120" w:after="0"/>
        <w:jc w:val="left"/>
        <w:rPr>
          <w:rFonts w:ascii="Times New Roman" w:hAnsi="Times New Roman"/>
          <w:sz w:val="20"/>
        </w:rPr>
      </w:pPr>
      <w:r>
        <w:rPr>
          <w:rFonts w:ascii="Times New Roman" w:hAnsi="Times New Roman"/>
          <w:sz w:val="20"/>
        </w:rPr>
        <w:t xml:space="preserve">You may contact our transfer agent, Computershare Trust Company, N.A., by telephone at 800-736-3001, or by writing Computershare Trust Company, N.A, at 150 Royall Street, Canton, Massachusetts 02021. You may also access instructions with respect to certain stockholders matters (e.g., change of address) via the Internet at www-us.computershare.com. </w:t>
      </w:r>
    </w:p>
    <w:p>
      <w:pPr>
        <w:pStyle w:val="TextBody"/>
        <w:spacing w:before="360" w:after="0"/>
        <w:jc w:val="left"/>
        <w:rPr>
          <w:rFonts w:ascii="Times New Roman" w:hAnsi="Times New Roman"/>
          <w:b/>
          <w:sz w:val="20"/>
        </w:rPr>
      </w:pPr>
      <w:r>
        <w:rPr>
          <w:rFonts w:ascii="Times New Roman" w:hAnsi="Times New Roman"/>
          <w:b/>
          <w:sz w:val="20"/>
        </w:rPr>
        <w:t xml:space="preserve">How are proxies solicited for the annual meeting and who is paying for such solicitation? </w:t>
      </w:r>
    </w:p>
    <w:p>
      <w:pPr>
        <w:pStyle w:val="TextBody"/>
        <w:spacing w:before="120" w:after="0"/>
        <w:jc w:val="left"/>
        <w:rPr>
          <w:rFonts w:ascii="Times New Roman" w:hAnsi="Times New Roman"/>
          <w:sz w:val="20"/>
        </w:rPr>
      </w:pPr>
      <w:r>
        <w:rPr>
          <w:rFonts w:ascii="Times New Roman" w:hAnsi="Times New Roman"/>
          <w:sz w:val="20"/>
        </w:rPr>
        <w:t xml:space="preserve">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communications or other means by our directors, officers or employees. No additional compensation will be paid to these individuals for any such services, although we may reimburse such individuals for their reasonable out-of-pocket expenses in connection with such solicitation. </w:t>
      </w:r>
    </w:p>
    <w:p>
      <w:pPr>
        <w:pStyle w:val="TextBody"/>
        <w:spacing w:before="360" w:after="0"/>
        <w:jc w:val="left"/>
        <w:rPr>
          <w:rFonts w:ascii="Times New Roman" w:hAnsi="Times New Roman"/>
          <w:b/>
          <w:sz w:val="20"/>
        </w:rPr>
      </w:pPr>
      <w:r>
        <w:rPr>
          <w:rFonts w:ascii="Times New Roman" w:hAnsi="Times New Roman"/>
          <w:b/>
          <w:sz w:val="20"/>
        </w:rPr>
        <w:t xml:space="preserve">Where can I find the voting results of the annual meeting? </w:t>
      </w:r>
    </w:p>
    <w:p>
      <w:pPr>
        <w:pStyle w:val="TextBody"/>
        <w:spacing w:before="120" w:after="0"/>
        <w:jc w:val="left"/>
        <w:rPr>
          <w:rFonts w:ascii="Times New Roman" w:hAnsi="Times New Roman"/>
          <w:sz w:val="20"/>
        </w:rPr>
      </w:pPr>
      <w:r>
        <w:rPr>
          <w:rFonts w:ascii="Times New Roman" w:hAnsi="Times New Roman"/>
          <w:sz w:val="20"/>
        </w:rPr>
        <w:t xml:space="preserve">We will disclose voting results on a Current Report on Form 8-K that we will file with the SEC within four business days after the meeting. If final voting results are not available to us in time to file a Form 8-K, we will file a Form 8-K to publish preliminary results and will provide the final results in an amendment to the Form 8-K as soon as they become available. </w:t>
      </w:r>
    </w:p>
    <w:p>
      <w:pPr>
        <w:pStyle w:val="TextBody"/>
        <w:spacing w:before="360" w:after="0"/>
        <w:jc w:val="left"/>
        <w:rPr>
          <w:rFonts w:ascii="Times New Roman" w:hAnsi="Times New Roman"/>
          <w:b/>
          <w:sz w:val="20"/>
        </w:rPr>
      </w:pPr>
      <w:r>
        <w:rPr>
          <w:rFonts w:ascii="Times New Roman" w:hAnsi="Times New Roman"/>
          <w:b/>
          <w:sz w:val="20"/>
        </w:rPr>
        <w:t xml:space="preserve">Why did I receive a Notice of Internet Availability instead of a full set of proxy materials? </w:t>
      </w:r>
    </w:p>
    <w:p>
      <w:pPr>
        <w:pStyle w:val="TextBody"/>
        <w:spacing w:before="120" w:after="0"/>
        <w:jc w:val="left"/>
        <w:rPr>
          <w:rFonts w:ascii="Times New Roman" w:hAnsi="Times New Roman"/>
          <w:sz w:val="20"/>
        </w:rPr>
      </w:pPr>
      <w:r>
        <w:rPr>
          <w:rFonts w:ascii="Times New Roman" w:hAnsi="Times New Roman"/>
          <w:sz w:val="20"/>
        </w:rPr>
        <w:t xml:space="preserve">In accordance with the rules of the SEC we have elected to furnish our proxy materials, including this proxy statement and our annual report, primarily via the Internet. As a result, we are mailing to our stockholders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to take advantage of the availability of the proxy materials on the Internet to help reduce our costs and the environmental impact of our annual meetings.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What does it mean if I receive more than one Notice of Internet Availability or more than one set of printed proxy materials? </w:t>
      </w:r>
    </w:p>
    <w:p>
      <w:pPr>
        <w:pStyle w:val="TextBody"/>
        <w:spacing w:before="120" w:after="0"/>
        <w:jc w:val="left"/>
        <w:rPr>
          <w:rFonts w:ascii="Times New Roman" w:hAnsi="Times New Roman"/>
          <w:sz w:val="20"/>
        </w:rPr>
      </w:pPr>
      <w:r>
        <w:rPr>
          <w:rFonts w:ascii="Times New Roman" w:hAnsi="Times New Roman"/>
          <w:sz w:val="20"/>
        </w:rPr>
        <w:t xml:space="preserve">If you receive more than one Notice of Internet Availability or more than one set of printed proxy materials, then your shares may be registered in more than one name and/or are registered in different accounts. Please follow the voting instructions on each Notice of Internet Availability or each set of printed proxy materials, as applicable, to ensure that all of your shares are voted. </w:t>
      </w:r>
    </w:p>
    <w:p>
      <w:pPr>
        <w:pStyle w:val="TextBody"/>
        <w:spacing w:before="360" w:after="0"/>
        <w:jc w:val="left"/>
        <w:rPr>
          <w:rFonts w:ascii="Times New Roman" w:hAnsi="Times New Roman"/>
          <w:b/>
          <w:sz w:val="20"/>
        </w:rPr>
      </w:pPr>
      <w:r>
        <w:rPr>
          <w:rFonts w:ascii="Times New Roman" w:hAnsi="Times New Roman"/>
          <w:b/>
          <w:sz w:val="20"/>
        </w:rPr>
        <w:t xml:space="preserve">I share an address with another stockholder, and we received only one paper copy of the Notice of Internet Availability or proxy statement and annual report. How may I obtain an additional copy of the Notice of Internet Availability or proxy statement and annual report? </w:t>
      </w:r>
    </w:p>
    <w:p>
      <w:pPr>
        <w:pStyle w:val="TextBody"/>
        <w:spacing w:before="120" w:after="0"/>
        <w:jc w:val="left"/>
        <w:rPr>
          <w:rFonts w:ascii="Times New Roman" w:hAnsi="Times New Roman"/>
          <w:sz w:val="20"/>
        </w:rPr>
      </w:pPr>
      <w:r>
        <w:rPr>
          <w:rFonts w:ascii="Times New Roman" w:hAnsi="Times New Roman"/>
          <w:sz w:val="20"/>
        </w:rPr>
        <w:t xml:space="preserve">We have adopted a procedure approved by the SEC called householding, under which we can deliver a single copy of the Notice of Internet Availability and, if applicable, the proxy statement and annual report, to multiple stockholders who share the same address unless we receive contrary instructions from one or more stockholders. This procedure reduces our printing and mailing costs. Stockholders who participate in householding will continue to be able to access and receive separate proxy cards. Upon written or oral request, we will deliver promptly a separate copy of the Notice of Internet Availability and, if applicable, the proxy statement and annual report, to any stockholders at a shared address to which we delivered a single copy of these documents. To receive a separate copy, or, if you are receiving multiple copies, to request that we only send a single copy of next years Notice of Internet Availability or proxy statement and annual report, as applicable, you may contact us as follows: </w:t>
      </w:r>
    </w:p>
    <w:p>
      <w:pPr>
        <w:pStyle w:val="TextBody"/>
        <w:spacing w:before="240" w:after="0"/>
        <w:jc w:val="center"/>
        <w:rPr>
          <w:rFonts w:ascii="Times New Roman" w:hAnsi="Times New Roman"/>
          <w:sz w:val="20"/>
        </w:rPr>
      </w:pPr>
      <w:r>
        <w:rPr>
          <w:rFonts w:ascii="Times New Roman" w:hAnsi="Times New Roman"/>
          <w:sz w:val="20"/>
        </w:rPr>
        <w:t xml:space="preserve">Tenaya Therapeutics, Inc. </w:t>
      </w:r>
    </w:p>
    <w:p>
      <w:pPr>
        <w:pStyle w:val="TextBody"/>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spacing w:before="0" w:after="0"/>
        <w:jc w:val="center"/>
        <w:rPr>
          <w:rFonts w:ascii="Times New Roman" w:hAnsi="Times New Roman"/>
          <w:sz w:val="20"/>
        </w:rPr>
      </w:pPr>
      <w:r>
        <w:rPr>
          <w:rFonts w:ascii="Times New Roman" w:hAnsi="Times New Roman"/>
          <w:sz w:val="20"/>
        </w:rPr>
        <w:t xml:space="preserve">171 Oyster Point Boulevard, Suite 500 </w:t>
      </w:r>
    </w:p>
    <w:p>
      <w:pPr>
        <w:pStyle w:val="TextBody"/>
        <w:spacing w:before="0" w:after="0"/>
        <w:jc w:val="center"/>
        <w:rPr>
          <w:rFonts w:ascii="Times New Roman" w:hAnsi="Times New Roman"/>
          <w:sz w:val="20"/>
        </w:rPr>
      </w:pPr>
      <w:r>
        <w:rPr>
          <w:rFonts w:ascii="Times New Roman" w:hAnsi="Times New Roman"/>
          <w:sz w:val="20"/>
        </w:rPr>
        <w:t xml:space="preserve">South San Francisco, CA 94080 </w:t>
      </w:r>
    </w:p>
    <w:p>
      <w:pPr>
        <w:pStyle w:val="TextBody"/>
        <w:spacing w:before="0" w:after="0"/>
        <w:jc w:val="center"/>
        <w:rPr>
          <w:rFonts w:ascii="Times New Roman" w:hAnsi="Times New Roman"/>
          <w:sz w:val="20"/>
        </w:rPr>
      </w:pPr>
      <w:r>
        <w:rPr>
          <w:rFonts w:ascii="Times New Roman" w:hAnsi="Times New Roman"/>
          <w:sz w:val="20"/>
        </w:rPr>
        <w:t xml:space="preserve">Tel: (650) 825-6990 </w:t>
      </w:r>
    </w:p>
    <w:p>
      <w:pPr>
        <w:pStyle w:val="TextBody"/>
        <w:spacing w:before="240" w:after="0"/>
        <w:jc w:val="left"/>
        <w:rPr>
          <w:rFonts w:ascii="Times New Roman" w:hAnsi="Times New Roman"/>
          <w:sz w:val="20"/>
        </w:rPr>
      </w:pPr>
      <w:r>
        <w:rPr>
          <w:rFonts w:ascii="Times New Roman" w:hAnsi="Times New Roman"/>
          <w:sz w:val="20"/>
        </w:rPr>
        <w:t xml:space="preserve">Street name stockholders may contact their broker, bank or other nominee to request information about householding. </w:t>
      </w:r>
    </w:p>
    <w:p>
      <w:pPr>
        <w:pStyle w:val="TextBody"/>
        <w:spacing w:before="360" w:after="0"/>
        <w:jc w:val="left"/>
        <w:rPr>
          <w:rFonts w:ascii="Times New Roman" w:hAnsi="Times New Roman"/>
          <w:b/>
          <w:sz w:val="20"/>
        </w:rPr>
      </w:pPr>
      <w:r>
        <w:rPr>
          <w:rFonts w:ascii="Times New Roman" w:hAnsi="Times New Roman"/>
          <w:b/>
          <w:sz w:val="20"/>
        </w:rPr>
        <w:t xml:space="preserve">What is the deadline to propose actions for consideration at next years annual meeting of stockholders or to nominate individuals to serve as directors? </w:t>
      </w:r>
    </w:p>
    <w:p>
      <w:pPr>
        <w:pStyle w:val="TextBody"/>
        <w:spacing w:before="120" w:after="0"/>
        <w:jc w:val="left"/>
        <w:rPr>
          <w:rFonts w:ascii="Times New Roman" w:hAnsi="Times New Roman"/>
          <w:i/>
          <w:sz w:val="20"/>
        </w:rPr>
      </w:pPr>
      <w:r>
        <w:rPr>
          <w:rFonts w:ascii="Times New Roman" w:hAnsi="Times New Roman"/>
          <w:i/>
          <w:sz w:val="20"/>
        </w:rPr>
        <w:t xml:space="preserve">Stockholder Proposals </w:t>
      </w:r>
    </w:p>
    <w:p>
      <w:pPr>
        <w:pStyle w:val="TextBody"/>
        <w:spacing w:before="120" w:after="0"/>
        <w:jc w:val="left"/>
        <w:rPr>
          <w:rFonts w:ascii="Times New Roman" w:hAnsi="Times New Roman"/>
          <w:sz w:val="20"/>
        </w:rPr>
      </w:pPr>
      <w:r>
        <w:rPr>
          <w:rFonts w:ascii="Times New Roman" w:hAnsi="Times New Roman"/>
          <w:sz w:val="20"/>
        </w:rPr>
        <w:t xml:space="preserve">Stockholders may present proper proposals for inclusion in our proxy statement and for consideration at next years annual meeting of stockholders by submitting their proposals in writing to our corporate secretary in a timely manner. For a stockholder proposal to be considered for inclusion in our proxy statement for our 2024 annual meeting of stockholders, our corporate secretary must receive the written proposal at our principal executive offices not later than December 29, 2023. In addition, stockholder proposals must comply with the requirements of Rule 14a-8 under the Securities Exchange Act of 1934, as amended (the Exchange Act), regarding the inclusion of stockholder proposals in company-sponsored proxy materials. Stockholder proposals should be addressed to: </w:t>
      </w:r>
    </w:p>
    <w:p>
      <w:pPr>
        <w:pStyle w:val="TextBody"/>
        <w:spacing w:before="240" w:after="0"/>
        <w:jc w:val="center"/>
        <w:rPr>
          <w:rFonts w:ascii="Times New Roman" w:hAnsi="Times New Roman"/>
          <w:sz w:val="20"/>
        </w:rPr>
      </w:pPr>
      <w:r>
        <w:rPr>
          <w:rFonts w:ascii="Times New Roman" w:hAnsi="Times New Roman"/>
          <w:sz w:val="20"/>
        </w:rPr>
        <w:t xml:space="preserve">Tenaya Therapeutics, Inc. </w:t>
      </w:r>
    </w:p>
    <w:p>
      <w:pPr>
        <w:pStyle w:val="TextBody"/>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spacing w:before="0" w:after="0"/>
        <w:jc w:val="center"/>
        <w:rPr>
          <w:rFonts w:ascii="Times New Roman" w:hAnsi="Times New Roman"/>
          <w:sz w:val="20"/>
        </w:rPr>
      </w:pPr>
      <w:r>
        <w:rPr>
          <w:rFonts w:ascii="Times New Roman" w:hAnsi="Times New Roman"/>
          <w:sz w:val="20"/>
        </w:rPr>
        <w:t xml:space="preserve">171 Oyster Point Boulevard, Suite 500 </w:t>
      </w:r>
    </w:p>
    <w:p>
      <w:pPr>
        <w:pStyle w:val="TextBody"/>
        <w:spacing w:before="0" w:after="0"/>
        <w:jc w:val="center"/>
        <w:rPr>
          <w:rFonts w:ascii="Times New Roman" w:hAnsi="Times New Roman"/>
          <w:sz w:val="20"/>
        </w:rPr>
      </w:pPr>
      <w:r>
        <w:rPr>
          <w:rFonts w:ascii="Times New Roman" w:hAnsi="Times New Roman"/>
          <w:sz w:val="20"/>
        </w:rPr>
        <w:t xml:space="preserve">South San Francisco, CA 94080 </w:t>
      </w:r>
    </w:p>
    <w:p>
      <w:pPr>
        <w:pStyle w:val="TextBody"/>
        <w:spacing w:before="240" w:after="0"/>
        <w:jc w:val="left"/>
        <w:rPr>
          <w:rFonts w:ascii="Times New Roman" w:hAnsi="Times New Roman"/>
          <w:sz w:val="20"/>
        </w:rPr>
      </w:pPr>
      <w:r>
        <w:rPr>
          <w:rFonts w:ascii="Times New Roman" w:hAnsi="Times New Roman"/>
          <w:sz w:val="20"/>
        </w:rPr>
        <w:t xml:space="preserve">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our proxy materials with respect to such meeting, (ii) otherwise properly brought before the annual meeting by or at the direction of the our board of directors, or (iii) properly brought before the annual meeting by a stockholder of record entitled to vote at the annual meeting who has delivered timely written notice to our corporate secretary, which notice must contain the information specified in our Bylaws, provided that clause (iii) is the exclusive means under our Bylaws for stockholders to propose business other than such proposals as are properly made pursuant to the Exchange Act. To be timely for our 2024 annual meeting of stockholders, our corporate secretary must receive the written notice at our principal executive offices: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 earlier than 8:00 a.m., Eastern time, February 9, 2024;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 later 5:00 p.m., Eastern time, than March 10, 2024. </w:t>
            </w:r>
          </w:p>
        </w:tc>
      </w:tr>
    </w:tbl>
    <w:p>
      <w:pPr>
        <w:pStyle w:val="TextBody"/>
        <w:spacing w:before="240" w:after="0"/>
        <w:jc w:val="left"/>
        <w:rPr>
          <w:rFonts w:ascii="Times New Roman" w:hAnsi="Times New Roman"/>
          <w:sz w:val="20"/>
        </w:rPr>
      </w:pPr>
      <w:r>
        <w:rPr>
          <w:rFonts w:ascii="Times New Roman" w:hAnsi="Times New Roman"/>
          <w:sz w:val="20"/>
        </w:rPr>
        <w:t xml:space="preserve">In the event that we hold our 2024 annual meeting of stockholders more than 25 days before or after the first anniversary of the date of this years annual meeting, then notice of a stockholder proposal that is not intended to be included in our proxy statement must be received no earlier than 8:00 a.m., Eastern time, on the 120th day before such annual meeting and no later than 5:00 p.m., Eastern time, on the later of the 90th day prior to the day of the annual meeting, or, if the first public announcement of the date of such annual meeting is less than 100 days prior to the date of such annual meeting, the 10th day following the day on which public announcement of the date of such annual meeting is first made. </w:t>
      </w:r>
    </w:p>
    <w:p>
      <w:pPr>
        <w:pStyle w:val="TextBody"/>
        <w:spacing w:before="240" w:after="0"/>
        <w:jc w:val="left"/>
        <w:rPr>
          <w:rFonts w:ascii="Times New Roman" w:hAnsi="Times New Roman"/>
          <w:sz w:val="20"/>
        </w:rPr>
      </w:pPr>
      <w:r>
        <w:rPr>
          <w:rFonts w:ascii="Times New Roman" w:hAnsi="Times New Roman"/>
          <w:sz w:val="20"/>
        </w:rPr>
        <w:t xml:space="preserve">If a stockholder who has notified us of his, her or its intention to present a proposal at an annual meeting does not appear to present his, her or its proposal at such annual meeting, we are not required to present the proposal for a vote at such annual meeting. </w:t>
      </w:r>
    </w:p>
    <w:p>
      <w:pPr>
        <w:pStyle w:val="TextBody"/>
        <w:spacing w:before="240" w:after="0"/>
        <w:jc w:val="left"/>
        <w:rPr>
          <w:rFonts w:ascii="Times New Roman" w:hAnsi="Times New Roman"/>
          <w:sz w:val="20"/>
        </w:rPr>
      </w:pPr>
      <w:r>
        <w:rPr>
          <w:rFonts w:ascii="Times New Roman" w:hAnsi="Times New Roman"/>
          <w:sz w:val="20"/>
        </w:rPr>
        <w:t xml:space="preserve">In addition, our Bylaws permit stockholders to nominate directors for election at an annual meeting of stockholders. To nominate a director, the stockholder must provide the information required by our Bylaws and give timely notice to our corporate secretary in accordance with our Bylaws, which, in general, require that the notice be received by our corporate secretary within the time period described above under Stockholder Proposals for stockholder proposals that are not intended to be included in a proxy statement. </w:t>
      </w:r>
    </w:p>
    <w:p>
      <w:pPr>
        <w:pStyle w:val="TextBody"/>
        <w:spacing w:before="360" w:after="0"/>
        <w:jc w:val="left"/>
        <w:rPr>
          <w:rFonts w:ascii="Times New Roman" w:hAnsi="Times New Roman"/>
          <w:i/>
          <w:sz w:val="20"/>
        </w:rPr>
      </w:pPr>
      <w:r>
        <w:rPr>
          <w:rFonts w:ascii="Times New Roman" w:hAnsi="Times New Roman"/>
          <w:i/>
          <w:sz w:val="20"/>
        </w:rPr>
        <w:t xml:space="preserve">Availability of Bylaws </w:t>
      </w:r>
    </w:p>
    <w:p>
      <w:pPr>
        <w:pStyle w:val="TextBody"/>
        <w:spacing w:before="120" w:after="0"/>
        <w:jc w:val="left"/>
        <w:rPr>
          <w:rFonts w:ascii="Times New Roman" w:hAnsi="Times New Roman"/>
          <w:sz w:val="20"/>
        </w:rPr>
      </w:pPr>
      <w:r>
        <w:rPr>
          <w:rFonts w:ascii="Times New Roman" w:hAnsi="Times New Roman"/>
          <w:sz w:val="20"/>
        </w:rPr>
        <w:t xml:space="preserve">A copy of our Bylaws may be obtained by accessing our public filings on the SECs website at http://www.sec.gov. You may also contact our corporate secretary at our principal executive office for a copy of the relevant bylaw provisions regarding the requirements for making stockholder proposals and nominating director candidates.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 w:name="toc455357_2"/>
      <w:bookmarkEnd w:id="4"/>
      <w:r>
        <w:rPr>
          <w:rFonts w:ascii="Times New Roman" w:hAnsi="Times New Roman"/>
          <w:b/>
          <w:sz w:val="20"/>
        </w:rPr>
        <w:t xml:space="preserve">BOARD OF DIRECTORS AND CORPORATE GOVERNANCE </w:t>
      </w:r>
    </w:p>
    <w:p>
      <w:pPr>
        <w:pStyle w:val="TextBody"/>
        <w:spacing w:before="240" w:after="0"/>
        <w:jc w:val="left"/>
        <w:rPr>
          <w:rFonts w:ascii="Times New Roman" w:hAnsi="Times New Roman"/>
          <w:b/>
          <w:sz w:val="20"/>
        </w:rPr>
      </w:pPr>
      <w:bookmarkStart w:id="5" w:name="toc455357_3"/>
      <w:bookmarkEnd w:id="5"/>
      <w:r>
        <w:rPr>
          <w:rFonts w:ascii="Times New Roman" w:hAnsi="Times New Roman"/>
          <w:b/>
          <w:sz w:val="20"/>
        </w:rPr>
        <w:t xml:space="preserve">Composition of the Board </w:t>
      </w:r>
    </w:p>
    <w:p>
      <w:pPr>
        <w:pStyle w:val="TextBody"/>
        <w:spacing w:before="120" w:after="0"/>
        <w:jc w:val="left"/>
        <w:rPr>
          <w:rFonts w:ascii="Times New Roman" w:hAnsi="Times New Roman"/>
          <w:sz w:val="20"/>
        </w:rPr>
      </w:pPr>
      <w:r>
        <w:rPr>
          <w:rFonts w:ascii="Times New Roman" w:hAnsi="Times New Roman"/>
          <w:sz w:val="20"/>
        </w:rPr>
        <w:t xml:space="preserve">Our board of directors currently consists of ten (10) directors, nine (9) of whom are independent under the listing standards of The Nasdaq Stock Market LLC, or Nasdaq. Our board of directors is divided into three classes with staggered three-year terms. Thus, at each annual meeting of stockholders, a class of directors will be elected for a three-year term to succeed the class whose term is then expiring. </w:t>
      </w:r>
    </w:p>
    <w:p>
      <w:pPr>
        <w:pStyle w:val="TextBody"/>
        <w:spacing w:before="240" w:after="0"/>
        <w:jc w:val="left"/>
        <w:rPr>
          <w:rFonts w:ascii="Times New Roman" w:hAnsi="Times New Roman"/>
          <w:sz w:val="20"/>
        </w:rPr>
      </w:pPr>
      <w:r>
        <w:rPr>
          <w:rFonts w:ascii="Times New Roman" w:hAnsi="Times New Roman"/>
          <w:sz w:val="20"/>
        </w:rPr>
        <w:t xml:space="preserve">Upon the recommendation of our corporate governance and nominating committee, we are nominating Amy Burroughs, M.B.A., Jin-Long Chen, Ph.D. and Catherine Stehman-Breen, M.D., as Class II directors at the annual meeting. If elected, Drs. Chen and Stehman-Breen and Ms. Burroughs will each hold office for a three-year term until the annual meeting of stockholders to be held in 2026 or until their successors are duly elected and qualified.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the names, ages as of March 31, 2023, and certain other information for each of our directors and director nominees: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728"/>
        <w:gridCol w:w="69"/>
        <w:gridCol w:w="463"/>
        <w:gridCol w:w="69"/>
        <w:gridCol w:w="79"/>
        <w:gridCol w:w="347"/>
        <w:gridCol w:w="60"/>
        <w:gridCol w:w="69"/>
        <w:gridCol w:w="3807"/>
        <w:gridCol w:w="69"/>
        <w:gridCol w:w="93"/>
        <w:gridCol w:w="782"/>
        <w:gridCol w:w="60"/>
        <w:gridCol w:w="69"/>
        <w:gridCol w:w="92"/>
        <w:gridCol w:w="769"/>
        <w:gridCol w:w="60"/>
        <w:gridCol w:w="69"/>
        <w:gridCol w:w="145"/>
        <w:gridCol w:w="1235"/>
        <w:gridCol w:w="71"/>
      </w:tblGrid>
      <w:tr>
        <w:trPr/>
        <w:tc>
          <w:tcPr>
            <w:tcW w:w="1728"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c>
          <w:tcPr>
            <w:tcW w:w="3807"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r>
      <w:tr>
        <w:trPr/>
        <w:tc>
          <w:tcPr>
            <w:tcW w:w="1728"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Name</w:t>
            </w:r>
          </w:p>
        </w:tc>
        <w:tc>
          <w:tcPr>
            <w:tcW w:w="69" w:type="dxa"/>
            <w:tcBorders/>
            <w:shd w:fill="auto" w:val="clear"/>
            <w:vAlign w:val="bottom"/>
          </w:tcPr>
          <w:p>
            <w:pPr>
              <w:pStyle w:val="TableContents"/>
              <w:spacing w:before="0" w:after="283"/>
              <w:rPr/>
            </w:pPr>
            <w:r>
              <w:rPr/>
              <w:t> </w:t>
            </w:r>
          </w:p>
        </w:tc>
        <w:tc>
          <w:tcPr>
            <w:tcW w:w="463"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Class</w:t>
            </w:r>
          </w:p>
        </w:tc>
        <w:tc>
          <w:tcPr>
            <w:tcW w:w="69" w:type="dxa"/>
            <w:tcBorders/>
            <w:shd w:fill="auto" w:val="clear"/>
            <w:vAlign w:val="bottom"/>
          </w:tcPr>
          <w:p>
            <w:pPr>
              <w:pStyle w:val="TableContents"/>
              <w:spacing w:before="0" w:after="283"/>
              <w:rPr/>
            </w:pPr>
            <w:r>
              <w:rPr/>
              <w:t> </w:t>
            </w:r>
          </w:p>
        </w:tc>
        <w:tc>
          <w:tcPr>
            <w:tcW w:w="42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Age</w:t>
            </w:r>
          </w:p>
        </w:tc>
        <w:tc>
          <w:tcPr>
            <w:tcW w:w="6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3807"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Position(s)</w:t>
            </w:r>
          </w:p>
        </w:tc>
        <w:tc>
          <w:tcPr>
            <w:tcW w:w="69" w:type="dxa"/>
            <w:tcBorders/>
            <w:shd w:fill="auto" w:val="clear"/>
            <w:vAlign w:val="bottom"/>
          </w:tcPr>
          <w:p>
            <w:pPr>
              <w:pStyle w:val="TableContents"/>
              <w:spacing w:before="0" w:after="283"/>
              <w:rPr/>
            </w:pPr>
            <w:r>
              <w:rPr/>
              <w:t> </w:t>
            </w:r>
          </w:p>
        </w:tc>
        <w:tc>
          <w:tcPr>
            <w:tcW w:w="8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Director</w:t>
              <w:br/>
              <w:t>Since</w:t>
            </w:r>
          </w:p>
        </w:tc>
        <w:tc>
          <w:tcPr>
            <w:tcW w:w="6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86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Current</w:t>
              <w:br/>
              <w:t>Term</w:t>
              <w:br/>
              <w:t>Expires</w:t>
            </w:r>
          </w:p>
        </w:tc>
        <w:tc>
          <w:tcPr>
            <w:tcW w:w="6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3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Expiration of</w:t>
              <w:br/>
              <w:t>Term for</w:t>
              <w:br/>
              <w:t>Which</w:t>
              <w:br/>
              <w:t>Nominated</w:t>
            </w:r>
          </w:p>
        </w:tc>
        <w:tc>
          <w:tcPr>
            <w:tcW w:w="71" w:type="dxa"/>
            <w:tcBorders/>
            <w:shd w:fill="auto" w:val="clear"/>
            <w:vAlign w:val="bottom"/>
          </w:tcPr>
          <w:p>
            <w:pPr>
              <w:pStyle w:val="TableContents"/>
              <w:spacing w:before="0" w:after="283"/>
              <w:rPr/>
            </w:pPr>
            <w:r>
              <w:rPr/>
              <w:t> </w:t>
            </w:r>
          </w:p>
        </w:tc>
      </w:tr>
      <w:tr>
        <w:trPr/>
        <w:tc>
          <w:tcPr>
            <w:tcW w:w="1728" w:type="dxa"/>
            <w:tcBorders/>
            <w:shd w:fill="CCEEFF" w:val="clear"/>
          </w:tcPr>
          <w:p>
            <w:pPr>
              <w:pStyle w:val="TableContents"/>
              <w:spacing w:before="0" w:after="0"/>
              <w:rPr>
                <w:rFonts w:ascii="Times New Roman" w:hAnsi="Times New Roman"/>
                <w:b/>
                <w:sz w:val="20"/>
              </w:rPr>
            </w:pPr>
            <w:r>
              <w:rPr>
                <w:rFonts w:ascii="Times New Roman" w:hAnsi="Times New Roman"/>
                <w:b/>
                <w:sz w:val="20"/>
              </w:rPr>
              <w:t>Nominees for Director</w:t>
            </w:r>
          </w:p>
        </w:tc>
        <w:tc>
          <w:tcPr>
            <w:tcW w:w="69"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sz w:val="4"/>
                <w:szCs w:val="4"/>
              </w:rPr>
            </w:pPr>
            <w:r>
              <w:rPr>
                <w:sz w:val="4"/>
                <w:szCs w:val="4"/>
              </w:rPr>
            </w:r>
          </w:p>
        </w:tc>
        <w:tc>
          <w:tcPr>
            <w:tcW w:w="34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pPr>
            <w:r>
              <w:rPr/>
              <w:t> </w:t>
            </w:r>
          </w:p>
        </w:tc>
        <w:tc>
          <w:tcPr>
            <w:tcW w:w="3807"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sz w:val="4"/>
                <w:szCs w:val="4"/>
              </w:rPr>
            </w:pPr>
            <w:r>
              <w:rPr>
                <w:sz w:val="4"/>
                <w:szCs w:val="4"/>
              </w:rPr>
            </w:r>
          </w:p>
        </w:tc>
        <w:tc>
          <w:tcPr>
            <w:tcW w:w="78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sz w:val="4"/>
                <w:szCs w:val="4"/>
              </w:rPr>
            </w:pPr>
            <w:r>
              <w:rPr>
                <w:sz w:val="4"/>
                <w:szCs w:val="4"/>
              </w:rPr>
            </w:r>
          </w:p>
        </w:tc>
        <w:tc>
          <w:tcPr>
            <w:tcW w:w="76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123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sz w:val="4"/>
                <w:szCs w:val="4"/>
              </w:rPr>
            </w:pPr>
            <w:r>
              <w:rPr>
                <w:sz w:val="4"/>
                <w:szCs w:val="4"/>
              </w:rPr>
            </w:r>
          </w:p>
        </w:tc>
      </w:tr>
      <w:tr>
        <w:trPr/>
        <w:tc>
          <w:tcPr>
            <w:tcW w:w="1728" w:type="dxa"/>
            <w:tcBorders/>
            <w:shd w:fill="auto" w:val="clear"/>
          </w:tcPr>
          <w:p>
            <w:pPr>
              <w:pStyle w:val="TableContents"/>
              <w:spacing w:before="0" w:after="0"/>
              <w:rPr>
                <w:rFonts w:ascii="Times New Roman" w:hAnsi="Times New Roman"/>
                <w:sz w:val="20"/>
              </w:rPr>
            </w:pPr>
            <w:r>
              <w:rPr>
                <w:rFonts w:ascii="Times New Roman" w:hAnsi="Times New Roman"/>
                <w:sz w:val="20"/>
              </w:rPr>
              <w:t>Amy Burroughs, M.B.A.(1)</w:t>
            </w:r>
          </w:p>
        </w:tc>
        <w:tc>
          <w:tcPr>
            <w:tcW w:w="69"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center"/>
              <w:rPr/>
            </w:pPr>
            <w:r>
              <w:rPr/>
              <w:t>II</w:t>
            </w:r>
          </w:p>
        </w:tc>
        <w:tc>
          <w:tcPr>
            <w:tcW w:w="69"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r>
              <w:rPr/>
              <w:t>52</w:t>
            </w:r>
          </w:p>
        </w:tc>
        <w:tc>
          <w:tcPr>
            <w:tcW w:w="6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3807" w:type="dxa"/>
            <w:tcBorders/>
            <w:shd w:fill="auto" w:val="clear"/>
            <w:vAlign w:val="bottom"/>
          </w:tcPr>
          <w:p>
            <w:pPr>
              <w:pStyle w:val="TableContents"/>
              <w:spacing w:before="0" w:after="283"/>
              <w:rPr/>
            </w:pPr>
            <w:r>
              <w:rPr/>
              <w:t>Director</w:t>
            </w:r>
          </w:p>
        </w:tc>
        <w:tc>
          <w:tcPr>
            <w:tcW w:w="6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jc w:val="right"/>
              <w:rPr/>
            </w:pPr>
            <w:r>
              <w:rPr/>
              <w:t>2022</w:t>
            </w:r>
          </w:p>
        </w:tc>
        <w:tc>
          <w:tcPr>
            <w:tcW w:w="6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jc w:val="right"/>
              <w:rPr/>
            </w:pPr>
            <w:r>
              <w:rPr/>
              <w:t>2023</w:t>
            </w:r>
          </w:p>
        </w:tc>
        <w:tc>
          <w:tcPr>
            <w:tcW w:w="6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2026</w:t>
            </w:r>
          </w:p>
        </w:tc>
        <w:tc>
          <w:tcPr>
            <w:tcW w:w="71" w:type="dxa"/>
            <w:tcBorders/>
            <w:shd w:fill="auto" w:val="clear"/>
            <w:vAlign w:val="bottom"/>
          </w:tcPr>
          <w:p>
            <w:pPr>
              <w:pStyle w:val="TableContents"/>
              <w:spacing w:before="0" w:after="283"/>
              <w:rPr/>
            </w:pPr>
            <w:r>
              <w:rPr/>
              <w:t> </w:t>
            </w:r>
          </w:p>
        </w:tc>
      </w:tr>
      <w:tr>
        <w:trPr/>
        <w:tc>
          <w:tcPr>
            <w:tcW w:w="1728" w:type="dxa"/>
            <w:tcBorders/>
            <w:shd w:fill="CCEEFF" w:val="clear"/>
          </w:tcPr>
          <w:p>
            <w:pPr>
              <w:pStyle w:val="TableContents"/>
              <w:spacing w:before="0" w:after="0"/>
              <w:rPr>
                <w:rFonts w:ascii="Times New Roman" w:hAnsi="Times New Roman"/>
                <w:sz w:val="20"/>
              </w:rPr>
            </w:pPr>
            <w:r>
              <w:rPr>
                <w:rFonts w:ascii="Times New Roman" w:hAnsi="Times New Roman"/>
                <w:sz w:val="20"/>
              </w:rPr>
              <w:t>Jin-Long Chen, Ph.D.(3)</w:t>
            </w:r>
          </w:p>
        </w:tc>
        <w:tc>
          <w:tcPr>
            <w:tcW w:w="69"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jc w:val="center"/>
              <w:rPr/>
            </w:pPr>
            <w:r>
              <w:rPr/>
              <w:t>II</w:t>
            </w:r>
          </w:p>
        </w:tc>
        <w:tc>
          <w:tcPr>
            <w:tcW w:w="6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jc w:val="right"/>
              <w:rPr/>
            </w:pPr>
            <w:r>
              <w:rPr/>
              <w:t>60</w:t>
            </w:r>
          </w:p>
        </w:tc>
        <w:tc>
          <w:tcPr>
            <w:tcW w:w="6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3807" w:type="dxa"/>
            <w:tcBorders/>
            <w:shd w:fill="CCEEFF" w:val="clear"/>
            <w:vAlign w:val="bottom"/>
          </w:tcPr>
          <w:p>
            <w:pPr>
              <w:pStyle w:val="TableContents"/>
              <w:spacing w:before="0" w:after="283"/>
              <w:rPr/>
            </w:pPr>
            <w:r>
              <w:rPr/>
              <w:t>Director</w:t>
            </w:r>
          </w:p>
        </w:tc>
        <w:tc>
          <w:tcPr>
            <w:tcW w:w="69"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782" w:type="dxa"/>
            <w:tcBorders/>
            <w:shd w:fill="CCEEFF" w:val="clear"/>
            <w:vAlign w:val="bottom"/>
          </w:tcPr>
          <w:p>
            <w:pPr>
              <w:pStyle w:val="TableContents"/>
              <w:spacing w:before="0" w:after="283"/>
              <w:jc w:val="right"/>
              <w:rPr/>
            </w:pPr>
            <w:r>
              <w:rPr/>
              <w:t>2016</w:t>
            </w:r>
          </w:p>
        </w:tc>
        <w:tc>
          <w:tcPr>
            <w:tcW w:w="6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769" w:type="dxa"/>
            <w:tcBorders/>
            <w:shd w:fill="CCEEFF" w:val="clear"/>
            <w:vAlign w:val="bottom"/>
          </w:tcPr>
          <w:p>
            <w:pPr>
              <w:pStyle w:val="TableContents"/>
              <w:spacing w:before="0" w:after="283"/>
              <w:jc w:val="right"/>
              <w:rPr/>
            </w:pPr>
            <w:r>
              <w:rPr/>
              <w:t>2023</w:t>
            </w:r>
          </w:p>
        </w:tc>
        <w:tc>
          <w:tcPr>
            <w:tcW w:w="6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2026</w:t>
            </w:r>
          </w:p>
        </w:tc>
        <w:tc>
          <w:tcPr>
            <w:tcW w:w="71" w:type="dxa"/>
            <w:tcBorders/>
            <w:shd w:fill="CCEEFF" w:val="clear"/>
            <w:vAlign w:val="bottom"/>
          </w:tcPr>
          <w:p>
            <w:pPr>
              <w:pStyle w:val="TableContents"/>
              <w:spacing w:before="0" w:after="283"/>
              <w:rPr/>
            </w:pPr>
            <w:r>
              <w:rPr/>
              <w:t> </w:t>
            </w:r>
          </w:p>
        </w:tc>
      </w:tr>
      <w:tr>
        <w:trPr/>
        <w:tc>
          <w:tcPr>
            <w:tcW w:w="1728" w:type="dxa"/>
            <w:tcBorders/>
            <w:shd w:fill="auto" w:val="clear"/>
          </w:tcPr>
          <w:p>
            <w:pPr>
              <w:pStyle w:val="TableContents"/>
              <w:spacing w:before="0" w:after="0"/>
              <w:rPr>
                <w:rFonts w:ascii="Times New Roman" w:hAnsi="Times New Roman"/>
                <w:sz w:val="20"/>
              </w:rPr>
            </w:pPr>
            <w:r>
              <w:rPr>
                <w:rFonts w:ascii="Times New Roman" w:hAnsi="Times New Roman"/>
                <w:sz w:val="20"/>
              </w:rPr>
              <w:t>Catherine Stehman-Breen, M.D.(2)</w:t>
            </w:r>
          </w:p>
        </w:tc>
        <w:tc>
          <w:tcPr>
            <w:tcW w:w="69"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center"/>
              <w:rPr/>
            </w:pPr>
            <w:r>
              <w:rPr/>
              <w:t>II</w:t>
            </w:r>
          </w:p>
        </w:tc>
        <w:tc>
          <w:tcPr>
            <w:tcW w:w="69"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r>
              <w:rPr/>
              <w:t>60</w:t>
            </w:r>
          </w:p>
        </w:tc>
        <w:tc>
          <w:tcPr>
            <w:tcW w:w="6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3807" w:type="dxa"/>
            <w:tcBorders/>
            <w:shd w:fill="auto" w:val="clear"/>
            <w:vAlign w:val="bottom"/>
          </w:tcPr>
          <w:p>
            <w:pPr>
              <w:pStyle w:val="TableContents"/>
              <w:spacing w:before="0" w:after="283"/>
              <w:rPr/>
            </w:pPr>
            <w:r>
              <w:rPr/>
              <w:t>Director</w:t>
            </w:r>
          </w:p>
        </w:tc>
        <w:tc>
          <w:tcPr>
            <w:tcW w:w="6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jc w:val="right"/>
              <w:rPr/>
            </w:pPr>
            <w:r>
              <w:rPr/>
              <w:t>2020</w:t>
            </w:r>
          </w:p>
        </w:tc>
        <w:tc>
          <w:tcPr>
            <w:tcW w:w="6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jc w:val="right"/>
              <w:rPr/>
            </w:pPr>
            <w:r>
              <w:rPr/>
              <w:t>2023</w:t>
            </w:r>
          </w:p>
        </w:tc>
        <w:tc>
          <w:tcPr>
            <w:tcW w:w="6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2026</w:t>
            </w:r>
          </w:p>
        </w:tc>
        <w:tc>
          <w:tcPr>
            <w:tcW w:w="71" w:type="dxa"/>
            <w:tcBorders/>
            <w:shd w:fill="auto" w:val="clear"/>
            <w:vAlign w:val="bottom"/>
          </w:tcPr>
          <w:p>
            <w:pPr>
              <w:pStyle w:val="TableContents"/>
              <w:spacing w:before="0" w:after="283"/>
              <w:rPr/>
            </w:pPr>
            <w:r>
              <w:rPr/>
              <w:t> </w:t>
            </w:r>
          </w:p>
        </w:tc>
      </w:tr>
      <w:tr>
        <w:trPr/>
        <w:tc>
          <w:tcPr>
            <w:tcW w:w="1728" w:type="dxa"/>
            <w:tcBorders/>
            <w:shd w:fill="CCEEFF" w:val="clear"/>
          </w:tcPr>
          <w:p>
            <w:pPr>
              <w:pStyle w:val="TableContents"/>
              <w:spacing w:before="0" w:after="0"/>
              <w:rPr>
                <w:rFonts w:ascii="Times New Roman" w:hAnsi="Times New Roman"/>
                <w:b/>
                <w:sz w:val="20"/>
              </w:rPr>
            </w:pPr>
            <w:r>
              <w:rPr>
                <w:rFonts w:ascii="Times New Roman" w:hAnsi="Times New Roman"/>
                <w:b/>
                <w:sz w:val="20"/>
              </w:rPr>
              <w:t>Continuing Directors</w:t>
            </w:r>
          </w:p>
        </w:tc>
        <w:tc>
          <w:tcPr>
            <w:tcW w:w="69"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sz w:val="4"/>
                <w:szCs w:val="4"/>
              </w:rPr>
            </w:pPr>
            <w:r>
              <w:rPr>
                <w:sz w:val="4"/>
                <w:szCs w:val="4"/>
              </w:rPr>
            </w:r>
          </w:p>
        </w:tc>
        <w:tc>
          <w:tcPr>
            <w:tcW w:w="34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pPr>
            <w:r>
              <w:rPr/>
              <w:t> </w:t>
            </w:r>
          </w:p>
        </w:tc>
        <w:tc>
          <w:tcPr>
            <w:tcW w:w="3807"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sz w:val="4"/>
                <w:szCs w:val="4"/>
              </w:rPr>
            </w:pPr>
            <w:r>
              <w:rPr>
                <w:sz w:val="4"/>
                <w:szCs w:val="4"/>
              </w:rPr>
            </w:r>
          </w:p>
        </w:tc>
        <w:tc>
          <w:tcPr>
            <w:tcW w:w="78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sz w:val="4"/>
                <w:szCs w:val="4"/>
              </w:rPr>
            </w:pPr>
            <w:r>
              <w:rPr>
                <w:sz w:val="4"/>
                <w:szCs w:val="4"/>
              </w:rPr>
            </w:r>
          </w:p>
        </w:tc>
        <w:tc>
          <w:tcPr>
            <w:tcW w:w="76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123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sz w:val="4"/>
                <w:szCs w:val="4"/>
              </w:rPr>
            </w:pPr>
            <w:r>
              <w:rPr>
                <w:sz w:val="4"/>
                <w:szCs w:val="4"/>
              </w:rPr>
            </w:r>
          </w:p>
        </w:tc>
      </w:tr>
      <w:tr>
        <w:trPr/>
        <w:tc>
          <w:tcPr>
            <w:tcW w:w="1728" w:type="dxa"/>
            <w:tcBorders/>
            <w:shd w:fill="auto" w:val="clear"/>
          </w:tcPr>
          <w:p>
            <w:pPr>
              <w:pStyle w:val="TableContents"/>
              <w:spacing w:before="0" w:after="0"/>
              <w:rPr>
                <w:rFonts w:ascii="Times New Roman" w:hAnsi="Times New Roman"/>
                <w:sz w:val="20"/>
              </w:rPr>
            </w:pPr>
            <w:r>
              <w:rPr>
                <w:rFonts w:ascii="Times New Roman" w:hAnsi="Times New Roman"/>
                <w:sz w:val="20"/>
              </w:rPr>
              <w:t>Faraz Ali, M.B.A.</w:t>
            </w:r>
          </w:p>
        </w:tc>
        <w:tc>
          <w:tcPr>
            <w:tcW w:w="69"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center"/>
              <w:rPr/>
            </w:pPr>
            <w:r>
              <w:rPr/>
              <w:t>III</w:t>
            </w:r>
          </w:p>
        </w:tc>
        <w:tc>
          <w:tcPr>
            <w:tcW w:w="69"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r>
              <w:rPr/>
              <w:t>50</w:t>
            </w:r>
          </w:p>
        </w:tc>
        <w:tc>
          <w:tcPr>
            <w:tcW w:w="6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3807" w:type="dxa"/>
            <w:tcBorders/>
            <w:shd w:fill="auto" w:val="clear"/>
            <w:vAlign w:val="bottom"/>
          </w:tcPr>
          <w:p>
            <w:pPr>
              <w:pStyle w:val="TableContents"/>
              <w:spacing w:before="0" w:after="283"/>
              <w:rPr/>
            </w:pPr>
            <w:r>
              <w:rPr/>
              <w:t>Chief Executive Officer and Director</w:t>
            </w:r>
          </w:p>
        </w:tc>
        <w:tc>
          <w:tcPr>
            <w:tcW w:w="6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jc w:val="right"/>
              <w:rPr/>
            </w:pPr>
            <w:r>
              <w:rPr/>
              <w:t>2018</w:t>
            </w:r>
          </w:p>
        </w:tc>
        <w:tc>
          <w:tcPr>
            <w:tcW w:w="6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jc w:val="right"/>
              <w:rPr/>
            </w:pPr>
            <w:r>
              <w:rPr/>
              <w:t>2024</w:t>
            </w:r>
          </w:p>
        </w:tc>
        <w:tc>
          <w:tcPr>
            <w:tcW w:w="6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  </w:t>
            </w:r>
          </w:p>
        </w:tc>
        <w:tc>
          <w:tcPr>
            <w:tcW w:w="71" w:type="dxa"/>
            <w:tcBorders/>
            <w:shd w:fill="auto" w:val="clear"/>
            <w:vAlign w:val="bottom"/>
          </w:tcPr>
          <w:p>
            <w:pPr>
              <w:pStyle w:val="TableContents"/>
              <w:spacing w:before="0" w:after="283"/>
              <w:rPr/>
            </w:pPr>
            <w:r>
              <w:rPr/>
              <w:t> </w:t>
            </w:r>
          </w:p>
        </w:tc>
      </w:tr>
      <w:tr>
        <w:trPr/>
        <w:tc>
          <w:tcPr>
            <w:tcW w:w="1728" w:type="dxa"/>
            <w:tcBorders/>
            <w:shd w:fill="CCEEFF" w:val="clear"/>
          </w:tcPr>
          <w:p>
            <w:pPr>
              <w:pStyle w:val="TableContents"/>
              <w:spacing w:before="0" w:after="0"/>
              <w:rPr>
                <w:rFonts w:ascii="Times New Roman" w:hAnsi="Times New Roman"/>
                <w:sz w:val="20"/>
              </w:rPr>
            </w:pPr>
            <w:r>
              <w:rPr>
                <w:rFonts w:ascii="Times New Roman" w:hAnsi="Times New Roman"/>
                <w:sz w:val="20"/>
              </w:rPr>
              <w:t>June Lee, M.D.</w:t>
            </w:r>
          </w:p>
        </w:tc>
        <w:tc>
          <w:tcPr>
            <w:tcW w:w="69"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jc w:val="center"/>
              <w:rPr/>
            </w:pPr>
            <w:r>
              <w:rPr/>
              <w:t>III</w:t>
            </w:r>
          </w:p>
        </w:tc>
        <w:tc>
          <w:tcPr>
            <w:tcW w:w="6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jc w:val="right"/>
              <w:rPr/>
            </w:pPr>
            <w:r>
              <w:rPr/>
              <w:t>57</w:t>
            </w:r>
          </w:p>
        </w:tc>
        <w:tc>
          <w:tcPr>
            <w:tcW w:w="6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3807" w:type="dxa"/>
            <w:tcBorders/>
            <w:shd w:fill="CCEEFF" w:val="clear"/>
            <w:vAlign w:val="bottom"/>
          </w:tcPr>
          <w:p>
            <w:pPr>
              <w:pStyle w:val="TableContents"/>
              <w:spacing w:before="0" w:after="283"/>
              <w:rPr/>
            </w:pPr>
            <w:r>
              <w:rPr/>
              <w:t>Director</w:t>
            </w:r>
          </w:p>
        </w:tc>
        <w:tc>
          <w:tcPr>
            <w:tcW w:w="69"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782" w:type="dxa"/>
            <w:tcBorders/>
            <w:shd w:fill="CCEEFF" w:val="clear"/>
            <w:vAlign w:val="bottom"/>
          </w:tcPr>
          <w:p>
            <w:pPr>
              <w:pStyle w:val="TableContents"/>
              <w:spacing w:before="0" w:after="283"/>
              <w:jc w:val="right"/>
              <w:rPr/>
            </w:pPr>
            <w:r>
              <w:rPr/>
              <w:t>2021</w:t>
            </w:r>
          </w:p>
        </w:tc>
        <w:tc>
          <w:tcPr>
            <w:tcW w:w="6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769" w:type="dxa"/>
            <w:tcBorders/>
            <w:shd w:fill="CCEEFF" w:val="clear"/>
            <w:vAlign w:val="bottom"/>
          </w:tcPr>
          <w:p>
            <w:pPr>
              <w:pStyle w:val="TableContents"/>
              <w:spacing w:before="0" w:after="283"/>
              <w:jc w:val="right"/>
              <w:rPr/>
            </w:pPr>
            <w:r>
              <w:rPr/>
              <w:t>2024</w:t>
            </w:r>
          </w:p>
        </w:tc>
        <w:tc>
          <w:tcPr>
            <w:tcW w:w="6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  </w:t>
            </w:r>
          </w:p>
        </w:tc>
        <w:tc>
          <w:tcPr>
            <w:tcW w:w="71" w:type="dxa"/>
            <w:tcBorders/>
            <w:shd w:fill="CCEEFF" w:val="clear"/>
            <w:vAlign w:val="bottom"/>
          </w:tcPr>
          <w:p>
            <w:pPr>
              <w:pStyle w:val="TableContents"/>
              <w:spacing w:before="0" w:after="283"/>
              <w:rPr/>
            </w:pPr>
            <w:r>
              <w:rPr/>
              <w:t> </w:t>
            </w:r>
          </w:p>
        </w:tc>
      </w:tr>
      <w:tr>
        <w:trPr/>
        <w:tc>
          <w:tcPr>
            <w:tcW w:w="1728" w:type="dxa"/>
            <w:tcBorders/>
            <w:shd w:fill="auto" w:val="clear"/>
          </w:tcPr>
          <w:p>
            <w:pPr>
              <w:pStyle w:val="TableContents"/>
              <w:spacing w:before="0" w:after="0"/>
              <w:rPr>
                <w:rFonts w:ascii="Times New Roman" w:hAnsi="Times New Roman"/>
                <w:sz w:val="20"/>
              </w:rPr>
            </w:pPr>
            <w:r>
              <w:rPr>
                <w:rFonts w:ascii="Times New Roman" w:hAnsi="Times New Roman"/>
                <w:sz w:val="20"/>
              </w:rPr>
              <w:t>Deepak Srivastava, M.D.(3)</w:t>
            </w:r>
          </w:p>
        </w:tc>
        <w:tc>
          <w:tcPr>
            <w:tcW w:w="69"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center"/>
              <w:rPr/>
            </w:pPr>
            <w:r>
              <w:rPr/>
              <w:t>III</w:t>
            </w:r>
          </w:p>
        </w:tc>
        <w:tc>
          <w:tcPr>
            <w:tcW w:w="69"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r>
              <w:rPr/>
              <w:t>56</w:t>
            </w:r>
          </w:p>
        </w:tc>
        <w:tc>
          <w:tcPr>
            <w:tcW w:w="6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3807" w:type="dxa"/>
            <w:tcBorders/>
            <w:shd w:fill="auto" w:val="clear"/>
            <w:vAlign w:val="bottom"/>
          </w:tcPr>
          <w:p>
            <w:pPr>
              <w:pStyle w:val="TableContents"/>
              <w:spacing w:before="0" w:after="283"/>
              <w:rPr/>
            </w:pPr>
            <w:r>
              <w:rPr/>
              <w:t>Director</w:t>
            </w:r>
          </w:p>
        </w:tc>
        <w:tc>
          <w:tcPr>
            <w:tcW w:w="6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jc w:val="right"/>
              <w:rPr/>
            </w:pPr>
            <w:r>
              <w:rPr/>
              <w:t>2016</w:t>
            </w:r>
          </w:p>
        </w:tc>
        <w:tc>
          <w:tcPr>
            <w:tcW w:w="6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jc w:val="right"/>
              <w:rPr/>
            </w:pPr>
            <w:r>
              <w:rPr/>
              <w:t>2024</w:t>
            </w:r>
          </w:p>
        </w:tc>
        <w:tc>
          <w:tcPr>
            <w:tcW w:w="6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  </w:t>
            </w:r>
          </w:p>
        </w:tc>
        <w:tc>
          <w:tcPr>
            <w:tcW w:w="71" w:type="dxa"/>
            <w:tcBorders/>
            <w:shd w:fill="auto" w:val="clear"/>
            <w:vAlign w:val="bottom"/>
          </w:tcPr>
          <w:p>
            <w:pPr>
              <w:pStyle w:val="TableContents"/>
              <w:spacing w:before="0" w:after="283"/>
              <w:rPr/>
            </w:pPr>
            <w:r>
              <w:rPr/>
              <w:t> </w:t>
            </w:r>
          </w:p>
        </w:tc>
      </w:tr>
      <w:tr>
        <w:trPr/>
        <w:tc>
          <w:tcPr>
            <w:tcW w:w="1728" w:type="dxa"/>
            <w:tcBorders/>
            <w:shd w:fill="CCEEFF" w:val="clear"/>
          </w:tcPr>
          <w:p>
            <w:pPr>
              <w:pStyle w:val="TableContents"/>
              <w:spacing w:before="0" w:after="0"/>
              <w:rPr>
                <w:rFonts w:ascii="Times New Roman" w:hAnsi="Times New Roman"/>
                <w:sz w:val="20"/>
              </w:rPr>
            </w:pPr>
            <w:r>
              <w:rPr>
                <w:rFonts w:ascii="Times New Roman" w:hAnsi="Times New Roman"/>
                <w:sz w:val="20"/>
              </w:rPr>
              <w:t>David Goeddel, Ph.D.(3)</w:t>
            </w:r>
          </w:p>
        </w:tc>
        <w:tc>
          <w:tcPr>
            <w:tcW w:w="69"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jc w:val="center"/>
              <w:rPr/>
            </w:pPr>
            <w:r>
              <w:rPr/>
              <w:t>I</w:t>
            </w:r>
          </w:p>
        </w:tc>
        <w:tc>
          <w:tcPr>
            <w:tcW w:w="6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jc w:val="right"/>
              <w:rPr/>
            </w:pPr>
            <w:r>
              <w:rPr/>
              <w:t>71</w:t>
            </w:r>
          </w:p>
        </w:tc>
        <w:tc>
          <w:tcPr>
            <w:tcW w:w="6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3807" w:type="dxa"/>
            <w:tcBorders/>
            <w:shd w:fill="CCEEFF" w:val="clear"/>
            <w:vAlign w:val="bottom"/>
          </w:tcPr>
          <w:p>
            <w:pPr>
              <w:pStyle w:val="TableContents"/>
              <w:spacing w:before="0" w:after="283"/>
              <w:rPr/>
            </w:pPr>
            <w:r>
              <w:rPr/>
              <w:t>Chair and Director</w:t>
            </w:r>
          </w:p>
        </w:tc>
        <w:tc>
          <w:tcPr>
            <w:tcW w:w="69"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782" w:type="dxa"/>
            <w:tcBorders/>
            <w:shd w:fill="CCEEFF" w:val="clear"/>
            <w:vAlign w:val="bottom"/>
          </w:tcPr>
          <w:p>
            <w:pPr>
              <w:pStyle w:val="TableContents"/>
              <w:spacing w:before="0" w:after="283"/>
              <w:jc w:val="right"/>
              <w:rPr/>
            </w:pPr>
            <w:r>
              <w:rPr/>
              <w:t>2016</w:t>
            </w:r>
          </w:p>
        </w:tc>
        <w:tc>
          <w:tcPr>
            <w:tcW w:w="6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769" w:type="dxa"/>
            <w:tcBorders/>
            <w:shd w:fill="CCEEFF" w:val="clear"/>
            <w:vAlign w:val="bottom"/>
          </w:tcPr>
          <w:p>
            <w:pPr>
              <w:pStyle w:val="TableContents"/>
              <w:spacing w:before="0" w:after="283"/>
              <w:jc w:val="right"/>
              <w:rPr/>
            </w:pPr>
            <w:r>
              <w:rPr/>
              <w:t>2025</w:t>
            </w:r>
          </w:p>
        </w:tc>
        <w:tc>
          <w:tcPr>
            <w:tcW w:w="6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  </w:t>
            </w:r>
          </w:p>
        </w:tc>
        <w:tc>
          <w:tcPr>
            <w:tcW w:w="71" w:type="dxa"/>
            <w:tcBorders/>
            <w:shd w:fill="CCEEFF" w:val="clear"/>
            <w:vAlign w:val="bottom"/>
          </w:tcPr>
          <w:p>
            <w:pPr>
              <w:pStyle w:val="TableContents"/>
              <w:spacing w:before="0" w:after="283"/>
              <w:rPr/>
            </w:pPr>
            <w:r>
              <w:rPr/>
              <w:t> </w:t>
            </w:r>
          </w:p>
        </w:tc>
      </w:tr>
      <w:tr>
        <w:trPr/>
        <w:tc>
          <w:tcPr>
            <w:tcW w:w="1728" w:type="dxa"/>
            <w:tcBorders/>
            <w:shd w:fill="auto" w:val="clear"/>
          </w:tcPr>
          <w:p>
            <w:pPr>
              <w:pStyle w:val="TableContents"/>
              <w:spacing w:before="0" w:after="0"/>
              <w:rPr>
                <w:rFonts w:ascii="Times New Roman" w:hAnsi="Times New Roman"/>
                <w:sz w:val="20"/>
              </w:rPr>
            </w:pPr>
            <w:r>
              <w:rPr>
                <w:rFonts w:ascii="Times New Roman" w:hAnsi="Times New Roman"/>
                <w:sz w:val="20"/>
              </w:rPr>
              <w:t>Karah Parschauer, J.D.(1)</w:t>
            </w:r>
          </w:p>
        </w:tc>
        <w:tc>
          <w:tcPr>
            <w:tcW w:w="69"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center"/>
              <w:rPr/>
            </w:pPr>
            <w:r>
              <w:rPr/>
              <w:t>I</w:t>
            </w:r>
          </w:p>
        </w:tc>
        <w:tc>
          <w:tcPr>
            <w:tcW w:w="69"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r>
              <w:rPr/>
              <w:t>45</w:t>
            </w:r>
          </w:p>
        </w:tc>
        <w:tc>
          <w:tcPr>
            <w:tcW w:w="6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3807" w:type="dxa"/>
            <w:tcBorders/>
            <w:shd w:fill="auto" w:val="clear"/>
            <w:vAlign w:val="bottom"/>
          </w:tcPr>
          <w:p>
            <w:pPr>
              <w:pStyle w:val="TableContents"/>
              <w:spacing w:before="0" w:after="283"/>
              <w:rPr/>
            </w:pPr>
            <w:r>
              <w:rPr/>
              <w:t>Director</w:t>
            </w:r>
          </w:p>
        </w:tc>
        <w:tc>
          <w:tcPr>
            <w:tcW w:w="6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jc w:val="right"/>
              <w:rPr/>
            </w:pPr>
            <w:r>
              <w:rPr/>
              <w:t>2021</w:t>
            </w:r>
          </w:p>
        </w:tc>
        <w:tc>
          <w:tcPr>
            <w:tcW w:w="6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jc w:val="right"/>
              <w:rPr/>
            </w:pPr>
            <w:r>
              <w:rPr/>
              <w:t>2025</w:t>
            </w:r>
          </w:p>
        </w:tc>
        <w:tc>
          <w:tcPr>
            <w:tcW w:w="6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  </w:t>
            </w:r>
          </w:p>
        </w:tc>
        <w:tc>
          <w:tcPr>
            <w:tcW w:w="71" w:type="dxa"/>
            <w:tcBorders/>
            <w:shd w:fill="auto" w:val="clear"/>
            <w:vAlign w:val="bottom"/>
          </w:tcPr>
          <w:p>
            <w:pPr>
              <w:pStyle w:val="TableContents"/>
              <w:spacing w:before="0" w:after="283"/>
              <w:rPr/>
            </w:pPr>
            <w:r>
              <w:rPr/>
              <w:t> </w:t>
            </w:r>
          </w:p>
        </w:tc>
      </w:tr>
      <w:tr>
        <w:trPr/>
        <w:tc>
          <w:tcPr>
            <w:tcW w:w="1728" w:type="dxa"/>
            <w:tcBorders/>
            <w:shd w:fill="CCEEFF" w:val="clear"/>
          </w:tcPr>
          <w:p>
            <w:pPr>
              <w:pStyle w:val="TableContents"/>
              <w:spacing w:before="0" w:after="0"/>
              <w:rPr>
                <w:rFonts w:ascii="Times New Roman" w:hAnsi="Times New Roman"/>
                <w:sz w:val="20"/>
              </w:rPr>
            </w:pPr>
            <w:r>
              <w:rPr>
                <w:rFonts w:ascii="Times New Roman" w:hAnsi="Times New Roman"/>
                <w:sz w:val="20"/>
              </w:rPr>
              <w:t>Jeffrey T. Walsh, M.B.A.(1)(2)</w:t>
            </w:r>
          </w:p>
        </w:tc>
        <w:tc>
          <w:tcPr>
            <w:tcW w:w="69"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jc w:val="center"/>
              <w:rPr/>
            </w:pPr>
            <w:r>
              <w:rPr/>
              <w:t>I</w:t>
            </w:r>
          </w:p>
        </w:tc>
        <w:tc>
          <w:tcPr>
            <w:tcW w:w="6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jc w:val="right"/>
              <w:rPr/>
            </w:pPr>
            <w:r>
              <w:rPr/>
              <w:t>57</w:t>
            </w:r>
          </w:p>
        </w:tc>
        <w:tc>
          <w:tcPr>
            <w:tcW w:w="6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3807" w:type="dxa"/>
            <w:tcBorders/>
            <w:shd w:fill="CCEEFF" w:val="clear"/>
            <w:vAlign w:val="bottom"/>
          </w:tcPr>
          <w:p>
            <w:pPr>
              <w:pStyle w:val="TableContents"/>
              <w:spacing w:before="0" w:after="283"/>
              <w:rPr/>
            </w:pPr>
            <w:r>
              <w:rPr/>
              <w:t>Director</w:t>
            </w:r>
          </w:p>
        </w:tc>
        <w:tc>
          <w:tcPr>
            <w:tcW w:w="69"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782" w:type="dxa"/>
            <w:tcBorders/>
            <w:shd w:fill="CCEEFF" w:val="clear"/>
            <w:vAlign w:val="bottom"/>
          </w:tcPr>
          <w:p>
            <w:pPr>
              <w:pStyle w:val="TableContents"/>
              <w:spacing w:before="0" w:after="283"/>
              <w:jc w:val="right"/>
              <w:rPr/>
            </w:pPr>
            <w:r>
              <w:rPr/>
              <w:t>2020</w:t>
            </w:r>
          </w:p>
        </w:tc>
        <w:tc>
          <w:tcPr>
            <w:tcW w:w="6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769" w:type="dxa"/>
            <w:tcBorders/>
            <w:shd w:fill="CCEEFF" w:val="clear"/>
            <w:vAlign w:val="bottom"/>
          </w:tcPr>
          <w:p>
            <w:pPr>
              <w:pStyle w:val="TableContents"/>
              <w:spacing w:before="0" w:after="283"/>
              <w:jc w:val="right"/>
              <w:rPr/>
            </w:pPr>
            <w:r>
              <w:rPr/>
              <w:t>2025</w:t>
            </w:r>
          </w:p>
        </w:tc>
        <w:tc>
          <w:tcPr>
            <w:tcW w:w="6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  </w:t>
            </w:r>
          </w:p>
        </w:tc>
        <w:tc>
          <w:tcPr>
            <w:tcW w:w="71" w:type="dxa"/>
            <w:tcBorders/>
            <w:shd w:fill="CCEEFF" w:val="clear"/>
            <w:vAlign w:val="bottom"/>
          </w:tcPr>
          <w:p>
            <w:pPr>
              <w:pStyle w:val="TableContents"/>
              <w:spacing w:before="0" w:after="283"/>
              <w:rPr/>
            </w:pPr>
            <w:r>
              <w:rPr/>
              <w:t> </w:t>
            </w:r>
          </w:p>
        </w:tc>
      </w:tr>
      <w:tr>
        <w:trPr/>
        <w:tc>
          <w:tcPr>
            <w:tcW w:w="1728" w:type="dxa"/>
            <w:tcBorders/>
            <w:shd w:fill="auto" w:val="clear"/>
          </w:tcPr>
          <w:p>
            <w:pPr>
              <w:pStyle w:val="TableContents"/>
              <w:spacing w:before="0" w:after="0"/>
              <w:rPr>
                <w:rFonts w:ascii="Times New Roman" w:hAnsi="Times New Roman"/>
                <w:sz w:val="20"/>
              </w:rPr>
            </w:pPr>
            <w:r>
              <w:rPr>
                <w:rFonts w:ascii="Times New Roman" w:hAnsi="Times New Roman"/>
                <w:sz w:val="20"/>
              </w:rPr>
              <w:t>R. Sanders Williams, M.D.(2)</w:t>
            </w:r>
          </w:p>
        </w:tc>
        <w:tc>
          <w:tcPr>
            <w:tcW w:w="69"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jc w:val="center"/>
              <w:rPr/>
            </w:pPr>
            <w:r>
              <w:rPr/>
              <w:t>I</w:t>
            </w:r>
          </w:p>
        </w:tc>
        <w:tc>
          <w:tcPr>
            <w:tcW w:w="69"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r>
              <w:rPr/>
              <w:t>74</w:t>
            </w:r>
          </w:p>
        </w:tc>
        <w:tc>
          <w:tcPr>
            <w:tcW w:w="6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3807" w:type="dxa"/>
            <w:tcBorders/>
            <w:shd w:fill="auto" w:val="clear"/>
            <w:vAlign w:val="bottom"/>
          </w:tcPr>
          <w:p>
            <w:pPr>
              <w:pStyle w:val="TableContents"/>
              <w:spacing w:before="0" w:after="283"/>
              <w:rPr/>
            </w:pPr>
            <w:r>
              <w:rPr/>
              <w:t>Director</w:t>
            </w:r>
          </w:p>
        </w:tc>
        <w:tc>
          <w:tcPr>
            <w:tcW w:w="6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jc w:val="right"/>
              <w:rPr/>
            </w:pPr>
            <w:r>
              <w:rPr/>
              <w:t>2016</w:t>
            </w:r>
          </w:p>
        </w:tc>
        <w:tc>
          <w:tcPr>
            <w:tcW w:w="6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jc w:val="right"/>
              <w:rPr/>
            </w:pPr>
            <w:r>
              <w:rPr/>
              <w:t>2025</w:t>
            </w:r>
          </w:p>
        </w:tc>
        <w:tc>
          <w:tcPr>
            <w:tcW w:w="6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  </w:t>
            </w:r>
          </w:p>
        </w:tc>
        <w:tc>
          <w:tcPr>
            <w:tcW w:w="71"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Member of audit committee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Member of compensation committee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Member of corporate governance and nominating committee </w:t>
            </w:r>
          </w:p>
        </w:tc>
      </w:tr>
    </w:tbl>
    <w:p>
      <w:pPr>
        <w:pStyle w:val="TextBody"/>
        <w:spacing w:before="360" w:after="0"/>
        <w:jc w:val="left"/>
        <w:rPr>
          <w:rFonts w:ascii="Times New Roman" w:hAnsi="Times New Roman"/>
          <w:b/>
          <w:sz w:val="20"/>
        </w:rPr>
      </w:pPr>
      <w:bookmarkStart w:id="6" w:name="toc455357_4"/>
      <w:bookmarkEnd w:id="6"/>
      <w:r>
        <w:rPr>
          <w:rFonts w:ascii="Times New Roman" w:hAnsi="Times New Roman"/>
          <w:b/>
          <w:sz w:val="20"/>
        </w:rPr>
        <w:t xml:space="preserve">Class II Nominees for Director </w:t>
      </w:r>
    </w:p>
    <w:p>
      <w:pPr>
        <w:pStyle w:val="TextBody"/>
        <w:spacing w:before="120" w:after="0"/>
        <w:jc w:val="left"/>
        <w:rPr>
          <w:rFonts w:ascii="Times New Roman" w:hAnsi="Times New Roman"/>
          <w:sz w:val="20"/>
        </w:rPr>
      </w:pPr>
      <w:r>
        <w:rPr>
          <w:rFonts w:ascii="Times New Roman" w:hAnsi="Times New Roman"/>
          <w:b/>
          <w:i/>
          <w:sz w:val="20"/>
        </w:rPr>
        <w:t>Amy Burroughs, M.B.A.</w:t>
      </w:r>
      <w:r>
        <w:rPr>
          <w:rFonts w:ascii="Times New Roman" w:hAnsi="Times New Roman"/>
          <w:sz w:val="20"/>
        </w:rPr>
        <w:t xml:space="preserve">, has served as a member of our board of directors since December 2022. Since April 2019, Ms. Burroughs has served as President and Chief Executive Officer and director of Cleave Therapeutics, Inc., a privately-held biopharmaceutical company focused on valosin-containing protein as a novel target in oncology and neurodegenerative diseases. From December 2017 to March 2019, Ms. Burroughs served as Executive in Residence at 5AM Ventures, and during such tenure from March 2018 to April 2019, served as Senior Advisor to Crinetics Pharmaceuticals, Inc., a 5AM portfolio company focused on the development of therapies for people with rare endocrine diseases. From May 2015 to December 2017, Ms. Burroughs served as founder and managing partner of The Ventral Group, a strategic life sciences consulting and investor advisory firm. Roles earlier in Ms. Burroughs career included leadership development, talent and governance at Egon Zehnder International, chief commercial officer and head of business development for APT Pharmaceuticals,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commercial leadership roles at Genentech and brand management at Procter &amp; Gamble. From July 2021 to March 2023, she was a member of the board of directors of DiaMedica Therapeutics, Inc., a publicly-traded biotechnology company. Ms. Burroughs holds a Bachelor of Arts in Computer Science and a minor in Economics from Dartmouth College and an MBA from Harvard Business School where she graduated as a Baker Scholar. </w:t>
      </w:r>
    </w:p>
    <w:p>
      <w:pPr>
        <w:pStyle w:val="TextBody"/>
        <w:spacing w:before="240" w:after="0"/>
        <w:jc w:val="left"/>
        <w:rPr>
          <w:rFonts w:ascii="Times New Roman" w:hAnsi="Times New Roman"/>
          <w:sz w:val="20"/>
        </w:rPr>
      </w:pPr>
      <w:r>
        <w:rPr>
          <w:rFonts w:ascii="Times New Roman" w:hAnsi="Times New Roman"/>
          <w:sz w:val="20"/>
        </w:rPr>
        <w:t xml:space="preserve">We believe Ms. Burroughs is qualified to serve on our board of directors because of her knowledge and experience in the biotechnology and pharmaceutical industries and her broad leadership experience resulting from service as an executive of biopharmaceutical companies and service as a public company board member within the life sciences industry. </w:t>
      </w:r>
    </w:p>
    <w:p>
      <w:pPr>
        <w:pStyle w:val="TextBody"/>
        <w:spacing w:before="240" w:after="0"/>
        <w:jc w:val="left"/>
        <w:rPr>
          <w:rFonts w:ascii="Times New Roman" w:hAnsi="Times New Roman"/>
          <w:sz w:val="20"/>
        </w:rPr>
      </w:pPr>
      <w:r>
        <w:rPr>
          <w:rFonts w:ascii="Times New Roman" w:hAnsi="Times New Roman"/>
          <w:b/>
          <w:i/>
          <w:sz w:val="20"/>
        </w:rPr>
        <w:t>Jin-Long Chen, Ph.D.</w:t>
      </w:r>
      <w:r>
        <w:rPr>
          <w:rFonts w:ascii="Times New Roman" w:hAnsi="Times New Roman"/>
          <w:sz w:val="20"/>
        </w:rPr>
        <w:t xml:space="preserve">, has served as member of our board of directors since October 2016. Dr. Chen was the founder of NGM Biopharmaceuticals, Inc. (NGM), a publicly traded biopharmaceutical company, and served as a member of the NGM board of directors and as Chief Scientific Officer from January 2008 to April 2023. He was also NGMs President until November 2014. Previously, Dr. Chen held various positions at Amgen, Inc. (Amgen), a publicly traded biopharmaceutical company, most recently as Vice President, Metabolic Disorders. Prior to joining Amgen. Dr. Chen served as Vice President of Biology at Tularik, Inc. (Tularik), prior to Amgens acquisition of Tularik in 2004. Dr. Chen received a B.S. in nutrition and food science from Fu-Jen Catholic University and a Ph.D. in molecular and cell biology from the University of California, Berkeley. </w:t>
      </w:r>
    </w:p>
    <w:p>
      <w:pPr>
        <w:pStyle w:val="TextBody"/>
        <w:spacing w:before="240" w:after="0"/>
        <w:jc w:val="left"/>
        <w:rPr>
          <w:rFonts w:ascii="Times New Roman" w:hAnsi="Times New Roman"/>
          <w:sz w:val="20"/>
        </w:rPr>
      </w:pPr>
      <w:r>
        <w:rPr>
          <w:rFonts w:ascii="Times New Roman" w:hAnsi="Times New Roman"/>
          <w:sz w:val="20"/>
        </w:rPr>
        <w:t xml:space="preserve">We believe Dr. Chen is qualified to serve on our board because of his extensive medical research experience, and his experience as a founder, executive, and director of a public biopharmaceutical company. </w:t>
      </w:r>
    </w:p>
    <w:p>
      <w:pPr>
        <w:pStyle w:val="TextBody"/>
        <w:spacing w:before="240" w:after="0"/>
        <w:jc w:val="left"/>
        <w:rPr>
          <w:rFonts w:ascii="Times New Roman" w:hAnsi="Times New Roman"/>
          <w:sz w:val="20"/>
        </w:rPr>
      </w:pPr>
      <w:r>
        <w:rPr>
          <w:rFonts w:ascii="Times New Roman" w:hAnsi="Times New Roman"/>
          <w:b/>
          <w:i/>
          <w:sz w:val="20"/>
        </w:rPr>
        <w:t>Catherine Stehman-Breen, M.D.</w:t>
      </w:r>
      <w:r>
        <w:rPr>
          <w:rFonts w:ascii="Times New Roman" w:hAnsi="Times New Roman"/>
          <w:sz w:val="20"/>
        </w:rPr>
        <w:t xml:space="preserve">, has served as a member of our board of directors since June 2020. Since December 2020, Dr. Stehman-Breen has served as the Chief Executive Officer and a member of the board of directors of Chroma Medicine, a private biotechnology company. Previously, she served as the Chief Research and Development Officer of Obsidian Therapeutics, Inc., a private biotechnology company, from July 2019 to December 2020, and as an entrepreneur-in-residence at Atlas Ventures, serving as Chief Medical Officer of both Dyne Therapeutics, Inc., a biotechnology company, from March 2018 to July 2019 and Disarm Therapeutics, Inc., a biotechnology company, from April 2018 to July 2019. Dr. Stehman-Breen also served as Chief Medical Officer of Sarepta Therapeutics, Inc., a publicly traded biopharmaceutical company, from March 2017 to December 2017. Prior to that, she served as Vice President, Clinical Development and Regulatory Affairs at Regeneron Pharmaceuticals, Inc., a publicly traded biotechnology company, from January 2015 to March 2017. From 2003 to 2015, Dr. Stehman-Breen held senior leadership roles at Amgen, Inc. including Vice President, Global Development, leading the neuroscience, nephrology and bone therapeutic areas. She has also served on the boards of directors of Dyne Therapeutics, Inc. since June 2019 and Generation Bio Co., a publicly traded biotechnology company, since December 2017. Dr. Stehman-Breen earned a B.A. in biology and psychology from Colby College, an M.S. in epidemiology from the University of Washington, where she also completed her residency and fellowship training, and an M.D. from the University of Chicago. </w:t>
      </w:r>
    </w:p>
    <w:p>
      <w:pPr>
        <w:pStyle w:val="TextBody"/>
        <w:spacing w:before="240" w:after="0"/>
        <w:jc w:val="left"/>
        <w:rPr>
          <w:rFonts w:ascii="Times New Roman" w:hAnsi="Times New Roman"/>
          <w:sz w:val="20"/>
        </w:rPr>
      </w:pPr>
      <w:r>
        <w:rPr>
          <w:rFonts w:ascii="Times New Roman" w:hAnsi="Times New Roman"/>
          <w:sz w:val="20"/>
        </w:rPr>
        <w:t xml:space="preserve">We believe Dr. Stehman-Breen is qualified to serve on our board based on her medical expertise, her experience with clinical development and regulatory affairs in many therapeutic areas, her expertise as an executive in the biotechnology industry and her experience as a public company board member, including within the biotechnology industry. </w:t>
      </w:r>
    </w:p>
    <w:p>
      <w:pPr>
        <w:pStyle w:val="TextBody"/>
        <w:spacing w:before="360" w:after="0"/>
        <w:jc w:val="left"/>
        <w:rPr>
          <w:rFonts w:ascii="Times New Roman" w:hAnsi="Times New Roman"/>
          <w:b/>
          <w:sz w:val="20"/>
        </w:rPr>
      </w:pPr>
      <w:bookmarkStart w:id="7" w:name="toc455357_5"/>
      <w:bookmarkEnd w:id="7"/>
      <w:r>
        <w:rPr>
          <w:rFonts w:ascii="Times New Roman" w:hAnsi="Times New Roman"/>
          <w:b/>
          <w:sz w:val="20"/>
        </w:rPr>
        <w:t xml:space="preserve">Continuing Directors </w:t>
      </w:r>
    </w:p>
    <w:p>
      <w:pPr>
        <w:pStyle w:val="TextBody"/>
        <w:spacing w:before="120" w:after="0"/>
        <w:jc w:val="left"/>
        <w:rPr>
          <w:rFonts w:ascii="Times New Roman" w:hAnsi="Times New Roman"/>
          <w:sz w:val="20"/>
        </w:rPr>
      </w:pPr>
      <w:r>
        <w:rPr>
          <w:rFonts w:ascii="Times New Roman" w:hAnsi="Times New Roman"/>
          <w:b/>
          <w:i/>
          <w:sz w:val="20"/>
        </w:rPr>
        <w:t>Faraz Ali, M.B.A.</w:t>
      </w:r>
      <w:r>
        <w:rPr>
          <w:rFonts w:ascii="Times New Roman" w:hAnsi="Times New Roman"/>
          <w:sz w:val="20"/>
        </w:rPr>
        <w:t xml:space="preserve">, has served as our Chief Executive Officer since June 2018 and as a member of our board of directors since September 2018. Prior to joining us, Mr. Ali was Chief Business Officer at REGENXBIO, a publicly traded biotechnology company, from February 2016 to January 2018. From May 2011 to February 2016, he served as Vice President, Global Commercial Development and External Affairs at bluebird bio, a publicly traded biotechnology company. From August 2001 to November 2010, Mr. Ali held various roles at Genzyme,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including Head of U.S. Marketing and Strategic Planning for the rare disease business unit. Prior to Genzyme, he served in leadership roles at GE Corporate and GE Healthcare. Mr. Ali is a member of the Board of Directors of the Alliance for Regenerative Medicine. He holds a B.S. in Electrical Engineering from Stanford University and an M.B.A. with distinction from Harvard Business School. </w:t>
      </w:r>
    </w:p>
    <w:p>
      <w:pPr>
        <w:pStyle w:val="TextBody"/>
        <w:spacing w:before="240" w:after="0"/>
        <w:jc w:val="left"/>
        <w:rPr>
          <w:rFonts w:ascii="Times New Roman" w:hAnsi="Times New Roman"/>
          <w:sz w:val="20"/>
        </w:rPr>
      </w:pPr>
      <w:r>
        <w:rPr>
          <w:rFonts w:ascii="Times New Roman" w:hAnsi="Times New Roman"/>
          <w:sz w:val="20"/>
        </w:rPr>
        <w:t xml:space="preserve">We believe Mr. Ali is qualified to serve on our board of directors because of the perspective and experience he brings as our Chief Executive Officer, his experience in leadership and corporate development positions in the biotechnology industry and with companies focused on gene therapies and therapies for rare and orphan diseases, and his educational background. </w:t>
      </w:r>
    </w:p>
    <w:p>
      <w:pPr>
        <w:pStyle w:val="TextBody"/>
        <w:spacing w:before="240" w:after="0"/>
        <w:jc w:val="left"/>
        <w:rPr>
          <w:rFonts w:ascii="Times New Roman" w:hAnsi="Times New Roman"/>
          <w:sz w:val="20"/>
        </w:rPr>
      </w:pPr>
      <w:r>
        <w:rPr>
          <w:rFonts w:ascii="Times New Roman" w:hAnsi="Times New Roman"/>
          <w:b/>
          <w:i/>
          <w:sz w:val="20"/>
        </w:rPr>
        <w:t>June Lee, M.D.</w:t>
      </w:r>
      <w:r>
        <w:rPr>
          <w:rFonts w:ascii="Times New Roman" w:hAnsi="Times New Roman"/>
          <w:sz w:val="20"/>
        </w:rPr>
        <w:t xml:space="preserve">, has served as a member of our board of directors since November 2021. Dr. Lee joined 5AM Ventures as a Venture Partner in July 2022. From February 2021 to November 2021, Dr. Lee served as Founder and Chief Executive Officer at Alumis Inc. (formerly known as Esker Therapeutics), a precision medicine company developing treatments for autoimmune diseases. From January 2017 until June 2020, Dr. Lee was Chief Development Officer and Chief Operating Officer of MyoKardia, Inc. (MyoKardia), a clinical stage biotechnology company with a focus on precision cardiovascular medicines. Prior to MyoKardia, from April 2011 to January 2017, Dr. Lee was Professor of Medicine at the University of California, San Francisco (UCSF) School of Medicine, where she served as Director of Translational Research. She is also the founding chair of the University of California Drug, Device, Discovery and Development Group. Previously, from March 2004 to April 2011, she was therapeutic area head in early clinical development in cardiovascular, metabolism, respiratory, and infectious diseases at Genentech. Dr. Lee is a member of the Board of Directors of Eledon Pharmaceuticals, Inc., a publicly traded biotechnology company and GenEdit, a privately held biotechnology company. She previously served as a member of the Board of Directors of CinCor Pharma, a publicly traded biotechnology company, from January 2022 until its acquisition by AstraZeneca Finance and Holdings Inc. in February 2023. Dr. Lee is also a member of and the Council of Korean Americans, of which she previously served as Chair. She is a founding member of the Translational Research Advisory Council of South Koreas MOGAM Research Institute, and the MTRAC for Life Sciences Innovation Hub Therapeutic/Diagnostic Oversight Committee, a unit associated with the University of Michigan Medical School. Dr. Lee currently serves on Johns Hopkins University Center for Therapeutic Translations Advisory Board, and on the Scientific Advisory Boards for Aer Therapeutics, Inc. and Foresite Labs. She completed a Bachelor of Science in chemistry at the Johns Hopkins University, an M.D. at the School of Medicine at University of California, Davis, and her clinical training in internal medicine and pulmonary and critical care at the University of California, Los Angeles and UCSF. </w:t>
      </w:r>
    </w:p>
    <w:p>
      <w:pPr>
        <w:pStyle w:val="TextBody"/>
        <w:spacing w:before="240" w:after="0"/>
        <w:jc w:val="left"/>
        <w:rPr>
          <w:rFonts w:ascii="Times New Roman" w:hAnsi="Times New Roman"/>
          <w:sz w:val="20"/>
        </w:rPr>
      </w:pPr>
      <w:r>
        <w:rPr>
          <w:rFonts w:ascii="Times New Roman" w:hAnsi="Times New Roman"/>
          <w:sz w:val="20"/>
        </w:rPr>
        <w:t xml:space="preserve">We believe Dr. Lee is qualified to serve on our board of directors because of her extensive scientific background, medical training, expertise in the cardiovascular field, and executive leadership experience in our industry. </w:t>
      </w:r>
    </w:p>
    <w:p>
      <w:pPr>
        <w:pStyle w:val="TextBody"/>
        <w:spacing w:before="240" w:after="0"/>
        <w:jc w:val="left"/>
        <w:rPr>
          <w:rFonts w:ascii="Times New Roman" w:hAnsi="Times New Roman"/>
          <w:sz w:val="20"/>
        </w:rPr>
      </w:pPr>
      <w:r>
        <w:rPr>
          <w:rFonts w:ascii="Times New Roman" w:hAnsi="Times New Roman"/>
          <w:b/>
          <w:i/>
          <w:sz w:val="20"/>
        </w:rPr>
        <w:t>Deepak Srivastava, M.D.</w:t>
      </w:r>
      <w:r>
        <w:rPr>
          <w:rFonts w:ascii="Times New Roman" w:hAnsi="Times New Roman"/>
          <w:sz w:val="20"/>
        </w:rPr>
        <w:t xml:space="preserve">, has served as a member of our board of directors since October 2016. He has been a consultant for our company since September 2016 and Chairman of our Scientific Advisory Board since October 2016. Dr. Srivastava has served as President of Gladstone Institutes since January 2018. He is currently the Younger Family Professor and a senior investigator at the Gladstone Institute of Cardiovascular Disease and director of the Roddenberry Stem Cell Center. Since 2005, Dr. Srivastava has been a professor in the Departments of Pediatrics and Biochemistry and Biophysics at the University of California, San Francisco, and he is the Wilma and Adeline Pirag Distinguished Professor in pediatric developmental cardiology. He is the immediate past-president of the International Society for Stem Cell Research. Dr. Srivastava is a member of the American Academy of Arts and Sciences and the National Academy of Medicine. He received a B.S. from Rice University and an M.D. from the University of Texas. He trained in pediatrics at the University of California, San Francisco, and in pediatric cardiology at Harvard Medical School. </w:t>
      </w:r>
    </w:p>
    <w:p>
      <w:pPr>
        <w:pStyle w:val="TextBody"/>
        <w:spacing w:before="240" w:after="0"/>
        <w:jc w:val="left"/>
        <w:rPr>
          <w:rFonts w:ascii="Times New Roman" w:hAnsi="Times New Roman"/>
          <w:sz w:val="20"/>
        </w:rPr>
      </w:pPr>
      <w:r>
        <w:rPr>
          <w:rFonts w:ascii="Times New Roman" w:hAnsi="Times New Roman"/>
          <w:sz w:val="20"/>
        </w:rPr>
        <w:t xml:space="preserve">We believe Dr. Srivastava is qualified to serve on our board because of his scientific and educational background and his extensive expertise in the cardiovascular field and as a co-founder of the Company with specific expertise in the science of using direct in vivo reprogramming approach to cellular regeneration and human iPS-derived cardiomyocytes for drug discovery.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i/>
          <w:sz w:val="20"/>
        </w:rPr>
        <w:t>David Goeddel, Ph.D.</w:t>
      </w:r>
      <w:r>
        <w:rPr>
          <w:rFonts w:ascii="Times New Roman" w:hAnsi="Times New Roman"/>
          <w:sz w:val="20"/>
        </w:rPr>
        <w:t xml:space="preserve">, has served as a member of our board of directors since August 2016. Dr. Goeddel has served as a Managing Partner of The Column Group, a venture capital firm, since 2007. Dr. Goeddel is a member of the board of directors of NGM, as well as A2 Biotherapeutics, Inc. (Chairman) and Hexagon Bio, Inc. (Chairman), both privately held biopharmaceutical companies. He previously served as a member of the board of directors for multiple other publicly and privately held companies, including most recently, RAPT Therapeutics, Inc., Nura Bio Inc., Surrozen, Inc. Exonics Therapeutics, Inc. and, Peloton Therapeutics, Inc. Dr. Goeddel co-founded Tularik in November 1991, was Vice President of Research until 1996, and served as Chief Executive Officer from 1996 until 2004. He then served as the first Senior Vice President of Amgen until May 2006. Prior to Tularik, he was the first scientist hired by Genentech, and from 1978 to 1993 served in various positions, including Fellow, Staff Scientist and Director of Molecular Biology. He is a member of the National Academy of Sciences and the American Academy of Arts and Sciences. He holds a B.A. in chemistry from the University of California, San Diego and a Ph.D. in biochemistry from the University of Colorado. </w:t>
      </w:r>
    </w:p>
    <w:p>
      <w:pPr>
        <w:pStyle w:val="TextBody"/>
        <w:spacing w:before="240" w:after="0"/>
        <w:jc w:val="left"/>
        <w:rPr>
          <w:rFonts w:ascii="Times New Roman" w:hAnsi="Times New Roman"/>
          <w:sz w:val="20"/>
        </w:rPr>
      </w:pPr>
      <w:r>
        <w:rPr>
          <w:rFonts w:ascii="Times New Roman" w:hAnsi="Times New Roman"/>
          <w:sz w:val="20"/>
        </w:rPr>
        <w:t xml:space="preserve">We believe Dr. Goeddel is qualified to serve on our board of directors because of his experience serving as a board member of public and private life sciences companies, his experience as a founder and Chief Executive Officer of a public biopharmaceutical company, his depth of knowledge and substantial experience as a research scientist, his extensive experience in investing in diverse biotechnology companies and his experience as a public company board member, including within the biotechnology industry. </w:t>
      </w:r>
    </w:p>
    <w:p>
      <w:pPr>
        <w:pStyle w:val="TextBody"/>
        <w:spacing w:before="240" w:after="0"/>
        <w:jc w:val="left"/>
        <w:rPr>
          <w:rFonts w:ascii="Times New Roman" w:hAnsi="Times New Roman"/>
          <w:sz w:val="20"/>
        </w:rPr>
      </w:pPr>
      <w:r>
        <w:rPr>
          <w:rFonts w:ascii="Times New Roman" w:hAnsi="Times New Roman"/>
          <w:b/>
          <w:i/>
          <w:sz w:val="20"/>
        </w:rPr>
        <w:t>Karah Parschauer, J.D.</w:t>
      </w:r>
      <w:r>
        <w:rPr>
          <w:rFonts w:ascii="Times New Roman" w:hAnsi="Times New Roman"/>
          <w:sz w:val="20"/>
        </w:rPr>
        <w:t xml:space="preserve">, has served as a member of our board of directors since December 2021. In June 2016, Ms. Parschauer began serving as the General Counsel and Executive Vice President and is currently serving as Chief Legal Officer and Executive Vice President of Ultragenyx Pharmaceutical Inc., a publicly traded biopharmaceutical company developing treatments for rare and ultra-rare genetic diseases. From June 2005 to June 2016, Ms. Parschauer served in various executive capacities, and most recently as Vice President, Associate General Counsel, at Allergan plc, a pharmaceutical company. Before Allergan, Ms. Parschauer was an attorney at Latham &amp; Watkins LLP, where she practiced in the areas of mergers and acquisitions, securities offerings and corporate governance. Ms. Parschauer is a member of the board of directors of Evolus, Inc., a publicly traded performance beauty company and Anebulo Pharmaceuticals, a publicly traded biotechnology company. From June 2019 to August 2021, she was a member of the board of directors of Arcturus Therapeutics Holdings Inc., a public RNA medicines company. Ms. Parschauer holds a B.A. in biology from Miami University and a J.D. from Harvard Law School. </w:t>
      </w:r>
    </w:p>
    <w:p>
      <w:pPr>
        <w:pStyle w:val="TextBody"/>
        <w:spacing w:before="240" w:after="0"/>
        <w:jc w:val="left"/>
        <w:rPr>
          <w:rFonts w:ascii="Times New Roman" w:hAnsi="Times New Roman"/>
          <w:sz w:val="20"/>
        </w:rPr>
      </w:pPr>
      <w:r>
        <w:rPr>
          <w:rFonts w:ascii="Times New Roman" w:hAnsi="Times New Roman"/>
          <w:sz w:val="20"/>
        </w:rPr>
        <w:t xml:space="preserve">We believe Ms. Parschauer is qualified to serve on our board of directors because of her extensive experience as an executive in the life sciences sector, her legal expertise, and her experience as a public company board member within the life sciences industry. </w:t>
      </w:r>
    </w:p>
    <w:p>
      <w:pPr>
        <w:pStyle w:val="TextBody"/>
        <w:spacing w:before="240" w:after="0"/>
        <w:jc w:val="left"/>
        <w:rPr>
          <w:rFonts w:ascii="Times New Roman" w:hAnsi="Times New Roman"/>
          <w:sz w:val="20"/>
        </w:rPr>
      </w:pPr>
      <w:r>
        <w:rPr>
          <w:rFonts w:ascii="Times New Roman" w:hAnsi="Times New Roman"/>
          <w:b/>
          <w:i/>
          <w:sz w:val="20"/>
        </w:rPr>
        <w:t>Jeffrey T. Walsh, M.B.A.</w:t>
      </w:r>
      <w:r>
        <w:rPr>
          <w:rFonts w:ascii="Times New Roman" w:hAnsi="Times New Roman"/>
          <w:sz w:val="20"/>
        </w:rPr>
        <w:t xml:space="preserve">, has served as a member of our board of directors since March 2020. From January 2022 through April 2023, Mr. Walsh served as a part-time venture partner at Third Rock Ventures. Previously, between May 2011 and March 2021, he served in various roles at bluebird bio, Inc., including most recently as Strategic Advisor, and previously as Chief Operating Officer, Chief Financial Officer, and Chief Strategy Officer. From 2008 to 2011, Mr. Walsh served as Chief Business Officer of Taligen Therapeutics, Inc. until it was acquired by Alexion Pharmaceuticals, Inc. Mr. Walsh started his career at SmithKline Beecham Corporation in finance and worldwide business development roles from 1987 to 1995. He subsequently held senior business development, finance, sales and operations roles at Allscripts Healthcare Solutions Inc. from 1995 to 1998, PathoGenesis Corp. from 1998 to 2000, EXACT Sciences Corporation from 2000 to 2004, and Inotek Pharmaceuticals Corp. from 2004 to 2008. Mr. Walsh serves as a member of the Board of Tevard Biosciences, a private biotechnology company. He received a B.A. in sociology and economics from Yale University and an M.B.A. from the Kellogg Graduate School of Management at Northwestern University. </w:t>
      </w:r>
    </w:p>
    <w:p>
      <w:pPr>
        <w:pStyle w:val="TextBody"/>
        <w:spacing w:before="240" w:after="0"/>
        <w:jc w:val="left"/>
        <w:rPr>
          <w:rFonts w:ascii="Times New Roman" w:hAnsi="Times New Roman"/>
          <w:sz w:val="20"/>
        </w:rPr>
      </w:pPr>
      <w:r>
        <w:rPr>
          <w:rFonts w:ascii="Times New Roman" w:hAnsi="Times New Roman"/>
          <w:sz w:val="20"/>
        </w:rPr>
        <w:t xml:space="preserve">We believe that Mr. Walshs qualifications to serve on our board of directors include his leadership and management experience in the biotechnology industry and his experience in finance and business development and strategic planning as an executive officer at multiple healthcare companies.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i/>
          <w:sz w:val="20"/>
        </w:rPr>
        <w:t>R. Sanders (Sandy) Williams, M.D.</w:t>
      </w:r>
      <w:r>
        <w:rPr>
          <w:rFonts w:ascii="Times New Roman" w:hAnsi="Times New Roman"/>
          <w:sz w:val="20"/>
        </w:rPr>
        <w:t xml:space="preserve">, has served as a member of our board of directors since October 2016. Dr. Williams has served as the President Emeritus of Gladstone Institutes, a non-profit biomedical research enterprise since January 2018 and previously served as its President from November 2009 to December 2017. Dr. Williams also served as the Chief Executive Officer of Gladstone Foundation, a not-for-profit organization supporting Gladstone Institutes from January 2016 to December 2018. Since January 2018, Dr. Williams has served as Professor of Medicine and Senior Advisor for Science &amp; Technology at Duke University and, from February 2021-January 2022 as its Interim Vice President for Research and Innovation. Dr. Williams has also served as a Professor of Medicine at the University of California, San Francisco since 2010. From 2010 to 2017, Dr. Williams was the President and the Robert W. and Linda L. Mahley Distinguished Professor of Medicine of Gladstone Institutes. Prior to this, Dr. Williams served in various roles, including as Dean and Senior Vice Chancellor of the Duke University School of Medicine, from 2001 to 2010. He was the founding Dean of the Duke-NUS Graduate Medical School, Singapore, from 2003 to 2008 and served on its Governing Board from 2003 to 2010. From 1990 to 2001, Dr. Williams was Chief of Cardiology and Director of the Ryburn Center for Molecular Cardiology at the University of Texas, Southwestern Medical Center. Dr. Williams is a member of the board of directors of the Laboratory Corporation of America Holdings, a publicly traded diagnostic technologies company and Amgen. Dr. Williams was elected to the National Academy of Medicine in 2002. Dr. Williams received an A.B. from Princeton University and an M.D. from Duke University. </w:t>
      </w:r>
    </w:p>
    <w:p>
      <w:pPr>
        <w:pStyle w:val="TextBody"/>
        <w:spacing w:before="240" w:after="0"/>
        <w:jc w:val="left"/>
        <w:rPr>
          <w:rFonts w:ascii="Times New Roman" w:hAnsi="Times New Roman"/>
          <w:sz w:val="20"/>
        </w:rPr>
      </w:pPr>
      <w:r>
        <w:rPr>
          <w:rFonts w:ascii="Times New Roman" w:hAnsi="Times New Roman"/>
          <w:sz w:val="20"/>
        </w:rPr>
        <w:t xml:space="preserve">We believe Dr. Williams is qualified to serve on our board because of his scientific and educational background, his extensive expertise in the cardiovascular field, and his experience as a public company board member, including within the biotechnology industry. </w:t>
      </w:r>
    </w:p>
    <w:p>
      <w:pPr>
        <w:pStyle w:val="TextBody"/>
        <w:spacing w:before="360" w:after="0"/>
        <w:jc w:val="left"/>
        <w:rPr>
          <w:rFonts w:ascii="Times New Roman" w:hAnsi="Times New Roman"/>
          <w:b/>
          <w:sz w:val="20"/>
        </w:rPr>
      </w:pPr>
      <w:bookmarkStart w:id="8" w:name="toc455357_6"/>
      <w:bookmarkEnd w:id="8"/>
      <w:r>
        <w:rPr>
          <w:rFonts w:ascii="Times New Roman" w:hAnsi="Times New Roman"/>
          <w:b/>
          <w:sz w:val="20"/>
        </w:rPr>
        <w:t xml:space="preserve">Director Independence </w:t>
      </w:r>
    </w:p>
    <w:p>
      <w:pPr>
        <w:pStyle w:val="TextBody"/>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rules of Nasdaq, independent directors must comprise a majority of a listed companys board of directors within one year of the completion of its initial public offering. Under Nasdaq listing rules, a director will only qualify as an independent director if, in the opinion of that listed companys board of directors, the director does not have a relationship that would interfere with the exercise of independent judgment in carrying out the responsibilities of a director. In addition, the Nasdaq listing rules require that, subject to specified exceptions, each member of our audit, compensation and corporate governance and nominating committees be independent. </w:t>
      </w:r>
    </w:p>
    <w:p>
      <w:pPr>
        <w:pStyle w:val="TextBody"/>
        <w:spacing w:before="240" w:after="0"/>
        <w:jc w:val="left"/>
        <w:rPr>
          <w:rFonts w:ascii="Times New Roman" w:hAnsi="Times New Roman"/>
          <w:sz w:val="20"/>
        </w:rPr>
      </w:pPr>
      <w:r>
        <w:rPr>
          <w:rFonts w:ascii="Times New Roman" w:hAnsi="Times New Roman"/>
          <w:sz w:val="20"/>
        </w:rPr>
        <w:t xml:space="preserve">Audit committee members must also satisfy the additional independence criteria set forth in Rule 10A-3 under the Exchange Act, and Nasdaq listing rules applicable to audit committee members. Compensation committee members must also satisfy the additional independence criteria set forth in Rule 10C-1 under the Exchange Act and Nasdaq listing rules applicable to compensation committee members. </w:t>
      </w:r>
    </w:p>
    <w:p>
      <w:pPr>
        <w:pStyle w:val="TextBody"/>
        <w:spacing w:before="240" w:after="0"/>
        <w:jc w:val="left"/>
        <w:rPr>
          <w:rFonts w:ascii="Times New Roman" w:hAnsi="Times New Roman"/>
          <w:sz w:val="20"/>
        </w:rPr>
      </w:pPr>
      <w:r>
        <w:rPr>
          <w:rFonts w:ascii="Times New Roman" w:hAnsi="Times New Roman"/>
          <w:sz w:val="20"/>
        </w:rPr>
        <w:t xml:space="preserve">Our board of directors has undertaken a review of the independence of each of our directors. Based on information provided by each director concerning his or her background, employment and affiliations, our board of directors has determined that each of Drs. Chen, Goeddel, Lee, Srivastava, Stehman-Breen and Williams, Mses. Burroughs and Parschauer and Mr. Walsh, representing nine of our ten directors, do not have a relationship that would interfere with the exercise of independent judgment in carrying out the responsibilities of a director and that each of these directors is an independent director as defined under the listing standards of Nasdaq. Mr. Ali is not considered an independent director because of his position as our Chief Executive Officer. </w:t>
      </w:r>
    </w:p>
    <w:p>
      <w:pPr>
        <w:pStyle w:val="TextBody"/>
        <w:spacing w:before="240" w:after="0"/>
        <w:jc w:val="left"/>
        <w:rPr>
          <w:rFonts w:ascii="Times New Roman" w:hAnsi="Times New Roman"/>
          <w:sz w:val="20"/>
        </w:rPr>
      </w:pPr>
      <w:r>
        <w:rPr>
          <w:rFonts w:ascii="Times New Roman" w:hAnsi="Times New Roman"/>
          <w:sz w:val="20"/>
        </w:rPr>
        <w:t xml:space="preserve">In making these determinations, our board of directors considered the current and prior relationships that each non-employee director has with our company and all other facts and circumstances that our board of directors deemed relevant in determining their independence, including the beneficial ownership of our capital stock by each non-employee director, and the transactions involving them described in the section titled Related Person Transactions. </w:t>
      </w:r>
    </w:p>
    <w:p>
      <w:pPr>
        <w:pStyle w:val="TextBody"/>
        <w:spacing w:before="240" w:after="0"/>
        <w:jc w:val="left"/>
        <w:rPr>
          <w:rFonts w:ascii="Times New Roman" w:hAnsi="Times New Roman"/>
          <w:sz w:val="20"/>
        </w:rPr>
      </w:pPr>
      <w:r>
        <w:rPr>
          <w:rFonts w:ascii="Times New Roman" w:hAnsi="Times New Roman"/>
          <w:sz w:val="20"/>
        </w:rPr>
        <w:t xml:space="preserve">There are no family relationships among any of our directors, director nominees or executive officers.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bookmarkStart w:id="9" w:name="toc455357_7"/>
      <w:bookmarkEnd w:id="9"/>
      <w:r>
        <w:rPr>
          <w:rFonts w:ascii="Times New Roman" w:hAnsi="Times New Roman"/>
          <w:b/>
          <w:sz w:val="20"/>
        </w:rPr>
        <w:t xml:space="preserve">Board Leadership Structure </w:t>
      </w:r>
    </w:p>
    <w:p>
      <w:pPr>
        <w:pStyle w:val="TextBody"/>
        <w:spacing w:before="120" w:after="0"/>
        <w:jc w:val="left"/>
        <w:rPr>
          <w:rFonts w:ascii="Times New Roman" w:hAnsi="Times New Roman"/>
          <w:sz w:val="20"/>
        </w:rPr>
      </w:pPr>
      <w:r>
        <w:rPr>
          <w:rFonts w:ascii="Times New Roman" w:hAnsi="Times New Roman"/>
          <w:sz w:val="20"/>
        </w:rPr>
        <w:t xml:space="preserve">Our board of directors is currently chaired by Dr. Goeddel. As a general policy, our board of directors believes that separation of the positions of Chair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Mr. Ali serves as our Chief Executive Officer while Dr. Goeddel serves as the Chair of our board of directors but is not an officer. We currently expect and intend the positions of Chair of our board of directors and Chief Executive Officer to continue to be held by two individuals in the future. </w:t>
      </w:r>
    </w:p>
    <w:p>
      <w:pPr>
        <w:pStyle w:val="TextBody"/>
        <w:spacing w:before="360" w:after="0"/>
        <w:jc w:val="left"/>
        <w:rPr>
          <w:rFonts w:ascii="Times New Roman" w:hAnsi="Times New Roman"/>
          <w:b/>
          <w:sz w:val="20"/>
        </w:rPr>
      </w:pPr>
      <w:bookmarkStart w:id="10" w:name="toc455357_8"/>
      <w:bookmarkEnd w:id="10"/>
      <w:r>
        <w:rPr>
          <w:rFonts w:ascii="Times New Roman" w:hAnsi="Times New Roman"/>
          <w:b/>
          <w:sz w:val="20"/>
        </w:rPr>
        <w:t xml:space="preserve">Role of Board in Risk Oversight Process </w:t>
      </w:r>
    </w:p>
    <w:p>
      <w:pPr>
        <w:pStyle w:val="TextBody"/>
        <w:spacing w:before="120" w:after="0"/>
        <w:jc w:val="left"/>
        <w:rPr>
          <w:rFonts w:ascii="Times New Roman" w:hAnsi="Times New Roman"/>
          <w:sz w:val="20"/>
        </w:rPr>
      </w:pPr>
      <w:r>
        <w:rPr>
          <w:rFonts w:ascii="Times New Roman" w:hAnsi="Times New Roman"/>
          <w:sz w:val="20"/>
        </w:rPr>
        <w:t xml:space="preserve">Risk is inherent with every business, and we face a number of risks, including strategic, financial, business and operational, legal and compliance and reputational. We have designed and implemented processes to manage risk in our operations. Management is responsible for the day-to-day management of risks the company faces, while our board of directors, as a whole and assisted by its committees, has responsibility for the oversight of risk management. Our board reviews strategic and operational risk in the context of discussions, question and answer sessions, and reports from the management team at each regular board meeting, receives reports on all significant committee activities at each regular board meeting, and evaluates the risks inherent in significant transactions. </w:t>
      </w:r>
    </w:p>
    <w:p>
      <w:pPr>
        <w:pStyle w:val="TextBody"/>
        <w:spacing w:before="240" w:after="0"/>
        <w:jc w:val="left"/>
        <w:rPr>
          <w:rFonts w:ascii="Times New Roman" w:hAnsi="Times New Roman"/>
          <w:sz w:val="20"/>
        </w:rPr>
      </w:pPr>
      <w:r>
        <w:rPr>
          <w:rFonts w:ascii="Times New Roman" w:hAnsi="Times New Roman"/>
          <w:sz w:val="20"/>
        </w:rPr>
        <w:t xml:space="preserve">In addition, our board has tasked designated standing committees with oversight of certain categories of risk management. Our audit committee assists our board in fulfilling its oversight responsibilities with respect to risk management in the areas of internal control over financial reporting and disclosure controls and procedures, legal and regulatory compliance, and also, among other things, discusses with management and the independent auditor guidelines and policies with respect to risk assessment and risk management. Our compensation committee assesses risks relating to our executive compensation plans and arrangements, and whether our compensation policies and programs have the potential to encourage excessive risk taking. Our corporate governance and nominating committee assesses risks relating to our corporate governance practices, the independence of the board and potential conflicts of interest. </w:t>
      </w:r>
    </w:p>
    <w:p>
      <w:pPr>
        <w:pStyle w:val="TextBody"/>
        <w:spacing w:before="240" w:after="0"/>
        <w:jc w:val="left"/>
        <w:rPr>
          <w:rFonts w:ascii="Times New Roman" w:hAnsi="Times New Roman"/>
          <w:sz w:val="20"/>
        </w:rPr>
      </w:pPr>
      <w:r>
        <w:rPr>
          <w:rFonts w:ascii="Times New Roman" w:hAnsi="Times New Roman"/>
          <w:sz w:val="20"/>
        </w:rPr>
        <w:t xml:space="preserve">Our board of directors believes its current leadership structure supports the risk oversight function of the board. </w:t>
      </w:r>
    </w:p>
    <w:p>
      <w:pPr>
        <w:pStyle w:val="TextBody"/>
        <w:spacing w:before="360" w:after="0"/>
        <w:jc w:val="left"/>
        <w:rPr>
          <w:rFonts w:ascii="Times New Roman" w:hAnsi="Times New Roman"/>
          <w:b/>
          <w:sz w:val="20"/>
        </w:rPr>
      </w:pPr>
      <w:bookmarkStart w:id="11" w:name="toc455357_9"/>
      <w:bookmarkEnd w:id="11"/>
      <w:r>
        <w:rPr>
          <w:rFonts w:ascii="Times New Roman" w:hAnsi="Times New Roman"/>
          <w:b/>
          <w:sz w:val="20"/>
        </w:rPr>
        <w:t xml:space="preserve">Board Committees </w:t>
      </w:r>
    </w:p>
    <w:p>
      <w:pPr>
        <w:pStyle w:val="TextBody"/>
        <w:spacing w:before="120" w:after="0"/>
        <w:jc w:val="left"/>
        <w:rPr>
          <w:rFonts w:ascii="Times New Roman" w:hAnsi="Times New Roman"/>
          <w:sz w:val="20"/>
        </w:rPr>
      </w:pPr>
      <w:r>
        <w:rPr>
          <w:rFonts w:ascii="Times New Roman" w:hAnsi="Times New Roman"/>
          <w:sz w:val="20"/>
        </w:rPr>
        <w:t xml:space="preserve">Our board of directors has established the following standing committees of the board: audit committee; compensation committee; and corporate governance and nominating committee. The composition and responsibilities of each of the committees of our board of directors is described below. </w:t>
      </w:r>
    </w:p>
    <w:p>
      <w:pPr>
        <w:pStyle w:val="TextBody"/>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spacing w:before="120" w:after="0"/>
        <w:jc w:val="left"/>
        <w:rPr>
          <w:rFonts w:ascii="Times New Roman" w:hAnsi="Times New Roman"/>
          <w:sz w:val="20"/>
        </w:rPr>
      </w:pPr>
      <w:r>
        <w:rPr>
          <w:rFonts w:ascii="Times New Roman" w:hAnsi="Times New Roman"/>
          <w:sz w:val="20"/>
        </w:rPr>
        <w:t xml:space="preserve">The current members of our audit committee are Mses. Burroughs and Parschauer and Mr. Walsh. Mr. Walsh is the chairperson of our audit committee. Our board of directors has determined that each member of our audit committee meets the requirements for independence of audit committee members under the rules and regulations of the SEC and the listing standards of Nasdaq, and also meets the financial literacy requirements of the listing standards of Nasdaq. Our board of directors has determined that Mr. Walsh is an audit committee financial expert within the meaning of Item 407(d) of Regulation S-K. Our audit committee is responsible for,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selecting, retaining, compensating, evaluating, overseeing and, where appropriate, terminating our independent registered public accounting firm;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approving the scope and plans for the audits and the audit fees and approving all non-audit and tax services to be performed by the independent auditor;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evaluating the independence and qualifications of our independent registered public accounting firm;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our financial statements, and discussing with management and our independent registered public accounting firm the results of the annual audit and the quarterly reviews;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discussing with management and our independent registered public accounting firm the quality and adequacy of our internal controls and our disclosure controls and procedures;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discussing with management our procedures regarding the presentation of our financial information, and reviewing earnings press releases and guidance;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overseeing the design, implementation and performance of our internal audit function, if 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setting hiring policies with regard to the hiring of employees and former employees of our independent auditor and overseeing compliance with such policies;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approving and monitoring related party transactions;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adopting and overseeing procedures to address complaints regarding accounting, internal accounting controls and auditing matters, including confidential, anonymous submissions by our employees of concerns regarding questionable accounting or auditing matters;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discussing with management and our independent auditor the adequacy and effectiveness of our legal, regulatory and ethical compliance programs;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discussing with management and our independent auditor our guidelines and policies to identify, monitor and address enterprise risks. </w:t>
            </w:r>
          </w:p>
        </w:tc>
      </w:tr>
    </w:tbl>
    <w:p>
      <w:pPr>
        <w:pStyle w:val="TextBody"/>
        <w:spacing w:before="240" w:after="0"/>
        <w:jc w:val="left"/>
        <w:rPr>
          <w:rFonts w:ascii="Times New Roman" w:hAnsi="Times New Roman"/>
          <w:sz w:val="20"/>
        </w:rPr>
      </w:pPr>
      <w:r>
        <w:rPr>
          <w:rFonts w:ascii="Times New Roman" w:hAnsi="Times New Roman"/>
          <w:sz w:val="20"/>
        </w:rPr>
        <w:t xml:space="preserve">Our audit committee operates under a written charter that satisfies the applicable rules and regulations of the SEC and the listing standards of Nasdaq. A copy of the charter of our audit committee is available on our website at https://investors.tenayatherapeutics.com/corporate-governance/governance-overview. During 2022, our audit committee held four meetings. </w:t>
      </w:r>
    </w:p>
    <w:p>
      <w:pPr>
        <w:pStyle w:val="TextBody"/>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spacing w:before="120" w:after="0"/>
        <w:jc w:val="left"/>
        <w:rPr>
          <w:rFonts w:ascii="Times New Roman" w:hAnsi="Times New Roman"/>
          <w:sz w:val="20"/>
        </w:rPr>
      </w:pPr>
      <w:r>
        <w:rPr>
          <w:rFonts w:ascii="Times New Roman" w:hAnsi="Times New Roman"/>
          <w:sz w:val="20"/>
        </w:rPr>
        <w:t xml:space="preserve">The current members of our compensation committee are Drs. Stehman-Breen and Williams and Mr. Walsh. Dr. Williams is the chairperson of our compensation committee. Our board of directors has determined that each member of our compensation committee meets the requirements for independence for compensation committee members under the rules and regulations of the SEC and the listing standards of Nasdaq. Each member of the compensation committee is also a non-employee director, as defined pursuant to Rule 16b-3 promulgated under the Exchange Act. Our compensation committee is responsible for,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approving or making recommendations to our board of directors regarding the compensation for our executive officers, including our chief executive officer;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approving and administering our employee benefit and equity incentive plans;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establishing and reviewing the compensation plans and programs of our employees, and ensuring that they are consistent with our general compensation strategy;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approving or making recommendations to our board of directors regarding the creation or revision of any clawback policy;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making recommendations to our board of directors regarding non-employee director compensation;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discussing with management compensation policies and practices to determine whether any policies are reasonably likely to have a material adverse effect on us. </w:t>
            </w:r>
          </w:p>
        </w:tc>
      </w:tr>
    </w:tbl>
    <w:p>
      <w:pPr>
        <w:pStyle w:val="TextBody"/>
        <w:spacing w:before="240" w:after="0"/>
        <w:jc w:val="left"/>
        <w:rPr>
          <w:rFonts w:ascii="Times New Roman" w:hAnsi="Times New Roman"/>
          <w:sz w:val="20"/>
        </w:rPr>
      </w:pPr>
      <w:r>
        <w:rPr>
          <w:rFonts w:ascii="Times New Roman" w:hAnsi="Times New Roman"/>
          <w:sz w:val="20"/>
        </w:rPr>
        <w:t xml:space="preserve">Our compensation committee operates under a written charter that satisfies the applicable rules and regulations of the SEC and the listing standards of Nasdaq. A copy of the charter of our compensation committee is available on our website at https://investors.tenayatherapeutics.com/corporate-governance/governance-overview. During 2022, our compensation committee held five meetings.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Corporate Governance and Nominating Committee </w:t>
      </w:r>
    </w:p>
    <w:p>
      <w:pPr>
        <w:pStyle w:val="TextBody"/>
        <w:spacing w:before="120" w:after="0"/>
        <w:jc w:val="left"/>
        <w:rPr>
          <w:rFonts w:ascii="Times New Roman" w:hAnsi="Times New Roman"/>
          <w:sz w:val="20"/>
        </w:rPr>
      </w:pPr>
      <w:r>
        <w:rPr>
          <w:rFonts w:ascii="Times New Roman" w:hAnsi="Times New Roman"/>
          <w:sz w:val="20"/>
        </w:rPr>
        <w:t xml:space="preserve">The current members of our corporate governance and nominating committee are Drs. Chen, Goeddel, and Srivastava. Dr. Srivastava is the chairperson of our corporate governance and nominating committee. Our board of directors has determined that each member of our corporate governance and nominating committee meets the requirements for independence for corporate governance and nominating committee members under the listing standards of Nasdaq. Our corporate governance and nominating committee is responsible for,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assessing and making recommendations to our board of directors regarding desired qualifications, expertise and characteristics sought of board members;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identifying, evaluating, selecting or making recommendations to our board of directors regarding nominees for election to our board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developing policies and procedures for considering stockholder nominees for election to our board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our succession planning process for our chief executive officer and any other members of our executive management team;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making recommendations to our board of directors regarding the composition, organization and governance our board of directors and its committees;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making recommendations to our board directors regarding our corporate governance guidelines and corporate governance framework;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overseeing director orientation for new directors and continuing education for our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overseeing the evaluation of the performance of our board of directors and its committees;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monitoring compliance with our code of business conduct and ethics, and reviewing conflicts of interest of our board members and officers other than related party transactions reviewed by our audit committee. </w:t>
            </w:r>
          </w:p>
        </w:tc>
      </w:tr>
    </w:tbl>
    <w:p>
      <w:pPr>
        <w:pStyle w:val="TextBody"/>
        <w:spacing w:before="240" w:after="0"/>
        <w:jc w:val="left"/>
        <w:rPr>
          <w:rFonts w:ascii="Times New Roman" w:hAnsi="Times New Roman"/>
          <w:sz w:val="20"/>
        </w:rPr>
      </w:pPr>
      <w:r>
        <w:rPr>
          <w:rFonts w:ascii="Times New Roman" w:hAnsi="Times New Roman"/>
          <w:sz w:val="20"/>
        </w:rPr>
        <w:t xml:space="preserve">Our corporate governance and nominating committee operates under a written charter that satisfies the applicable listing standards of Nasdaq. A copy of the charter of our corporate governance and nominating committee is available on our website at https://investors.tenayatherapeutics.com/corporate-governance/governance-overview. During 2022, our corporate governance and nominating committee held three meetings. </w:t>
      </w:r>
    </w:p>
    <w:p>
      <w:pPr>
        <w:pStyle w:val="TextBody"/>
        <w:spacing w:before="360" w:after="0"/>
        <w:jc w:val="left"/>
        <w:rPr>
          <w:rFonts w:ascii="Times New Roman" w:hAnsi="Times New Roman"/>
          <w:b/>
          <w:sz w:val="20"/>
        </w:rPr>
      </w:pPr>
      <w:bookmarkStart w:id="12" w:name="toc455357_10"/>
      <w:bookmarkEnd w:id="12"/>
      <w:r>
        <w:rPr>
          <w:rFonts w:ascii="Times New Roman" w:hAnsi="Times New Roman"/>
          <w:b/>
          <w:sz w:val="20"/>
        </w:rPr>
        <w:t xml:space="preserve">Attendance at Board and Stockholders Meetings </w:t>
      </w:r>
    </w:p>
    <w:p>
      <w:pPr>
        <w:pStyle w:val="TextBody"/>
        <w:spacing w:before="120" w:after="0"/>
        <w:jc w:val="left"/>
        <w:rPr>
          <w:rFonts w:ascii="Times New Roman" w:hAnsi="Times New Roman"/>
          <w:sz w:val="20"/>
        </w:rPr>
      </w:pPr>
      <w:r>
        <w:rPr>
          <w:rFonts w:ascii="Times New Roman" w:hAnsi="Times New Roman"/>
          <w:sz w:val="20"/>
        </w:rPr>
        <w:t xml:space="preserve">During our fiscal year ended December 31, 2022, our board of directors held six meetings (including regularly scheduled and special meetings), and each director, other than Dr. Srivastava, attended at least 75% of the aggregate of (1) the total number of meetings of the board of directors held during the period for which he or she has been a director and (2) the total number of meetings held by all committees on which he or she served during the periods that he or she served. Dr. Srivastavas absences were due principally to scheduling conflicts with certain activities and meetings in connection with his service as President of the J. David Gladstone Institutes. </w:t>
      </w:r>
    </w:p>
    <w:p>
      <w:pPr>
        <w:pStyle w:val="TextBody"/>
        <w:spacing w:before="240" w:after="0"/>
        <w:jc w:val="left"/>
        <w:rPr>
          <w:rFonts w:ascii="Times New Roman" w:hAnsi="Times New Roman"/>
          <w:sz w:val="20"/>
        </w:rPr>
      </w:pPr>
      <w:r>
        <w:rPr>
          <w:rFonts w:ascii="Times New Roman" w:hAnsi="Times New Roman"/>
          <w:sz w:val="20"/>
        </w:rPr>
        <w:t xml:space="preserve">Although we do not have a formal policy regarding attendance by members of our board of directors at the annual meetings of stockholders, we encourage, but do not require, directors to attend. All our directors serving at the time were in attendance at the 2022 annual meeting of stockholders. </w:t>
      </w:r>
    </w:p>
    <w:p>
      <w:pPr>
        <w:pStyle w:val="TextBody"/>
        <w:spacing w:before="360" w:after="0"/>
        <w:jc w:val="left"/>
        <w:rPr>
          <w:rFonts w:ascii="Times New Roman" w:hAnsi="Times New Roman"/>
          <w:b/>
          <w:sz w:val="20"/>
        </w:rPr>
      </w:pPr>
      <w:bookmarkStart w:id="13" w:name="toc455357_11"/>
      <w:bookmarkEnd w:id="13"/>
      <w:r>
        <w:rPr>
          <w:rFonts w:ascii="Times New Roman" w:hAnsi="Times New Roman"/>
          <w:b/>
          <w:sz w:val="20"/>
        </w:rPr>
        <w:t xml:space="preserve">Compensation Committee Interlocks and Insider Participation </w:t>
      </w:r>
    </w:p>
    <w:p>
      <w:pPr>
        <w:pStyle w:val="TextBody"/>
        <w:spacing w:before="120" w:after="0"/>
        <w:jc w:val="left"/>
        <w:rPr>
          <w:rFonts w:ascii="Times New Roman" w:hAnsi="Times New Roman"/>
          <w:sz w:val="20"/>
        </w:rPr>
      </w:pPr>
      <w:r>
        <w:rPr>
          <w:rFonts w:ascii="Times New Roman" w:hAnsi="Times New Roman"/>
          <w:sz w:val="20"/>
        </w:rPr>
        <w:t xml:space="preserve">During 2022, the members of our compensation committee were Drs. Stehman-Breen and Williams and Mr. Walsh. None of the members of our compensation committee is or has been an officer or employee of our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company. None of our executive officers currently serves, or in the past fiscal year has served, as a member of the board of directors or compensation committee (or other board committee performing equivalent functions) of any entity that has one or more executive officers serving on our board of directors or compensation committee. </w:t>
      </w:r>
    </w:p>
    <w:p>
      <w:pPr>
        <w:pStyle w:val="TextBody"/>
        <w:spacing w:before="360" w:after="0"/>
        <w:jc w:val="left"/>
        <w:rPr>
          <w:rFonts w:ascii="Times New Roman" w:hAnsi="Times New Roman"/>
          <w:b/>
          <w:sz w:val="20"/>
        </w:rPr>
      </w:pPr>
      <w:bookmarkStart w:id="14" w:name="toc455357_12"/>
      <w:bookmarkEnd w:id="14"/>
      <w:r>
        <w:rPr>
          <w:rFonts w:ascii="Times New Roman" w:hAnsi="Times New Roman"/>
          <w:b/>
          <w:sz w:val="20"/>
        </w:rPr>
        <w:t xml:space="preserve">Considerations in Evaluating Director Nominees </w:t>
      </w:r>
    </w:p>
    <w:p>
      <w:pPr>
        <w:pStyle w:val="TextBody"/>
        <w:spacing w:before="120" w:after="0"/>
        <w:jc w:val="left"/>
        <w:rPr>
          <w:rFonts w:ascii="Times New Roman" w:hAnsi="Times New Roman"/>
          <w:sz w:val="20"/>
        </w:rPr>
      </w:pPr>
      <w:r>
        <w:rPr>
          <w:rFonts w:ascii="Times New Roman" w:hAnsi="Times New Roman"/>
          <w:sz w:val="20"/>
        </w:rPr>
        <w:t xml:space="preserve">Our corporate governance and nominating committee uses a variety of methods for identifying and evaluating potential director nominees. In its evaluation of director candidates, including the current directors eligible for re-election, our corporate governance and nominating committee will consider the current size and composition of our board of directors and the needs of our board of directors and the respective committees of our board of directors and other director qualifications. While our board has not established minimum qualifications for board members, some of the factors that our corporate governance and nominating committee considers in assessing director nominee qualifications include, without limitation, issues of character, professional ethics and integrity, judgment, business experience and diversity, and with respect to diversity, such factors as race, ethnicity, gender, differences in professional background, age and geography, as well as other individual qualities and attributes that contribute to the total mix of viewpoints and experience represented on our board. Although our board of directors does not maintain a specific policy with respect to board diversity, our board of directors believes that the board should be a diverse body, and the corporate governance and nominating committee considers a broad range of perspectives, backgrounds and experiences. </w:t>
      </w:r>
    </w:p>
    <w:p>
      <w:pPr>
        <w:pStyle w:val="TextBody"/>
        <w:spacing w:before="240" w:after="0"/>
        <w:jc w:val="left"/>
        <w:rPr>
          <w:rFonts w:ascii="Times New Roman" w:hAnsi="Times New Roman"/>
          <w:sz w:val="20"/>
        </w:rPr>
      </w:pPr>
      <w:r>
        <w:rPr>
          <w:rFonts w:ascii="Times New Roman" w:hAnsi="Times New Roman"/>
          <w:sz w:val="20"/>
        </w:rPr>
        <w:t xml:space="preserve">If our corporate governance and nominating committee determines that an additional or replacement director is required, then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 </w:t>
      </w:r>
    </w:p>
    <w:p>
      <w:pPr>
        <w:pStyle w:val="TextBody"/>
        <w:spacing w:before="240" w:after="0"/>
        <w:jc w:val="left"/>
        <w:rPr>
          <w:rFonts w:ascii="Times New Roman" w:hAnsi="Times New Roman"/>
          <w:sz w:val="20"/>
        </w:rPr>
      </w:pPr>
      <w:r>
        <w:rPr>
          <w:rFonts w:ascii="Times New Roman" w:hAnsi="Times New Roman"/>
          <w:sz w:val="20"/>
        </w:rPr>
        <w:t xml:space="preserve">After completing its review and evaluation of director candidates, our corporate governance and nominating committee recommends to our full board of directors the director nominees for selection. Our corporate governance and nominating committee has discretion to decide which individuals to recommend for nomination as directors and our board of directors has the final authority in determining the selection of director candidates for nomination to our board. </w:t>
      </w:r>
    </w:p>
    <w:p>
      <w:pPr>
        <w:pStyle w:val="TextBody"/>
        <w:spacing w:before="360" w:after="0"/>
        <w:jc w:val="left"/>
        <w:rPr>
          <w:rFonts w:ascii="Times New Roman" w:hAnsi="Times New Roman"/>
          <w:b/>
          <w:sz w:val="20"/>
        </w:rPr>
      </w:pPr>
      <w:bookmarkStart w:id="15" w:name="toc455357_13"/>
      <w:bookmarkEnd w:id="15"/>
      <w:r>
        <w:rPr>
          <w:rFonts w:ascii="Times New Roman" w:hAnsi="Times New Roman"/>
          <w:b/>
          <w:sz w:val="20"/>
        </w:rPr>
        <w:t xml:space="preserve">Stockholders Recommendations and Nominations to our Board of Directors </w:t>
      </w:r>
    </w:p>
    <w:p>
      <w:pPr>
        <w:pStyle w:val="TextBody"/>
        <w:spacing w:before="120" w:after="0"/>
        <w:jc w:val="left"/>
        <w:rPr>
          <w:rFonts w:ascii="Times New Roman" w:hAnsi="Times New Roman"/>
          <w:sz w:val="20"/>
        </w:rPr>
      </w:pPr>
      <w:r>
        <w:rPr>
          <w:rFonts w:ascii="Times New Roman" w:hAnsi="Times New Roman"/>
          <w:sz w:val="20"/>
        </w:rPr>
        <w:t xml:space="preserve">Our corporate governance and nominating committee will consider recommendations and nominations for candidates to our board of directors from stockholders in the same manner as candidates recommended to the committee from other sources, so long as such recommendations and nominations comply with our Amended and Restated Certificate of Incorporation and Bylaws, all applicable company policies and all applicable laws, rules and regulations, including those promulgated by the SEC. Our corporate governance and nominating committee will evaluate such recommendations in accordance with its charter, our Bylaws and corporate governance guidelines and the director nominee criteria described above. </w:t>
      </w:r>
    </w:p>
    <w:p>
      <w:pPr>
        <w:pStyle w:val="TextBody"/>
        <w:spacing w:before="240" w:after="0"/>
        <w:jc w:val="left"/>
        <w:rPr>
          <w:rFonts w:ascii="Times New Roman" w:hAnsi="Times New Roman"/>
          <w:sz w:val="20"/>
        </w:rPr>
      </w:pPr>
      <w:r>
        <w:rPr>
          <w:rFonts w:ascii="Times New Roman" w:hAnsi="Times New Roman"/>
          <w:sz w:val="20"/>
        </w:rPr>
        <w:t xml:space="preserve">A stockholder who wants to recommend a candidate to our board of directors should direct the recommendation in writing by letter to our corporate secretary at Tenaya Therapeutics, Inc., 171 Oyster Point Boulevard, Suite 500, South San Francisco, CA 94080,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stockholder(s) in support of the candidate. Our corporate governance and nominating committee has discretion to decide which individuals to recommend for nomination as directors.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Under our Bylaws, stockholders may also directly nominate persons for our board of directors. Any nomination must comply with the requirements set forth in our Bylaws and the rules and regulations of the SEC and should be sent in writing to our corporate secretary at the address above. To be timely for our 2024 annual meeting of stockholders, nominations must be received by our corporate secretary observing the deadlines discussed above under </w:t>
      </w:r>
      <w:r>
        <w:rPr>
          <w:rFonts w:ascii="Times New Roman" w:hAnsi="Times New Roman"/>
          <w:i/>
          <w:sz w:val="20"/>
        </w:rPr>
        <w:t>Questions and Answers About The Proxy MaterialsWhat is the deadline to propose actions for consideration at next years annual meeting of stockholders or to nominate individuals to serve as directors?</w:t>
      </w:r>
      <w:r>
        <w:rPr>
          <w:rFonts w:ascii="Times New Roman" w:hAnsi="Times New Roman"/>
          <w:sz w:val="20"/>
        </w:rPr>
        <w:t xml:space="preserve"> </w:t>
      </w:r>
    </w:p>
    <w:p>
      <w:pPr>
        <w:pStyle w:val="TextBody"/>
        <w:spacing w:before="360" w:after="0"/>
        <w:jc w:val="left"/>
        <w:rPr>
          <w:rFonts w:ascii="Times New Roman" w:hAnsi="Times New Roman"/>
          <w:b/>
          <w:sz w:val="20"/>
        </w:rPr>
      </w:pPr>
      <w:bookmarkStart w:id="16" w:name="toc455357_14"/>
      <w:bookmarkEnd w:id="16"/>
      <w:r>
        <w:rPr>
          <w:rFonts w:ascii="Times New Roman" w:hAnsi="Times New Roman"/>
          <w:b/>
          <w:sz w:val="20"/>
        </w:rPr>
        <w:t xml:space="preserve">Communications with the Board of Directors </w:t>
      </w:r>
    </w:p>
    <w:p>
      <w:pPr>
        <w:pStyle w:val="TextBody"/>
        <w:spacing w:before="120" w:after="0"/>
        <w:jc w:val="left"/>
        <w:rPr>
          <w:rFonts w:ascii="Times New Roman" w:hAnsi="Times New Roman"/>
          <w:sz w:val="20"/>
        </w:rPr>
      </w:pPr>
      <w:r>
        <w:rPr>
          <w:rFonts w:ascii="Times New Roman" w:hAnsi="Times New Roman"/>
          <w:sz w:val="20"/>
        </w:rPr>
        <w:t xml:space="preserve">Stockholders and other interested parties wishing to communicate directly with our non-management directors, may do so by writing and sending the correspondence to our corporate secretary by mail to our principal executive offices at 171 Oyster Point Boulevard, Suite 500, South San Francisco, CA 94080, Attention: Corporate Secretary. Our corporate secretary,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to consider and (3) matters that are of a type that are improper or irrelevant to the functioning of our board or our business, for example, mass mailings, job inquiries and business solicitations. If appropriate, our corporate secretary will route such communications to the appropriate director(s) or, if none is specified, then to the chairperson of the board. These policies and procedures do not apply to (a) communications to non-management directors from our officers or directors who are stockholders, (b) stockholder proposals submitted pursuant to Rule 14a-8 under the Exchange Act, or (c) communications to our audit committee pursuant to our complaint procedures for accounting and audit matters. </w:t>
      </w:r>
    </w:p>
    <w:p>
      <w:pPr>
        <w:pStyle w:val="TextBody"/>
        <w:spacing w:before="360" w:after="0"/>
        <w:jc w:val="left"/>
        <w:rPr>
          <w:rFonts w:ascii="Times New Roman" w:hAnsi="Times New Roman"/>
          <w:b/>
          <w:sz w:val="20"/>
        </w:rPr>
      </w:pPr>
      <w:bookmarkStart w:id="17" w:name="toc455357_15"/>
      <w:bookmarkEnd w:id="17"/>
      <w:r>
        <w:rPr>
          <w:rFonts w:ascii="Times New Roman" w:hAnsi="Times New Roman"/>
          <w:b/>
          <w:sz w:val="20"/>
        </w:rPr>
        <w:t xml:space="preserve">Policy Prohibiting Hedging or Pledging of Securities </w:t>
      </w:r>
    </w:p>
    <w:p>
      <w:pPr>
        <w:pStyle w:val="TextBody"/>
        <w:spacing w:before="120" w:after="0"/>
        <w:jc w:val="left"/>
        <w:rPr>
          <w:rFonts w:ascii="Times New Roman" w:hAnsi="Times New Roman"/>
          <w:sz w:val="20"/>
        </w:rPr>
      </w:pPr>
      <w:r>
        <w:rPr>
          <w:rFonts w:ascii="Times New Roman" w:hAnsi="Times New Roman"/>
          <w:sz w:val="20"/>
        </w:rPr>
        <w:t xml:space="preserve">Under our insider trading policy, our employees, including our executive officers, and the members of our board of directors are prohibited from, directly or indirectly, among other things, (1) engaging in short sales, (2) trading in publicly-traded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and (5) holding our securities in a margin account. </w:t>
      </w:r>
    </w:p>
    <w:p>
      <w:pPr>
        <w:pStyle w:val="TextBody"/>
        <w:spacing w:before="360" w:after="0"/>
        <w:jc w:val="left"/>
        <w:rPr>
          <w:rFonts w:ascii="Times New Roman" w:hAnsi="Times New Roman"/>
          <w:b/>
          <w:sz w:val="20"/>
        </w:rPr>
      </w:pPr>
      <w:bookmarkStart w:id="18" w:name="toc455357_16"/>
      <w:bookmarkEnd w:id="18"/>
      <w:r>
        <w:rPr>
          <w:rFonts w:ascii="Times New Roman" w:hAnsi="Times New Roman"/>
          <w:b/>
          <w:sz w:val="20"/>
        </w:rPr>
        <w:t xml:space="preserve">Corporate Governance Guidelines and Code of Business Conduct and Ethics </w:t>
      </w:r>
    </w:p>
    <w:p>
      <w:pPr>
        <w:pStyle w:val="TextBody"/>
        <w:spacing w:before="120" w:after="0"/>
        <w:jc w:val="left"/>
        <w:rPr>
          <w:rFonts w:ascii="Times New Roman" w:hAnsi="Times New Roman"/>
          <w:sz w:val="20"/>
        </w:rPr>
      </w:pPr>
      <w:r>
        <w:rPr>
          <w:rFonts w:ascii="Times New Roman" w:hAnsi="Times New Roman"/>
          <w:sz w:val="20"/>
        </w:rPr>
        <w:t xml:space="preserve">Our board of directors has adopted corporate governance guidelines. These guidelines address, among other items, the qualifications and responsibilities of our directors and director candidates,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are available on our website at https://investors.tenayatherapeutics.com/corporate-governance/governance-overview. We will post amendments to our code of business conduct and ethics or any waivers of our code of business conduct and ethics for directors and executive officers on the same website. </w:t>
      </w:r>
    </w:p>
    <w:p>
      <w:pPr>
        <w:pStyle w:val="TextBody"/>
        <w:spacing w:before="360" w:after="0"/>
        <w:jc w:val="left"/>
        <w:rPr>
          <w:rFonts w:ascii="Times New Roman" w:hAnsi="Times New Roman"/>
          <w:b/>
          <w:sz w:val="20"/>
        </w:rPr>
      </w:pPr>
      <w:bookmarkStart w:id="19" w:name="toc455357_17"/>
      <w:bookmarkEnd w:id="19"/>
      <w:r>
        <w:rPr>
          <w:rFonts w:ascii="Times New Roman" w:hAnsi="Times New Roman"/>
          <w:b/>
          <w:sz w:val="20"/>
        </w:rPr>
        <w:t xml:space="preserve">Board Diversity </w:t>
      </w:r>
    </w:p>
    <w:p>
      <w:pPr>
        <w:pStyle w:val="TextBody"/>
        <w:spacing w:before="120" w:after="0"/>
        <w:jc w:val="left"/>
        <w:rPr>
          <w:rFonts w:ascii="Times New Roman" w:hAnsi="Times New Roman"/>
          <w:sz w:val="20"/>
        </w:rPr>
      </w:pPr>
      <w:r>
        <w:rPr>
          <w:rFonts w:ascii="Times New Roman" w:hAnsi="Times New Roman"/>
          <w:sz w:val="20"/>
        </w:rPr>
        <w:t xml:space="preserve">The corporate governance and nominating committee is committed to continuing to identify and recruit highly qualified director candidates with diverse experiences, perspectives, and backgrounds to join our board of directors. The table below provides certain information regarding the composition of our board of directors. As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shown below in the board diversity matrix, the Company is currently in compliance with the diversity requirements of Nasdaq Rule 5605(f) and Sections 301.3 and 301.4 of the California Corporations Code.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314"/>
        <w:gridCol w:w="517"/>
        <w:gridCol w:w="226"/>
        <w:gridCol w:w="529"/>
        <w:gridCol w:w="60"/>
        <w:gridCol w:w="518"/>
        <w:gridCol w:w="159"/>
        <w:gridCol w:w="371"/>
        <w:gridCol w:w="61"/>
      </w:tblGrid>
      <w:tr>
        <w:trPr/>
        <w:tc>
          <w:tcPr>
            <w:tcW w:w="5314"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r>
      <w:tr>
        <w:trPr/>
        <w:tc>
          <w:tcPr>
            <w:tcW w:w="7694" w:type="dxa"/>
            <w:gridSpan w:val="8"/>
            <w:tcBorders>
              <w:bottom w:val="single" w:sz="8"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Board Diversity Matrix</w:t>
            </w:r>
          </w:p>
          <w:p>
            <w:pPr>
              <w:pStyle w:val="TableContents"/>
              <w:spacing w:before="0" w:after="20"/>
              <w:jc w:val="center"/>
              <w:rPr>
                <w:rFonts w:ascii="Times New Roman" w:hAnsi="Times New Roman"/>
                <w:b/>
                <w:sz w:val="16"/>
              </w:rPr>
            </w:pPr>
            <w:r>
              <w:rPr>
                <w:rFonts w:ascii="Times New Roman" w:hAnsi="Times New Roman"/>
                <w:b/>
                <w:sz w:val="16"/>
              </w:rPr>
              <w:t>(as of December 31, 2022)</w:t>
            </w:r>
          </w:p>
        </w:tc>
        <w:tc>
          <w:tcPr>
            <w:tcW w:w="61" w:type="dxa"/>
            <w:tcBorders/>
            <w:shd w:fill="auto" w:val="clear"/>
            <w:vAlign w:val="bottom"/>
          </w:tcPr>
          <w:p>
            <w:pPr>
              <w:pStyle w:val="TableContents"/>
              <w:spacing w:before="0" w:after="283"/>
              <w:rPr/>
            </w:pPr>
            <w:r>
              <w:rPr/>
              <w:t> </w:t>
            </w:r>
          </w:p>
        </w:tc>
      </w:tr>
      <w:tr>
        <w:trPr/>
        <w:tc>
          <w:tcPr>
            <w:tcW w:w="5314" w:type="dxa"/>
            <w:tcBorders/>
            <w:shd w:fill="CCEEFF" w:val="clear"/>
          </w:tcPr>
          <w:p>
            <w:pPr>
              <w:pStyle w:val="TableContents"/>
              <w:spacing w:before="0" w:after="0"/>
              <w:rPr>
                <w:rFonts w:ascii="Times New Roman" w:hAnsi="Times New Roman"/>
                <w:sz w:val="20"/>
              </w:rPr>
            </w:pPr>
            <w:r>
              <w:rPr>
                <w:rFonts w:ascii="Times New Roman" w:hAnsi="Times New Roman"/>
                <w:sz w:val="20"/>
              </w:rPr>
              <w:t>Total Number of Directors</w:t>
            </w:r>
          </w:p>
        </w:tc>
        <w:tc>
          <w:tcPr>
            <w:tcW w:w="517"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center"/>
              <w:rPr/>
            </w:pPr>
            <w:r>
              <w:rPr/>
              <w:t> </w:t>
            </w:r>
          </w:p>
        </w:tc>
        <w:tc>
          <w:tcPr>
            <w:tcW w:w="1637" w:type="dxa"/>
            <w:gridSpan w:val="5"/>
            <w:tcBorders/>
            <w:shd w:fill="CCEEFF" w:val="clear"/>
            <w:vAlign w:val="bottom"/>
          </w:tcPr>
          <w:p>
            <w:pPr>
              <w:pStyle w:val="TableContents"/>
              <w:spacing w:before="0" w:after="283"/>
              <w:jc w:val="center"/>
              <w:rPr/>
            </w:pPr>
            <w:r>
              <w:rPr/>
              <w:t>10    </w:t>
            </w:r>
          </w:p>
        </w:tc>
        <w:tc>
          <w:tcPr>
            <w:tcW w:w="61" w:type="dxa"/>
            <w:tcBorders/>
            <w:shd w:fill="CCEEFF" w:val="clear"/>
            <w:vAlign w:val="bottom"/>
          </w:tcPr>
          <w:p>
            <w:pPr>
              <w:pStyle w:val="TableContents"/>
              <w:spacing w:before="0" w:after="283"/>
              <w:rPr/>
            </w:pPr>
            <w:r>
              <w:rPr/>
              <w:t> </w:t>
            </w:r>
          </w:p>
        </w:tc>
      </w:tr>
      <w:tr>
        <w:trPr>
          <w:trHeight w:val="240" w:hRule="atLeast"/>
        </w:trPr>
        <w:tc>
          <w:tcPr>
            <w:tcW w:w="5314" w:type="dxa"/>
            <w:tcBorders/>
            <w:shd w:fill="auto" w:val="clear"/>
            <w:vAlign w:val="center"/>
          </w:tcPr>
          <w:p>
            <w:pPr>
              <w:pStyle w:val="TableContents"/>
              <w:spacing w:before="0" w:after="283"/>
              <w:rPr>
                <w:sz w:val="4"/>
                <w:szCs w:val="4"/>
              </w:rPr>
            </w:pPr>
            <w:r>
              <w:rPr>
                <w:sz w:val="4"/>
                <w:szCs w:val="4"/>
              </w:rPr>
            </w:r>
          </w:p>
        </w:tc>
        <w:tc>
          <w:tcPr>
            <w:tcW w:w="1332" w:type="dxa"/>
            <w:gridSpan w:val="4"/>
            <w:tcBorders/>
            <w:shd w:fill="auto" w:val="clear"/>
            <w:vAlign w:val="center"/>
          </w:tcPr>
          <w:p>
            <w:pPr>
              <w:pStyle w:val="TableContents"/>
              <w:spacing w:before="0" w:after="283"/>
              <w:rPr>
                <w:sz w:val="4"/>
                <w:szCs w:val="4"/>
              </w:rPr>
            </w:pPr>
            <w:r>
              <w:rPr>
                <w:sz w:val="4"/>
                <w:szCs w:val="4"/>
              </w:rPr>
            </w:r>
          </w:p>
        </w:tc>
        <w:tc>
          <w:tcPr>
            <w:tcW w:w="1109" w:type="dxa"/>
            <w:gridSpan w:val="4"/>
            <w:tcBorders/>
            <w:shd w:fill="auto" w:val="clear"/>
            <w:vAlign w:val="center"/>
          </w:tcPr>
          <w:p>
            <w:pPr>
              <w:pStyle w:val="TableContents"/>
              <w:spacing w:before="0" w:after="283"/>
              <w:rPr>
                <w:sz w:val="4"/>
                <w:szCs w:val="4"/>
              </w:rPr>
            </w:pPr>
            <w:r>
              <w:rPr>
                <w:sz w:val="4"/>
                <w:szCs w:val="4"/>
              </w:rPr>
            </w:r>
          </w:p>
        </w:tc>
      </w:tr>
      <w:tr>
        <w:trPr/>
        <w:tc>
          <w:tcPr>
            <w:tcW w:w="5314" w:type="dxa"/>
            <w:tcBorders/>
            <w:shd w:fill="auto" w:val="clear"/>
            <w:vAlign w:val="bottom"/>
          </w:tcPr>
          <w:p>
            <w:pPr>
              <w:pStyle w:val="TableContents"/>
              <w:spacing w:before="0" w:after="283"/>
              <w:rPr/>
            </w:pPr>
            <w:r>
              <w:rPr/>
              <w:t> </w:t>
            </w:r>
          </w:p>
        </w:tc>
        <w:tc>
          <w:tcPr>
            <w:tcW w:w="517" w:type="dxa"/>
            <w:tcBorders/>
            <w:shd w:fill="auto" w:val="clear"/>
            <w:vAlign w:val="bottom"/>
          </w:tcPr>
          <w:p>
            <w:pPr>
              <w:pStyle w:val="TableContents"/>
              <w:spacing w:before="0" w:after="283"/>
              <w:rPr/>
            </w:pPr>
            <w:r>
              <w:rPr/>
              <w:t>  </w:t>
            </w:r>
          </w:p>
        </w:tc>
        <w:tc>
          <w:tcPr>
            <w:tcW w:w="7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Female</w:t>
            </w:r>
          </w:p>
        </w:tc>
        <w:tc>
          <w:tcPr>
            <w:tcW w:w="60"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53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Male</w:t>
            </w:r>
          </w:p>
        </w:tc>
        <w:tc>
          <w:tcPr>
            <w:tcW w:w="61" w:type="dxa"/>
            <w:tcBorders/>
            <w:shd w:fill="auto" w:val="clear"/>
            <w:vAlign w:val="bottom"/>
          </w:tcPr>
          <w:p>
            <w:pPr>
              <w:pStyle w:val="TableContents"/>
              <w:spacing w:before="0" w:after="283"/>
              <w:rPr/>
            </w:pPr>
            <w:r>
              <w:rPr/>
              <w:t> </w:t>
            </w:r>
          </w:p>
        </w:tc>
      </w:tr>
      <w:tr>
        <w:trPr/>
        <w:tc>
          <w:tcPr>
            <w:tcW w:w="5314"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Part I: Gender Identity</w:t>
            </w:r>
          </w:p>
        </w:tc>
        <w:tc>
          <w:tcPr>
            <w:tcW w:w="517"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sz w:val="4"/>
                <w:szCs w:val="4"/>
              </w:rPr>
            </w:pPr>
            <w:r>
              <w:rPr>
                <w:sz w:val="4"/>
                <w:szCs w:val="4"/>
              </w:rPr>
            </w:r>
          </w:p>
        </w:tc>
        <w:tc>
          <w:tcPr>
            <w:tcW w:w="52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51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371" w:type="dxa"/>
            <w:tcBorders/>
            <w:shd w:fill="CCEEFF" w:val="clear"/>
            <w:vAlign w:val="bottom"/>
          </w:tcPr>
          <w:p>
            <w:pPr>
              <w:pStyle w:val="TableContents"/>
              <w:spacing w:before="0" w:after="283"/>
              <w:rPr>
                <w:sz w:val="4"/>
                <w:szCs w:val="4"/>
              </w:rPr>
            </w:pPr>
            <w:r>
              <w:rPr>
                <w:sz w:val="4"/>
                <w:szCs w:val="4"/>
              </w:rPr>
            </w:r>
          </w:p>
        </w:tc>
        <w:tc>
          <w:tcPr>
            <w:tcW w:w="61" w:type="dxa"/>
            <w:tcBorders/>
            <w:shd w:fill="CCEEFF" w:val="clear"/>
            <w:vAlign w:val="bottom"/>
          </w:tcPr>
          <w:p>
            <w:pPr>
              <w:pStyle w:val="TableContents"/>
              <w:spacing w:before="0" w:after="283"/>
              <w:rPr>
                <w:sz w:val="4"/>
                <w:szCs w:val="4"/>
              </w:rPr>
            </w:pPr>
            <w:r>
              <w:rPr>
                <w:sz w:val="4"/>
                <w:szCs w:val="4"/>
              </w:rPr>
            </w:r>
          </w:p>
        </w:tc>
      </w:tr>
      <w:tr>
        <w:trPr/>
        <w:tc>
          <w:tcPr>
            <w:tcW w:w="5314" w:type="dxa"/>
            <w:tcBorders/>
            <w:shd w:fill="auto" w:val="clear"/>
          </w:tcPr>
          <w:p>
            <w:pPr>
              <w:pStyle w:val="TableContents"/>
              <w:spacing w:before="0" w:after="0"/>
              <w:rPr>
                <w:rFonts w:ascii="Times New Roman" w:hAnsi="Times New Roman"/>
                <w:sz w:val="20"/>
              </w:rPr>
            </w:pPr>
            <w:r>
              <w:rPr>
                <w:rFonts w:ascii="Times New Roman" w:hAnsi="Times New Roman"/>
                <w:sz w:val="20"/>
              </w:rPr>
              <w:t>Directors</w:t>
            </w:r>
          </w:p>
        </w:tc>
        <w:tc>
          <w:tcPr>
            <w:tcW w:w="517"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529" w:type="dxa"/>
            <w:tcBorders/>
            <w:shd w:fill="auto" w:val="clear"/>
            <w:vAlign w:val="bottom"/>
          </w:tcPr>
          <w:p>
            <w:pPr>
              <w:pStyle w:val="TableContents"/>
              <w:spacing w:before="0" w:after="283"/>
              <w:jc w:val="right"/>
              <w:rPr/>
            </w:pPr>
            <w:r>
              <w:rPr/>
              <w:t>4</w:t>
            </w:r>
          </w:p>
        </w:tc>
        <w:tc>
          <w:tcPr>
            <w:tcW w:w="60"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jc w:val="right"/>
              <w:rPr/>
            </w:pPr>
            <w:r>
              <w:rPr/>
              <w:t>6</w:t>
            </w:r>
          </w:p>
        </w:tc>
        <w:tc>
          <w:tcPr>
            <w:tcW w:w="61" w:type="dxa"/>
            <w:tcBorders/>
            <w:shd w:fill="auto" w:val="clear"/>
            <w:vAlign w:val="bottom"/>
          </w:tcPr>
          <w:p>
            <w:pPr>
              <w:pStyle w:val="TableContents"/>
              <w:spacing w:before="0" w:after="283"/>
              <w:rPr/>
            </w:pPr>
            <w:r>
              <w:rPr/>
              <w:t> </w:t>
            </w:r>
          </w:p>
        </w:tc>
      </w:tr>
      <w:tr>
        <w:trPr/>
        <w:tc>
          <w:tcPr>
            <w:tcW w:w="5314"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Part II: Demographic Background</w:t>
            </w:r>
          </w:p>
        </w:tc>
        <w:tc>
          <w:tcPr>
            <w:tcW w:w="517"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sz w:val="4"/>
                <w:szCs w:val="4"/>
              </w:rPr>
            </w:pPr>
            <w:r>
              <w:rPr>
                <w:sz w:val="4"/>
                <w:szCs w:val="4"/>
              </w:rPr>
            </w:r>
          </w:p>
        </w:tc>
        <w:tc>
          <w:tcPr>
            <w:tcW w:w="52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51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371" w:type="dxa"/>
            <w:tcBorders/>
            <w:shd w:fill="CCEEFF" w:val="clear"/>
            <w:vAlign w:val="bottom"/>
          </w:tcPr>
          <w:p>
            <w:pPr>
              <w:pStyle w:val="TableContents"/>
              <w:spacing w:before="0" w:after="283"/>
              <w:rPr>
                <w:sz w:val="4"/>
                <w:szCs w:val="4"/>
              </w:rPr>
            </w:pPr>
            <w:r>
              <w:rPr>
                <w:sz w:val="4"/>
                <w:szCs w:val="4"/>
              </w:rPr>
            </w:r>
          </w:p>
        </w:tc>
        <w:tc>
          <w:tcPr>
            <w:tcW w:w="61" w:type="dxa"/>
            <w:tcBorders/>
            <w:shd w:fill="CCEEFF" w:val="clear"/>
            <w:vAlign w:val="bottom"/>
          </w:tcPr>
          <w:p>
            <w:pPr>
              <w:pStyle w:val="TableContents"/>
              <w:spacing w:before="0" w:after="283"/>
              <w:rPr>
                <w:sz w:val="4"/>
                <w:szCs w:val="4"/>
              </w:rPr>
            </w:pPr>
            <w:r>
              <w:rPr>
                <w:sz w:val="4"/>
                <w:szCs w:val="4"/>
              </w:rPr>
            </w:r>
          </w:p>
        </w:tc>
      </w:tr>
      <w:tr>
        <w:trPr/>
        <w:tc>
          <w:tcPr>
            <w:tcW w:w="5314" w:type="dxa"/>
            <w:tcBorders/>
            <w:shd w:fill="auto" w:val="clear"/>
          </w:tcPr>
          <w:p>
            <w:pPr>
              <w:pStyle w:val="TableContents"/>
              <w:spacing w:before="0" w:after="0"/>
              <w:rPr>
                <w:rFonts w:ascii="Times New Roman" w:hAnsi="Times New Roman"/>
                <w:sz w:val="20"/>
              </w:rPr>
            </w:pPr>
            <w:r>
              <w:rPr>
                <w:rFonts w:ascii="Times New Roman" w:hAnsi="Times New Roman"/>
                <w:sz w:val="20"/>
              </w:rPr>
              <w:t>Asian</w:t>
            </w:r>
          </w:p>
        </w:tc>
        <w:tc>
          <w:tcPr>
            <w:tcW w:w="517"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529" w:type="dxa"/>
            <w:tcBorders/>
            <w:shd w:fill="auto" w:val="clear"/>
            <w:vAlign w:val="bottom"/>
          </w:tcPr>
          <w:p>
            <w:pPr>
              <w:pStyle w:val="TableContents"/>
              <w:spacing w:before="0" w:after="283"/>
              <w:jc w:val="right"/>
              <w:rPr/>
            </w:pPr>
            <w:r>
              <w:rPr/>
              <w:t>1</w:t>
            </w:r>
          </w:p>
        </w:tc>
        <w:tc>
          <w:tcPr>
            <w:tcW w:w="60"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jc w:val="right"/>
              <w:rPr/>
            </w:pPr>
            <w:r>
              <w:rPr/>
              <w:t>3</w:t>
            </w:r>
          </w:p>
        </w:tc>
        <w:tc>
          <w:tcPr>
            <w:tcW w:w="61" w:type="dxa"/>
            <w:tcBorders/>
            <w:shd w:fill="auto" w:val="clear"/>
            <w:vAlign w:val="bottom"/>
          </w:tcPr>
          <w:p>
            <w:pPr>
              <w:pStyle w:val="TableContents"/>
              <w:spacing w:before="0" w:after="283"/>
              <w:rPr/>
            </w:pPr>
            <w:r>
              <w:rPr/>
              <w:t> </w:t>
            </w:r>
          </w:p>
        </w:tc>
      </w:tr>
      <w:tr>
        <w:trPr/>
        <w:tc>
          <w:tcPr>
            <w:tcW w:w="5314" w:type="dxa"/>
            <w:tcBorders/>
            <w:shd w:fill="CCEEFF" w:val="clear"/>
          </w:tcPr>
          <w:p>
            <w:pPr>
              <w:pStyle w:val="TableContents"/>
              <w:spacing w:before="0" w:after="0"/>
              <w:rPr>
                <w:rFonts w:ascii="Times New Roman" w:hAnsi="Times New Roman"/>
                <w:sz w:val="20"/>
              </w:rPr>
            </w:pPr>
            <w:r>
              <w:rPr>
                <w:rFonts w:ascii="Times New Roman" w:hAnsi="Times New Roman"/>
                <w:sz w:val="20"/>
              </w:rPr>
              <w:t>White</w:t>
            </w:r>
          </w:p>
        </w:tc>
        <w:tc>
          <w:tcPr>
            <w:tcW w:w="517"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529" w:type="dxa"/>
            <w:tcBorders/>
            <w:shd w:fill="CCEEFF" w:val="clear"/>
            <w:vAlign w:val="bottom"/>
          </w:tcPr>
          <w:p>
            <w:pPr>
              <w:pStyle w:val="TableContents"/>
              <w:spacing w:before="0" w:after="283"/>
              <w:jc w:val="right"/>
              <w:rPr/>
            </w:pPr>
            <w:r>
              <w:rPr/>
              <w:t>3</w:t>
            </w:r>
          </w:p>
        </w:tc>
        <w:tc>
          <w:tcPr>
            <w:tcW w:w="60" w:type="dxa"/>
            <w:tcBorders/>
            <w:shd w:fill="CCEEFF" w:val="clear"/>
            <w:vAlign w:val="bottom"/>
          </w:tcPr>
          <w:p>
            <w:pPr>
              <w:pStyle w:val="TableContents"/>
              <w:spacing w:before="0" w:after="283"/>
              <w:rPr/>
            </w:pPr>
            <w:r>
              <w:rPr/>
              <w:t> </w:t>
            </w:r>
          </w:p>
        </w:tc>
        <w:tc>
          <w:tcPr>
            <w:tcW w:w="51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jc w:val="right"/>
              <w:rPr/>
            </w:pPr>
            <w:r>
              <w:rPr/>
              <w:t>3</w:t>
            </w:r>
          </w:p>
        </w:tc>
        <w:tc>
          <w:tcPr>
            <w:tcW w:w="61" w:type="dxa"/>
            <w:tcBorders/>
            <w:shd w:fill="CCEEFF" w:val="clear"/>
            <w:vAlign w:val="bottom"/>
          </w:tcPr>
          <w:p>
            <w:pPr>
              <w:pStyle w:val="TableContents"/>
              <w:spacing w:before="0" w:after="283"/>
              <w:rPr/>
            </w:pPr>
            <w:r>
              <w:rPr/>
              <w:t> </w:t>
            </w:r>
          </w:p>
        </w:tc>
      </w:tr>
    </w:tbl>
    <w:p>
      <w:pPr>
        <w:pStyle w:val="TextBody"/>
        <w:spacing w:before="360" w:after="0"/>
        <w:jc w:val="left"/>
        <w:rPr>
          <w:rFonts w:ascii="Times New Roman" w:hAnsi="Times New Roman"/>
          <w:b/>
          <w:sz w:val="20"/>
        </w:rPr>
      </w:pPr>
      <w:bookmarkStart w:id="20" w:name="toc455357_18"/>
      <w:bookmarkEnd w:id="20"/>
      <w:r>
        <w:rPr>
          <w:rFonts w:ascii="Times New Roman" w:hAnsi="Times New Roman"/>
          <w:b/>
          <w:sz w:val="20"/>
        </w:rPr>
        <w:t xml:space="preserve">Director Compensation </w:t>
      </w:r>
    </w:p>
    <w:p>
      <w:pPr>
        <w:pStyle w:val="TextBody"/>
        <w:spacing w:before="120" w:after="0"/>
        <w:jc w:val="left"/>
        <w:rPr>
          <w:rFonts w:ascii="Times New Roman" w:hAnsi="Times New Roman"/>
          <w:sz w:val="20"/>
        </w:rPr>
      </w:pPr>
      <w:r>
        <w:rPr>
          <w:rFonts w:ascii="Times New Roman" w:hAnsi="Times New Roman"/>
          <w:sz w:val="20"/>
        </w:rPr>
        <w:t xml:space="preserve">Under our Outside Director Compensation Policy, non-employee directors receive compensation in the form of cash and equity, as described below. We also reimburse our non-employee directors for expenses incurred in connection with attending board and committee meetings, as well as continuing director education. </w:t>
      </w:r>
    </w:p>
    <w:p>
      <w:pPr>
        <w:pStyle w:val="TextBody"/>
        <w:spacing w:before="360" w:after="0"/>
        <w:jc w:val="left"/>
        <w:rPr>
          <w:rFonts w:ascii="Times New Roman" w:hAnsi="Times New Roman"/>
          <w:i/>
          <w:sz w:val="20"/>
        </w:rPr>
      </w:pPr>
      <w:r>
        <w:rPr>
          <w:rFonts w:ascii="Times New Roman" w:hAnsi="Times New Roman"/>
          <w:i/>
          <w:sz w:val="20"/>
        </w:rPr>
        <w:t xml:space="preserve">Cash Compensation </w:t>
      </w:r>
    </w:p>
    <w:p>
      <w:pPr>
        <w:pStyle w:val="TextBody"/>
        <w:spacing w:before="120" w:after="0"/>
        <w:jc w:val="left"/>
        <w:rPr>
          <w:rFonts w:ascii="Times New Roman" w:hAnsi="Times New Roman"/>
          <w:sz w:val="20"/>
        </w:rPr>
      </w:pPr>
      <w:r>
        <w:rPr>
          <w:rFonts w:ascii="Times New Roman" w:hAnsi="Times New Roman"/>
          <w:sz w:val="20"/>
        </w:rPr>
        <w:t xml:space="preserve">The Outside Director Compensation Policy provides for each non-employee director to be paid an annual cash retainer of $35,000. In addition, each non-employee director who serves as a chair or chair or member of a committee will be entitled to receive the following cash compensation for his or her services: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$30,000 per year for service as non-executive chair of our board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$20,000 per year for service as a lead independent director;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$15,000 per year for service as chair of the audit committee;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$7,500 per year for service as a member of the audit committee;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$10,000 per year for service as chair of the compensation committee;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$5,000 per year for service as a member of the compensation committee;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$8,000 per year for service as chair of the corporate governance and nominating committee;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$4,000 per year for service as a member of the corporate governance and nominating committee. </w:t>
            </w:r>
          </w:p>
        </w:tc>
      </w:tr>
    </w:tbl>
    <w:p>
      <w:pPr>
        <w:pStyle w:val="TextBody"/>
        <w:spacing w:before="240" w:after="0"/>
        <w:jc w:val="left"/>
        <w:rPr>
          <w:rFonts w:ascii="Times New Roman" w:hAnsi="Times New Roman"/>
          <w:sz w:val="20"/>
        </w:rPr>
      </w:pPr>
      <w:r>
        <w:rPr>
          <w:rFonts w:ascii="Times New Roman" w:hAnsi="Times New Roman"/>
          <w:sz w:val="20"/>
        </w:rPr>
        <w:t xml:space="preserve">Each non-employee director who serves as a committee chair will receive only the cash retainer fee as the chair of the committee but not the cash retainer fee as a member of that committee. These fees to our non-employee directors are paid quarterly in arrears on a prorated basis. Under our Outside Director Compensation Policy, we also will reimburse our non-employee directors for reasonable travel expenses to attend meetings of our board of directors and its committees. </w:t>
      </w:r>
    </w:p>
    <w:p>
      <w:pPr>
        <w:pStyle w:val="TextBody"/>
        <w:spacing w:before="360" w:after="0"/>
        <w:jc w:val="left"/>
        <w:rPr>
          <w:rFonts w:ascii="Times New Roman" w:hAnsi="Times New Roman"/>
          <w:i/>
          <w:sz w:val="20"/>
        </w:rPr>
      </w:pPr>
      <w:r>
        <w:rPr>
          <w:rFonts w:ascii="Times New Roman" w:hAnsi="Times New Roman"/>
          <w:i/>
          <w:sz w:val="20"/>
        </w:rPr>
        <w:t xml:space="preserve">Equity Compensation </w:t>
      </w:r>
    </w:p>
    <w:p>
      <w:pPr>
        <w:pStyle w:val="TextBody"/>
        <w:spacing w:before="120" w:after="0"/>
        <w:jc w:val="left"/>
        <w:rPr>
          <w:rFonts w:ascii="Times New Roman" w:hAnsi="Times New Roman"/>
          <w:sz w:val="20"/>
        </w:rPr>
      </w:pPr>
      <w:r>
        <w:rPr>
          <w:rFonts w:ascii="Times New Roman" w:hAnsi="Times New Roman"/>
          <w:i/>
          <w:sz w:val="20"/>
        </w:rPr>
        <w:t>Initial Award</w:t>
      </w:r>
      <w:r>
        <w:rPr>
          <w:rFonts w:ascii="Times New Roman" w:hAnsi="Times New Roman"/>
          <w:sz w:val="20"/>
        </w:rPr>
        <w:t xml:space="preserve">. Pursuant to our Outside Director Compensation Policy as it was in effect prior to December 5, 2022, each person who first became a non-employee director after the initial effective date of such policy would receive, on the first trading day on or after the date that the person first becomes a non-employee director, an initial award, or the Initial Award, of stock options to purchase shares of our common stock with a grant date fair value as determined in accordance with U.S. GAAP equal to $320,000. However, our Outside Director Compensation Policy was amended and restated in December 2022 to provide that, notwithstanding the foregoing, with respect to Initial Awards granted on or following the December 2022 restatement date, no more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than 40,000 shares of our common stock could be subject to an Initial Award, and was restated again in March 2023 to change this Initial Award limit to 68,000 shares for Initial Awards granted on or after the March 2023 restatement date. The Initial Award will be scheduled to vest in equal installments as to one thirty-sixth of the shares of our common stock subject at grant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 </w:t>
      </w:r>
    </w:p>
    <w:p>
      <w:pPr>
        <w:pStyle w:val="TextBody"/>
        <w:spacing w:before="240" w:after="0"/>
        <w:jc w:val="left"/>
        <w:rPr>
          <w:rFonts w:ascii="Times New Roman" w:hAnsi="Times New Roman"/>
          <w:sz w:val="20"/>
        </w:rPr>
      </w:pPr>
      <w:r>
        <w:rPr>
          <w:rFonts w:ascii="Times New Roman" w:hAnsi="Times New Roman"/>
          <w:i/>
          <w:sz w:val="20"/>
        </w:rPr>
        <w:t>Annual Award</w:t>
      </w:r>
      <w:r>
        <w:rPr>
          <w:rFonts w:ascii="Times New Roman" w:hAnsi="Times New Roman"/>
          <w:sz w:val="20"/>
        </w:rPr>
        <w:t xml:space="preserve">. Pursuant to our Outside Director Compensation Policy as it was in effect prior to December 5, 2022, each non-employee director who has served continuously as an outside director for no less than 6 months as of the date of the annual meeting of our stockholders would automatically receive, on the first trading day immediately after the date of each annual meeting of our stockholders that occurred following the initial effective date of our Outside Director Compensation Policy, an annual award, or the Annual Award, of stock options to purchase shares of our common stock with a grant date fair value as determined in accordance with U.S. GAAP equal to $160,000. In December 2022, our Outside Director Compensation Policy was amended and restated with respect to Annual Awards granted on or after the restatement date, to remove the requirement that the outside director serve continuously as an outside director for no less than 6 months as of the date of the annual meeting of our stockholders in order to receive an Annual Award and instead provide that, in the case of a director who joined our board after the immediately preceding annual meeting of stockholders, the number of shares subject to his or her first Annual Award will be prorated for the months the director served prior to and including the date of the annual meeting at which the Annual Award is to be granted. The December 2022 amendment and restatement of our Outside Director Compensation Policy provided that, notwithstanding the formula stated above, with respect to Annual Awards granted on or following the December 2022 restatement date, no more than 20,000 shares of our common stock could be subject to an Annual Award, and the March 2023 restatement changed this Annual Award limit to 34,000 shares for Annual Awards granted on or after the March 2023 restatement date. Each Annual Award will be scheduled to vest in full upon the first anniversary of the date of the grant, or if earlier, the day immediately before the date of the next annual meeting that occurs after the Annual Awards grant date, subject to the outside director remaining a service provider through the applicable vesting date. </w:t>
      </w:r>
    </w:p>
    <w:p>
      <w:pPr>
        <w:pStyle w:val="TextBody"/>
        <w:spacing w:before="240" w:after="0"/>
        <w:jc w:val="left"/>
        <w:rPr>
          <w:rFonts w:ascii="Times New Roman" w:hAnsi="Times New Roman"/>
          <w:sz w:val="20"/>
        </w:rPr>
      </w:pPr>
      <w:r>
        <w:rPr>
          <w:rFonts w:ascii="Times New Roman" w:hAnsi="Times New Roman"/>
          <w:i/>
          <w:sz w:val="20"/>
        </w:rPr>
        <w:t>Change in Control</w:t>
      </w:r>
      <w:r>
        <w:rPr>
          <w:rFonts w:ascii="Times New Roman" w:hAnsi="Times New Roman"/>
          <w:sz w:val="20"/>
        </w:rPr>
        <w:t xml:space="preserve">. In the event of a change in control, as defined in our 2021 Equity Incentive Plan, each non-employee directors then outstanding equity awards covering shares of our common stock will accelerate vesting in full, provided that he or she remains a non-employee director through the date of our change in control. </w:t>
      </w:r>
    </w:p>
    <w:p>
      <w:pPr>
        <w:pStyle w:val="TextBody"/>
        <w:spacing w:before="240" w:after="0"/>
        <w:jc w:val="left"/>
        <w:rPr>
          <w:rFonts w:ascii="Times New Roman" w:hAnsi="Times New Roman"/>
          <w:sz w:val="20"/>
        </w:rPr>
      </w:pPr>
      <w:r>
        <w:rPr>
          <w:rFonts w:ascii="Times New Roman" w:hAnsi="Times New Roman"/>
          <w:i/>
          <w:sz w:val="20"/>
        </w:rPr>
        <w:t>Other Award Terms</w:t>
      </w:r>
      <w:r>
        <w:rPr>
          <w:rFonts w:ascii="Times New Roman" w:hAnsi="Times New Roman"/>
          <w:sz w:val="20"/>
        </w:rPr>
        <w:t xml:space="preserve">. Each Initial Award and Annual Award will be granted under our 2021 Equity Incentive Plan (or its successor plan, as applicable) and form of award agreement under such plan. These awards will have a maximum term of ten years from their grant and a per-share exercise price equal to 100% of the fair market value of a share of our common stock on the awards grant date. </w:t>
      </w:r>
    </w:p>
    <w:p>
      <w:pPr>
        <w:pStyle w:val="TextBody"/>
        <w:spacing w:before="240" w:after="0"/>
        <w:jc w:val="left"/>
        <w:rPr>
          <w:rFonts w:ascii="Times New Roman" w:hAnsi="Times New Roman"/>
          <w:sz w:val="20"/>
        </w:rPr>
      </w:pPr>
      <w:r>
        <w:rPr>
          <w:rFonts w:ascii="Times New Roman" w:hAnsi="Times New Roman"/>
          <w:i/>
          <w:sz w:val="20"/>
        </w:rPr>
        <w:t>Director Compensation Limits</w:t>
      </w:r>
      <w:r>
        <w:rPr>
          <w:rFonts w:ascii="Times New Roman" w:hAnsi="Times New Roman"/>
          <w:sz w:val="20"/>
        </w:rPr>
        <w:t xml:space="preserve">. Our Outside Director Compensation Policy provides that in any fiscal year, a non-employee director may be paid cash compensation and granted equity awards with an aggregate value of no more than $500,000 (with the value of equity awards based on its grant date fair value determined in accordance with U.S. GAAP for purposes of this limit). Equity awards granted or other compensation provided to a non-employee director while he or she was an employee or consultant (other than a non-employee director) do not count toward this annual limit. </w:t>
      </w:r>
    </w:p>
    <w:p>
      <w:pPr>
        <w:pStyle w:val="TextBody"/>
        <w:spacing w:before="240" w:after="0"/>
        <w:jc w:val="left"/>
        <w:rPr>
          <w:rFonts w:ascii="Times New Roman" w:hAnsi="Times New Roman"/>
          <w:sz w:val="20"/>
        </w:rPr>
      </w:pPr>
      <w:r>
        <w:rPr>
          <w:rFonts w:ascii="Times New Roman" w:hAnsi="Times New Roman"/>
          <w:i/>
          <w:sz w:val="20"/>
        </w:rPr>
        <w:t>One-Time Supplemental Outside Director Grant</w:t>
      </w:r>
      <w:r>
        <w:rPr>
          <w:rFonts w:ascii="Times New Roman" w:hAnsi="Times New Roman"/>
          <w:sz w:val="20"/>
        </w:rPr>
        <w:t xml:space="preserve">. On September 8, 2022, our board of directors granted a one-time supplemental stock option grant to Karah Parschauer to purchase 20,000 shares of our common stock. This option is scheduled to vest in full upon the first anniversary of the date of the grant, or if earlier, the day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immediately before the date of the next annual meeting that occurs after the grant date, subject to Ms. Parschauer remaining a service provider through the applicable vesting date, and subject to the change in control-related acceleration provisions described above. The option was granted under our 2021 Equity Incentive Plan and an award agreement thereunder, with a maximum of term of ten years from its grant and a per-share exercise price equal to 100% of the fair market value of a share of our common stock on the awards grant date. Ms. Parschauer joined our board of directors in December 2021, and in accordance with the terms of our Outside Director Compensation Policy then in effect, was not eligible to receive an Annual Award in connection with our 2022 annual meeting of stockholders, as she had not continuously served as an outside director for six months prior to such annual meeting. Therefore, our board of directors provided her with this one-time supplemental grant in order to align Ms. Parschauers director compensation with the then-contemplated changes to the Annual Award structure, which changes were implemented in December 2022, as described above. </w:t>
      </w:r>
    </w:p>
    <w:p>
      <w:pPr>
        <w:pStyle w:val="TextBody"/>
        <w:spacing w:before="360" w:after="0"/>
        <w:jc w:val="left"/>
        <w:rPr>
          <w:rFonts w:ascii="Times New Roman" w:hAnsi="Times New Roman"/>
          <w:b/>
          <w:i/>
          <w:sz w:val="20"/>
        </w:rPr>
      </w:pPr>
      <w:r>
        <w:rPr>
          <w:rFonts w:ascii="Times New Roman" w:hAnsi="Times New Roman"/>
          <w:b/>
          <w:i/>
          <w:sz w:val="20"/>
        </w:rPr>
        <w:t xml:space="preserve">Director Compensation for Fiscal 2022 </w:t>
      </w:r>
    </w:p>
    <w:p>
      <w:pPr>
        <w:pStyle w:val="TextBody"/>
        <w:spacing w:before="120" w:after="0"/>
        <w:jc w:val="left"/>
        <w:rPr>
          <w:rFonts w:ascii="Times New Roman" w:hAnsi="Times New Roman"/>
          <w:sz w:val="20"/>
        </w:rPr>
      </w:pPr>
      <w:r>
        <w:rPr>
          <w:rFonts w:ascii="Times New Roman" w:hAnsi="Times New Roman"/>
          <w:sz w:val="20"/>
        </w:rPr>
        <w:t>The following table sets forth information regarding the total compensation awarded to, earned by or paid to our non-employee directors for their service on our board of directors, for the fiscal year ended December 31, 2022. Directors who are also our employees receive no additional compensation for their service as directors. During 2022, Mr. Ali was an employee and executive officer of the company and therefore, did not receive compensation as a director. See </w:t>
      </w:r>
      <w:r>
        <w:rPr>
          <w:rFonts w:ascii="Times New Roman" w:hAnsi="Times New Roman"/>
          <w:i/>
          <w:sz w:val="20"/>
        </w:rPr>
        <w:t>Executive Compensation</w:t>
      </w:r>
      <w:r>
        <w:rPr>
          <w:rFonts w:ascii="Times New Roman" w:hAnsi="Times New Roman"/>
          <w:sz w:val="20"/>
        </w:rPr>
        <w:t xml:space="preserve"> for additional information regarding Mr. Alis compensation.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217"/>
        <w:gridCol w:w="290"/>
        <w:gridCol w:w="89"/>
        <w:gridCol w:w="1252"/>
        <w:gridCol w:w="350"/>
        <w:gridCol w:w="196"/>
        <w:gridCol w:w="60"/>
        <w:gridCol w:w="822"/>
        <w:gridCol w:w="60"/>
        <w:gridCol w:w="290"/>
        <w:gridCol w:w="60"/>
        <w:gridCol w:w="822"/>
        <w:gridCol w:w="64"/>
      </w:tblGrid>
      <w:tr>
        <w:trPr/>
        <w:tc>
          <w:tcPr>
            <w:tcW w:w="4217"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4217"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Name</w:t>
            </w:r>
          </w:p>
        </w:tc>
        <w:tc>
          <w:tcPr>
            <w:tcW w:w="290" w:type="dxa"/>
            <w:tcBorders/>
            <w:shd w:fill="auto" w:val="clear"/>
            <w:vAlign w:val="bottom"/>
          </w:tcPr>
          <w:p>
            <w:pPr>
              <w:pStyle w:val="TableContents"/>
              <w:spacing w:before="0" w:after="283"/>
              <w:rPr/>
            </w:pPr>
            <w:r>
              <w:rPr/>
              <w:t>  </w:t>
            </w:r>
          </w:p>
        </w:tc>
        <w:tc>
          <w:tcPr>
            <w:tcW w:w="134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Fees Paid or</w:t>
              <w:br/>
              <w:t>Earned in</w:t>
              <w:br/>
              <w:t>Cash ($)</w:t>
            </w:r>
          </w:p>
        </w:tc>
        <w:tc>
          <w:tcPr>
            <w:tcW w:w="350"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8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Option</w:t>
              <w:br/>
              <w:t>Awards</w:t>
              <w:br/>
              <w:t>($)(1)(2)</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88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 ($)</w:t>
            </w:r>
          </w:p>
        </w:tc>
        <w:tc>
          <w:tcPr>
            <w:tcW w:w="64" w:type="dxa"/>
            <w:tcBorders/>
            <w:shd w:fill="auto" w:val="clear"/>
            <w:vAlign w:val="bottom"/>
          </w:tcPr>
          <w:p>
            <w:pPr>
              <w:pStyle w:val="TableContents"/>
              <w:spacing w:before="0" w:after="283"/>
              <w:rPr/>
            </w:pPr>
            <w:r>
              <w:rPr/>
              <w:t> </w:t>
            </w:r>
          </w:p>
        </w:tc>
      </w:tr>
      <w:tr>
        <w:trPr/>
        <w:tc>
          <w:tcPr>
            <w:tcW w:w="4217" w:type="dxa"/>
            <w:tcBorders/>
            <w:shd w:fill="CCEEFF" w:val="clear"/>
          </w:tcPr>
          <w:p>
            <w:pPr>
              <w:pStyle w:val="TableContents"/>
              <w:spacing w:before="0" w:after="0"/>
              <w:rPr>
                <w:rFonts w:ascii="Times New Roman" w:hAnsi="Times New Roman"/>
                <w:sz w:val="20"/>
              </w:rPr>
            </w:pPr>
            <w:r>
              <w:rPr>
                <w:rFonts w:ascii="Times New Roman" w:hAnsi="Times New Roman"/>
                <w:sz w:val="20"/>
              </w:rPr>
              <w:t>Amy Burroughs, M.B.A(3)</w:t>
            </w:r>
          </w:p>
        </w:tc>
        <w:tc>
          <w:tcPr>
            <w:tcW w:w="29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252" w:type="dxa"/>
            <w:tcBorders/>
            <w:shd w:fill="CCEEFF" w:val="clear"/>
            <w:vAlign w:val="bottom"/>
          </w:tcPr>
          <w:p>
            <w:pPr>
              <w:pStyle w:val="TableContents"/>
              <w:spacing w:before="0" w:after="283"/>
              <w:jc w:val="right"/>
              <w:rPr/>
            </w:pPr>
            <w:r>
              <w:rPr/>
              <w:t>3,085</w:t>
            </w:r>
          </w:p>
        </w:tc>
        <w:tc>
          <w:tcPr>
            <w:tcW w:w="350"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74,844</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77,929</w:t>
            </w:r>
          </w:p>
        </w:tc>
        <w:tc>
          <w:tcPr>
            <w:tcW w:w="64" w:type="dxa"/>
            <w:tcBorders/>
            <w:shd w:fill="CCEEFF" w:val="clear"/>
            <w:vAlign w:val="bottom"/>
          </w:tcPr>
          <w:p>
            <w:pPr>
              <w:pStyle w:val="TableContents"/>
              <w:spacing w:before="0" w:after="283"/>
              <w:rPr/>
            </w:pPr>
            <w:r>
              <w:rPr/>
              <w:t> </w:t>
            </w:r>
          </w:p>
        </w:tc>
      </w:tr>
      <w:tr>
        <w:trPr/>
        <w:tc>
          <w:tcPr>
            <w:tcW w:w="4217" w:type="dxa"/>
            <w:tcBorders/>
            <w:shd w:fill="auto" w:val="clear"/>
          </w:tcPr>
          <w:p>
            <w:pPr>
              <w:pStyle w:val="TableContents"/>
              <w:spacing w:before="0" w:after="0"/>
              <w:rPr>
                <w:rFonts w:ascii="Times New Roman" w:hAnsi="Times New Roman"/>
                <w:sz w:val="20"/>
              </w:rPr>
            </w:pPr>
            <w:r>
              <w:rPr>
                <w:rFonts w:ascii="Times New Roman" w:hAnsi="Times New Roman"/>
                <w:sz w:val="20"/>
              </w:rPr>
              <w:t>Eli Casdin, M.B.A(4)</w:t>
            </w:r>
          </w:p>
        </w:tc>
        <w:tc>
          <w:tcPr>
            <w:tcW w:w="29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252" w:type="dxa"/>
            <w:tcBorders/>
            <w:shd w:fill="auto" w:val="clear"/>
            <w:vAlign w:val="bottom"/>
          </w:tcPr>
          <w:p>
            <w:pPr>
              <w:pStyle w:val="TableContents"/>
              <w:spacing w:before="0" w:after="283"/>
              <w:jc w:val="right"/>
              <w:rPr/>
            </w:pPr>
            <w:r>
              <w:rPr/>
              <w:t>39,415</w:t>
            </w:r>
          </w:p>
        </w:tc>
        <w:tc>
          <w:tcPr>
            <w:tcW w:w="350"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159,925</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199,340</w:t>
            </w:r>
          </w:p>
        </w:tc>
        <w:tc>
          <w:tcPr>
            <w:tcW w:w="64" w:type="dxa"/>
            <w:tcBorders/>
            <w:shd w:fill="auto" w:val="clear"/>
            <w:vAlign w:val="bottom"/>
          </w:tcPr>
          <w:p>
            <w:pPr>
              <w:pStyle w:val="TableContents"/>
              <w:spacing w:before="0" w:after="283"/>
              <w:rPr/>
            </w:pPr>
            <w:r>
              <w:rPr/>
              <w:t> </w:t>
            </w:r>
          </w:p>
        </w:tc>
      </w:tr>
      <w:tr>
        <w:trPr/>
        <w:tc>
          <w:tcPr>
            <w:tcW w:w="4217" w:type="dxa"/>
            <w:tcBorders/>
            <w:shd w:fill="CCEEFF" w:val="clear"/>
          </w:tcPr>
          <w:p>
            <w:pPr>
              <w:pStyle w:val="TableContents"/>
              <w:spacing w:before="0" w:after="0"/>
              <w:rPr>
                <w:rFonts w:ascii="Times New Roman" w:hAnsi="Times New Roman"/>
                <w:sz w:val="20"/>
              </w:rPr>
            </w:pPr>
            <w:r>
              <w:rPr>
                <w:rFonts w:ascii="Times New Roman" w:hAnsi="Times New Roman"/>
                <w:sz w:val="20"/>
              </w:rPr>
              <w:t>Jin-Long Chen, Ph.D.</w:t>
            </w:r>
          </w:p>
        </w:tc>
        <w:tc>
          <w:tcPr>
            <w:tcW w:w="29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252" w:type="dxa"/>
            <w:tcBorders/>
            <w:shd w:fill="CCEEFF" w:val="clear"/>
            <w:vAlign w:val="bottom"/>
          </w:tcPr>
          <w:p>
            <w:pPr>
              <w:pStyle w:val="TableContents"/>
              <w:spacing w:before="0" w:after="283"/>
              <w:jc w:val="right"/>
              <w:rPr/>
            </w:pPr>
            <w:r>
              <w:rPr/>
              <w:t>39,000</w:t>
            </w:r>
          </w:p>
        </w:tc>
        <w:tc>
          <w:tcPr>
            <w:tcW w:w="350"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159,925</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198,925</w:t>
            </w:r>
          </w:p>
        </w:tc>
        <w:tc>
          <w:tcPr>
            <w:tcW w:w="64" w:type="dxa"/>
            <w:tcBorders/>
            <w:shd w:fill="CCEEFF" w:val="clear"/>
            <w:vAlign w:val="bottom"/>
          </w:tcPr>
          <w:p>
            <w:pPr>
              <w:pStyle w:val="TableContents"/>
              <w:spacing w:before="0" w:after="283"/>
              <w:rPr/>
            </w:pPr>
            <w:r>
              <w:rPr/>
              <w:t> </w:t>
            </w:r>
          </w:p>
        </w:tc>
      </w:tr>
      <w:tr>
        <w:trPr/>
        <w:tc>
          <w:tcPr>
            <w:tcW w:w="4217" w:type="dxa"/>
            <w:tcBorders/>
            <w:shd w:fill="auto" w:val="clear"/>
          </w:tcPr>
          <w:p>
            <w:pPr>
              <w:pStyle w:val="TableContents"/>
              <w:spacing w:before="0" w:after="0"/>
              <w:rPr>
                <w:rFonts w:ascii="Times New Roman" w:hAnsi="Times New Roman"/>
                <w:sz w:val="20"/>
              </w:rPr>
            </w:pPr>
            <w:r>
              <w:rPr>
                <w:rFonts w:ascii="Times New Roman" w:hAnsi="Times New Roman"/>
                <w:sz w:val="20"/>
              </w:rPr>
              <w:t>David Goeddel, Ph.D.</w:t>
            </w:r>
          </w:p>
        </w:tc>
        <w:tc>
          <w:tcPr>
            <w:tcW w:w="29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252" w:type="dxa"/>
            <w:tcBorders/>
            <w:shd w:fill="auto" w:val="clear"/>
            <w:vAlign w:val="bottom"/>
          </w:tcPr>
          <w:p>
            <w:pPr>
              <w:pStyle w:val="TableContents"/>
              <w:spacing w:before="0" w:after="283"/>
              <w:jc w:val="right"/>
              <w:rPr/>
            </w:pPr>
            <w:r>
              <w:rPr/>
              <w:t>69,000</w:t>
            </w:r>
          </w:p>
        </w:tc>
        <w:tc>
          <w:tcPr>
            <w:tcW w:w="350"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159,925</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228,925</w:t>
            </w:r>
          </w:p>
        </w:tc>
        <w:tc>
          <w:tcPr>
            <w:tcW w:w="64" w:type="dxa"/>
            <w:tcBorders/>
            <w:shd w:fill="auto" w:val="clear"/>
            <w:vAlign w:val="bottom"/>
          </w:tcPr>
          <w:p>
            <w:pPr>
              <w:pStyle w:val="TableContents"/>
              <w:spacing w:before="0" w:after="283"/>
              <w:rPr/>
            </w:pPr>
            <w:r>
              <w:rPr/>
              <w:t> </w:t>
            </w:r>
          </w:p>
        </w:tc>
      </w:tr>
      <w:tr>
        <w:trPr/>
        <w:tc>
          <w:tcPr>
            <w:tcW w:w="4217" w:type="dxa"/>
            <w:tcBorders/>
            <w:shd w:fill="CCEEFF" w:val="clear"/>
          </w:tcPr>
          <w:p>
            <w:pPr>
              <w:pStyle w:val="TableContents"/>
              <w:spacing w:before="0" w:after="0"/>
              <w:rPr>
                <w:rFonts w:ascii="Times New Roman" w:hAnsi="Times New Roman"/>
                <w:sz w:val="20"/>
              </w:rPr>
            </w:pPr>
            <w:r>
              <w:rPr>
                <w:rFonts w:ascii="Times New Roman" w:hAnsi="Times New Roman"/>
                <w:sz w:val="20"/>
              </w:rPr>
              <w:t>Karah Parschauer, J.D.(6)</w:t>
            </w:r>
          </w:p>
        </w:tc>
        <w:tc>
          <w:tcPr>
            <w:tcW w:w="29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252" w:type="dxa"/>
            <w:tcBorders/>
            <w:shd w:fill="CCEEFF" w:val="clear"/>
            <w:vAlign w:val="bottom"/>
          </w:tcPr>
          <w:p>
            <w:pPr>
              <w:pStyle w:val="TableContents"/>
              <w:spacing w:before="0" w:after="283"/>
              <w:jc w:val="right"/>
              <w:rPr/>
            </w:pPr>
            <w:r>
              <w:rPr/>
              <w:t>42,500</w:t>
            </w:r>
          </w:p>
        </w:tc>
        <w:tc>
          <w:tcPr>
            <w:tcW w:w="350"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73,644</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116,144</w:t>
            </w:r>
          </w:p>
        </w:tc>
        <w:tc>
          <w:tcPr>
            <w:tcW w:w="64" w:type="dxa"/>
            <w:tcBorders/>
            <w:shd w:fill="CCEEFF" w:val="clear"/>
            <w:vAlign w:val="bottom"/>
          </w:tcPr>
          <w:p>
            <w:pPr>
              <w:pStyle w:val="TableContents"/>
              <w:spacing w:before="0" w:after="283"/>
              <w:rPr/>
            </w:pPr>
            <w:r>
              <w:rPr/>
              <w:t> </w:t>
            </w:r>
          </w:p>
        </w:tc>
      </w:tr>
      <w:tr>
        <w:trPr/>
        <w:tc>
          <w:tcPr>
            <w:tcW w:w="4217" w:type="dxa"/>
            <w:tcBorders/>
            <w:shd w:fill="auto" w:val="clear"/>
          </w:tcPr>
          <w:p>
            <w:pPr>
              <w:pStyle w:val="TableContents"/>
              <w:spacing w:before="0" w:after="0"/>
              <w:rPr>
                <w:rFonts w:ascii="Times New Roman" w:hAnsi="Times New Roman"/>
                <w:sz w:val="20"/>
              </w:rPr>
            </w:pPr>
            <w:r>
              <w:rPr>
                <w:rFonts w:ascii="Times New Roman" w:hAnsi="Times New Roman"/>
                <w:sz w:val="20"/>
              </w:rPr>
              <w:t>Catherine Stehman-Breen, M.D.</w:t>
            </w:r>
          </w:p>
        </w:tc>
        <w:tc>
          <w:tcPr>
            <w:tcW w:w="29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252" w:type="dxa"/>
            <w:tcBorders/>
            <w:shd w:fill="auto" w:val="clear"/>
            <w:vAlign w:val="bottom"/>
          </w:tcPr>
          <w:p>
            <w:pPr>
              <w:pStyle w:val="TableContents"/>
              <w:spacing w:before="0" w:after="283"/>
              <w:jc w:val="right"/>
              <w:rPr/>
            </w:pPr>
            <w:r>
              <w:rPr/>
              <w:t>40,000</w:t>
            </w:r>
          </w:p>
        </w:tc>
        <w:tc>
          <w:tcPr>
            <w:tcW w:w="350"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159,925</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199,925</w:t>
            </w:r>
          </w:p>
        </w:tc>
        <w:tc>
          <w:tcPr>
            <w:tcW w:w="64" w:type="dxa"/>
            <w:tcBorders/>
            <w:shd w:fill="auto" w:val="clear"/>
            <w:vAlign w:val="bottom"/>
          </w:tcPr>
          <w:p>
            <w:pPr>
              <w:pStyle w:val="TableContents"/>
              <w:spacing w:before="0" w:after="283"/>
              <w:rPr/>
            </w:pPr>
            <w:r>
              <w:rPr/>
              <w:t> </w:t>
            </w:r>
          </w:p>
        </w:tc>
      </w:tr>
      <w:tr>
        <w:trPr/>
        <w:tc>
          <w:tcPr>
            <w:tcW w:w="4217" w:type="dxa"/>
            <w:tcBorders/>
            <w:shd w:fill="CCEEFF" w:val="clear"/>
          </w:tcPr>
          <w:p>
            <w:pPr>
              <w:pStyle w:val="TableContents"/>
              <w:spacing w:before="0" w:after="0"/>
              <w:rPr>
                <w:rFonts w:ascii="Times New Roman" w:hAnsi="Times New Roman"/>
                <w:sz w:val="20"/>
              </w:rPr>
            </w:pPr>
            <w:r>
              <w:rPr>
                <w:rFonts w:ascii="Times New Roman" w:hAnsi="Times New Roman"/>
                <w:sz w:val="20"/>
              </w:rPr>
              <w:t>June Lee, M.D.</w:t>
            </w:r>
          </w:p>
        </w:tc>
        <w:tc>
          <w:tcPr>
            <w:tcW w:w="29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252" w:type="dxa"/>
            <w:tcBorders/>
            <w:shd w:fill="CCEEFF" w:val="clear"/>
            <w:vAlign w:val="bottom"/>
          </w:tcPr>
          <w:p>
            <w:pPr>
              <w:pStyle w:val="TableContents"/>
              <w:spacing w:before="0" w:after="283"/>
              <w:jc w:val="right"/>
              <w:rPr/>
            </w:pPr>
            <w:r>
              <w:rPr/>
              <w:t>35,000</w:t>
            </w:r>
          </w:p>
        </w:tc>
        <w:tc>
          <w:tcPr>
            <w:tcW w:w="350"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159,925</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194,925</w:t>
            </w:r>
          </w:p>
        </w:tc>
        <w:tc>
          <w:tcPr>
            <w:tcW w:w="64" w:type="dxa"/>
            <w:tcBorders/>
            <w:shd w:fill="CCEEFF" w:val="clear"/>
            <w:vAlign w:val="bottom"/>
          </w:tcPr>
          <w:p>
            <w:pPr>
              <w:pStyle w:val="TableContents"/>
              <w:spacing w:before="0" w:after="283"/>
              <w:rPr/>
            </w:pPr>
            <w:r>
              <w:rPr/>
              <w:t> </w:t>
            </w:r>
          </w:p>
        </w:tc>
      </w:tr>
      <w:tr>
        <w:trPr/>
        <w:tc>
          <w:tcPr>
            <w:tcW w:w="4217" w:type="dxa"/>
            <w:tcBorders/>
            <w:shd w:fill="auto" w:val="clear"/>
          </w:tcPr>
          <w:p>
            <w:pPr>
              <w:pStyle w:val="TableContents"/>
              <w:spacing w:before="0" w:after="0"/>
              <w:rPr>
                <w:rFonts w:ascii="Times New Roman" w:hAnsi="Times New Roman"/>
                <w:sz w:val="20"/>
              </w:rPr>
            </w:pPr>
            <w:r>
              <w:rPr>
                <w:rFonts w:ascii="Times New Roman" w:hAnsi="Times New Roman"/>
                <w:sz w:val="20"/>
              </w:rPr>
              <w:t>Deepak Srivastava, M.D.</w:t>
            </w:r>
          </w:p>
        </w:tc>
        <w:tc>
          <w:tcPr>
            <w:tcW w:w="29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252" w:type="dxa"/>
            <w:tcBorders/>
            <w:shd w:fill="auto" w:val="clear"/>
            <w:vAlign w:val="bottom"/>
          </w:tcPr>
          <w:p>
            <w:pPr>
              <w:pStyle w:val="TableContents"/>
              <w:spacing w:before="0" w:after="283"/>
              <w:jc w:val="right"/>
              <w:rPr/>
            </w:pPr>
            <w:r>
              <w:rPr/>
              <w:t>118,000</w:t>
            </w:r>
          </w:p>
        </w:tc>
        <w:tc>
          <w:tcPr>
            <w:tcW w:w="350" w:type="dxa"/>
            <w:tcBorders/>
            <w:shd w:fill="auto" w:val="clear"/>
            <w:vAlign w:val="bottom"/>
          </w:tcPr>
          <w:p>
            <w:pPr>
              <w:pStyle w:val="TableContents"/>
              <w:spacing w:before="0" w:after="283"/>
              <w:rPr/>
            </w:pPr>
            <w:r>
              <w:rPr/>
              <w:t>(5) </w:t>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159,925</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277,925</w:t>
            </w:r>
          </w:p>
        </w:tc>
        <w:tc>
          <w:tcPr>
            <w:tcW w:w="64" w:type="dxa"/>
            <w:tcBorders/>
            <w:shd w:fill="auto" w:val="clear"/>
            <w:vAlign w:val="bottom"/>
          </w:tcPr>
          <w:p>
            <w:pPr>
              <w:pStyle w:val="TableContents"/>
              <w:spacing w:before="0" w:after="283"/>
              <w:rPr/>
            </w:pPr>
            <w:r>
              <w:rPr/>
              <w:t> </w:t>
            </w:r>
          </w:p>
        </w:tc>
      </w:tr>
      <w:tr>
        <w:trPr/>
        <w:tc>
          <w:tcPr>
            <w:tcW w:w="4217" w:type="dxa"/>
            <w:tcBorders/>
            <w:shd w:fill="CCEEFF" w:val="clear"/>
          </w:tcPr>
          <w:p>
            <w:pPr>
              <w:pStyle w:val="TableContents"/>
              <w:spacing w:before="0" w:after="0"/>
              <w:rPr>
                <w:rFonts w:ascii="Times New Roman" w:hAnsi="Times New Roman"/>
                <w:sz w:val="20"/>
              </w:rPr>
            </w:pPr>
            <w:r>
              <w:rPr>
                <w:rFonts w:ascii="Times New Roman" w:hAnsi="Times New Roman"/>
                <w:sz w:val="20"/>
              </w:rPr>
              <w:t>Jeffrey T. Walsh, M.B.A.</w:t>
            </w:r>
          </w:p>
        </w:tc>
        <w:tc>
          <w:tcPr>
            <w:tcW w:w="29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252" w:type="dxa"/>
            <w:tcBorders/>
            <w:shd w:fill="CCEEFF" w:val="clear"/>
            <w:vAlign w:val="bottom"/>
          </w:tcPr>
          <w:p>
            <w:pPr>
              <w:pStyle w:val="TableContents"/>
              <w:spacing w:before="0" w:after="283"/>
              <w:jc w:val="right"/>
              <w:rPr/>
            </w:pPr>
            <w:r>
              <w:rPr/>
              <w:t>55,000</w:t>
            </w:r>
          </w:p>
        </w:tc>
        <w:tc>
          <w:tcPr>
            <w:tcW w:w="350"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159,925</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214,925</w:t>
            </w:r>
          </w:p>
        </w:tc>
        <w:tc>
          <w:tcPr>
            <w:tcW w:w="64" w:type="dxa"/>
            <w:tcBorders/>
            <w:shd w:fill="CCEEFF" w:val="clear"/>
            <w:vAlign w:val="bottom"/>
          </w:tcPr>
          <w:p>
            <w:pPr>
              <w:pStyle w:val="TableContents"/>
              <w:spacing w:before="0" w:after="283"/>
              <w:rPr/>
            </w:pPr>
            <w:r>
              <w:rPr/>
              <w:t> </w:t>
            </w:r>
          </w:p>
        </w:tc>
      </w:tr>
      <w:tr>
        <w:trPr/>
        <w:tc>
          <w:tcPr>
            <w:tcW w:w="4217" w:type="dxa"/>
            <w:tcBorders/>
            <w:shd w:fill="auto" w:val="clear"/>
          </w:tcPr>
          <w:p>
            <w:pPr>
              <w:pStyle w:val="TableContents"/>
              <w:spacing w:before="0" w:after="0"/>
              <w:rPr>
                <w:rFonts w:ascii="Times New Roman" w:hAnsi="Times New Roman"/>
                <w:sz w:val="20"/>
              </w:rPr>
            </w:pPr>
            <w:r>
              <w:rPr>
                <w:rFonts w:ascii="Times New Roman" w:hAnsi="Times New Roman"/>
                <w:sz w:val="20"/>
              </w:rPr>
              <w:t>R. Sanders Williams, M.D.</w:t>
            </w:r>
          </w:p>
        </w:tc>
        <w:tc>
          <w:tcPr>
            <w:tcW w:w="29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252" w:type="dxa"/>
            <w:tcBorders/>
            <w:shd w:fill="auto" w:val="clear"/>
            <w:vAlign w:val="bottom"/>
          </w:tcPr>
          <w:p>
            <w:pPr>
              <w:pStyle w:val="TableContents"/>
              <w:spacing w:before="0" w:after="283"/>
              <w:jc w:val="right"/>
              <w:rPr/>
            </w:pPr>
            <w:r>
              <w:rPr/>
              <w:t>45,000</w:t>
            </w:r>
          </w:p>
        </w:tc>
        <w:tc>
          <w:tcPr>
            <w:tcW w:w="350"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159,925</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204,925</w:t>
            </w:r>
          </w:p>
        </w:tc>
        <w:tc>
          <w:tcPr>
            <w:tcW w:w="64"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column reflects the aggregate grant date fair value of option awards granted to the directors in the applicable fiscal year, computed in accordance with Financial Accounting Standards Board (FASB), Accounting Standards Codification Topic 718 (ASC 718). See Note 8 to our financial statements for the year ended December 31, 2022 included in our Annual Report on Form 10-K for the year ended December 31, 2022 filed with the SEC on March 8, 2023 for a discussion of the assumptions made by us in determining the grant date fair value of our equity awards. Our directors will only realize compensation to the extent the trading price of our common stock is greater than the exercise price of such stock options.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aggregate number of shares subject to all stock options held by each of our current non-employee directors as of December 31, 2022, is as follows: Ms. Burroughs40,000; Dr. Chen44,727; Dr. Goeddel39,727; Dr. Lee58,664; Ms. Parschauer39,495 Dr. Stehman-Breen61,602; Dr. Srivastava77,227; Mr. Walsh79,727; and Dr. Williams39,727.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Amy Burroughs, M.B.A., joined our board of directors on December 5, 2022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Eli Casdin, M.B.A., resigned from our board of directors on December 5, 2022.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 disclosed includes $75,000 paid pursuant to our consulting agreement with Dr. Srivastava.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(6)</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 disclosed includes the one-time supplemental option grant of 20,000 shares of common stock to Ms. Parschauer on September 8, 2022.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1" w:name="toc455357_19"/>
      <w:bookmarkEnd w:id="21"/>
      <w:r>
        <w:rPr>
          <w:rFonts w:ascii="Times New Roman" w:hAnsi="Times New Roman"/>
          <w:b/>
          <w:sz w:val="20"/>
        </w:rPr>
        <w:t xml:space="preserve">PROPOSAL NO. 1 </w:t>
      </w:r>
    </w:p>
    <w:p>
      <w:pPr>
        <w:pStyle w:val="TextBody"/>
        <w:spacing w:before="240" w:after="0"/>
        <w:jc w:val="center"/>
        <w:rPr>
          <w:rFonts w:ascii="Times New Roman" w:hAnsi="Times New Roman"/>
          <w:b/>
          <w:sz w:val="20"/>
        </w:rPr>
      </w:pPr>
      <w:r>
        <w:rPr>
          <w:rFonts w:ascii="Times New Roman" w:hAnsi="Times New Roman"/>
          <w:b/>
          <w:sz w:val="20"/>
        </w:rPr>
        <w:t xml:space="preserve">ELECTION OF CLASS II DIRECTORS </w:t>
      </w:r>
    </w:p>
    <w:p>
      <w:pPr>
        <w:pStyle w:val="TextBody"/>
        <w:spacing w:before="240" w:after="0"/>
        <w:jc w:val="left"/>
        <w:rPr>
          <w:rFonts w:ascii="Times New Roman" w:hAnsi="Times New Roman"/>
          <w:sz w:val="20"/>
        </w:rPr>
      </w:pPr>
      <w:r>
        <w:rPr>
          <w:rFonts w:ascii="Times New Roman" w:hAnsi="Times New Roman"/>
          <w:sz w:val="20"/>
        </w:rPr>
        <w:t xml:space="preserve">Our board of directors currently consists of ten members. In accordance with our Amended and Restated Certificate of Incorporation, our board of directors is divided into three classes with staggered three-year terms. At the annual meeting, three Class II directors will be elected for a three-year term to succeed the same class whose term is then expiring. Each directors term continues until the expiration of the term for which such director was elected and until such directors successor is elected and qualified or until such directors earlier death, resignation or removal. </w:t>
      </w:r>
    </w:p>
    <w:p>
      <w:pPr>
        <w:pStyle w:val="TextBody"/>
        <w:spacing w:before="360" w:after="0"/>
        <w:jc w:val="left"/>
        <w:rPr>
          <w:rFonts w:ascii="Times New Roman" w:hAnsi="Times New Roman"/>
          <w:b/>
          <w:sz w:val="20"/>
        </w:rPr>
      </w:pPr>
      <w:bookmarkStart w:id="22" w:name="toc455357_20"/>
      <w:bookmarkEnd w:id="22"/>
      <w:r>
        <w:rPr>
          <w:rFonts w:ascii="Times New Roman" w:hAnsi="Times New Roman"/>
          <w:b/>
          <w:sz w:val="20"/>
        </w:rPr>
        <w:t xml:space="preserve">Nominees </w:t>
      </w:r>
    </w:p>
    <w:p>
      <w:pPr>
        <w:pStyle w:val="TextBody"/>
        <w:spacing w:before="120" w:after="0"/>
        <w:jc w:val="left"/>
        <w:rPr>
          <w:rFonts w:ascii="Times New Roman" w:hAnsi="Times New Roman"/>
          <w:sz w:val="20"/>
        </w:rPr>
      </w:pPr>
      <w:r>
        <w:rPr>
          <w:rFonts w:ascii="Times New Roman" w:hAnsi="Times New Roman"/>
          <w:sz w:val="20"/>
        </w:rPr>
        <w:t>Our corporate governance and nominating committee has recommended, and our board of directors has approved, Amy Burroughs, M.B.A., Jin-Long Chen, Ph.D. and Catherine Stehman-Breen, M.D., as nominees for election as Class II directors at the annual meeting. If elected, each of Drs. Chen and Stehman-Breen and Ms. Burroughs will serve as a Class II director until the 2026 annual meeting of stockholders and until his or her respective successor is elected and qualified or until his or her earlier death, resignation or removal. For more information concerning the nominees, please see the section titled </w:t>
      </w:r>
      <w:r>
        <w:rPr>
          <w:rFonts w:ascii="Times New Roman" w:hAnsi="Times New Roman"/>
          <w:i/>
          <w:sz w:val="20"/>
        </w:rPr>
        <w:t>Board of Directors and Corporate Governance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Each of Drs. Chen and Stehman-Breen and Ms. Burroughs have agreed to serve as directors if elected, and management has no reason to believe that they will be unavailable to serve. In the event a nominee is unable or declines to serve as a director at the time of the annual meeting, proxies will be voted for any nominee designated by the present board of directors to fill the vacancy. </w:t>
      </w:r>
    </w:p>
    <w:p>
      <w:pPr>
        <w:pStyle w:val="TextBody"/>
        <w:spacing w:before="360" w:after="0"/>
        <w:jc w:val="left"/>
        <w:rPr>
          <w:rFonts w:ascii="Times New Roman" w:hAnsi="Times New Roman"/>
          <w:b/>
          <w:sz w:val="20"/>
        </w:rPr>
      </w:pPr>
      <w:bookmarkStart w:id="23" w:name="toc455357_21"/>
      <w:bookmarkEnd w:id="23"/>
      <w:r>
        <w:rPr>
          <w:rFonts w:ascii="Times New Roman" w:hAnsi="Times New Roman"/>
          <w:b/>
          <w:sz w:val="20"/>
        </w:rPr>
        <w:t xml:space="preserve">Vote Required </w:t>
      </w:r>
    </w:p>
    <w:p>
      <w:pPr>
        <w:pStyle w:val="TextBody"/>
        <w:spacing w:before="120" w:after="0"/>
        <w:jc w:val="left"/>
        <w:rPr>
          <w:rFonts w:ascii="Times New Roman" w:hAnsi="Times New Roman"/>
          <w:sz w:val="20"/>
        </w:rPr>
      </w:pPr>
      <w:r>
        <w:rPr>
          <w:rFonts w:ascii="Times New Roman" w:hAnsi="Times New Roman"/>
          <w:sz w:val="20"/>
        </w:rPr>
        <w:t xml:space="preserve">Each director is elected by a plurality of the voting power of the shares present in person (including virtually) or represented by proxy at the meeting and entitled to vote on the election of directors. Because the outcome of this proposal will be determined by a plurality vote, any shares not voted FOR a particular nominee, whether as a result of choosing to WITHHOLD authority to vote or a broker non-vote, will have no effect on the outcome of the election. </w:t>
      </w:r>
    </w:p>
    <w:p>
      <w:pPr>
        <w:pStyle w:val="TextBody"/>
        <w:spacing w:before="360" w:after="0"/>
        <w:jc w:val="left"/>
        <w:rPr>
          <w:rFonts w:ascii="Times New Roman" w:hAnsi="Times New Roman"/>
          <w:b/>
          <w:sz w:val="20"/>
        </w:rPr>
      </w:pPr>
      <w:bookmarkStart w:id="24" w:name="toc455357_22"/>
      <w:bookmarkEnd w:id="24"/>
      <w:r>
        <w:rPr>
          <w:rFonts w:ascii="Times New Roman" w:hAnsi="Times New Roman"/>
          <w:b/>
          <w:sz w:val="20"/>
        </w:rPr>
        <w:t xml:space="preserve">Board Recommendation </w:t>
      </w:r>
    </w:p>
    <w:p>
      <w:pPr>
        <w:pStyle w:val="TextBody"/>
        <w:spacing w:before="240" w:after="0"/>
        <w:jc w:val="center"/>
        <w:rPr>
          <w:rFonts w:ascii="Times New Roman" w:hAnsi="Times New Roman"/>
          <w:b/>
          <w:sz w:val="20"/>
        </w:rPr>
      </w:pPr>
      <w:r>
        <w:rPr>
          <w:rFonts w:ascii="Times New Roman" w:hAnsi="Times New Roman"/>
          <w:b/>
          <w:sz w:val="20"/>
        </w:rPr>
        <w:t xml:space="preserve">OUR BOARD OF DIRECTORS RECOMMENDS A VOTE FOR THE ELECTION OF EACH OF THE DIRECTOR NOMINEES NAMED ABOVE.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5" w:name="toc455357_23"/>
      <w:bookmarkEnd w:id="25"/>
      <w:r>
        <w:rPr>
          <w:rFonts w:ascii="Times New Roman" w:hAnsi="Times New Roman"/>
          <w:b/>
          <w:sz w:val="20"/>
        </w:rPr>
        <w:t xml:space="preserve">PROPOSAL NO. 2 </w:t>
      </w:r>
    </w:p>
    <w:p>
      <w:pPr>
        <w:pStyle w:val="TextBody"/>
        <w:spacing w:before="240" w:after="0"/>
        <w:jc w:val="center"/>
        <w:rPr>
          <w:rFonts w:ascii="Times New Roman" w:hAnsi="Times New Roman"/>
          <w:b/>
          <w:sz w:val="20"/>
        </w:rPr>
      </w:pPr>
      <w:r>
        <w:rPr>
          <w:rFonts w:ascii="Times New Roman" w:hAnsi="Times New Roman"/>
          <w:b/>
          <w:sz w:val="20"/>
        </w:rPr>
        <w:t xml:space="preserve">RATIFICATION OF APPOINTMENT OF </w:t>
      </w:r>
    </w:p>
    <w:p>
      <w:pPr>
        <w:pStyle w:val="TextBody"/>
        <w:spacing w:before="0" w:after="0"/>
        <w:jc w:val="center"/>
        <w:rPr>
          <w:rFonts w:ascii="Times New Roman" w:hAnsi="Times New Roman"/>
          <w:b/>
          <w:sz w:val="20"/>
        </w:rPr>
      </w:pPr>
      <w:r>
        <w:rPr>
          <w:rFonts w:ascii="Times New Roman" w:hAnsi="Times New Roman"/>
          <w:b/>
          <w:sz w:val="20"/>
        </w:rPr>
        <w:t xml:space="preserve">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Our audit committee has appointed Deloitte &amp; Touche LLP as our independent registered public accounting firm to audit our financial statements for our fiscal year ending December 31, 2023. Deloitte &amp; Touche LLP served as our independent registered public accounting firm for the fiscal year ended December 31, 2022. </w:t>
      </w:r>
    </w:p>
    <w:p>
      <w:pPr>
        <w:pStyle w:val="TextBody"/>
        <w:spacing w:before="240" w:after="0"/>
        <w:jc w:val="left"/>
        <w:rPr>
          <w:rFonts w:ascii="Times New Roman" w:hAnsi="Times New Roman"/>
          <w:sz w:val="20"/>
        </w:rPr>
      </w:pPr>
      <w:r>
        <w:rPr>
          <w:rFonts w:ascii="Times New Roman" w:hAnsi="Times New Roman"/>
          <w:sz w:val="20"/>
        </w:rPr>
        <w:t xml:space="preserve">At the annual meeting, we are asking our stockholders to ratify the appointment of Deloitte &amp; Touche LLP as our independent registered public accounting firm for our fiscal year ending December 31, 2023. Our audit committee is submitting the appointment of Deloitte &amp; Touche LLP to our stockholders because we value our stockholders views on our independent registered public accounting firm and as a matter of good corporate governance. Notwithstanding the appointment of Deloitte &amp; Touche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Deloitte &amp; Touche LLP, then our audit committee may reconsider the appointment. One or more representatives of Deloitte &amp; Touche LLP are expected to be present at the annual meeting, and they will have an opportunity to make a statement and are expected to be available to respond to appropriate questions from our stockholders. </w:t>
      </w:r>
    </w:p>
    <w:p>
      <w:pPr>
        <w:pStyle w:val="TextBody"/>
        <w:spacing w:before="360" w:after="0"/>
        <w:jc w:val="left"/>
        <w:rPr>
          <w:rFonts w:ascii="Times New Roman" w:hAnsi="Times New Roman"/>
          <w:b/>
          <w:sz w:val="20"/>
        </w:rPr>
      </w:pPr>
      <w:bookmarkStart w:id="26" w:name="toc455357_24"/>
      <w:bookmarkEnd w:id="26"/>
      <w:r>
        <w:rPr>
          <w:rFonts w:ascii="Times New Roman" w:hAnsi="Times New Roman"/>
          <w:b/>
          <w:sz w:val="20"/>
        </w:rPr>
        <w:t xml:space="preserve">Fees Paid to the Independent Registered Public Accounting Firm </w:t>
      </w:r>
    </w:p>
    <w:p>
      <w:pPr>
        <w:pStyle w:val="TextBody"/>
        <w:spacing w:before="120" w:after="0"/>
        <w:jc w:val="left"/>
        <w:rPr>
          <w:rFonts w:ascii="Times New Roman" w:hAnsi="Times New Roman"/>
          <w:sz w:val="20"/>
        </w:rPr>
      </w:pPr>
      <w:r>
        <w:rPr>
          <w:rFonts w:ascii="Times New Roman" w:hAnsi="Times New Roman"/>
          <w:sz w:val="20"/>
        </w:rPr>
        <w:t xml:space="preserve">The following table presents fees for professional audit services and other services rendered to us by Deloitte &amp; Touche LLP for our fiscal years ended December 31, 2022, and 2021.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339"/>
        <w:gridCol w:w="402"/>
        <w:gridCol w:w="141"/>
        <w:gridCol w:w="1102"/>
        <w:gridCol w:w="60"/>
        <w:gridCol w:w="402"/>
        <w:gridCol w:w="141"/>
        <w:gridCol w:w="1102"/>
        <w:gridCol w:w="66"/>
      </w:tblGrid>
      <w:tr>
        <w:trPr/>
        <w:tc>
          <w:tcPr>
            <w:tcW w:w="4339"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4339"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24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24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6" w:type="dxa"/>
            <w:tcBorders/>
            <w:shd w:fill="auto" w:val="clear"/>
            <w:vAlign w:val="bottom"/>
          </w:tcPr>
          <w:p>
            <w:pPr>
              <w:pStyle w:val="TableContents"/>
              <w:spacing w:before="0" w:after="283"/>
              <w:rPr/>
            </w:pPr>
            <w:r>
              <w:rPr/>
              <w:t> </w:t>
            </w:r>
          </w:p>
        </w:tc>
      </w:tr>
      <w:tr>
        <w:trPr/>
        <w:tc>
          <w:tcPr>
            <w:tcW w:w="4339" w:type="dxa"/>
            <w:tcBorders/>
            <w:shd w:fill="CCEEFF" w:val="clear"/>
          </w:tcPr>
          <w:p>
            <w:pPr>
              <w:pStyle w:val="TableContents"/>
              <w:spacing w:before="0" w:after="0"/>
              <w:rPr>
                <w:rFonts w:ascii="Times New Roman" w:hAnsi="Times New Roman"/>
                <w:sz w:val="20"/>
              </w:rPr>
            </w:pPr>
            <w:r>
              <w:rPr>
                <w:rFonts w:ascii="Times New Roman" w:hAnsi="Times New Roman"/>
                <w:sz w:val="20"/>
              </w:rPr>
              <w:t>Audit Fees(1)</w:t>
            </w:r>
          </w:p>
        </w:tc>
        <w:tc>
          <w:tcPr>
            <w:tcW w:w="40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w:t>
            </w:r>
          </w:p>
        </w:tc>
        <w:tc>
          <w:tcPr>
            <w:tcW w:w="1102" w:type="dxa"/>
            <w:tcBorders/>
            <w:shd w:fill="CCEEFF" w:val="clear"/>
            <w:vAlign w:val="bottom"/>
          </w:tcPr>
          <w:p>
            <w:pPr>
              <w:pStyle w:val="TableContents"/>
              <w:spacing w:before="0" w:after="283"/>
              <w:jc w:val="right"/>
              <w:rPr/>
            </w:pPr>
            <w:r>
              <w:rPr/>
              <w:t>1,158,224</w:t>
            </w:r>
          </w:p>
        </w:tc>
        <w:tc>
          <w:tcPr>
            <w:tcW w:w="60"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w:t>
            </w:r>
          </w:p>
        </w:tc>
        <w:tc>
          <w:tcPr>
            <w:tcW w:w="1102" w:type="dxa"/>
            <w:tcBorders/>
            <w:shd w:fill="CCEEFF" w:val="clear"/>
            <w:vAlign w:val="bottom"/>
          </w:tcPr>
          <w:p>
            <w:pPr>
              <w:pStyle w:val="TableContents"/>
              <w:spacing w:before="0" w:after="283"/>
              <w:jc w:val="right"/>
              <w:rPr/>
            </w:pPr>
            <w:r>
              <w:rPr/>
              <w:t>1,547,870</w:t>
            </w:r>
          </w:p>
        </w:tc>
        <w:tc>
          <w:tcPr>
            <w:tcW w:w="66" w:type="dxa"/>
            <w:tcBorders/>
            <w:shd w:fill="CCEEFF" w:val="clear"/>
            <w:vAlign w:val="bottom"/>
          </w:tcPr>
          <w:p>
            <w:pPr>
              <w:pStyle w:val="TableContents"/>
              <w:spacing w:before="0" w:after="283"/>
              <w:rPr/>
            </w:pPr>
            <w:r>
              <w:rPr/>
              <w:t> </w:t>
            </w:r>
          </w:p>
        </w:tc>
      </w:tr>
      <w:tr>
        <w:trPr/>
        <w:tc>
          <w:tcPr>
            <w:tcW w:w="4339" w:type="dxa"/>
            <w:tcBorders/>
            <w:shd w:fill="auto" w:val="clear"/>
          </w:tcPr>
          <w:p>
            <w:pPr>
              <w:pStyle w:val="TableContents"/>
              <w:spacing w:before="0" w:after="0"/>
              <w:rPr>
                <w:rFonts w:ascii="Times New Roman" w:hAnsi="Times New Roman"/>
                <w:sz w:val="20"/>
              </w:rPr>
            </w:pPr>
            <w:r>
              <w:rPr>
                <w:rFonts w:ascii="Times New Roman" w:hAnsi="Times New Roman"/>
                <w:sz w:val="20"/>
              </w:rPr>
              <w:t>Audit-Related Fees</w:t>
            </w:r>
          </w:p>
        </w:tc>
        <w:tc>
          <w:tcPr>
            <w:tcW w:w="40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  </w:t>
            </w:r>
          </w:p>
        </w:tc>
        <w:tc>
          <w:tcPr>
            <w:tcW w:w="66" w:type="dxa"/>
            <w:tcBorders/>
            <w:shd w:fill="auto" w:val="clear"/>
            <w:vAlign w:val="bottom"/>
          </w:tcPr>
          <w:p>
            <w:pPr>
              <w:pStyle w:val="TableContents"/>
              <w:spacing w:before="0" w:after="283"/>
              <w:rPr/>
            </w:pPr>
            <w:r>
              <w:rPr/>
              <w:t> </w:t>
            </w:r>
          </w:p>
        </w:tc>
      </w:tr>
      <w:tr>
        <w:trPr/>
        <w:tc>
          <w:tcPr>
            <w:tcW w:w="4339" w:type="dxa"/>
            <w:tcBorders/>
            <w:shd w:fill="CCEEFF" w:val="clear"/>
          </w:tcPr>
          <w:p>
            <w:pPr>
              <w:pStyle w:val="TableContents"/>
              <w:spacing w:before="0" w:after="0"/>
              <w:rPr>
                <w:rFonts w:ascii="Times New Roman" w:hAnsi="Times New Roman"/>
                <w:sz w:val="20"/>
              </w:rPr>
            </w:pPr>
            <w:r>
              <w:rPr>
                <w:rFonts w:ascii="Times New Roman" w:hAnsi="Times New Roman"/>
                <w:sz w:val="20"/>
              </w:rPr>
              <w:t>Tax Fees</w:t>
            </w:r>
          </w:p>
        </w:tc>
        <w:tc>
          <w:tcPr>
            <w:tcW w:w="40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  </w:t>
            </w:r>
          </w:p>
        </w:tc>
        <w:tc>
          <w:tcPr>
            <w:tcW w:w="66" w:type="dxa"/>
            <w:tcBorders/>
            <w:shd w:fill="CCEEFF" w:val="clear"/>
            <w:vAlign w:val="bottom"/>
          </w:tcPr>
          <w:p>
            <w:pPr>
              <w:pStyle w:val="TableContents"/>
              <w:spacing w:before="0" w:after="283"/>
              <w:rPr/>
            </w:pPr>
            <w:r>
              <w:rPr/>
              <w:t> </w:t>
            </w:r>
          </w:p>
        </w:tc>
      </w:tr>
      <w:tr>
        <w:trPr/>
        <w:tc>
          <w:tcPr>
            <w:tcW w:w="4339" w:type="dxa"/>
            <w:tcBorders/>
            <w:shd w:fill="auto" w:val="clear"/>
          </w:tcPr>
          <w:p>
            <w:pPr>
              <w:pStyle w:val="TableContents"/>
              <w:spacing w:before="0" w:after="0"/>
              <w:rPr>
                <w:rFonts w:ascii="Times New Roman" w:hAnsi="Times New Roman"/>
                <w:sz w:val="20"/>
              </w:rPr>
            </w:pPr>
            <w:r>
              <w:rPr>
                <w:rFonts w:ascii="Times New Roman" w:hAnsi="Times New Roman"/>
                <w:sz w:val="20"/>
              </w:rPr>
              <w:t>All Other Fees</w:t>
            </w:r>
          </w:p>
        </w:tc>
        <w:tc>
          <w:tcPr>
            <w:tcW w:w="40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  </w:t>
            </w:r>
          </w:p>
        </w:tc>
        <w:tc>
          <w:tcPr>
            <w:tcW w:w="66" w:type="dxa"/>
            <w:tcBorders/>
            <w:shd w:fill="auto" w:val="clear"/>
            <w:vAlign w:val="bottom"/>
          </w:tcPr>
          <w:p>
            <w:pPr>
              <w:pStyle w:val="TableContents"/>
              <w:spacing w:before="0" w:after="283"/>
              <w:rPr/>
            </w:pPr>
            <w:r>
              <w:rPr/>
              <w:t> </w:t>
            </w:r>
          </w:p>
        </w:tc>
      </w:tr>
      <w:tr>
        <w:trPr/>
        <w:tc>
          <w:tcPr>
            <w:tcW w:w="4339" w:type="dxa"/>
            <w:tcBorders/>
            <w:shd w:fill="auto" w:val="clear"/>
            <w:vAlign w:val="bottom"/>
          </w:tcPr>
          <w:p>
            <w:pPr>
              <w:pStyle w:val="TableContents"/>
              <w:spacing w:before="0" w:after="283"/>
              <w:rPr>
                <w:sz w:val="4"/>
                <w:szCs w:val="4"/>
              </w:rPr>
            </w:pPr>
            <w:r>
              <w:rPr>
                <w:sz w:val="4"/>
                <w:szCs w:val="4"/>
              </w:rPr>
            </w:r>
          </w:p>
        </w:tc>
        <w:tc>
          <w:tcPr>
            <w:tcW w:w="40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110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1102" w:type="dxa"/>
            <w:tcBorders/>
            <w:shd w:fill="auto" w:val="clear"/>
            <w:vAlign w:val="bottom"/>
          </w:tcPr>
          <w:p>
            <w:pPr>
              <w:pStyle w:val="TableContents"/>
              <w:pBdr>
                <w:top w:val="single" w:sz="2" w:space="1" w:color="000000"/>
              </w:pBdr>
              <w:spacing w:before="0" w:after="0"/>
              <w:rPr/>
            </w:pPr>
            <w:r>
              <w:rPr/>
              <w:t> </w:t>
            </w:r>
          </w:p>
        </w:tc>
        <w:tc>
          <w:tcPr>
            <w:tcW w:w="66" w:type="dxa"/>
            <w:tcBorders/>
            <w:shd w:fill="auto" w:val="clear"/>
            <w:vAlign w:val="center"/>
          </w:tcPr>
          <w:p>
            <w:pPr>
              <w:pStyle w:val="TableContents"/>
              <w:spacing w:before="0" w:after="283"/>
              <w:rPr/>
            </w:pPr>
            <w:r>
              <w:rPr/>
              <w:t> </w:t>
            </w:r>
          </w:p>
        </w:tc>
      </w:tr>
      <w:tr>
        <w:trPr/>
        <w:tc>
          <w:tcPr>
            <w:tcW w:w="4339" w:type="dxa"/>
            <w:tcBorders/>
            <w:shd w:fill="CCEEFF" w:val="clear"/>
          </w:tcPr>
          <w:p>
            <w:pPr>
              <w:pStyle w:val="TableContents"/>
              <w:spacing w:before="0" w:after="0"/>
              <w:rPr>
                <w:rFonts w:ascii="Times New Roman" w:hAnsi="Times New Roman"/>
                <w:sz w:val="20"/>
              </w:rPr>
            </w:pPr>
            <w:r>
              <w:rPr>
                <w:rFonts w:ascii="Times New Roman" w:hAnsi="Times New Roman"/>
                <w:sz w:val="20"/>
              </w:rPr>
              <w:t>Total Fees</w:t>
            </w:r>
          </w:p>
        </w:tc>
        <w:tc>
          <w:tcPr>
            <w:tcW w:w="40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w:t>
            </w:r>
          </w:p>
        </w:tc>
        <w:tc>
          <w:tcPr>
            <w:tcW w:w="1102" w:type="dxa"/>
            <w:tcBorders/>
            <w:shd w:fill="CCEEFF" w:val="clear"/>
            <w:vAlign w:val="bottom"/>
          </w:tcPr>
          <w:p>
            <w:pPr>
              <w:pStyle w:val="TableContents"/>
              <w:spacing w:before="0" w:after="283"/>
              <w:jc w:val="right"/>
              <w:rPr/>
            </w:pPr>
            <w:r>
              <w:rPr/>
              <w:t>1,158,224</w:t>
            </w:r>
          </w:p>
        </w:tc>
        <w:tc>
          <w:tcPr>
            <w:tcW w:w="60"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w:t>
            </w:r>
          </w:p>
        </w:tc>
        <w:tc>
          <w:tcPr>
            <w:tcW w:w="1102" w:type="dxa"/>
            <w:tcBorders/>
            <w:shd w:fill="CCEEFF" w:val="clear"/>
            <w:vAlign w:val="bottom"/>
          </w:tcPr>
          <w:p>
            <w:pPr>
              <w:pStyle w:val="TableContents"/>
              <w:spacing w:before="0" w:after="283"/>
              <w:jc w:val="right"/>
              <w:rPr/>
            </w:pPr>
            <w:r>
              <w:rPr/>
              <w:t>1,547,870</w:t>
            </w:r>
          </w:p>
        </w:tc>
        <w:tc>
          <w:tcPr>
            <w:tcW w:w="66" w:type="dxa"/>
            <w:tcBorders/>
            <w:shd w:fill="CCEEFF" w:val="clear"/>
            <w:vAlign w:val="bottom"/>
          </w:tcPr>
          <w:p>
            <w:pPr>
              <w:pStyle w:val="TableContents"/>
              <w:spacing w:before="0" w:after="283"/>
              <w:rPr/>
            </w:pPr>
            <w:r>
              <w:rPr/>
              <w:t> </w:t>
            </w:r>
          </w:p>
        </w:tc>
      </w:tr>
      <w:tr>
        <w:trPr/>
        <w:tc>
          <w:tcPr>
            <w:tcW w:w="4339" w:type="dxa"/>
            <w:tcBorders/>
            <w:shd w:fill="auto" w:val="clear"/>
            <w:vAlign w:val="bottom"/>
          </w:tcPr>
          <w:p>
            <w:pPr>
              <w:pStyle w:val="TableContents"/>
              <w:spacing w:before="0" w:after="283"/>
              <w:rPr>
                <w:sz w:val="4"/>
                <w:szCs w:val="4"/>
              </w:rPr>
            </w:pPr>
            <w:r>
              <w:rPr>
                <w:sz w:val="4"/>
                <w:szCs w:val="4"/>
              </w:rPr>
            </w:r>
          </w:p>
        </w:tc>
        <w:tc>
          <w:tcPr>
            <w:tcW w:w="40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110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1102" w:type="dxa"/>
            <w:tcBorders/>
            <w:shd w:fill="auto" w:val="clear"/>
            <w:vAlign w:val="bottom"/>
          </w:tcPr>
          <w:p>
            <w:pPr>
              <w:pStyle w:val="TableContents"/>
              <w:pBdr>
                <w:top w:val="single" w:sz="2" w:space="1" w:color="000000"/>
              </w:pBdr>
              <w:spacing w:before="0" w:after="0"/>
              <w:rPr/>
            </w:pPr>
            <w:r>
              <w:rPr/>
              <w:t> </w:t>
            </w:r>
          </w:p>
        </w:tc>
        <w:tc>
          <w:tcPr>
            <w:tcW w:w="66"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Audit fees consist of fees billed for professional services rendered for the audit of our consolidated financial statements and review of the interim financial statements included in quarterly reports and services that are normally provided by Deloitte &amp; Touche LLP in connection with statutory and regulatory filings and other engagements such as consents and review of documents filed with the SEC. The fees for 2021 include services associated with the filing of our S-1 and initial public offering in August 2021. The fees for 2022 include services associated with the filing of our S-3 in August 2022 and our public offering in November 2022. </w:t>
            </w:r>
          </w:p>
        </w:tc>
      </w:tr>
    </w:tbl>
    <w:p>
      <w:pPr>
        <w:pStyle w:val="TextBody"/>
        <w:spacing w:before="360" w:after="0"/>
        <w:jc w:val="left"/>
        <w:rPr>
          <w:rFonts w:ascii="Times New Roman" w:hAnsi="Times New Roman"/>
          <w:b/>
          <w:sz w:val="20"/>
        </w:rPr>
      </w:pPr>
      <w:bookmarkStart w:id="27" w:name="toc455357_25"/>
      <w:bookmarkEnd w:id="27"/>
      <w:r>
        <w:rPr>
          <w:rFonts w:ascii="Times New Roman" w:hAnsi="Times New Roman"/>
          <w:b/>
          <w:sz w:val="20"/>
        </w:rPr>
        <w:t xml:space="preserve">Auditor Independence </w:t>
      </w:r>
    </w:p>
    <w:p>
      <w:pPr>
        <w:pStyle w:val="TextBody"/>
        <w:spacing w:before="120" w:after="0"/>
        <w:jc w:val="left"/>
        <w:rPr>
          <w:rFonts w:ascii="Times New Roman" w:hAnsi="Times New Roman"/>
          <w:sz w:val="20"/>
        </w:rPr>
      </w:pPr>
      <w:r>
        <w:rPr>
          <w:rFonts w:ascii="Times New Roman" w:hAnsi="Times New Roman"/>
          <w:sz w:val="20"/>
        </w:rPr>
        <w:t xml:space="preserve">In 2022, there were no other professional services provided by Deloitte &amp; Touche LLP, other than those listed above, that would have required our audit committee to consider their compatibility with maintaining the independence of Deloitte &amp; Touche LLP. </w:t>
      </w:r>
    </w:p>
    <w:p>
      <w:pPr>
        <w:pStyle w:val="TextBody"/>
        <w:spacing w:before="360" w:after="0"/>
        <w:jc w:val="left"/>
        <w:rPr>
          <w:rFonts w:ascii="Times New Roman" w:hAnsi="Times New Roman"/>
          <w:b/>
          <w:sz w:val="20"/>
        </w:rPr>
      </w:pPr>
      <w:bookmarkStart w:id="28" w:name="toc455357_26"/>
      <w:bookmarkEnd w:id="28"/>
      <w:r>
        <w:rPr>
          <w:rFonts w:ascii="Times New Roman" w:hAnsi="Times New Roman"/>
          <w:b/>
          <w:sz w:val="20"/>
        </w:rPr>
        <w:t xml:space="preserve">Audit Committee Policy on Pre-Approval of Audit and Permissible Non-Audit Services of Independent Registered Public Accounting Firm </w:t>
      </w:r>
    </w:p>
    <w:p>
      <w:pPr>
        <w:pStyle w:val="TextBody"/>
        <w:spacing w:before="120" w:after="0"/>
        <w:jc w:val="left"/>
        <w:rPr>
          <w:rFonts w:ascii="Times New Roman" w:hAnsi="Times New Roman"/>
          <w:sz w:val="20"/>
        </w:rPr>
      </w:pPr>
      <w:r>
        <w:rPr>
          <w:rFonts w:ascii="Times New Roman" w:hAnsi="Times New Roman"/>
          <w:sz w:val="20"/>
        </w:rPr>
        <w:t xml:space="preserve">Our audit committee has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not impair such accounting firms independence. All fees paid to Deloitte &amp; Touche LLP for our fiscal year ended December 31, 2022, were pre-approved by our audit committee. </w:t>
      </w:r>
    </w:p>
    <w:p>
      <w:pPr>
        <w:pStyle w:val="TextBody"/>
        <w:spacing w:before="360" w:after="0"/>
        <w:jc w:val="left"/>
        <w:rPr>
          <w:rFonts w:ascii="Times New Roman" w:hAnsi="Times New Roman"/>
          <w:b/>
          <w:sz w:val="20"/>
        </w:rPr>
      </w:pPr>
      <w:bookmarkStart w:id="29" w:name="toc455357_27"/>
      <w:bookmarkEnd w:id="29"/>
      <w:r>
        <w:rPr>
          <w:rFonts w:ascii="Times New Roman" w:hAnsi="Times New Roman"/>
          <w:b/>
          <w:sz w:val="20"/>
        </w:rPr>
        <w:t xml:space="preserve">Vote Required </w:t>
      </w:r>
    </w:p>
    <w:p>
      <w:pPr>
        <w:pStyle w:val="TextBody"/>
        <w:spacing w:before="120" w:after="0"/>
        <w:jc w:val="left"/>
        <w:rPr>
          <w:rFonts w:ascii="Times New Roman" w:hAnsi="Times New Roman"/>
          <w:sz w:val="20"/>
        </w:rPr>
      </w:pPr>
      <w:r>
        <w:rPr>
          <w:rFonts w:ascii="Times New Roman" w:hAnsi="Times New Roman"/>
          <w:sz w:val="20"/>
        </w:rPr>
        <w:t>The ratification of the appointment of Deloitte &amp; Touche LLP as our independent registered public accounting firm for our fiscal year ending December 31, 2023, requires the affirmative vote of a majority of the voting power of the shares present in person (including virtually) or represented by proxy at the annual meeting and entitled to vote thereon. Abstentions will have the same effect as a vote AGAINST this proposal. Because this is a routine proposal, your broker, bank or other nominee will have discretion to vote your shares on this routine matter. See </w:t>
      </w:r>
      <w:r>
        <w:rPr>
          <w:rFonts w:ascii="Times New Roman" w:hAnsi="Times New Roman"/>
          <w:i/>
          <w:sz w:val="20"/>
        </w:rPr>
        <w:t>What if I do not specify how my shares are to be voted or fail to provide timely directions to my broker, bank or other nominee?</w:t>
      </w:r>
      <w:r>
        <w:rPr>
          <w:rFonts w:ascii="Times New Roman" w:hAnsi="Times New Roman"/>
          <w:sz w:val="20"/>
        </w:rPr>
        <w:t xml:space="preserve"> above. Therefore, we do not expect any broker non-votes on this proposal. </w:t>
      </w:r>
    </w:p>
    <w:p>
      <w:pPr>
        <w:pStyle w:val="TextBody"/>
        <w:spacing w:before="360" w:after="0"/>
        <w:jc w:val="left"/>
        <w:rPr>
          <w:rFonts w:ascii="Times New Roman" w:hAnsi="Times New Roman"/>
          <w:b/>
          <w:sz w:val="20"/>
        </w:rPr>
      </w:pPr>
      <w:bookmarkStart w:id="30" w:name="toc455357_28"/>
      <w:bookmarkEnd w:id="30"/>
      <w:r>
        <w:rPr>
          <w:rFonts w:ascii="Times New Roman" w:hAnsi="Times New Roman"/>
          <w:b/>
          <w:sz w:val="20"/>
        </w:rPr>
        <w:t xml:space="preserve">Board Recommendation </w:t>
      </w:r>
    </w:p>
    <w:p>
      <w:pPr>
        <w:pStyle w:val="TextBody"/>
        <w:spacing w:before="240" w:after="0"/>
        <w:jc w:val="center"/>
        <w:rPr>
          <w:rFonts w:ascii="Times New Roman" w:hAnsi="Times New Roman"/>
          <w:b/>
          <w:sz w:val="20"/>
        </w:rPr>
      </w:pPr>
      <w:r>
        <w:rPr>
          <w:rFonts w:ascii="Times New Roman" w:hAnsi="Times New Roman"/>
          <w:b/>
          <w:sz w:val="20"/>
        </w:rPr>
        <w:t xml:space="preserve">OUR BOARD OF DIRECTORS RECOMMENDS A VOTE FOR THE RATIFICATION OF THE APPOINTMENT OF DELOITTE &amp; TOUCHE LLP AS OUR INDEPENDENT REGISTERED PUBLIC ACCOUNTING FIRM FOR OUR FISCAL YEAR ENDING DECEMBER 31,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1" w:name="toc455357_29"/>
      <w:bookmarkEnd w:id="31"/>
      <w:r>
        <w:rPr>
          <w:rFonts w:ascii="Times New Roman" w:hAnsi="Times New Roman"/>
          <w:b/>
          <w:sz w:val="20"/>
        </w:rPr>
        <w:t xml:space="preserve">PROPOSAL NO. 3 </w:t>
      </w:r>
    </w:p>
    <w:p>
      <w:pPr>
        <w:pStyle w:val="TextBody"/>
        <w:spacing w:before="240" w:after="0"/>
        <w:jc w:val="center"/>
        <w:rPr>
          <w:rFonts w:ascii="Times New Roman" w:hAnsi="Times New Roman"/>
          <w:b/>
          <w:sz w:val="20"/>
        </w:rPr>
      </w:pPr>
      <w:r>
        <w:rPr>
          <w:rFonts w:ascii="Times New Roman" w:hAnsi="Times New Roman"/>
          <w:b/>
          <w:sz w:val="20"/>
        </w:rPr>
        <w:t xml:space="preserve">AMENDMENT OF OUR AMENDED AND RESTATED CERTIFICATE OF INCORPORATION TO REFLECT RECENTLY ADOPTED DELAWARE LAW PROVISIONS REGARDING OFFICER EXCULPATION </w:t>
      </w:r>
    </w:p>
    <w:p>
      <w:pPr>
        <w:pStyle w:val="TextBody"/>
        <w:spacing w:before="240" w:after="0"/>
        <w:jc w:val="left"/>
        <w:rPr>
          <w:rFonts w:ascii="Times New Roman" w:hAnsi="Times New Roman"/>
          <w:sz w:val="20"/>
        </w:rPr>
      </w:pPr>
      <w:r>
        <w:rPr>
          <w:rFonts w:ascii="Times New Roman" w:hAnsi="Times New Roman"/>
          <w:sz w:val="20"/>
        </w:rPr>
        <w:t xml:space="preserve">Effective August 2022, the State of Delaware, which is the Companys state of incorporation, enacted legislation that enables Delaware corporations to limit the liability of certain of their officers in limited circumstances. In light of this update in the law, we are proposing to amend our Amended and Restated Certificate of Incorporation to exculpate certain of the Companys officers from liability in specific circumstances, as permitted by Delaware law. The Delaware statute only permits exculpation for direct claims (and not for derivative claims made by stockholders on behalf of the corporation) and would not apply to breaches of the duty of loyalty, acts or omissions not in good faith or that involve intentional misconduct or a knowing violation of law, or any transaction in which the officer derived an improper personal benefit. </w:t>
      </w:r>
    </w:p>
    <w:p>
      <w:pPr>
        <w:pStyle w:val="TextBody"/>
        <w:spacing w:before="240" w:after="0"/>
        <w:jc w:val="left"/>
        <w:rPr>
          <w:rFonts w:ascii="Times New Roman" w:hAnsi="Times New Roman"/>
          <w:sz w:val="20"/>
        </w:rPr>
      </w:pPr>
      <w:r>
        <w:rPr>
          <w:rFonts w:ascii="Times New Roman" w:hAnsi="Times New Roman"/>
          <w:sz w:val="20"/>
        </w:rPr>
        <w:t xml:space="preserve">Our proposed amendment would only permit exculpation to the extent permitted under Delaware law. After considering the benefits and the consequences of these updates, our board of directors believes amending our Amended and Restated Certificate of Incorporation to provide for such exculpation ameliorates the inconsistent treatment of officers and directors under Delaware law notwithstanding that both officers and directors have similar fiduciary duties. Our board of directors also believes this proposed amendment will strike a balance between stockholders interest in accountability and their interest in the Company being able to attract and retain quality officers to work on its behalf. Further, our board of directors considered the extent of exculpation provided under the law and, accordingly, under our proposed amendment, and believes that it is reasonable and does not unduly impact stockholder rights. </w:t>
      </w:r>
    </w:p>
    <w:p>
      <w:pPr>
        <w:pStyle w:val="TextBody"/>
        <w:spacing w:before="240" w:after="0"/>
        <w:jc w:val="left"/>
        <w:rPr>
          <w:rFonts w:ascii="Times New Roman" w:hAnsi="Times New Roman"/>
          <w:sz w:val="20"/>
        </w:rPr>
      </w:pPr>
      <w:r>
        <w:rPr>
          <w:rFonts w:ascii="Times New Roman" w:hAnsi="Times New Roman"/>
          <w:sz w:val="20"/>
        </w:rPr>
        <w:t xml:space="preserve">Therefore, taking into account the narrow class and type of claims for which officers liability would be exculpated, and the benefits our board of directors believes would accrue to the Company and its stockholders in the form of an enhanced ability to attract and retain talented officers, our board of directors has unanimously approved the amendment of our Amended and Restated Certificate of Incorporation, which amendment is subject to stockholders approval. Our board of directors has unanimously determined that it is advisable and in the best interests of the Company and our stockholders to amend our Amended and Restated Certificate of Incorporation to provide such exculpation to the extent permitted by Delaware law, and in accordance with Delaware law, hereby seeks approval of the amendment of our Amended and Restated Certificate of Incorporation to reflect recently adopted Delaware law provisions regarding officer exculpation. </w:t>
      </w:r>
    </w:p>
    <w:p>
      <w:pPr>
        <w:pStyle w:val="TextBody"/>
        <w:spacing w:before="240" w:after="0"/>
        <w:jc w:val="left"/>
        <w:rPr>
          <w:rFonts w:ascii="Times New Roman" w:hAnsi="Times New Roman"/>
          <w:sz w:val="20"/>
        </w:rPr>
      </w:pPr>
      <w:r>
        <w:rPr>
          <w:rFonts w:ascii="Times New Roman" w:hAnsi="Times New Roman"/>
          <w:sz w:val="20"/>
        </w:rPr>
        <w:t xml:space="preserve">Accordingly, we ask our stockholders to vote on the following resolution: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RESOLVED</w:t>
      </w:r>
      <w:r>
        <w:rPr>
          <w:rFonts w:ascii="Times New Roman" w:hAnsi="Times New Roman"/>
          <w:sz w:val="20"/>
        </w:rPr>
        <w:t xml:space="preserve">: That the Companys stockholders approve an amendment to the Companys Amended and Restated Certificate of Incorporation to amend and restate Section 1 of Article IX in its entirety to read as follows: </w:t>
      </w:r>
    </w:p>
    <w:p>
      <w:pPr>
        <w:pStyle w:val="TextBody"/>
        <w:spacing w:before="480" w:after="0"/>
        <w:jc w:val="center"/>
        <w:rPr>
          <w:rFonts w:ascii="Times New Roman" w:hAnsi="Times New Roman"/>
          <w:b/>
          <w:sz w:val="20"/>
        </w:rPr>
      </w:pPr>
      <w:r>
        <w:rPr>
          <w:rFonts w:ascii="Times New Roman" w:hAnsi="Times New Roman"/>
          <w:b/>
          <w:sz w:val="20"/>
        </w:rPr>
        <w:t xml:space="preserve">ARTICLE IX </w:t>
      </w:r>
    </w:p>
    <w:p>
      <w:pPr>
        <w:pStyle w:val="TextBody"/>
        <w:spacing w:before="240" w:after="0"/>
        <w:jc w:val="left"/>
        <w:rPr>
          <w:rFonts w:ascii="Times New Roman" w:hAnsi="Times New Roman"/>
          <w:sz w:val="20"/>
        </w:rPr>
      </w:pPr>
      <w:r>
        <w:rPr>
          <w:rFonts w:ascii="Times New Roman" w:hAnsi="Times New Roman"/>
          <w:sz w:val="20"/>
        </w:rPr>
        <w:t xml:space="preserve">Section 1. To the fullest extent permitted by the DGCL as the same exists or as may hereafter be amended from time to time, a director or officer of the Company shall not be personally liable to the Company or its stockholders for monetary damages for breach of fiduciary duty as a director or officer. If the DGCL is amended to authorize corporate action further eliminating or limiting the personal liability of directors or officers, then the liability of a director or officer of the Company shall be eliminated or limited to the fullest extent permitted by the DGCL, as so amended. </w:t>
      </w:r>
    </w:p>
    <w:p>
      <w:pPr>
        <w:pStyle w:val="TextBody"/>
        <w:spacing w:before="240" w:after="0"/>
        <w:jc w:val="left"/>
        <w:rPr>
          <w:rFonts w:ascii="Times New Roman" w:hAnsi="Times New Roman"/>
          <w:sz w:val="20"/>
        </w:rPr>
      </w:pPr>
      <w:r>
        <w:rPr>
          <w:rFonts w:ascii="Times New Roman" w:hAnsi="Times New Roman"/>
          <w:sz w:val="20"/>
        </w:rPr>
        <w:t xml:space="preserve">In order to effect the amendment to the Companys Amended and Restated Certificate of Incorporation to reflect Delaware law provisions regarding officer exculpation, if approved by the stockholders, the Company would then file the Certificate of Amendment to the Amended and Restated Certificate of Incorporation. Our board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directors may elect to abandon the amendment without further action by the stockholders at any time prior to the effectiveness of such filing with the Secretary of State of the State of Delaware, notwithstanding stockholder approval of this Proposal. </w:t>
      </w:r>
    </w:p>
    <w:p>
      <w:pPr>
        <w:pStyle w:val="TextBody"/>
        <w:spacing w:before="360" w:after="0"/>
        <w:jc w:val="left"/>
        <w:rPr>
          <w:rFonts w:ascii="Times New Roman" w:hAnsi="Times New Roman"/>
          <w:b/>
          <w:sz w:val="20"/>
        </w:rPr>
      </w:pPr>
      <w:bookmarkStart w:id="32" w:name="toc455357_30"/>
      <w:bookmarkEnd w:id="32"/>
      <w:r>
        <w:rPr>
          <w:rFonts w:ascii="Times New Roman" w:hAnsi="Times New Roman"/>
          <w:b/>
          <w:sz w:val="20"/>
        </w:rPr>
        <w:t xml:space="preserve">Vote Required </w:t>
      </w:r>
    </w:p>
    <w:p>
      <w:pPr>
        <w:pStyle w:val="TextBody"/>
        <w:spacing w:before="120" w:after="0"/>
        <w:jc w:val="left"/>
        <w:rPr>
          <w:rFonts w:ascii="Times New Roman" w:hAnsi="Times New Roman"/>
          <w:sz w:val="20"/>
        </w:rPr>
      </w:pPr>
      <w:r>
        <w:rPr>
          <w:rFonts w:ascii="Times New Roman" w:hAnsi="Times New Roman"/>
          <w:sz w:val="20"/>
        </w:rPr>
        <w:t xml:space="preserve">The approval of an amendment to our Amended and Restated Certificate of Incorporation to reflect recently adopted Delaware law provisions regarding officer exculpation requires the affirmative vote of a majority of the voting power of the outstanding shares of capital stock of the Company entitled to vote thereon. Abstentions and broker non-votes will have the same effect as a vote AGAINST this proposal. Your failure to vote or instruct your broker or bank how to vote will have the same effect as voting AGAINST this proposal. </w:t>
      </w:r>
    </w:p>
    <w:p>
      <w:pPr>
        <w:pStyle w:val="TextBody"/>
        <w:spacing w:before="360" w:after="0"/>
        <w:jc w:val="left"/>
        <w:rPr>
          <w:rFonts w:ascii="Times New Roman" w:hAnsi="Times New Roman"/>
          <w:b/>
          <w:sz w:val="20"/>
        </w:rPr>
      </w:pPr>
      <w:bookmarkStart w:id="33" w:name="toc455357_31"/>
      <w:bookmarkEnd w:id="33"/>
      <w:r>
        <w:rPr>
          <w:rFonts w:ascii="Times New Roman" w:hAnsi="Times New Roman"/>
          <w:b/>
          <w:sz w:val="20"/>
        </w:rPr>
        <w:t xml:space="preserve">Board Recommendation </w:t>
      </w:r>
    </w:p>
    <w:p>
      <w:pPr>
        <w:pStyle w:val="TextBody"/>
        <w:spacing w:before="240" w:after="0"/>
        <w:jc w:val="center"/>
        <w:rPr>
          <w:rFonts w:ascii="Times New Roman" w:hAnsi="Times New Roman"/>
          <w:b/>
          <w:sz w:val="20"/>
        </w:rPr>
      </w:pPr>
      <w:r>
        <w:rPr>
          <w:rFonts w:ascii="Times New Roman" w:hAnsi="Times New Roman"/>
          <w:b/>
          <w:sz w:val="20"/>
        </w:rPr>
        <w:t xml:space="preserve">OUR BOARD OF DIRECTORS RECOMMENDS A VOTE FOR THE APPROVAL OF THE AMENDMENT OF OUR AMENDED AND RESTATED CERTIFICATE OF INCORPORATION TO REFLECT RECENTLY ADOPTED DELAWARE LAW PROVISIONS REGARDING OFFICER EXCULPATION.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4" w:name="toc455357_32"/>
      <w:bookmarkEnd w:id="34"/>
      <w:r>
        <w:rPr>
          <w:rFonts w:ascii="Times New Roman" w:hAnsi="Times New Roman"/>
          <w:b/>
          <w:sz w:val="20"/>
        </w:rPr>
        <w:t xml:space="preserve">AUDIT COMMITTEE REPORT </w:t>
      </w:r>
    </w:p>
    <w:p>
      <w:pPr>
        <w:pStyle w:val="TextBody"/>
        <w:spacing w:before="240" w:after="0"/>
        <w:jc w:val="left"/>
        <w:rPr>
          <w:rFonts w:ascii="Times New Roman" w:hAnsi="Times New Roman"/>
          <w:sz w:val="20"/>
        </w:rPr>
      </w:pPr>
      <w:r>
        <w:rPr>
          <w:rFonts w:ascii="Times New Roman" w:hAnsi="Times New Roman"/>
          <w:sz w:val="20"/>
        </w:rPr>
        <w:t xml:space="preserve">The audit committee is a committee of the board of directors comprised solely of independent directors as required by the listing standards of the Nasdaq Stock Market LLC and the rules and regulations of the Securities and Exchange Commission (the SEC). The composition of the audit committee, the attributes of its members and the responsibilities of the audit committee, as reflected in its charter, are intended to be in accordance with applicable requirements for corporate audit committees. The audit committee operates under a written charter approved by the board of directors. The audit committee reviews and assesses the adequacy of its charter and the audit committees performance on an annual basis. </w:t>
      </w:r>
    </w:p>
    <w:p>
      <w:pPr>
        <w:pStyle w:val="TextBody"/>
        <w:spacing w:before="240" w:after="0"/>
        <w:jc w:val="left"/>
        <w:rPr>
          <w:rFonts w:ascii="Times New Roman" w:hAnsi="Times New Roman"/>
          <w:sz w:val="20"/>
        </w:rPr>
      </w:pPr>
      <w:r>
        <w:rPr>
          <w:rFonts w:ascii="Times New Roman" w:hAnsi="Times New Roman"/>
          <w:sz w:val="20"/>
        </w:rPr>
        <w:t xml:space="preserve">With respect to the Companys financial reporting process, the Companys management is responsible for (1) establishing and maintaining internal controls and (2) preparing the Companys financial statements. The Companys independent registered public accounting firm, Deloitte &amp; Touche LLP (Deloitte), is responsible for performing an independent audit of the Companys financial statements. It is the responsibility of the audit committee to oversee these activities. It is not the responsibility of the audit committee to prepare the Companys financial statements. These are the fundamental responsibilities of management. </w:t>
      </w:r>
    </w:p>
    <w:p>
      <w:pPr>
        <w:pStyle w:val="TextBody"/>
        <w:spacing w:before="240" w:after="0"/>
        <w:jc w:val="left"/>
        <w:rPr>
          <w:rFonts w:ascii="Times New Roman" w:hAnsi="Times New Roman"/>
          <w:sz w:val="20"/>
        </w:rPr>
      </w:pPr>
      <w:r>
        <w:rPr>
          <w:rFonts w:ascii="Times New Roman" w:hAnsi="Times New Roman"/>
          <w:sz w:val="20"/>
        </w:rPr>
        <w:t xml:space="preserve">In the performance of its oversight function, the audit committee has: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reviewed and discussed the audited financial statements with management and Deloitte;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discussed with Deloitte the matters required to be discussed by the applicable requirements of the Public Company Accounting Oversight Board (PCAOB) and the SEC;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received the written disclosures and the letter from Deloitte required by applicable requirements of the PCAOB regarding the independent accountants communications with the audit committee concerning independence and has discussed with Deloitte its independence. </w:t>
            </w:r>
          </w:p>
        </w:tc>
      </w:tr>
    </w:tbl>
    <w:p>
      <w:pPr>
        <w:pStyle w:val="TextBody"/>
        <w:spacing w:before="240" w:after="0"/>
        <w:jc w:val="left"/>
        <w:rPr>
          <w:rFonts w:ascii="Times New Roman" w:hAnsi="Times New Roman"/>
          <w:sz w:val="20"/>
        </w:rPr>
      </w:pPr>
      <w:r>
        <w:rPr>
          <w:rFonts w:ascii="Times New Roman" w:hAnsi="Times New Roman"/>
          <w:sz w:val="20"/>
        </w:rPr>
        <w:t xml:space="preserve">Based on the audit committees review and discussions with management and Deloitte, the audit committee recommended to the board of directors that the audited financial statements be included in the Companys Annual Report on Form 10-K for the fiscal year ended December 31, 2022 for filing with the SEC. </w:t>
      </w:r>
    </w:p>
    <w:p>
      <w:pPr>
        <w:pStyle w:val="TextBody"/>
        <w:spacing w:before="240" w:after="0"/>
        <w:jc w:val="left"/>
        <w:rPr>
          <w:rFonts w:ascii="Times New Roman" w:hAnsi="Times New Roman"/>
          <w:sz w:val="20"/>
        </w:rPr>
      </w:pPr>
      <w:r>
        <w:rPr>
          <w:rFonts w:ascii="Times New Roman" w:hAnsi="Times New Roman"/>
          <w:sz w:val="20"/>
        </w:rPr>
        <w:t xml:space="preserve">Respectfully submitted by the members of the audit committee of the board of directors: </w:t>
      </w:r>
    </w:p>
    <w:p>
      <w:pPr>
        <w:pStyle w:val="TextBody"/>
        <w:spacing w:before="240" w:after="0"/>
        <w:jc w:val="left"/>
        <w:rPr>
          <w:rFonts w:ascii="Times New Roman" w:hAnsi="Times New Roman"/>
          <w:b/>
          <w:sz w:val="20"/>
        </w:rPr>
      </w:pPr>
      <w:r>
        <w:rPr>
          <w:rFonts w:ascii="Times New Roman" w:hAnsi="Times New Roman"/>
          <w:b/>
          <w:sz w:val="20"/>
        </w:rPr>
        <w:t xml:space="preserve">Jeffrey T. Walsh (Chair) </w:t>
      </w:r>
    </w:p>
    <w:p>
      <w:pPr>
        <w:pStyle w:val="TextBody"/>
        <w:spacing w:before="120" w:after="0"/>
        <w:jc w:val="left"/>
        <w:rPr>
          <w:rFonts w:ascii="Times New Roman" w:hAnsi="Times New Roman"/>
          <w:b/>
          <w:sz w:val="20"/>
        </w:rPr>
      </w:pPr>
      <w:r>
        <w:rPr>
          <w:rFonts w:ascii="Times New Roman" w:hAnsi="Times New Roman"/>
          <w:b/>
          <w:sz w:val="20"/>
        </w:rPr>
        <w:t xml:space="preserve">Amy Burroughs </w:t>
      </w:r>
    </w:p>
    <w:p>
      <w:pPr>
        <w:pStyle w:val="TextBody"/>
        <w:spacing w:before="120" w:after="0"/>
        <w:jc w:val="left"/>
        <w:rPr>
          <w:rFonts w:ascii="Times New Roman" w:hAnsi="Times New Roman"/>
          <w:b/>
          <w:sz w:val="20"/>
        </w:rPr>
      </w:pPr>
      <w:r>
        <w:rPr>
          <w:rFonts w:ascii="Times New Roman" w:hAnsi="Times New Roman"/>
          <w:b/>
          <w:sz w:val="20"/>
        </w:rPr>
        <w:t xml:space="preserve">Karah Parschauer </w:t>
      </w:r>
    </w:p>
    <w:p>
      <w:pPr>
        <w:pStyle w:val="TextBody"/>
        <w:spacing w:before="120" w:after="0"/>
        <w:jc w:val="left"/>
        <w:rPr>
          <w:rFonts w:ascii="Times New Roman" w:hAnsi="Times New Roman"/>
          <w:i/>
          <w:sz w:val="20"/>
        </w:rPr>
      </w:pPr>
      <w:r>
        <w:rPr>
          <w:rFonts w:ascii="Times New Roman" w:hAnsi="Times New Roman"/>
          <w:i/>
          <w:sz w:val="20"/>
        </w:rPr>
        <w:t xml:space="preserve">This audit committee report shall not be deemed to be soliciting material or to be filed with the SEC or subject to Regulation 14A promulgated by the SEC or to the liabilities of Section 18 of the Exchange Act, and shall not be deemed incorporated by reference into any prior or subsequent filing by the Company under the Securities Act of 1933, as amended, or the Exchange Act, except to the extent the Company specifically requests that the information be treated as soliciting material or specifically incorporates it by reference.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5" w:name="toc455357_33"/>
      <w:bookmarkEnd w:id="35"/>
      <w:r>
        <w:rPr>
          <w:rFonts w:ascii="Times New Roman" w:hAnsi="Times New Roman"/>
          <w:b/>
          <w:sz w:val="20"/>
        </w:rPr>
        <w:t xml:space="preserve">EXECUTIVE OFFICERS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certain information about our executive officers as of March 31, 2023.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3210"/>
        <w:gridCol w:w="251"/>
        <w:gridCol w:w="79"/>
        <w:gridCol w:w="346"/>
        <w:gridCol w:w="60"/>
        <w:gridCol w:w="251"/>
        <w:gridCol w:w="5191"/>
      </w:tblGrid>
      <w:tr>
        <w:trPr/>
        <w:tc>
          <w:tcPr>
            <w:tcW w:w="321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bottom"/>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bottom"/>
          </w:tcPr>
          <w:p>
            <w:pPr>
              <w:pStyle w:val="TableContents"/>
              <w:spacing w:before="0" w:after="283"/>
              <w:rPr>
                <w:sz w:val="4"/>
                <w:szCs w:val="4"/>
              </w:rPr>
            </w:pPr>
            <w:r>
              <w:rPr>
                <w:sz w:val="4"/>
                <w:szCs w:val="4"/>
              </w:rPr>
            </w:r>
          </w:p>
        </w:tc>
        <w:tc>
          <w:tcPr>
            <w:tcW w:w="5191" w:type="dxa"/>
            <w:tcBorders/>
            <w:shd w:fill="auto" w:val="clear"/>
            <w:vAlign w:val="center"/>
          </w:tcPr>
          <w:p>
            <w:pPr>
              <w:pStyle w:val="TableContents"/>
              <w:spacing w:before="0" w:after="283"/>
              <w:rPr>
                <w:sz w:val="4"/>
                <w:szCs w:val="4"/>
              </w:rPr>
            </w:pPr>
            <w:r>
              <w:rPr>
                <w:sz w:val="4"/>
                <w:szCs w:val="4"/>
              </w:rPr>
            </w:r>
          </w:p>
        </w:tc>
      </w:tr>
      <w:tr>
        <w:trPr/>
        <w:tc>
          <w:tcPr>
            <w:tcW w:w="3210"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Name</w:t>
            </w:r>
          </w:p>
        </w:tc>
        <w:tc>
          <w:tcPr>
            <w:tcW w:w="251" w:type="dxa"/>
            <w:tcBorders/>
            <w:shd w:fill="auto" w:val="clear"/>
            <w:vAlign w:val="bottom"/>
          </w:tcPr>
          <w:p>
            <w:pPr>
              <w:pStyle w:val="TableContents"/>
              <w:spacing w:before="0" w:after="283"/>
              <w:rPr/>
            </w:pPr>
            <w:r>
              <w:rPr/>
              <w:t>  </w:t>
            </w:r>
          </w:p>
        </w:tc>
        <w:tc>
          <w:tcPr>
            <w:tcW w:w="42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Age</w:t>
            </w:r>
          </w:p>
        </w:tc>
        <w:tc>
          <w:tcPr>
            <w:tcW w:w="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5191"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Position</w:t>
            </w:r>
          </w:p>
        </w:tc>
      </w:tr>
      <w:tr>
        <w:trPr/>
        <w:tc>
          <w:tcPr>
            <w:tcW w:w="3210" w:type="dxa"/>
            <w:tcBorders/>
            <w:shd w:fill="CCEEFF" w:val="clear"/>
          </w:tcPr>
          <w:p>
            <w:pPr>
              <w:pStyle w:val="TableContents"/>
              <w:spacing w:before="0" w:after="0"/>
              <w:rPr>
                <w:rFonts w:ascii="Times New Roman" w:hAnsi="Times New Roman"/>
                <w:sz w:val="20"/>
              </w:rPr>
            </w:pPr>
            <w:r>
              <w:rPr>
                <w:rFonts w:ascii="Times New Roman" w:hAnsi="Times New Roman"/>
                <w:sz w:val="20"/>
              </w:rPr>
              <w:t>Faraz Ali, M.B.A.</w:t>
            </w:r>
          </w:p>
        </w:tc>
        <w:tc>
          <w:tcPr>
            <w:tcW w:w="251"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jc w:val="right"/>
              <w:rPr/>
            </w:pPr>
            <w:r>
              <w:rPr/>
              <w:t>50</w:t>
            </w:r>
          </w:p>
        </w:tc>
        <w:tc>
          <w:tcPr>
            <w:tcW w:w="60"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5191" w:type="dxa"/>
            <w:tcBorders/>
            <w:shd w:fill="CCEEFF" w:val="clear"/>
            <w:vAlign w:val="bottom"/>
          </w:tcPr>
          <w:p>
            <w:pPr>
              <w:pStyle w:val="TableContents"/>
              <w:spacing w:before="0" w:after="283"/>
              <w:rPr/>
            </w:pPr>
            <w:r>
              <w:rPr/>
              <w:t>Chief Executive Officer</w:t>
            </w:r>
          </w:p>
        </w:tc>
      </w:tr>
      <w:tr>
        <w:trPr/>
        <w:tc>
          <w:tcPr>
            <w:tcW w:w="3210" w:type="dxa"/>
            <w:tcBorders/>
            <w:shd w:fill="auto" w:val="clear"/>
          </w:tcPr>
          <w:p>
            <w:pPr>
              <w:pStyle w:val="TableContents"/>
              <w:spacing w:before="0" w:after="0"/>
              <w:rPr>
                <w:rFonts w:ascii="Times New Roman" w:hAnsi="Times New Roman"/>
                <w:sz w:val="20"/>
              </w:rPr>
            </w:pPr>
            <w:r>
              <w:rPr>
                <w:rFonts w:ascii="Times New Roman" w:hAnsi="Times New Roman"/>
                <w:sz w:val="20"/>
              </w:rPr>
              <w:t>Leone D. Patterson, M.B.A.</w:t>
            </w:r>
          </w:p>
        </w:tc>
        <w:tc>
          <w:tcPr>
            <w:tcW w:w="25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jc w:val="right"/>
              <w:rPr/>
            </w:pPr>
            <w:r>
              <w:rPr/>
              <w:t>60</w:t>
            </w:r>
          </w:p>
        </w:tc>
        <w:tc>
          <w:tcPr>
            <w:tcW w:w="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5191" w:type="dxa"/>
            <w:tcBorders/>
            <w:shd w:fill="auto" w:val="clear"/>
            <w:vAlign w:val="bottom"/>
          </w:tcPr>
          <w:p>
            <w:pPr>
              <w:pStyle w:val="TableContents"/>
              <w:spacing w:before="0" w:after="283"/>
              <w:rPr/>
            </w:pPr>
            <w:r>
              <w:rPr/>
              <w:t>Chief Financial and Business Officer</w:t>
            </w:r>
          </w:p>
        </w:tc>
      </w:tr>
      <w:tr>
        <w:trPr/>
        <w:tc>
          <w:tcPr>
            <w:tcW w:w="3210" w:type="dxa"/>
            <w:tcBorders/>
            <w:shd w:fill="CCEEFF" w:val="clear"/>
          </w:tcPr>
          <w:p>
            <w:pPr>
              <w:pStyle w:val="TableContents"/>
              <w:spacing w:before="0" w:after="0"/>
              <w:rPr>
                <w:rFonts w:ascii="Times New Roman" w:hAnsi="Times New Roman"/>
                <w:sz w:val="20"/>
              </w:rPr>
            </w:pPr>
            <w:r>
              <w:rPr>
                <w:rFonts w:ascii="Times New Roman" w:hAnsi="Times New Roman"/>
                <w:sz w:val="20"/>
              </w:rPr>
              <w:t>Timothy Hoey, Ph.D.</w:t>
            </w:r>
          </w:p>
        </w:tc>
        <w:tc>
          <w:tcPr>
            <w:tcW w:w="251"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jc w:val="right"/>
              <w:rPr/>
            </w:pPr>
            <w:r>
              <w:rPr/>
              <w:t>64</w:t>
            </w:r>
          </w:p>
        </w:tc>
        <w:tc>
          <w:tcPr>
            <w:tcW w:w="60"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5191" w:type="dxa"/>
            <w:tcBorders/>
            <w:shd w:fill="CCEEFF" w:val="clear"/>
            <w:vAlign w:val="bottom"/>
          </w:tcPr>
          <w:p>
            <w:pPr>
              <w:pStyle w:val="TableContents"/>
              <w:spacing w:before="0" w:after="283"/>
              <w:rPr/>
            </w:pPr>
            <w:r>
              <w:rPr/>
              <w:t>Chief Scientific Officer</w:t>
            </w:r>
          </w:p>
        </w:tc>
      </w:tr>
      <w:tr>
        <w:trPr/>
        <w:tc>
          <w:tcPr>
            <w:tcW w:w="3210" w:type="dxa"/>
            <w:tcBorders/>
            <w:shd w:fill="auto" w:val="clear"/>
          </w:tcPr>
          <w:p>
            <w:pPr>
              <w:pStyle w:val="TableContents"/>
              <w:spacing w:before="0" w:after="0"/>
              <w:rPr>
                <w:rFonts w:ascii="Times New Roman" w:hAnsi="Times New Roman"/>
                <w:sz w:val="20"/>
              </w:rPr>
            </w:pPr>
            <w:r>
              <w:rPr>
                <w:rFonts w:ascii="Times New Roman" w:hAnsi="Times New Roman"/>
                <w:sz w:val="20"/>
              </w:rPr>
              <w:t>Whittemore (Whit) Tingley, M.D., Ph.D.</w:t>
            </w:r>
          </w:p>
        </w:tc>
        <w:tc>
          <w:tcPr>
            <w:tcW w:w="25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jc w:val="right"/>
              <w:rPr/>
            </w:pPr>
            <w:r>
              <w:rPr/>
              <w:t>55</w:t>
            </w:r>
          </w:p>
        </w:tc>
        <w:tc>
          <w:tcPr>
            <w:tcW w:w="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5191" w:type="dxa"/>
            <w:tcBorders/>
            <w:shd w:fill="auto" w:val="clear"/>
            <w:vAlign w:val="bottom"/>
          </w:tcPr>
          <w:p>
            <w:pPr>
              <w:pStyle w:val="TableContents"/>
              <w:spacing w:before="0" w:after="283"/>
              <w:rPr/>
            </w:pPr>
            <w:r>
              <w:rPr/>
              <w:t>Chief Medical Officer</w:t>
            </w:r>
          </w:p>
        </w:tc>
      </w:tr>
    </w:tbl>
    <w:p>
      <w:pPr>
        <w:pStyle w:val="TextBody"/>
        <w:spacing w:before="240" w:after="0"/>
        <w:jc w:val="left"/>
        <w:rPr>
          <w:rFonts w:ascii="Times New Roman" w:hAnsi="Times New Roman"/>
          <w:sz w:val="20"/>
        </w:rPr>
      </w:pPr>
      <w:r>
        <w:rPr>
          <w:rFonts w:ascii="Times New Roman" w:hAnsi="Times New Roman"/>
          <w:sz w:val="20"/>
        </w:rPr>
        <w:t>For the biography of Mr. Ali, please see </w:t>
      </w:r>
      <w:r>
        <w:rPr>
          <w:rFonts w:ascii="Times New Roman" w:hAnsi="Times New Roman"/>
          <w:i/>
          <w:sz w:val="20"/>
        </w:rPr>
        <w:t>Board of Directors and Corporate GovernanceContinuing Directors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i/>
          <w:sz w:val="20"/>
        </w:rPr>
        <w:t>Leone D. Patterson, M.B.A.</w:t>
      </w:r>
      <w:r>
        <w:rPr>
          <w:rFonts w:ascii="Times New Roman" w:hAnsi="Times New Roman"/>
          <w:sz w:val="20"/>
        </w:rPr>
        <w:t xml:space="preserve">, began serving as our Chief Financial and Business Officer in June 2021. Prior to joining us, Ms. Patterson joined Adverum Biotechnologies, Inc., a public clinical-stage gene therapy company, in June 2016 as the Chief Financial Officer and also served as Chief Executive Officer from May 2018 to June 2020, director from October 2018 to June 2020, and President from December 2019 to June 2021. Ms. Patterson has held various senior positions at Diadexus, Inc., Transcept Pharmaceuticals, Inc., NetApp, Inc., Exelixis, Inc., Novartis AG, Chiron (acquired by Novartis AG), and KPMG. Ms. Patterson currently serves on the board of directors and as the Chair of the audit committee of Nkarta, Inc. a publicly traded biotechnology company. She previously served as a member of the board of directors of Eliem Therapeutics, Inc., a publicly traded biotechnology company. Ms. Patterson holds a B.S. in Business Administration and Accounting from Chapman University and an Executive M.B.A. from St. Marys College. Ms. Patterson is also a Certified Public Accountant (inactive status). </w:t>
      </w:r>
    </w:p>
    <w:p>
      <w:pPr>
        <w:pStyle w:val="TextBody"/>
        <w:spacing w:before="240" w:after="0"/>
        <w:jc w:val="left"/>
        <w:rPr>
          <w:rFonts w:ascii="Times New Roman" w:hAnsi="Times New Roman"/>
          <w:sz w:val="20"/>
        </w:rPr>
      </w:pPr>
      <w:r>
        <w:rPr>
          <w:rFonts w:ascii="Times New Roman" w:hAnsi="Times New Roman"/>
          <w:b/>
          <w:i/>
          <w:sz w:val="20"/>
        </w:rPr>
        <w:t>Timothy Hoey, Ph.D.</w:t>
      </w:r>
      <w:r>
        <w:rPr>
          <w:rFonts w:ascii="Times New Roman" w:hAnsi="Times New Roman"/>
          <w:sz w:val="20"/>
        </w:rPr>
        <w:t xml:space="preserve">, has served as our Chief Scientific Officer since August 2017. From 2005 to June 2017, he held various roles at OncoMed Pharmaceuticals, a public biotechnology company (acquired by Mereo BioPharma Group), including as the Senior Vice-President, Cancer Biology and co-Chief Scientific Officer from January 2016 to June 2017. From 1993 to 2005, Dr. Hoey served in various roles at Tularik, including as Director, Biology Department at both Tularik and Amgen. Dr. Hoey received a B.S. in Biology from the University of Michigan and a Ph.D. in Biological Sciences from Columbia University. </w:t>
      </w:r>
    </w:p>
    <w:p>
      <w:pPr>
        <w:pStyle w:val="TextBody"/>
        <w:spacing w:before="240" w:after="0"/>
        <w:jc w:val="left"/>
        <w:rPr>
          <w:rFonts w:ascii="Times New Roman" w:hAnsi="Times New Roman"/>
          <w:sz w:val="20"/>
        </w:rPr>
      </w:pPr>
      <w:r>
        <w:rPr>
          <w:rFonts w:ascii="Times New Roman" w:hAnsi="Times New Roman"/>
          <w:b/>
          <w:i/>
          <w:sz w:val="20"/>
        </w:rPr>
        <w:t>Whittemore (Whit) Tingley, M.D., Ph.D.</w:t>
      </w:r>
      <w:r>
        <w:rPr>
          <w:rFonts w:ascii="Times New Roman" w:hAnsi="Times New Roman"/>
          <w:sz w:val="20"/>
        </w:rPr>
        <w:t xml:space="preserve">, has served as our Chief Medical Officer since December 2018. Before joining us, he served as the Vice President of Clinical Research, Cardiology, at Cytokinetics, a publicly traded biotechnology company, from September 2017 to December 2018. From 2009 to September 2017, Dr. Tingley held various medical director and group medical director roles at Genentech. Before that, Dr. Tingley was adjunct assistant professor of medicine in the cardiology division at the University of California, San Francisco (UCSF), and was an attending cardiologist in the UCSF Cardiology Faculty Practice. Dr. Tingley earned a B.A. degree from Brown University and an M.D. and a Ph.D. from the Johns Hopkins University School of Medicine. He completed internship and residency programs at the Johns Hopkins Hospital, a cardiology fellowship at UCSF and post-doctoral research at Gladstone Institutes.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6" w:name="toc455357_34"/>
      <w:bookmarkEnd w:id="36"/>
      <w:r>
        <w:rPr>
          <w:rFonts w:ascii="Times New Roman" w:hAnsi="Times New Roman"/>
          <w:b/>
          <w:sz w:val="20"/>
        </w:rPr>
        <w:t xml:space="preserve">EXECUTIVE COMPENSATION </w:t>
      </w:r>
    </w:p>
    <w:p>
      <w:pPr>
        <w:pStyle w:val="TextBody"/>
        <w:spacing w:before="240" w:after="0"/>
        <w:jc w:val="left"/>
        <w:rPr>
          <w:rFonts w:ascii="Times New Roman" w:hAnsi="Times New Roman"/>
          <w:b/>
          <w:sz w:val="20"/>
        </w:rPr>
      </w:pPr>
      <w:bookmarkStart w:id="37" w:name="toc455357_35"/>
      <w:bookmarkEnd w:id="37"/>
      <w:r>
        <w:rPr>
          <w:rFonts w:ascii="Times New Roman" w:hAnsi="Times New Roman"/>
          <w:b/>
          <w:sz w:val="20"/>
        </w:rPr>
        <w:t xml:space="preserve">Processes and Procedures for Compensation Decisions </w:t>
      </w:r>
    </w:p>
    <w:p>
      <w:pPr>
        <w:pStyle w:val="TextBody"/>
        <w:spacing w:before="120" w:after="0"/>
        <w:jc w:val="left"/>
        <w:rPr>
          <w:rFonts w:ascii="Times New Roman" w:hAnsi="Times New Roman"/>
          <w:sz w:val="20"/>
        </w:rPr>
      </w:pPr>
      <w:r>
        <w:rPr>
          <w:rFonts w:ascii="Times New Roman" w:hAnsi="Times New Roman"/>
          <w:sz w:val="20"/>
        </w:rPr>
        <w:t xml:space="preserve">Our compensation committee is responsible for the executive compensation programs for our executive officers and reports to our board of directors on its discussions, decisions and other actions. Typically, our chief executive officer makes recommendations to our compensation committee, often attends committee meetings and is involved in the determination of compensation for the respective executive officers who report to him, except that the chief executive officer does not make recommendations as to his own compensation. Our chief executive officer makes recommendations to our compensation committee regarding short- and long-term incentive compensation for all executive officers (other than himself) based on our results, an individual executive officers contribution toward these results and performance toward individual goal achievement. Our compensation committee then reviews the recommendations and other data furnished by its independent compensation consultant. Our compensation committee makes decisions as to total compensation for each executive officer other than the chief executive officer, although it may instead, in its discretion, make recommendations to our board of directors regarding executive compensation for its approval. Our compensation committee makes recommendations to our board of directors regarding our chief executive officers compensation and our board of directors makes decisions as to such compensation. </w:t>
      </w:r>
    </w:p>
    <w:p>
      <w:pPr>
        <w:pStyle w:val="TextBody"/>
        <w:spacing w:before="240" w:after="0"/>
        <w:jc w:val="left"/>
        <w:rPr>
          <w:rFonts w:ascii="Times New Roman" w:hAnsi="Times New Roman"/>
          <w:sz w:val="20"/>
        </w:rPr>
      </w:pPr>
      <w:r>
        <w:rPr>
          <w:rFonts w:ascii="Times New Roman" w:hAnsi="Times New Roman"/>
          <w:sz w:val="20"/>
        </w:rPr>
        <w:t xml:space="preserve">Our compensation committee is authorized to retain the services of one or more executive compensation advisors, as it sees fit, in connection with the establishment of our compensation programs and related policies. In 2022, our compensation committee retained Compensia, a national compensation consultant, to provide it with information, recommendations and other advice relating to executive compensation on an ongoing basis. Compensia served at the discretion of our compensation committee. As part of its engagement, Compensia assisted our compensation committee in developing a group of peer companies to help us determine the appropriate level of overall compensation for our executive officers, as well as assess each separate element of compensation, with a goal of ensuring that the compensation we offer to our executive officers is competitive and fair. Beginning in August 2022, the compensation committee retained Pearl Meyer, an independent compensation and leadership consulting firm, to succeed Compensia as the compensation committees external compensation consultant with respect to executive and non-employee director compensation matters. </w:t>
      </w:r>
    </w:p>
    <w:p>
      <w:pPr>
        <w:pStyle w:val="TextBody"/>
        <w:spacing w:before="240" w:after="0"/>
        <w:jc w:val="left"/>
        <w:rPr>
          <w:rFonts w:ascii="Times New Roman" w:hAnsi="Times New Roman"/>
          <w:sz w:val="20"/>
        </w:rPr>
      </w:pPr>
      <w:r>
        <w:rPr>
          <w:rFonts w:ascii="Times New Roman" w:hAnsi="Times New Roman"/>
          <w:sz w:val="20"/>
        </w:rPr>
        <w:t xml:space="preserve">Our named executive officers, consisting of our principal executive officer and the two most highly compensated executive officers (other than our principal executive officer), as of December 31, 2022, were: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Faraz Ali, M.B.A., our Chief Executive Officer;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Whittemore (Whit) Tingley, M.D., Ph.D., our Chief Medical Officer;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Timothy Hoey, Ph.D., our Chief Scientific Officer. </w:t>
            </w:r>
          </w:p>
        </w:tc>
      </w:tr>
    </w:tbl>
    <w:p>
      <w:pPr>
        <w:pStyle w:val="TextBody"/>
        <w:spacing w:before="360" w:after="0"/>
        <w:jc w:val="left"/>
        <w:rPr>
          <w:rFonts w:ascii="Times New Roman" w:hAnsi="Times New Roman"/>
          <w:b/>
          <w:sz w:val="20"/>
        </w:rPr>
      </w:pPr>
      <w:bookmarkStart w:id="38" w:name="toc455357_36"/>
      <w:bookmarkEnd w:id="38"/>
      <w:r>
        <w:rPr>
          <w:rFonts w:ascii="Times New Roman" w:hAnsi="Times New Roman"/>
          <w:b/>
          <w:sz w:val="20"/>
        </w:rPr>
        <w:t xml:space="preserve">Summary Compensation Table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information regarding the compensation reportable for our named executive officers for the years ended December 31, 2022, and 2021. </w:t>
      </w:r>
    </w:p>
    <w:p>
      <w:pPr>
        <w:pStyle w:val="TextBody"/>
        <w:spacing w:before="0" w:after="0"/>
        <w:jc w:val="left"/>
        <w:rPr/>
      </w:pPr>
      <w:r>
        <w:rPr/>
        <w:t> </w:t>
      </w:r>
    </w:p>
    <w:tbl>
      <w:tblPr>
        <w:tblW w:w="12635" w:type="dxa"/>
        <w:jc w:val="center"/>
        <w:tblInd w:w="0" w:type="dxa"/>
        <w:tblCellMar>
          <w:top w:w="0" w:type="dxa"/>
          <w:left w:w="0" w:type="dxa"/>
          <w:bottom w:w="0" w:type="dxa"/>
          <w:right w:w="0" w:type="dxa"/>
        </w:tblCellMar>
      </w:tblPr>
      <w:tblGrid>
        <w:gridCol w:w="2090"/>
        <w:gridCol w:w="60"/>
        <w:gridCol w:w="60"/>
        <w:gridCol w:w="500"/>
        <w:gridCol w:w="60"/>
        <w:gridCol w:w="60"/>
        <w:gridCol w:w="60"/>
        <w:gridCol w:w="800"/>
        <w:gridCol w:w="60"/>
        <w:gridCol w:w="60"/>
        <w:gridCol w:w="105"/>
        <w:gridCol w:w="560"/>
        <w:gridCol w:w="60"/>
        <w:gridCol w:w="60"/>
        <w:gridCol w:w="131"/>
        <w:gridCol w:w="699"/>
        <w:gridCol w:w="60"/>
        <w:gridCol w:w="60"/>
        <w:gridCol w:w="60"/>
        <w:gridCol w:w="980"/>
        <w:gridCol w:w="60"/>
        <w:gridCol w:w="60"/>
        <w:gridCol w:w="103"/>
        <w:gridCol w:w="1387"/>
        <w:gridCol w:w="60"/>
        <w:gridCol w:w="60"/>
        <w:gridCol w:w="235"/>
        <w:gridCol w:w="1255"/>
        <w:gridCol w:w="60"/>
        <w:gridCol w:w="60"/>
        <w:gridCol w:w="144"/>
        <w:gridCol w:w="1346"/>
        <w:gridCol w:w="60"/>
        <w:gridCol w:w="60"/>
        <w:gridCol w:w="60"/>
        <w:gridCol w:w="980"/>
        <w:gridCol w:w="60"/>
      </w:tblGrid>
      <w:tr>
        <w:trPr/>
        <w:tc>
          <w:tcPr>
            <w:tcW w:w="2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2090"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Name and Principal Position</w:t>
            </w:r>
          </w:p>
        </w:tc>
        <w:tc>
          <w:tcPr>
            <w:tcW w:w="60" w:type="dxa"/>
            <w:tcBorders/>
            <w:shd w:fill="auto" w:val="clear"/>
            <w:vAlign w:val="bottom"/>
          </w:tcPr>
          <w:p>
            <w:pPr>
              <w:pStyle w:val="TableContents"/>
              <w:spacing w:before="0" w:after="283"/>
              <w:rPr/>
            </w:pPr>
            <w:r>
              <w:rPr/>
              <w:t> </w:t>
            </w:r>
          </w:p>
        </w:tc>
        <w:tc>
          <w:tcPr>
            <w:tcW w:w="5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Year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Salary</w:t>
              <w:br/>
              <w:t>($)(1)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Bonus</w:t>
              <w:b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Stock</w:t>
              <w:br/>
              <w:t>Awards</w:t>
              <w:b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Option</w:t>
              <w:br/>
              <w:t>Awards</w:t>
              <w:br/>
              <w:t>($)(2)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Non-Equity</w:t>
              <w:br/>
              <w:t>Incentive Plan</w:t>
              <w:br/>
              <w:t>Compensation</w:t>
              <w:br/>
              <w:t>($)(3)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Nonqualified</w:t>
              <w:br/>
              <w:t>Deferred</w:t>
              <w:br/>
              <w:t>Compensation</w:t>
              <w:br/>
              <w:t>Earnings</w:t>
              <w:b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All Other</w:t>
              <w:br/>
              <w:t>Compensation</w:t>
              <w:b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br/>
              <w:t>($)</w:t>
            </w:r>
          </w:p>
        </w:tc>
        <w:tc>
          <w:tcPr>
            <w:tcW w:w="60" w:type="dxa"/>
            <w:tcBorders/>
            <w:shd w:fill="auto" w:val="clear"/>
            <w:vAlign w:val="bottom"/>
          </w:tcPr>
          <w:p>
            <w:pPr>
              <w:pStyle w:val="TableContents"/>
              <w:spacing w:before="0" w:after="283"/>
              <w:rPr/>
            </w:pPr>
            <w:r>
              <w:rPr/>
              <w:t> </w:t>
            </w:r>
          </w:p>
        </w:tc>
      </w:tr>
      <w:tr>
        <w:trPr/>
        <w:tc>
          <w:tcPr>
            <w:tcW w:w="2090" w:type="dxa"/>
            <w:tcBorders/>
            <w:shd w:fill="CCEEFF" w:val="clear"/>
          </w:tcPr>
          <w:p>
            <w:pPr>
              <w:pStyle w:val="TableContents"/>
              <w:spacing w:before="0" w:after="0"/>
              <w:rPr>
                <w:rFonts w:ascii="Times New Roman" w:hAnsi="Times New Roman"/>
                <w:sz w:val="20"/>
              </w:rPr>
            </w:pPr>
            <w:r>
              <w:rPr>
                <w:rFonts w:ascii="Times New Roman" w:hAnsi="Times New Roman"/>
                <w:sz w:val="20"/>
              </w:rPr>
              <w:t>Faraz Ali, M.B.A.</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2022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571,459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4,751,013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387" w:type="dxa"/>
            <w:tcBorders/>
            <w:shd w:fill="CCEEFF" w:val="clear"/>
            <w:vAlign w:val="bottom"/>
          </w:tcPr>
          <w:p>
            <w:pPr>
              <w:pStyle w:val="TableContents"/>
              <w:spacing w:before="0" w:after="283"/>
              <w:jc w:val="right"/>
              <w:rPr/>
            </w:pPr>
            <w:r>
              <w:rPr/>
              <w:t>242,700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346" w:type="dxa"/>
            <w:tcBorders/>
            <w:shd w:fill="CCEEFF" w:val="clear"/>
            <w:vAlign w:val="bottom"/>
          </w:tcPr>
          <w:p>
            <w:pPr>
              <w:pStyle w:val="TableContents"/>
              <w:spacing w:before="0" w:after="283"/>
              <w:jc w:val="right"/>
              <w:rPr/>
            </w:pPr>
            <w:r>
              <w:rPr/>
              <w:t>2,228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5,567,400</w:t>
            </w:r>
          </w:p>
        </w:tc>
        <w:tc>
          <w:tcPr>
            <w:tcW w:w="60" w:type="dxa"/>
            <w:tcBorders/>
            <w:shd w:fill="CCEEFF" w:val="clear"/>
            <w:vAlign w:val="bottom"/>
          </w:tcPr>
          <w:p>
            <w:pPr>
              <w:pStyle w:val="TableContents"/>
              <w:spacing w:before="0" w:after="283"/>
              <w:rPr/>
            </w:pPr>
            <w:r>
              <w:rPr/>
              <w:t> </w:t>
            </w:r>
          </w:p>
        </w:tc>
      </w:tr>
      <w:tr>
        <w:trPr/>
        <w:tc>
          <w:tcPr>
            <w:tcW w:w="209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2021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493,750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4,259,989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387" w:type="dxa"/>
            <w:tcBorders/>
            <w:shd w:fill="CCEEFF" w:val="clear"/>
            <w:vAlign w:val="bottom"/>
          </w:tcPr>
          <w:p>
            <w:pPr>
              <w:pStyle w:val="TableContents"/>
              <w:spacing w:before="0" w:after="283"/>
              <w:jc w:val="right"/>
              <w:rPr/>
            </w:pPr>
            <w:r>
              <w:rPr/>
              <w:t>216,120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346" w:type="dxa"/>
            <w:tcBorders/>
            <w:shd w:fill="CCEEFF" w:val="clear"/>
            <w:vAlign w:val="bottom"/>
          </w:tcPr>
          <w:p>
            <w:pPr>
              <w:pStyle w:val="TableContents"/>
              <w:spacing w:before="0" w:after="283"/>
              <w:jc w:val="right"/>
              <w:rPr/>
            </w:pPr>
            <w:r>
              <w:rPr/>
              <w:t>896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4,970,756</w:t>
            </w:r>
          </w:p>
        </w:tc>
        <w:tc>
          <w:tcPr>
            <w:tcW w:w="60" w:type="dxa"/>
            <w:tcBorders/>
            <w:shd w:fill="CCEEFF" w:val="clear"/>
            <w:vAlign w:val="bottom"/>
          </w:tcPr>
          <w:p>
            <w:pPr>
              <w:pStyle w:val="TableContents"/>
              <w:spacing w:before="0" w:after="283"/>
              <w:rPr/>
            </w:pPr>
            <w:r>
              <w:rPr/>
              <w:t> </w:t>
            </w:r>
          </w:p>
        </w:tc>
      </w:tr>
      <w:tr>
        <w:trPr/>
        <w:tc>
          <w:tcPr>
            <w:tcW w:w="2090" w:type="dxa"/>
            <w:tcBorders/>
            <w:shd w:fill="auto" w:val="clear"/>
          </w:tcPr>
          <w:p>
            <w:pPr>
              <w:pStyle w:val="TableContents"/>
              <w:spacing w:before="0" w:after="0"/>
              <w:rPr>
                <w:rFonts w:ascii="Times New Roman" w:hAnsi="Times New Roman"/>
                <w:sz w:val="20"/>
              </w:rPr>
            </w:pPr>
            <w:r>
              <w:rPr>
                <w:rFonts w:ascii="Times New Roman" w:hAnsi="Times New Roman"/>
                <w:sz w:val="20"/>
              </w:rPr>
              <w:t>Timothy Hoey, Ph.D.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420,459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1,988,515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387" w:type="dxa"/>
            <w:tcBorders/>
            <w:shd w:fill="auto" w:val="clear"/>
            <w:vAlign w:val="bottom"/>
          </w:tcPr>
          <w:p>
            <w:pPr>
              <w:pStyle w:val="TableContents"/>
              <w:spacing w:before="0" w:after="283"/>
              <w:jc w:val="right"/>
              <w:rPr/>
            </w:pPr>
            <w:r>
              <w:rPr/>
              <w:t>147,000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25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346" w:type="dxa"/>
            <w:tcBorders/>
            <w:shd w:fill="auto" w:val="clear"/>
            <w:vAlign w:val="bottom"/>
          </w:tcPr>
          <w:p>
            <w:pPr>
              <w:pStyle w:val="TableContents"/>
              <w:spacing w:before="0" w:after="283"/>
              <w:jc w:val="right"/>
              <w:rPr/>
            </w:pPr>
            <w:r>
              <w:rPr/>
              <w:t>5,544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2,561,519</w:t>
            </w:r>
          </w:p>
        </w:tc>
        <w:tc>
          <w:tcPr>
            <w:tcW w:w="60" w:type="dxa"/>
            <w:tcBorders/>
            <w:shd w:fill="auto" w:val="clear"/>
            <w:vAlign w:val="bottom"/>
          </w:tcPr>
          <w:p>
            <w:pPr>
              <w:pStyle w:val="TableContents"/>
              <w:spacing w:before="0" w:after="283"/>
              <w:rPr/>
            </w:pPr>
            <w:r>
              <w:rPr/>
              <w:t> </w:t>
            </w:r>
          </w:p>
        </w:tc>
      </w:tr>
      <w:tr>
        <w:trPr/>
        <w:tc>
          <w:tcPr>
            <w:tcW w:w="209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2021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387,083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93,996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387" w:type="dxa"/>
            <w:tcBorders/>
            <w:shd w:fill="auto" w:val="clear"/>
            <w:vAlign w:val="bottom"/>
          </w:tcPr>
          <w:p>
            <w:pPr>
              <w:pStyle w:val="TableContents"/>
              <w:spacing w:before="0" w:after="283"/>
              <w:jc w:val="right"/>
              <w:rPr/>
            </w:pPr>
            <w:r>
              <w:rPr/>
              <w:t>134,000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25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346" w:type="dxa"/>
            <w:tcBorders/>
            <w:shd w:fill="auto" w:val="clear"/>
            <w:vAlign w:val="bottom"/>
          </w:tcPr>
          <w:p>
            <w:pPr>
              <w:pStyle w:val="TableContents"/>
              <w:spacing w:before="0" w:after="283"/>
              <w:jc w:val="right"/>
              <w:rPr/>
            </w:pPr>
            <w:r>
              <w:rPr/>
              <w:t>4,227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619,307</w:t>
            </w:r>
          </w:p>
        </w:tc>
        <w:tc>
          <w:tcPr>
            <w:tcW w:w="60" w:type="dxa"/>
            <w:tcBorders/>
            <w:shd w:fill="auto" w:val="clear"/>
            <w:vAlign w:val="bottom"/>
          </w:tcPr>
          <w:p>
            <w:pPr>
              <w:pStyle w:val="TableContents"/>
              <w:spacing w:before="0" w:after="283"/>
              <w:rPr/>
            </w:pPr>
            <w:r>
              <w:rPr/>
              <w:t> </w:t>
            </w:r>
          </w:p>
        </w:tc>
      </w:tr>
      <w:tr>
        <w:trPr/>
        <w:tc>
          <w:tcPr>
            <w:tcW w:w="2090" w:type="dxa"/>
            <w:tcBorders/>
            <w:shd w:fill="CCEEFF" w:val="clear"/>
          </w:tcPr>
          <w:p>
            <w:pPr>
              <w:pStyle w:val="TableContents"/>
              <w:spacing w:before="0" w:after="0"/>
              <w:rPr>
                <w:rFonts w:ascii="Times New Roman" w:hAnsi="Times New Roman"/>
                <w:sz w:val="20"/>
              </w:rPr>
            </w:pPr>
            <w:r>
              <w:rPr>
                <w:rFonts w:ascii="Times New Roman" w:hAnsi="Times New Roman"/>
                <w:sz w:val="20"/>
              </w:rPr>
              <w:t>Whittemore (Whit) Tingley, M.D., Ph.D.</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2022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455,609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1,668,932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387" w:type="dxa"/>
            <w:tcBorders/>
            <w:shd w:fill="CCEEFF" w:val="clear"/>
            <w:vAlign w:val="bottom"/>
          </w:tcPr>
          <w:p>
            <w:pPr>
              <w:pStyle w:val="TableContents"/>
              <w:spacing w:before="0" w:after="283"/>
              <w:jc w:val="right"/>
              <w:rPr/>
            </w:pPr>
            <w:r>
              <w:rPr/>
              <w:t>162,000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346" w:type="dxa"/>
            <w:tcBorders/>
            <w:shd w:fill="CCEEFF" w:val="clear"/>
            <w:vAlign w:val="bottom"/>
          </w:tcPr>
          <w:p>
            <w:pPr>
              <w:pStyle w:val="TableContents"/>
              <w:spacing w:before="0" w:after="283"/>
              <w:jc w:val="right"/>
              <w:rPr/>
            </w:pPr>
            <w:r>
              <w:rPr/>
              <w:t>4,366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2,290,907</w:t>
            </w:r>
          </w:p>
        </w:tc>
        <w:tc>
          <w:tcPr>
            <w:tcW w:w="60" w:type="dxa"/>
            <w:tcBorders/>
            <w:shd w:fill="CCEEFF" w:val="clear"/>
            <w:vAlign w:val="bottom"/>
          </w:tcPr>
          <w:p>
            <w:pPr>
              <w:pStyle w:val="TableContents"/>
              <w:spacing w:before="0" w:after="283"/>
              <w:rPr/>
            </w:pPr>
            <w:r>
              <w:rPr/>
              <w:t> </w:t>
            </w:r>
          </w:p>
        </w:tc>
      </w:tr>
      <w:tr>
        <w:trPr/>
        <w:tc>
          <w:tcPr>
            <w:tcW w:w="209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2021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402,947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1,146,080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387" w:type="dxa"/>
            <w:tcBorders/>
            <w:shd w:fill="CCEEFF" w:val="clear"/>
            <w:vAlign w:val="bottom"/>
          </w:tcPr>
          <w:p>
            <w:pPr>
              <w:pStyle w:val="TableContents"/>
              <w:spacing w:before="0" w:after="283"/>
              <w:jc w:val="right"/>
              <w:rPr/>
            </w:pPr>
            <w:r>
              <w:rPr/>
              <w:t>146,000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346" w:type="dxa"/>
            <w:tcBorders/>
            <w:shd w:fill="CCEEFF" w:val="clear"/>
            <w:vAlign w:val="bottom"/>
          </w:tcPr>
          <w:p>
            <w:pPr>
              <w:pStyle w:val="TableContents"/>
              <w:spacing w:before="0" w:after="283"/>
              <w:jc w:val="right"/>
              <w:rPr/>
            </w:pPr>
            <w:r>
              <w:rPr/>
              <w:t>2,230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1,697,258</w:t>
            </w:r>
          </w:p>
        </w:tc>
        <w:tc>
          <w:tcPr>
            <w:tcW w:w="60" w:type="dxa"/>
            <w:tcBorders/>
            <w:shd w:fill="CCEEFF"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Amounts shown in this column represent the amount actually earned by each named executive officer for the indicated fiscal year.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column reflects the aggregate grant date fair value of option awards granted to the officer in the applicable fiscal year, computed in accordance with FASB ASC Topic 718. See Note 8 to our financial statements for the year ended December 31, 2022, included in our Annual Report on Form 10-K for the year ended December 31, 2022, filed with the SEC on March 8, 2023, for a discussion of the assumptions made by us in determining the grant date fair value of our equity awards. Our named executive officers will only realize compensation to the extent the trading price of our common stock is greater than the exercise price of such stock options.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amounts in this column represent the portion of the cash bonuses awarded under our Executive Incentive Compensation Plan that was based on the compensation committees assessment of the achievement of pre-determined corporate goals. </w:t>
            </w:r>
          </w:p>
        </w:tc>
      </w:tr>
    </w:tbl>
    <w:p>
      <w:pPr>
        <w:pStyle w:val="TextBody"/>
        <w:spacing w:before="360" w:after="0"/>
        <w:jc w:val="left"/>
        <w:rPr>
          <w:rFonts w:ascii="Times New Roman" w:hAnsi="Times New Roman"/>
          <w:b/>
          <w:sz w:val="20"/>
        </w:rPr>
      </w:pPr>
      <w:bookmarkStart w:id="39" w:name="toc455357_37"/>
      <w:bookmarkEnd w:id="39"/>
      <w:r>
        <w:rPr>
          <w:rFonts w:ascii="Times New Roman" w:hAnsi="Times New Roman"/>
          <w:b/>
          <w:sz w:val="20"/>
        </w:rPr>
        <w:t xml:space="preserve">Employment Arrangements </w:t>
      </w:r>
    </w:p>
    <w:p>
      <w:pPr>
        <w:pStyle w:val="TextBody"/>
        <w:spacing w:before="120" w:after="0"/>
        <w:jc w:val="left"/>
        <w:rPr>
          <w:rFonts w:ascii="Times New Roman" w:hAnsi="Times New Roman"/>
          <w:sz w:val="20"/>
        </w:rPr>
      </w:pPr>
      <w:r>
        <w:rPr>
          <w:rFonts w:ascii="Times New Roman" w:hAnsi="Times New Roman"/>
          <w:sz w:val="20"/>
        </w:rPr>
        <w:t xml:space="preserve">Each of our current executive officers has executed our standard form of confidential information, invention assignment and arbitration agreement. </w:t>
      </w:r>
    </w:p>
    <w:p>
      <w:pPr>
        <w:pStyle w:val="TextBody"/>
        <w:spacing w:before="240" w:after="0"/>
        <w:jc w:val="left"/>
        <w:rPr>
          <w:rFonts w:ascii="Times New Roman" w:hAnsi="Times New Roman"/>
          <w:sz w:val="20"/>
        </w:rPr>
      </w:pPr>
      <w:r>
        <w:rPr>
          <w:rFonts w:ascii="Times New Roman" w:hAnsi="Times New Roman"/>
          <w:sz w:val="20"/>
        </w:rPr>
        <w:t xml:space="preserve">We have entered into an employment offer letter agreement with each of our executive officers in connection with his or her employment with us. These offer letters provide for at will employment. </w:t>
      </w:r>
    </w:p>
    <w:p>
      <w:pPr>
        <w:pStyle w:val="TextBody"/>
        <w:spacing w:before="360" w:after="0"/>
        <w:jc w:val="left"/>
        <w:rPr>
          <w:rFonts w:ascii="Times New Roman" w:hAnsi="Times New Roman"/>
          <w:b/>
          <w:i/>
          <w:sz w:val="20"/>
        </w:rPr>
      </w:pPr>
      <w:r>
        <w:rPr>
          <w:rFonts w:ascii="Times New Roman" w:hAnsi="Times New Roman"/>
          <w:b/>
          <w:i/>
          <w:sz w:val="20"/>
        </w:rPr>
        <w:t xml:space="preserve">Faraz Ali, M.B.A. </w:t>
      </w:r>
    </w:p>
    <w:p>
      <w:pPr>
        <w:pStyle w:val="TextBody"/>
        <w:spacing w:before="120" w:after="0"/>
        <w:jc w:val="left"/>
        <w:rPr>
          <w:rFonts w:ascii="Times New Roman" w:hAnsi="Times New Roman"/>
          <w:sz w:val="20"/>
        </w:rPr>
      </w:pPr>
      <w:r>
        <w:rPr>
          <w:rFonts w:ascii="Times New Roman" w:hAnsi="Times New Roman"/>
          <w:sz w:val="20"/>
        </w:rPr>
        <w:t xml:space="preserve">We have entered into a confirmatory employment letter with Mr. Ali, our Chief Executive Officer. The confirmatory employment letter has no specific term and provides for at-will employment. Mr. Alis current annual base salary is $593,800 and his annual target bonus is 55% of his annual base salary. </w:t>
      </w:r>
    </w:p>
    <w:p>
      <w:pPr>
        <w:pStyle w:val="TextBody"/>
        <w:spacing w:before="360" w:after="0"/>
        <w:jc w:val="left"/>
        <w:rPr>
          <w:rFonts w:ascii="Times New Roman" w:hAnsi="Times New Roman"/>
          <w:b/>
          <w:i/>
          <w:sz w:val="20"/>
        </w:rPr>
      </w:pPr>
      <w:r>
        <w:rPr>
          <w:rFonts w:ascii="Times New Roman" w:hAnsi="Times New Roman"/>
          <w:b/>
          <w:i/>
          <w:sz w:val="20"/>
        </w:rPr>
        <w:t xml:space="preserve">Leone D. Patterson, M.B.A. </w:t>
      </w:r>
    </w:p>
    <w:p>
      <w:pPr>
        <w:pStyle w:val="TextBody"/>
        <w:spacing w:before="120" w:after="0"/>
        <w:jc w:val="left"/>
        <w:rPr>
          <w:rFonts w:ascii="Times New Roman" w:hAnsi="Times New Roman"/>
          <w:sz w:val="20"/>
        </w:rPr>
      </w:pPr>
      <w:r>
        <w:rPr>
          <w:rFonts w:ascii="Times New Roman" w:hAnsi="Times New Roman"/>
          <w:sz w:val="20"/>
        </w:rPr>
        <w:t xml:space="preserve">We have entered into an employment letter with Ms. Patterson, our Chief Financial and Business Officer. Ms. Patterson began employment in June 2021. The employment letter has no specific term and provides for at-will employment. Ms. Pattersons current annual base salary is $455,000 and her annual target bonus is 40% of her annual base salary. </w:t>
      </w:r>
    </w:p>
    <w:p>
      <w:pPr>
        <w:pStyle w:val="TextBody"/>
        <w:spacing w:before="360" w:after="0"/>
        <w:jc w:val="left"/>
        <w:rPr>
          <w:rFonts w:ascii="Times New Roman" w:hAnsi="Times New Roman"/>
          <w:b/>
          <w:i/>
          <w:sz w:val="20"/>
        </w:rPr>
      </w:pPr>
      <w:r>
        <w:rPr>
          <w:rFonts w:ascii="Times New Roman" w:hAnsi="Times New Roman"/>
          <w:b/>
          <w:i/>
          <w:sz w:val="20"/>
        </w:rPr>
        <w:t xml:space="preserve">Timothy Hoey, Ph.D. </w:t>
      </w:r>
    </w:p>
    <w:p>
      <w:pPr>
        <w:pStyle w:val="TextBody"/>
        <w:spacing w:before="120" w:after="0"/>
        <w:jc w:val="left"/>
        <w:rPr>
          <w:rFonts w:ascii="Times New Roman" w:hAnsi="Times New Roman"/>
          <w:sz w:val="20"/>
        </w:rPr>
      </w:pPr>
      <w:r>
        <w:rPr>
          <w:rFonts w:ascii="Times New Roman" w:hAnsi="Times New Roman"/>
          <w:sz w:val="20"/>
        </w:rPr>
        <w:t xml:space="preserve">We have entered into a confirmatory employment letter with Dr. Hoey, our Chief Scientific Officer. The confirmatory employment letter has no specific term and provides for at-will employment. Dr. Hoeys current annual base salary is $436,000 and his annual target bonus is 40% of his annual base salary. </w:t>
      </w:r>
    </w:p>
    <w:p>
      <w:pPr>
        <w:pStyle w:val="TextBody"/>
        <w:spacing w:before="360" w:after="0"/>
        <w:jc w:val="left"/>
        <w:rPr>
          <w:rFonts w:ascii="Times New Roman" w:hAnsi="Times New Roman"/>
          <w:b/>
          <w:i/>
          <w:sz w:val="20"/>
        </w:rPr>
      </w:pPr>
      <w:r>
        <w:rPr>
          <w:rFonts w:ascii="Times New Roman" w:hAnsi="Times New Roman"/>
          <w:b/>
          <w:i/>
          <w:sz w:val="20"/>
        </w:rPr>
        <w:t xml:space="preserve">Whittemore (Whit) Tingley, M.D., Ph.D. </w:t>
      </w:r>
    </w:p>
    <w:p>
      <w:pPr>
        <w:pStyle w:val="TextBody"/>
        <w:spacing w:before="120" w:after="0"/>
        <w:jc w:val="left"/>
        <w:rPr>
          <w:rFonts w:ascii="Times New Roman" w:hAnsi="Times New Roman"/>
          <w:sz w:val="20"/>
        </w:rPr>
      </w:pPr>
      <w:r>
        <w:rPr>
          <w:rFonts w:ascii="Times New Roman" w:hAnsi="Times New Roman"/>
          <w:sz w:val="20"/>
        </w:rPr>
        <w:t xml:space="preserve">We have entered into a confirmatory employment letter with Dr. Tingley, our Chief Medical Officer. The confirmatory employment letter has no specific term and provides for at-will employment. Dr. Tingleys current annual base salary is $475,000 and his annual target bonus is 40% of his annual base salary. </w:t>
      </w:r>
    </w:p>
    <w:p>
      <w:pPr>
        <w:pStyle w:val="TextBody"/>
        <w:spacing w:before="360" w:after="0"/>
        <w:jc w:val="left"/>
        <w:rPr>
          <w:rFonts w:ascii="Times New Roman" w:hAnsi="Times New Roman"/>
          <w:b/>
          <w:sz w:val="20"/>
        </w:rPr>
      </w:pPr>
      <w:bookmarkStart w:id="40" w:name="toc455357_38"/>
      <w:bookmarkEnd w:id="40"/>
      <w:r>
        <w:rPr>
          <w:rFonts w:ascii="Times New Roman" w:hAnsi="Times New Roman"/>
          <w:b/>
          <w:sz w:val="20"/>
        </w:rPr>
        <w:t xml:space="preserve">Executive Change in Control and Severance Plan </w:t>
      </w:r>
    </w:p>
    <w:p>
      <w:pPr>
        <w:pStyle w:val="TextBody"/>
        <w:spacing w:before="120" w:after="0"/>
        <w:jc w:val="left"/>
        <w:rPr>
          <w:rFonts w:ascii="Times New Roman" w:hAnsi="Times New Roman"/>
          <w:sz w:val="20"/>
        </w:rPr>
      </w:pPr>
      <w:r>
        <w:rPr>
          <w:rFonts w:ascii="Times New Roman" w:hAnsi="Times New Roman"/>
          <w:sz w:val="20"/>
        </w:rPr>
        <w:t xml:space="preserve">Our board of directors adopted an Executive Change in Control and Severance Plan, or the Executive Severance Plan, pursuant to which our named executive officers and certain other key employees are eligible to receive severance benefits, as specified in and subject to the employee signing a participation agreement under our Executive Severance Plan. This Executive Severance Plan was developed with input from Compensia regarding severance practices at comparable companies. It is designed to attract, retain and reward senior level employees.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Executive Severance Plan will be in lieu of any other severance payments and benefits to which such key employee was entitled prior to signing the participation agreement. </w:t>
      </w:r>
    </w:p>
    <w:p>
      <w:pPr>
        <w:pStyle w:val="TextBody"/>
        <w:spacing w:before="240" w:after="0"/>
        <w:jc w:val="left"/>
        <w:rPr>
          <w:rFonts w:ascii="Times New Roman" w:hAnsi="Times New Roman"/>
          <w:sz w:val="20"/>
        </w:rPr>
      </w:pPr>
      <w:r>
        <w:rPr>
          <w:rFonts w:ascii="Times New Roman" w:hAnsi="Times New Roman"/>
          <w:sz w:val="20"/>
        </w:rPr>
        <w:t xml:space="preserve">Each of our named executive officers has signed a participation agreement under our Executive Severance Plan providing for the rights to the applicable payments and benefits described below. </w:t>
      </w:r>
    </w:p>
    <w:p>
      <w:pPr>
        <w:pStyle w:val="TextBody"/>
        <w:spacing w:before="240" w:after="0"/>
        <w:jc w:val="left"/>
        <w:rPr>
          <w:rFonts w:ascii="Times New Roman" w:hAnsi="Times New Roman"/>
          <w:sz w:val="20"/>
        </w:rPr>
      </w:pPr>
      <w:r>
        <w:rPr>
          <w:rFonts w:ascii="Times New Roman" w:hAnsi="Times New Roman"/>
          <w:sz w:val="20"/>
        </w:rPr>
        <w:t xml:space="preserve">In the event of a qualifying termination of the employment of a named executive officer, which generally includes a termination of employment by us for a reason other than cause or the named executive officers death or disability (as such terms are defined in our Executive Severance Plan), but in the case of Mr. Ali includes a termination of employment by him for good reason or by us for a reason other than cause or his death or disability, in all cases, that occurs outside the change in control period (as described below), then the named executive officer will be entitled to the following payments and benefits: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lump sum payment equal to nine months of the named executive officers annual base salary as in effect immediately prior to his or her qualifying termination of employment, or twelve months in the case of Mr. Ali;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continued health coverage under COBRA or a lump sum payment equal to the premium cost of continued health coverage under the Consolidated Omnibus Reconciliation Act of 1985 as amended, or COBRA, for a period of twelve months. </w:t>
            </w:r>
          </w:p>
        </w:tc>
      </w:tr>
    </w:tbl>
    <w:p>
      <w:pPr>
        <w:pStyle w:val="TextBody"/>
        <w:spacing w:before="240" w:after="0"/>
        <w:jc w:val="left"/>
        <w:rPr>
          <w:rFonts w:ascii="Times New Roman" w:hAnsi="Times New Roman"/>
          <w:sz w:val="20"/>
        </w:rPr>
      </w:pPr>
      <w:r>
        <w:rPr>
          <w:rFonts w:ascii="Times New Roman" w:hAnsi="Times New Roman"/>
          <w:sz w:val="20"/>
        </w:rPr>
        <w:t xml:space="preserve">In the event of a termination of employment by the named executive officer for good reason or by us for a reason other than cause or the named executive officers death or disability, in each case, within a period beginning upon and ending twelve months following a change in control (as defined in our Executive Severance Plan), or in the case of Mr. Ali beginning three months prior to and ending 18 months following a change in control (such period, in either case, the change in control period), then the named executive officer will be entitled to the following payments and benefits: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lump sum payment equal to 12 months of the named executive officers annual base salary as in effect immediately prior to his or her qualifying termination of employment;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continued health coverage under COBRA or a lump sum payment equal to the cost of continued health coverage under COBRA for a period of 12 months;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306"/>
        <w:gridCol w:w="101"/>
        <w:gridCol w:w="9290"/>
      </w:tblGrid>
      <w:tr>
        <w:trPr/>
        <w:tc>
          <w:tcPr>
            <w:tcW w:w="5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100% accelerated vesting of all outstanding equity awards, and, with respect to equity awards with performance-based vesting, all performance goals or other vesting criteria will be deemed achieved at 100% of target levels for the relevant performance period(s);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case of Mr. Ali, a lump sum payment equal to 100% of his target annual bonus for the year in which the qualifying termination occurs. </w:t>
            </w:r>
          </w:p>
        </w:tc>
      </w:tr>
    </w:tbl>
    <w:p>
      <w:pPr>
        <w:pStyle w:val="TextBody"/>
        <w:spacing w:before="240" w:after="0"/>
        <w:jc w:val="left"/>
        <w:rPr>
          <w:rFonts w:ascii="Times New Roman" w:hAnsi="Times New Roman"/>
          <w:sz w:val="20"/>
        </w:rPr>
      </w:pPr>
      <w:r>
        <w:rPr>
          <w:rFonts w:ascii="Times New Roman" w:hAnsi="Times New Roman"/>
          <w:sz w:val="20"/>
        </w:rPr>
        <w:t xml:space="preserve">The receipt of the payments and benefits provided for under the Executive Severance Plan described above is conditioned on the named executive officer signing and not revoking a separation and release of claims agreement and such release becoming effective and irrevocable no later than the 60th day following the named executive officers involuntary termination of employment, as well as continued compliance with the invention assignment and confidentiality agreement applicable to the named executive officer. </w:t>
      </w:r>
    </w:p>
    <w:p>
      <w:pPr>
        <w:pStyle w:val="TextBody"/>
        <w:spacing w:before="240" w:after="0"/>
        <w:jc w:val="left"/>
        <w:rPr>
          <w:rFonts w:ascii="Times New Roman" w:hAnsi="Times New Roman"/>
          <w:sz w:val="20"/>
        </w:rPr>
      </w:pPr>
      <w:r>
        <w:rPr>
          <w:rFonts w:ascii="Times New Roman" w:hAnsi="Times New Roman"/>
          <w:sz w:val="20"/>
        </w:rPr>
        <w:t xml:space="preserve">In addition, if any of the payments or benefits provided for under the Executive Severance Plan or otherwise payable to a named executive officer would constitute parachute payments within the meaning of Section 280G of the Code and could be subject to the related excise tax, the named executive officer will receive either full payment of such payments and benefits or such lesser amount that would result in no portion of the payments and benefits being subject to the excise tax, whichever results in the greater amount of after-tax benefits to them. The Executive Severance Plan does not require us to provide any tax gross-up payments to the named executive officers.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bookmarkStart w:id="41" w:name="toc455357_39"/>
      <w:bookmarkEnd w:id="41"/>
      <w:r>
        <w:rPr>
          <w:rFonts w:ascii="Times New Roman" w:hAnsi="Times New Roman"/>
          <w:b/>
          <w:sz w:val="20"/>
        </w:rPr>
        <w:t xml:space="preserve">Executive Incentive Compensation Plan </w:t>
      </w:r>
    </w:p>
    <w:p>
      <w:pPr>
        <w:pStyle w:val="TextBody"/>
        <w:spacing w:before="120" w:after="0"/>
        <w:jc w:val="left"/>
        <w:rPr>
          <w:rFonts w:ascii="Times New Roman" w:hAnsi="Times New Roman"/>
          <w:sz w:val="20"/>
        </w:rPr>
      </w:pPr>
      <w:r>
        <w:rPr>
          <w:rFonts w:ascii="Times New Roman" w:hAnsi="Times New Roman"/>
          <w:sz w:val="20"/>
        </w:rPr>
        <w:t xml:space="preserve">Our board of directors adopted the Executive Incentive Compensation Plan, or the Incentive Compensation Plan, and bonuses to our named executive officers for 2022 were subject to the terms and conditions of, and were paid under this plan. Our Incentive Compensation Plan allows our compensation committee to grant incentive awards, generally payable in cash, to employees selected by our compensation committee, including our executive officers, based upon performance goals established by our compensation committee. </w:t>
      </w:r>
    </w:p>
    <w:p>
      <w:pPr>
        <w:pStyle w:val="TextBody"/>
        <w:spacing w:before="240" w:after="0"/>
        <w:jc w:val="left"/>
        <w:rPr>
          <w:rFonts w:ascii="Times New Roman" w:hAnsi="Times New Roman"/>
          <w:sz w:val="20"/>
        </w:rPr>
      </w:pPr>
      <w:r>
        <w:rPr>
          <w:rFonts w:ascii="Times New Roman" w:hAnsi="Times New Roman"/>
          <w:sz w:val="20"/>
        </w:rPr>
        <w:t xml:space="preserve">Under our Incentive Compensation Plan, our compensation committee will determine the performance goals, if any, applicable to any award, which goals may include, without limitation, goals related to research and development, regulatory milestones or regulatory-related goals, gross margin, financial milestones, new product or business development, operating margin, product release timelines or other product release milestones, publications, cash flow, procurement, savings, internal structure, leadership development, project, function or portfolio-specific milestones, license or research collaboration agreements, capital raising, initial public offering preparations, patentability and individual objectives such as peer reviews or other subjective or objective criteria. The performance goals may differ from participant to participant and from award to award. </w:t>
      </w:r>
    </w:p>
    <w:p>
      <w:pPr>
        <w:pStyle w:val="TextBody"/>
        <w:spacing w:before="240" w:after="0"/>
        <w:jc w:val="left"/>
        <w:rPr>
          <w:rFonts w:ascii="Times New Roman" w:hAnsi="Times New Roman"/>
          <w:sz w:val="20"/>
        </w:rPr>
      </w:pPr>
      <w:r>
        <w:rPr>
          <w:rFonts w:ascii="Times New Roman" w:hAnsi="Times New Roman"/>
          <w:sz w:val="20"/>
        </w:rPr>
        <w:t xml:space="preserve">The compensation committee of our board of directors administers our Incentive Compensation Plan and may,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it is not required to establish any allocation or weighting with respect to the factors it considers. </w:t>
      </w:r>
    </w:p>
    <w:p>
      <w:pPr>
        <w:pStyle w:val="TextBody"/>
        <w:spacing w:before="240" w:after="0"/>
        <w:jc w:val="left"/>
        <w:rPr>
          <w:rFonts w:ascii="Times New Roman" w:hAnsi="Times New Roman"/>
          <w:sz w:val="20"/>
        </w:rPr>
      </w:pPr>
      <w:r>
        <w:rPr>
          <w:rFonts w:ascii="Times New Roman" w:hAnsi="Times New Roman"/>
          <w:sz w:val="20"/>
        </w:rPr>
        <w:t xml:space="preserve">Actual awards generally will be paid in cash (or its equivalent) only after they are earned, and, unless otherwise determined by the administrator, to earn an actual award a participant must be employed by us through the date the actual award is paid. The compensation committee may reserve the right to settle an actual award with a grant of an equity award under our then-current equity compensation plan, which equity award may have such terms and conditions, including vesting, as the compensation committee determines. Payment of awards will occur as soon as practicable after they are earned, but no later than the dates set forth in our Incentive Compensation Plan. </w:t>
      </w:r>
    </w:p>
    <w:p>
      <w:pPr>
        <w:pStyle w:val="TextBody"/>
        <w:spacing w:before="240" w:after="0"/>
        <w:jc w:val="left"/>
        <w:rPr>
          <w:rFonts w:ascii="Times New Roman" w:hAnsi="Times New Roman"/>
          <w:sz w:val="20"/>
        </w:rPr>
      </w:pPr>
      <w:r>
        <w:rPr>
          <w:rFonts w:ascii="Times New Roman" w:hAnsi="Times New Roman"/>
          <w:sz w:val="20"/>
        </w:rPr>
        <w:t xml:space="preserve">Our board of directors and our compensation committee have the authority to amend, suspend or terminate our Incentive Compensation Plan, provided such action does not impair the existing rights of any participant with respect to any earned awards. </w:t>
      </w:r>
    </w:p>
    <w:p>
      <w:pPr>
        <w:pStyle w:val="TextBody"/>
        <w:spacing w:before="360" w:after="0"/>
        <w:jc w:val="left"/>
        <w:rPr>
          <w:rFonts w:ascii="Times New Roman" w:hAnsi="Times New Roman"/>
          <w:b/>
          <w:sz w:val="20"/>
        </w:rPr>
      </w:pPr>
      <w:r>
        <w:rPr>
          <w:rFonts w:ascii="Times New Roman" w:hAnsi="Times New Roman"/>
          <w:b/>
          <w:sz w:val="20"/>
        </w:rPr>
        <w:t xml:space="preserve">401(k) Plan </w:t>
      </w:r>
    </w:p>
    <w:p>
      <w:pPr>
        <w:pStyle w:val="TextBody"/>
        <w:spacing w:before="120" w:after="0"/>
        <w:jc w:val="left"/>
        <w:rPr>
          <w:rFonts w:ascii="Times New Roman" w:hAnsi="Times New Roman"/>
          <w:sz w:val="20"/>
        </w:rPr>
      </w:pPr>
      <w:r>
        <w:rPr>
          <w:rFonts w:ascii="Times New Roman" w:hAnsi="Times New Roman"/>
          <w:sz w:val="20"/>
        </w:rPr>
        <w:t xml:space="preserve">We maintain a 401(k) retirement savings plan, or 401(k)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(generally, up to 90% of the employees eligible compensation), on a pre-tax or after-tax (Roth) basis, through contributions to the 401(k) plan. All of a participants contributions into the 401(k) plan are 100% vested when contributed. The 401(k) plan permits us to make matching contributions and profit-sharing contributions to eligible participants. For 2022, we matched pre-tax contributions dollar-for-dollar up to $1,000.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bookmarkStart w:id="42" w:name="toc455357_40"/>
      <w:bookmarkEnd w:id="42"/>
      <w:r>
        <w:rPr>
          <w:rFonts w:ascii="Times New Roman" w:hAnsi="Times New Roman"/>
          <w:b/>
          <w:sz w:val="20"/>
        </w:rPr>
        <w:t xml:space="preserve">Outstanding Equity Awards at Fiscal 2022 Year-End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information regarding outstanding equity awards held by our named executive officers as of December 31, 2022.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469"/>
        <w:gridCol w:w="139"/>
        <w:gridCol w:w="60"/>
        <w:gridCol w:w="1107"/>
        <w:gridCol w:w="60"/>
        <w:gridCol w:w="139"/>
        <w:gridCol w:w="88"/>
        <w:gridCol w:w="1179"/>
        <w:gridCol w:w="60"/>
        <w:gridCol w:w="139"/>
        <w:gridCol w:w="106"/>
        <w:gridCol w:w="1441"/>
        <w:gridCol w:w="352"/>
        <w:gridCol w:w="83"/>
        <w:gridCol w:w="199"/>
        <w:gridCol w:w="1076"/>
        <w:gridCol w:w="60"/>
        <w:gridCol w:w="139"/>
        <w:gridCol w:w="84"/>
        <w:gridCol w:w="792"/>
        <w:gridCol w:w="60"/>
        <w:gridCol w:w="139"/>
        <w:gridCol w:w="60"/>
        <w:gridCol w:w="1107"/>
        <w:gridCol w:w="67"/>
      </w:tblGrid>
      <w:tr>
        <w:trPr/>
        <w:tc>
          <w:tcPr>
            <w:tcW w:w="146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r>
      <w:tr>
        <w:trPr/>
        <w:tc>
          <w:tcPr>
            <w:tcW w:w="146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167"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7164" w:type="dxa"/>
            <w:gridSpan w:val="18"/>
            <w:tcBorders>
              <w:bottom w:val="single" w:sz="8" w:space="0" w:color="000000"/>
            </w:tcBorders>
            <w:shd w:fill="auto" w:val="clear"/>
            <w:tcMar>
              <w:bottom w:w="28" w:type="dxa"/>
            </w:tcMar>
            <w:vAlign w:val="bottom"/>
          </w:tcPr>
          <w:p>
            <w:pPr>
              <w:pStyle w:val="TableContents"/>
              <w:spacing w:before="0" w:after="283"/>
              <w:jc w:val="center"/>
              <w:rPr>
                <w:b/>
              </w:rPr>
            </w:pPr>
            <w:r>
              <w:rPr>
                <w:b/>
              </w:rPr>
              <w:t>Option Awards</w:t>
            </w:r>
          </w:p>
        </w:tc>
        <w:tc>
          <w:tcPr>
            <w:tcW w:w="67" w:type="dxa"/>
            <w:tcBorders/>
            <w:shd w:fill="auto" w:val="clear"/>
            <w:vAlign w:val="bottom"/>
          </w:tcPr>
          <w:p>
            <w:pPr>
              <w:pStyle w:val="TableContents"/>
              <w:spacing w:before="0" w:after="283"/>
              <w:rPr/>
            </w:pPr>
            <w:r>
              <w:rPr/>
              <w:t> </w:t>
            </w:r>
          </w:p>
        </w:tc>
      </w:tr>
      <w:tr>
        <w:trPr/>
        <w:tc>
          <w:tcPr>
            <w:tcW w:w="1469"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Name</w:t>
            </w:r>
          </w:p>
        </w:tc>
        <w:tc>
          <w:tcPr>
            <w:tcW w:w="139" w:type="dxa"/>
            <w:tcBorders/>
            <w:shd w:fill="auto" w:val="clear"/>
            <w:vAlign w:val="bottom"/>
          </w:tcPr>
          <w:p>
            <w:pPr>
              <w:pStyle w:val="TableContents"/>
              <w:spacing w:before="0" w:after="283"/>
              <w:rPr/>
            </w:pPr>
            <w:r>
              <w:rPr/>
              <w:t>  </w:t>
            </w:r>
          </w:p>
        </w:tc>
        <w:tc>
          <w:tcPr>
            <w:tcW w:w="116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Grant Date</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26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Securities</w:t>
              <w:br/>
              <w:t>Underlying</w:t>
              <w:br/>
              <w:t>Unexercised</w:t>
              <w:br/>
              <w:t>Options (#)</w:t>
              <w:br/>
              <w:t>Exercisable</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54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Securities</w:t>
              <w:br/>
              <w:t>Underlying</w:t>
              <w:br/>
              <w:t>Unexercised</w:t>
              <w:br/>
              <w:t>Options (#)</w:t>
              <w:br/>
              <w:t>Unexercisable(1)</w:t>
            </w:r>
          </w:p>
        </w:tc>
        <w:tc>
          <w:tcPr>
            <w:tcW w:w="352"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2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Equity</w:t>
              <w:br/>
              <w:t>Incentive</w:t>
              <w:br/>
              <w:t>Plan</w:t>
              <w:br/>
              <w:t>Awards:</w:t>
              <w:br/>
              <w:t>Number of</w:t>
              <w:br/>
              <w:t>Securities</w:t>
              <w:br/>
              <w:t>Underlying</w:t>
              <w:br/>
              <w:t>Unexercised</w:t>
              <w:br/>
              <w:t>Unearned</w:t>
              <w:br/>
              <w:t>Options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87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Option</w:t>
              <w:br/>
              <w:t>Exercise</w:t>
              <w:br/>
              <w:t>Price</w:t>
              <w:br/>
              <w:t>($)</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16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Option</w:t>
              <w:br/>
              <w:t>Expiration</w:t>
              <w:br/>
              <w:t>Date</w:t>
            </w:r>
          </w:p>
        </w:tc>
        <w:tc>
          <w:tcPr>
            <w:tcW w:w="67" w:type="dxa"/>
            <w:tcBorders/>
            <w:shd w:fill="auto" w:val="clear"/>
            <w:vAlign w:val="bottom"/>
          </w:tcPr>
          <w:p>
            <w:pPr>
              <w:pStyle w:val="TableContents"/>
              <w:spacing w:before="0" w:after="283"/>
              <w:rPr/>
            </w:pPr>
            <w:r>
              <w:rPr/>
              <w:t> </w:t>
            </w:r>
          </w:p>
        </w:tc>
      </w:tr>
      <w:tr>
        <w:trPr/>
        <w:tc>
          <w:tcPr>
            <w:tcW w:w="1469" w:type="dxa"/>
            <w:tcBorders/>
            <w:shd w:fill="CCEEFF" w:val="clear"/>
          </w:tcPr>
          <w:p>
            <w:pPr>
              <w:pStyle w:val="TableContents"/>
              <w:spacing w:before="0" w:after="0"/>
              <w:rPr>
                <w:rFonts w:ascii="Times New Roman" w:hAnsi="Times New Roman"/>
                <w:sz w:val="20"/>
              </w:rPr>
            </w:pPr>
            <w:r>
              <w:rPr>
                <w:rFonts w:ascii="Times New Roman" w:hAnsi="Times New Roman"/>
                <w:sz w:val="20"/>
              </w:rPr>
              <w:t>Faraz Ali, M.B.A.</w:t>
            </w:r>
          </w:p>
        </w:tc>
        <w:tc>
          <w:tcPr>
            <w:tcW w:w="13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7" w:type="dxa"/>
            <w:tcBorders/>
            <w:shd w:fill="CCEEFF" w:val="clear"/>
            <w:vAlign w:val="bottom"/>
          </w:tcPr>
          <w:p>
            <w:pPr>
              <w:pStyle w:val="TableContents"/>
              <w:spacing w:before="0" w:after="283"/>
              <w:jc w:val="right"/>
              <w:rPr/>
            </w:pPr>
            <w:r>
              <w:rPr/>
              <w:t>09/06/2018</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425,000</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spacing w:before="0" w:after="283"/>
              <w:jc w:val="right"/>
              <w:rPr/>
            </w:pPr>
            <w:r>
              <w:rPr/>
              <w:t>  </w:t>
            </w:r>
          </w:p>
        </w:tc>
        <w:tc>
          <w:tcPr>
            <w:tcW w:w="352"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07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0.66</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7" w:type="dxa"/>
            <w:tcBorders/>
            <w:shd w:fill="CCEEFF" w:val="clear"/>
            <w:vAlign w:val="bottom"/>
          </w:tcPr>
          <w:p>
            <w:pPr>
              <w:pStyle w:val="TableContents"/>
              <w:spacing w:before="0" w:after="283"/>
              <w:jc w:val="right"/>
              <w:rPr/>
            </w:pPr>
            <w:r>
              <w:rPr/>
              <w:t>09/05/2028</w:t>
            </w:r>
          </w:p>
        </w:tc>
        <w:tc>
          <w:tcPr>
            <w:tcW w:w="67" w:type="dxa"/>
            <w:tcBorders/>
            <w:shd w:fill="CCEEFF" w:val="clear"/>
            <w:vAlign w:val="bottom"/>
          </w:tcPr>
          <w:p>
            <w:pPr>
              <w:pStyle w:val="TableContents"/>
              <w:spacing w:before="0" w:after="283"/>
              <w:rPr/>
            </w:pPr>
            <w:r>
              <w:rPr/>
              <w:t> </w:t>
            </w:r>
          </w:p>
        </w:tc>
      </w:tr>
      <w:tr>
        <w:trPr/>
        <w:tc>
          <w:tcPr>
            <w:tcW w:w="1469" w:type="dxa"/>
            <w:tcBorders/>
            <w:shd w:fill="CCEEFF" w:val="clear"/>
          </w:tcPr>
          <w:p>
            <w:pPr>
              <w:pStyle w:val="TableContents"/>
              <w:spacing w:before="0" w:after="283"/>
              <w:rPr>
                <w:sz w:val="4"/>
                <w:szCs w:val="4"/>
              </w:rPr>
            </w:pPr>
            <w:r>
              <w:rPr>
                <w:sz w:val="4"/>
                <w:szCs w:val="4"/>
              </w:rPr>
            </w:r>
          </w:p>
        </w:tc>
        <w:tc>
          <w:tcPr>
            <w:tcW w:w="13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7" w:type="dxa"/>
            <w:tcBorders/>
            <w:shd w:fill="CCEEFF" w:val="clear"/>
            <w:vAlign w:val="bottom"/>
          </w:tcPr>
          <w:p>
            <w:pPr>
              <w:pStyle w:val="TableContents"/>
              <w:spacing w:before="0" w:after="283"/>
              <w:jc w:val="right"/>
              <w:rPr/>
            </w:pPr>
            <w:r>
              <w:rPr/>
              <w:t>03/10/2020</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28,645</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spacing w:before="0" w:after="283"/>
              <w:jc w:val="right"/>
              <w:rPr/>
            </w:pPr>
            <w:r>
              <w:rPr/>
              <w:t>13,021</w:t>
            </w:r>
          </w:p>
        </w:tc>
        <w:tc>
          <w:tcPr>
            <w:tcW w:w="352" w:type="dxa"/>
            <w:tcBorders/>
            <w:shd w:fill="CCEEFF" w:val="clear"/>
            <w:vAlign w:val="bottom"/>
          </w:tcPr>
          <w:p>
            <w:pPr>
              <w:pStyle w:val="TableContents"/>
              <w:spacing w:before="0" w:after="283"/>
              <w:rPr/>
            </w:pPr>
            <w:r>
              <w:rPr/>
              <w:t>(2) </w:t>
            </w:r>
          </w:p>
        </w:tc>
        <w:tc>
          <w:tcPr>
            <w:tcW w:w="83"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07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2.70</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7" w:type="dxa"/>
            <w:tcBorders/>
            <w:shd w:fill="CCEEFF" w:val="clear"/>
            <w:vAlign w:val="bottom"/>
          </w:tcPr>
          <w:p>
            <w:pPr>
              <w:pStyle w:val="TableContents"/>
              <w:spacing w:before="0" w:after="283"/>
              <w:jc w:val="right"/>
              <w:rPr/>
            </w:pPr>
            <w:r>
              <w:rPr/>
              <w:t>03/09/2030</w:t>
            </w:r>
          </w:p>
        </w:tc>
        <w:tc>
          <w:tcPr>
            <w:tcW w:w="67" w:type="dxa"/>
            <w:tcBorders/>
            <w:shd w:fill="CCEEFF" w:val="clear"/>
            <w:vAlign w:val="bottom"/>
          </w:tcPr>
          <w:p>
            <w:pPr>
              <w:pStyle w:val="TableContents"/>
              <w:spacing w:before="0" w:after="283"/>
              <w:rPr/>
            </w:pPr>
            <w:r>
              <w:rPr/>
              <w:t> </w:t>
            </w:r>
          </w:p>
        </w:tc>
      </w:tr>
      <w:tr>
        <w:trPr/>
        <w:tc>
          <w:tcPr>
            <w:tcW w:w="1469" w:type="dxa"/>
            <w:tcBorders/>
            <w:shd w:fill="CCEEFF" w:val="clear"/>
          </w:tcPr>
          <w:p>
            <w:pPr>
              <w:pStyle w:val="TableContents"/>
              <w:spacing w:before="0" w:after="283"/>
              <w:rPr>
                <w:sz w:val="4"/>
                <w:szCs w:val="4"/>
              </w:rPr>
            </w:pPr>
            <w:r>
              <w:rPr>
                <w:sz w:val="4"/>
                <w:szCs w:val="4"/>
              </w:rPr>
            </w:r>
          </w:p>
        </w:tc>
        <w:tc>
          <w:tcPr>
            <w:tcW w:w="13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7" w:type="dxa"/>
            <w:tcBorders/>
            <w:shd w:fill="CCEEFF" w:val="clear"/>
            <w:vAlign w:val="bottom"/>
          </w:tcPr>
          <w:p>
            <w:pPr>
              <w:pStyle w:val="TableContents"/>
              <w:spacing w:before="0" w:after="283"/>
              <w:jc w:val="right"/>
              <w:rPr/>
            </w:pPr>
            <w:r>
              <w:rPr/>
              <w:t>02/27/2021</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199,652</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spacing w:before="0" w:after="283"/>
              <w:jc w:val="right"/>
              <w:rPr/>
            </w:pPr>
            <w:r>
              <w:rPr/>
              <w:t>217,014</w:t>
            </w:r>
          </w:p>
        </w:tc>
        <w:tc>
          <w:tcPr>
            <w:tcW w:w="352" w:type="dxa"/>
            <w:tcBorders/>
            <w:shd w:fill="CCEEFF" w:val="clear"/>
            <w:vAlign w:val="bottom"/>
          </w:tcPr>
          <w:p>
            <w:pPr>
              <w:pStyle w:val="TableContents"/>
              <w:spacing w:before="0" w:after="283"/>
              <w:rPr/>
            </w:pPr>
            <w:r>
              <w:rPr/>
              <w:t>(2) </w:t>
            </w:r>
          </w:p>
        </w:tc>
        <w:tc>
          <w:tcPr>
            <w:tcW w:w="83"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07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5.64</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7" w:type="dxa"/>
            <w:tcBorders/>
            <w:shd w:fill="CCEEFF" w:val="clear"/>
            <w:vAlign w:val="bottom"/>
          </w:tcPr>
          <w:p>
            <w:pPr>
              <w:pStyle w:val="TableContents"/>
              <w:spacing w:before="0" w:after="283"/>
              <w:jc w:val="right"/>
              <w:rPr/>
            </w:pPr>
            <w:r>
              <w:rPr/>
              <w:t>02/26/2031</w:t>
            </w:r>
          </w:p>
        </w:tc>
        <w:tc>
          <w:tcPr>
            <w:tcW w:w="67" w:type="dxa"/>
            <w:tcBorders/>
            <w:shd w:fill="CCEEFF" w:val="clear"/>
            <w:vAlign w:val="bottom"/>
          </w:tcPr>
          <w:p>
            <w:pPr>
              <w:pStyle w:val="TableContents"/>
              <w:spacing w:before="0" w:after="283"/>
              <w:rPr/>
            </w:pPr>
            <w:r>
              <w:rPr/>
              <w:t> </w:t>
            </w:r>
          </w:p>
        </w:tc>
      </w:tr>
      <w:tr>
        <w:trPr/>
        <w:tc>
          <w:tcPr>
            <w:tcW w:w="1469" w:type="dxa"/>
            <w:tcBorders/>
            <w:shd w:fill="CCEEFF" w:val="clear"/>
          </w:tcPr>
          <w:p>
            <w:pPr>
              <w:pStyle w:val="TableContents"/>
              <w:spacing w:before="0" w:after="283"/>
              <w:rPr>
                <w:sz w:val="4"/>
                <w:szCs w:val="4"/>
              </w:rPr>
            </w:pPr>
            <w:r>
              <w:rPr>
                <w:sz w:val="4"/>
                <w:szCs w:val="4"/>
              </w:rPr>
            </w:r>
          </w:p>
        </w:tc>
        <w:tc>
          <w:tcPr>
            <w:tcW w:w="13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7" w:type="dxa"/>
            <w:tcBorders/>
            <w:shd w:fill="CCEEFF" w:val="clear"/>
            <w:vAlign w:val="bottom"/>
          </w:tcPr>
          <w:p>
            <w:pPr>
              <w:pStyle w:val="TableContents"/>
              <w:spacing w:before="0" w:after="283"/>
              <w:jc w:val="right"/>
              <w:rPr/>
            </w:pPr>
            <w:r>
              <w:rPr/>
              <w:t>06/17/2021</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62,499</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spacing w:before="0" w:after="283"/>
              <w:jc w:val="right"/>
              <w:rPr/>
            </w:pPr>
            <w:r>
              <w:rPr/>
              <w:t>104,167</w:t>
            </w:r>
          </w:p>
        </w:tc>
        <w:tc>
          <w:tcPr>
            <w:tcW w:w="352" w:type="dxa"/>
            <w:tcBorders/>
            <w:shd w:fill="CCEEFF" w:val="clear"/>
            <w:vAlign w:val="bottom"/>
          </w:tcPr>
          <w:p>
            <w:pPr>
              <w:pStyle w:val="TableContents"/>
              <w:spacing w:before="0" w:after="283"/>
              <w:rPr/>
            </w:pPr>
            <w:r>
              <w:rPr/>
              <w:t>(2) </w:t>
            </w:r>
          </w:p>
        </w:tc>
        <w:tc>
          <w:tcPr>
            <w:tcW w:w="83"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07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9.36</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7" w:type="dxa"/>
            <w:tcBorders/>
            <w:shd w:fill="CCEEFF" w:val="clear"/>
            <w:vAlign w:val="bottom"/>
          </w:tcPr>
          <w:p>
            <w:pPr>
              <w:pStyle w:val="TableContents"/>
              <w:spacing w:before="0" w:after="283"/>
              <w:jc w:val="right"/>
              <w:rPr/>
            </w:pPr>
            <w:r>
              <w:rPr/>
              <w:t>06/16/2031</w:t>
            </w:r>
          </w:p>
        </w:tc>
        <w:tc>
          <w:tcPr>
            <w:tcW w:w="67" w:type="dxa"/>
            <w:tcBorders/>
            <w:shd w:fill="CCEEFF" w:val="clear"/>
            <w:vAlign w:val="bottom"/>
          </w:tcPr>
          <w:p>
            <w:pPr>
              <w:pStyle w:val="TableContents"/>
              <w:spacing w:before="0" w:after="283"/>
              <w:rPr/>
            </w:pPr>
            <w:r>
              <w:rPr/>
              <w:t> </w:t>
            </w:r>
          </w:p>
        </w:tc>
      </w:tr>
      <w:tr>
        <w:trPr/>
        <w:tc>
          <w:tcPr>
            <w:tcW w:w="1469" w:type="dxa"/>
            <w:tcBorders/>
            <w:shd w:fill="CCEEFF" w:val="clear"/>
          </w:tcPr>
          <w:p>
            <w:pPr>
              <w:pStyle w:val="TableContents"/>
              <w:spacing w:before="0" w:after="283"/>
              <w:rPr>
                <w:sz w:val="4"/>
                <w:szCs w:val="4"/>
              </w:rPr>
            </w:pPr>
            <w:r>
              <w:rPr>
                <w:sz w:val="4"/>
                <w:szCs w:val="4"/>
              </w:rPr>
            </w:r>
          </w:p>
        </w:tc>
        <w:tc>
          <w:tcPr>
            <w:tcW w:w="13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7" w:type="dxa"/>
            <w:tcBorders/>
            <w:shd w:fill="CCEEFF" w:val="clear"/>
            <w:vAlign w:val="bottom"/>
          </w:tcPr>
          <w:p>
            <w:pPr>
              <w:pStyle w:val="TableContents"/>
              <w:spacing w:before="0" w:after="283"/>
              <w:jc w:val="right"/>
              <w:rPr/>
            </w:pPr>
            <w:r>
              <w:rPr/>
              <w:t>02/15/2022</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83,622</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spacing w:before="0" w:after="283"/>
              <w:jc w:val="right"/>
              <w:rPr/>
            </w:pPr>
            <w:r>
              <w:rPr/>
              <w:t>317,768</w:t>
            </w:r>
          </w:p>
        </w:tc>
        <w:tc>
          <w:tcPr>
            <w:tcW w:w="352" w:type="dxa"/>
            <w:tcBorders/>
            <w:shd w:fill="CCEEFF" w:val="clear"/>
            <w:vAlign w:val="bottom"/>
          </w:tcPr>
          <w:p>
            <w:pPr>
              <w:pStyle w:val="TableContents"/>
              <w:spacing w:before="0" w:after="283"/>
              <w:rPr/>
            </w:pPr>
            <w:r>
              <w:rPr/>
              <w:t>(2) </w:t>
            </w:r>
          </w:p>
        </w:tc>
        <w:tc>
          <w:tcPr>
            <w:tcW w:w="83"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07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15.19</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7" w:type="dxa"/>
            <w:tcBorders/>
            <w:shd w:fill="CCEEFF" w:val="clear"/>
            <w:vAlign w:val="bottom"/>
          </w:tcPr>
          <w:p>
            <w:pPr>
              <w:pStyle w:val="TableContents"/>
              <w:spacing w:before="0" w:after="283"/>
              <w:jc w:val="right"/>
              <w:rPr/>
            </w:pPr>
            <w:r>
              <w:rPr/>
              <w:t>02/14/2032</w:t>
            </w:r>
          </w:p>
        </w:tc>
        <w:tc>
          <w:tcPr>
            <w:tcW w:w="67" w:type="dxa"/>
            <w:tcBorders/>
            <w:shd w:fill="CCEEFF" w:val="clear"/>
            <w:vAlign w:val="bottom"/>
          </w:tcPr>
          <w:p>
            <w:pPr>
              <w:pStyle w:val="TableContents"/>
              <w:spacing w:before="0" w:after="283"/>
              <w:rPr/>
            </w:pPr>
            <w:r>
              <w:rPr/>
              <w:t> </w:t>
            </w:r>
          </w:p>
        </w:tc>
      </w:tr>
      <w:tr>
        <w:trPr/>
        <w:tc>
          <w:tcPr>
            <w:tcW w:w="1469" w:type="dxa"/>
            <w:tcBorders/>
            <w:shd w:fill="auto" w:val="clear"/>
          </w:tcPr>
          <w:p>
            <w:pPr>
              <w:pStyle w:val="TableContents"/>
              <w:spacing w:before="0" w:after="0"/>
              <w:rPr>
                <w:rFonts w:ascii="Times New Roman" w:hAnsi="Times New Roman"/>
                <w:sz w:val="20"/>
              </w:rPr>
            </w:pPr>
            <w:r>
              <w:rPr>
                <w:rFonts w:ascii="Times New Roman" w:hAnsi="Times New Roman"/>
                <w:sz w:val="20"/>
              </w:rPr>
              <w:t>Timothy Hoey, Ph.D.</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7" w:type="dxa"/>
            <w:tcBorders/>
            <w:shd w:fill="auto" w:val="clear"/>
            <w:vAlign w:val="bottom"/>
          </w:tcPr>
          <w:p>
            <w:pPr>
              <w:pStyle w:val="TableContents"/>
              <w:spacing w:before="0" w:after="283"/>
              <w:jc w:val="right"/>
              <w:rPr/>
            </w:pPr>
            <w:r>
              <w:rPr/>
              <w:t>2/7/2020</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7,291</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spacing w:before="0" w:after="283"/>
              <w:jc w:val="right"/>
              <w:rPr/>
            </w:pPr>
            <w:r>
              <w:rPr/>
              <w:t>2,709</w:t>
            </w:r>
          </w:p>
        </w:tc>
        <w:tc>
          <w:tcPr>
            <w:tcW w:w="352" w:type="dxa"/>
            <w:tcBorders/>
            <w:shd w:fill="auto" w:val="clear"/>
            <w:vAlign w:val="bottom"/>
          </w:tcPr>
          <w:p>
            <w:pPr>
              <w:pStyle w:val="TableContents"/>
              <w:spacing w:before="0" w:after="283"/>
              <w:rPr/>
            </w:pPr>
            <w:r>
              <w:rPr/>
              <w:t>(3) </w:t>
            </w:r>
          </w:p>
        </w:tc>
        <w:tc>
          <w:tcPr>
            <w:tcW w:w="83"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pPr>
            <w:r>
              <w:rPr/>
              <w:t>2.70</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7" w:type="dxa"/>
            <w:tcBorders/>
            <w:shd w:fill="auto" w:val="clear"/>
            <w:vAlign w:val="bottom"/>
          </w:tcPr>
          <w:p>
            <w:pPr>
              <w:pStyle w:val="TableContents"/>
              <w:spacing w:before="0" w:after="283"/>
              <w:jc w:val="right"/>
              <w:rPr/>
            </w:pPr>
            <w:r>
              <w:rPr/>
              <w:t>2/6/2030</w:t>
            </w:r>
          </w:p>
        </w:tc>
        <w:tc>
          <w:tcPr>
            <w:tcW w:w="67" w:type="dxa"/>
            <w:tcBorders/>
            <w:shd w:fill="auto" w:val="clear"/>
            <w:vAlign w:val="bottom"/>
          </w:tcPr>
          <w:p>
            <w:pPr>
              <w:pStyle w:val="TableContents"/>
              <w:spacing w:before="0" w:after="283"/>
              <w:rPr/>
            </w:pPr>
            <w:r>
              <w:rPr/>
              <w:t> </w:t>
            </w:r>
          </w:p>
        </w:tc>
      </w:tr>
      <w:tr>
        <w:trPr/>
        <w:tc>
          <w:tcPr>
            <w:tcW w:w="1469" w:type="dxa"/>
            <w:tcBorders/>
            <w:shd w:fill="auto" w:val="clear"/>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7" w:type="dxa"/>
            <w:tcBorders/>
            <w:shd w:fill="auto" w:val="clear"/>
            <w:vAlign w:val="bottom"/>
          </w:tcPr>
          <w:p>
            <w:pPr>
              <w:pStyle w:val="TableContents"/>
              <w:spacing w:before="0" w:after="283"/>
              <w:jc w:val="right"/>
              <w:rPr/>
            </w:pPr>
            <w:r>
              <w:rPr/>
              <w:t>1/19/2021</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7,985</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spacing w:before="0" w:after="283"/>
              <w:jc w:val="right"/>
              <w:rPr/>
            </w:pPr>
            <w:r>
              <w:rPr/>
              <w:t>8,681</w:t>
            </w:r>
          </w:p>
        </w:tc>
        <w:tc>
          <w:tcPr>
            <w:tcW w:w="352" w:type="dxa"/>
            <w:tcBorders/>
            <w:shd w:fill="auto" w:val="clear"/>
            <w:vAlign w:val="bottom"/>
          </w:tcPr>
          <w:p>
            <w:pPr>
              <w:pStyle w:val="TableContents"/>
              <w:spacing w:before="0" w:after="283"/>
              <w:rPr/>
            </w:pPr>
            <w:r>
              <w:rPr/>
              <w:t>(2) </w:t>
            </w:r>
          </w:p>
        </w:tc>
        <w:tc>
          <w:tcPr>
            <w:tcW w:w="83"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pPr>
            <w:r>
              <w:rPr/>
              <w:t>5.64</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7" w:type="dxa"/>
            <w:tcBorders/>
            <w:shd w:fill="auto" w:val="clear"/>
            <w:vAlign w:val="bottom"/>
          </w:tcPr>
          <w:p>
            <w:pPr>
              <w:pStyle w:val="TableContents"/>
              <w:spacing w:before="0" w:after="283"/>
              <w:jc w:val="right"/>
              <w:rPr/>
            </w:pPr>
            <w:r>
              <w:rPr/>
              <w:t>1/18/2031</w:t>
            </w:r>
          </w:p>
        </w:tc>
        <w:tc>
          <w:tcPr>
            <w:tcW w:w="67" w:type="dxa"/>
            <w:tcBorders/>
            <w:shd w:fill="auto" w:val="clear"/>
            <w:vAlign w:val="bottom"/>
          </w:tcPr>
          <w:p>
            <w:pPr>
              <w:pStyle w:val="TableContents"/>
              <w:spacing w:before="0" w:after="283"/>
              <w:rPr/>
            </w:pPr>
            <w:r>
              <w:rPr/>
              <w:t> </w:t>
            </w:r>
          </w:p>
        </w:tc>
      </w:tr>
      <w:tr>
        <w:trPr/>
        <w:tc>
          <w:tcPr>
            <w:tcW w:w="1469" w:type="dxa"/>
            <w:tcBorders/>
            <w:shd w:fill="auto" w:val="clear"/>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7" w:type="dxa"/>
            <w:tcBorders/>
            <w:shd w:fill="auto" w:val="clear"/>
            <w:vAlign w:val="bottom"/>
          </w:tcPr>
          <w:p>
            <w:pPr>
              <w:pStyle w:val="TableContents"/>
              <w:spacing w:before="0" w:after="283"/>
              <w:jc w:val="right"/>
              <w:rPr/>
            </w:pPr>
            <w:r>
              <w:rPr/>
              <w:t>2/15/2022</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35,000</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spacing w:before="0" w:after="283"/>
              <w:jc w:val="right"/>
              <w:rPr/>
            </w:pPr>
            <w:r>
              <w:rPr/>
              <w:t>133,000</w:t>
            </w:r>
          </w:p>
        </w:tc>
        <w:tc>
          <w:tcPr>
            <w:tcW w:w="352" w:type="dxa"/>
            <w:tcBorders/>
            <w:shd w:fill="auto" w:val="clear"/>
            <w:vAlign w:val="bottom"/>
          </w:tcPr>
          <w:p>
            <w:pPr>
              <w:pStyle w:val="TableContents"/>
              <w:spacing w:before="0" w:after="283"/>
              <w:rPr/>
            </w:pPr>
            <w:r>
              <w:rPr/>
              <w:t>(2) </w:t>
            </w:r>
          </w:p>
        </w:tc>
        <w:tc>
          <w:tcPr>
            <w:tcW w:w="83"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pPr>
            <w:r>
              <w:rPr/>
              <w:t>15.19</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7" w:type="dxa"/>
            <w:tcBorders/>
            <w:shd w:fill="auto" w:val="clear"/>
            <w:vAlign w:val="bottom"/>
          </w:tcPr>
          <w:p>
            <w:pPr>
              <w:pStyle w:val="TableContents"/>
              <w:spacing w:before="0" w:after="283"/>
              <w:jc w:val="right"/>
              <w:rPr/>
            </w:pPr>
            <w:r>
              <w:rPr/>
              <w:t>2/14/2032</w:t>
            </w:r>
          </w:p>
        </w:tc>
        <w:tc>
          <w:tcPr>
            <w:tcW w:w="67" w:type="dxa"/>
            <w:tcBorders/>
            <w:shd w:fill="auto" w:val="clear"/>
            <w:vAlign w:val="bottom"/>
          </w:tcPr>
          <w:p>
            <w:pPr>
              <w:pStyle w:val="TableContents"/>
              <w:spacing w:before="0" w:after="283"/>
              <w:rPr/>
            </w:pPr>
            <w:r>
              <w:rPr/>
              <w:t> </w:t>
            </w:r>
          </w:p>
        </w:tc>
      </w:tr>
      <w:tr>
        <w:trPr/>
        <w:tc>
          <w:tcPr>
            <w:tcW w:w="1469" w:type="dxa"/>
            <w:tcBorders/>
            <w:shd w:fill="CCEEFF" w:val="clear"/>
          </w:tcPr>
          <w:p>
            <w:pPr>
              <w:pStyle w:val="TableContents"/>
              <w:spacing w:before="0" w:after="0"/>
              <w:rPr>
                <w:rFonts w:ascii="Times New Roman" w:hAnsi="Times New Roman"/>
                <w:sz w:val="20"/>
              </w:rPr>
            </w:pPr>
            <w:r>
              <w:rPr>
                <w:rFonts w:ascii="Times New Roman" w:hAnsi="Times New Roman"/>
                <w:sz w:val="20"/>
              </w:rPr>
              <w:t>Whittemore (Whit) Tingley, M.D., Ph.D.</w:t>
            </w:r>
          </w:p>
        </w:tc>
        <w:tc>
          <w:tcPr>
            <w:tcW w:w="13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7" w:type="dxa"/>
            <w:tcBorders/>
            <w:shd w:fill="CCEEFF" w:val="clear"/>
            <w:vAlign w:val="bottom"/>
          </w:tcPr>
          <w:p>
            <w:pPr>
              <w:pStyle w:val="TableContents"/>
              <w:spacing w:before="0" w:after="283"/>
              <w:jc w:val="right"/>
              <w:rPr/>
            </w:pPr>
            <w:r>
              <w:rPr/>
              <w:t>12/10/2018</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75,000</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spacing w:before="0" w:after="283"/>
              <w:jc w:val="right"/>
              <w:rPr/>
            </w:pPr>
            <w:r>
              <w:rPr/>
              <w:t>  </w:t>
            </w:r>
          </w:p>
        </w:tc>
        <w:tc>
          <w:tcPr>
            <w:tcW w:w="352"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07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0.78</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7" w:type="dxa"/>
            <w:tcBorders/>
            <w:shd w:fill="CCEEFF" w:val="clear"/>
            <w:vAlign w:val="bottom"/>
          </w:tcPr>
          <w:p>
            <w:pPr>
              <w:pStyle w:val="TableContents"/>
              <w:spacing w:before="0" w:after="283"/>
              <w:jc w:val="right"/>
              <w:rPr/>
            </w:pPr>
            <w:r>
              <w:rPr/>
              <w:t>12/9/2028</w:t>
            </w:r>
          </w:p>
        </w:tc>
        <w:tc>
          <w:tcPr>
            <w:tcW w:w="67" w:type="dxa"/>
            <w:tcBorders/>
            <w:shd w:fill="CCEEFF" w:val="clear"/>
            <w:vAlign w:val="bottom"/>
          </w:tcPr>
          <w:p>
            <w:pPr>
              <w:pStyle w:val="TableContents"/>
              <w:spacing w:before="0" w:after="283"/>
              <w:rPr/>
            </w:pPr>
            <w:r>
              <w:rPr/>
              <w:t> </w:t>
            </w:r>
          </w:p>
        </w:tc>
      </w:tr>
      <w:tr>
        <w:trPr/>
        <w:tc>
          <w:tcPr>
            <w:tcW w:w="1469" w:type="dxa"/>
            <w:tcBorders/>
            <w:shd w:fill="CCEEFF" w:val="clear"/>
          </w:tcPr>
          <w:p>
            <w:pPr>
              <w:pStyle w:val="TableContents"/>
              <w:spacing w:before="0" w:after="283"/>
              <w:rPr>
                <w:sz w:val="4"/>
                <w:szCs w:val="4"/>
              </w:rPr>
            </w:pPr>
            <w:r>
              <w:rPr>
                <w:sz w:val="4"/>
                <w:szCs w:val="4"/>
              </w:rPr>
            </w:r>
          </w:p>
        </w:tc>
        <w:tc>
          <w:tcPr>
            <w:tcW w:w="13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7" w:type="dxa"/>
            <w:tcBorders/>
            <w:shd w:fill="CCEEFF" w:val="clear"/>
            <w:vAlign w:val="bottom"/>
          </w:tcPr>
          <w:p>
            <w:pPr>
              <w:pStyle w:val="TableContents"/>
              <w:spacing w:before="0" w:after="283"/>
              <w:jc w:val="right"/>
              <w:rPr/>
            </w:pPr>
            <w:r>
              <w:rPr/>
              <w:t>1/19/2021</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11,979</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spacing w:before="0" w:after="283"/>
              <w:jc w:val="right"/>
              <w:rPr/>
            </w:pPr>
            <w:r>
              <w:rPr/>
              <w:t>13,021</w:t>
            </w:r>
          </w:p>
        </w:tc>
        <w:tc>
          <w:tcPr>
            <w:tcW w:w="352" w:type="dxa"/>
            <w:tcBorders/>
            <w:shd w:fill="CCEEFF" w:val="clear"/>
            <w:vAlign w:val="bottom"/>
          </w:tcPr>
          <w:p>
            <w:pPr>
              <w:pStyle w:val="TableContents"/>
              <w:spacing w:before="0" w:after="283"/>
              <w:rPr/>
            </w:pPr>
            <w:r>
              <w:rPr/>
              <w:t>(2) </w:t>
            </w:r>
          </w:p>
        </w:tc>
        <w:tc>
          <w:tcPr>
            <w:tcW w:w="83"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07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5.64</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7" w:type="dxa"/>
            <w:tcBorders/>
            <w:shd w:fill="CCEEFF" w:val="clear"/>
            <w:vAlign w:val="bottom"/>
          </w:tcPr>
          <w:p>
            <w:pPr>
              <w:pStyle w:val="TableContents"/>
              <w:spacing w:before="0" w:after="283"/>
              <w:jc w:val="right"/>
              <w:rPr/>
            </w:pPr>
            <w:r>
              <w:rPr/>
              <w:t>1/18/2031</w:t>
            </w:r>
          </w:p>
        </w:tc>
        <w:tc>
          <w:tcPr>
            <w:tcW w:w="67" w:type="dxa"/>
            <w:tcBorders/>
            <w:shd w:fill="CCEEFF" w:val="clear"/>
            <w:vAlign w:val="bottom"/>
          </w:tcPr>
          <w:p>
            <w:pPr>
              <w:pStyle w:val="TableContents"/>
              <w:spacing w:before="0" w:after="283"/>
              <w:rPr/>
            </w:pPr>
            <w:r>
              <w:rPr/>
              <w:t> </w:t>
            </w:r>
          </w:p>
        </w:tc>
      </w:tr>
      <w:tr>
        <w:trPr/>
        <w:tc>
          <w:tcPr>
            <w:tcW w:w="1469" w:type="dxa"/>
            <w:tcBorders/>
            <w:shd w:fill="CCEEFF" w:val="clear"/>
          </w:tcPr>
          <w:p>
            <w:pPr>
              <w:pStyle w:val="TableContents"/>
              <w:spacing w:before="0" w:after="283"/>
              <w:rPr>
                <w:sz w:val="4"/>
                <w:szCs w:val="4"/>
              </w:rPr>
            </w:pPr>
            <w:r>
              <w:rPr>
                <w:sz w:val="4"/>
                <w:szCs w:val="4"/>
              </w:rPr>
            </w:r>
          </w:p>
        </w:tc>
        <w:tc>
          <w:tcPr>
            <w:tcW w:w="13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7" w:type="dxa"/>
            <w:tcBorders/>
            <w:shd w:fill="CCEEFF" w:val="clear"/>
            <w:vAlign w:val="bottom"/>
          </w:tcPr>
          <w:p>
            <w:pPr>
              <w:pStyle w:val="TableContents"/>
              <w:spacing w:before="0" w:after="283"/>
              <w:jc w:val="right"/>
              <w:rPr/>
            </w:pPr>
            <w:r>
              <w:rPr/>
              <w:t>6/17/2021</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40,624</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spacing w:before="0" w:after="283"/>
              <w:jc w:val="right"/>
              <w:rPr/>
            </w:pPr>
            <w:r>
              <w:rPr/>
              <w:t>67,709</w:t>
            </w:r>
          </w:p>
        </w:tc>
        <w:tc>
          <w:tcPr>
            <w:tcW w:w="352" w:type="dxa"/>
            <w:tcBorders/>
            <w:shd w:fill="CCEEFF" w:val="clear"/>
            <w:vAlign w:val="bottom"/>
          </w:tcPr>
          <w:p>
            <w:pPr>
              <w:pStyle w:val="TableContents"/>
              <w:spacing w:before="0" w:after="283"/>
              <w:rPr/>
            </w:pPr>
            <w:r>
              <w:rPr/>
              <w:t>(2) </w:t>
            </w:r>
          </w:p>
        </w:tc>
        <w:tc>
          <w:tcPr>
            <w:tcW w:w="83"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07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9.36</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7" w:type="dxa"/>
            <w:tcBorders/>
            <w:shd w:fill="CCEEFF" w:val="clear"/>
            <w:vAlign w:val="bottom"/>
          </w:tcPr>
          <w:p>
            <w:pPr>
              <w:pStyle w:val="TableContents"/>
              <w:spacing w:before="0" w:after="283"/>
              <w:jc w:val="right"/>
              <w:rPr/>
            </w:pPr>
            <w:r>
              <w:rPr/>
              <w:t>6/16/2031</w:t>
            </w:r>
          </w:p>
        </w:tc>
        <w:tc>
          <w:tcPr>
            <w:tcW w:w="67" w:type="dxa"/>
            <w:tcBorders/>
            <w:shd w:fill="CCEEFF" w:val="clear"/>
            <w:vAlign w:val="bottom"/>
          </w:tcPr>
          <w:p>
            <w:pPr>
              <w:pStyle w:val="TableContents"/>
              <w:spacing w:before="0" w:after="283"/>
              <w:rPr/>
            </w:pPr>
            <w:r>
              <w:rPr/>
              <w:t> </w:t>
            </w:r>
          </w:p>
        </w:tc>
      </w:tr>
      <w:tr>
        <w:trPr/>
        <w:tc>
          <w:tcPr>
            <w:tcW w:w="1469" w:type="dxa"/>
            <w:tcBorders/>
            <w:shd w:fill="CCEEFF" w:val="clear"/>
          </w:tcPr>
          <w:p>
            <w:pPr>
              <w:pStyle w:val="TableContents"/>
              <w:spacing w:before="0" w:after="283"/>
              <w:rPr>
                <w:sz w:val="4"/>
                <w:szCs w:val="4"/>
              </w:rPr>
            </w:pPr>
            <w:r>
              <w:rPr>
                <w:sz w:val="4"/>
                <w:szCs w:val="4"/>
              </w:rPr>
            </w:r>
          </w:p>
        </w:tc>
        <w:tc>
          <w:tcPr>
            <w:tcW w:w="13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7" w:type="dxa"/>
            <w:tcBorders/>
            <w:shd w:fill="CCEEFF" w:val="clear"/>
            <w:vAlign w:val="bottom"/>
          </w:tcPr>
          <w:p>
            <w:pPr>
              <w:pStyle w:val="TableContents"/>
              <w:spacing w:before="0" w:after="283"/>
              <w:jc w:val="right"/>
              <w:rPr/>
            </w:pPr>
            <w:r>
              <w:rPr/>
              <w:t>2/15/2022</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29,375</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spacing w:before="0" w:after="283"/>
              <w:jc w:val="right"/>
              <w:rPr/>
            </w:pPr>
            <w:r>
              <w:rPr/>
              <w:t>111,625</w:t>
            </w:r>
          </w:p>
        </w:tc>
        <w:tc>
          <w:tcPr>
            <w:tcW w:w="352" w:type="dxa"/>
            <w:tcBorders/>
            <w:shd w:fill="CCEEFF" w:val="clear"/>
            <w:vAlign w:val="bottom"/>
          </w:tcPr>
          <w:p>
            <w:pPr>
              <w:pStyle w:val="TableContents"/>
              <w:spacing w:before="0" w:after="283"/>
              <w:rPr/>
            </w:pPr>
            <w:r>
              <w:rPr/>
              <w:t>(2) </w:t>
            </w:r>
          </w:p>
        </w:tc>
        <w:tc>
          <w:tcPr>
            <w:tcW w:w="83"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07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15.19</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7" w:type="dxa"/>
            <w:tcBorders/>
            <w:shd w:fill="CCEEFF" w:val="clear"/>
            <w:vAlign w:val="bottom"/>
          </w:tcPr>
          <w:p>
            <w:pPr>
              <w:pStyle w:val="TableContents"/>
              <w:spacing w:before="0" w:after="283"/>
              <w:jc w:val="right"/>
              <w:rPr/>
            </w:pPr>
            <w:r>
              <w:rPr/>
              <w:t>2/14/2032</w:t>
            </w:r>
          </w:p>
        </w:tc>
        <w:tc>
          <w:tcPr>
            <w:tcW w:w="67"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Vesting of all options issued to our named executive officers are subject to acceleration as described under the caption Executive Change in Control and Severance Plan.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Option vests as to 1/48th of the total number of shares subject to the option on the one-month anniversary of the grant date and 1/48th of the total number of shares subject to the option on each monthly anniversary thereafter until fully-vested.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Option vests as to 1/48th of the total number of shares subject to the option on the last day of February 2020 and 1/48th of the total number of shares subject to the option on each monthly anniversary thereafter until fully-vested. </w:t>
            </w:r>
          </w:p>
        </w:tc>
      </w:tr>
    </w:tbl>
    <w:p>
      <w:pPr>
        <w:pStyle w:val="TextBody"/>
        <w:spacing w:before="360" w:after="0"/>
        <w:jc w:val="left"/>
        <w:rPr>
          <w:rFonts w:ascii="Times New Roman" w:hAnsi="Times New Roman"/>
          <w:b/>
          <w:sz w:val="20"/>
        </w:rPr>
      </w:pPr>
      <w:bookmarkStart w:id="43" w:name="toc455357_41"/>
      <w:bookmarkEnd w:id="43"/>
      <w:r>
        <w:rPr>
          <w:rFonts w:ascii="Times New Roman" w:hAnsi="Times New Roman"/>
          <w:b/>
          <w:sz w:val="20"/>
        </w:rPr>
        <w:t xml:space="preserve">Equity Compensation Plan Information </w:t>
      </w:r>
    </w:p>
    <w:p>
      <w:pPr>
        <w:pStyle w:val="TextBody"/>
        <w:spacing w:before="120" w:after="0"/>
        <w:jc w:val="left"/>
        <w:rPr>
          <w:rFonts w:ascii="Times New Roman" w:hAnsi="Times New Roman"/>
          <w:sz w:val="20"/>
        </w:rPr>
      </w:pPr>
      <w:r>
        <w:rPr>
          <w:rFonts w:ascii="Times New Roman" w:hAnsi="Times New Roman"/>
          <w:sz w:val="20"/>
        </w:rPr>
        <w:t xml:space="preserve">The following table summarizes our equity compensation plan information as of December 31, 2022. Information is included for equity compensation plans approved by our stockholders. We do not have any equity compensation plans not approved by our stockholders.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355"/>
        <w:gridCol w:w="239"/>
        <w:gridCol w:w="127"/>
        <w:gridCol w:w="2112"/>
        <w:gridCol w:w="60"/>
        <w:gridCol w:w="239"/>
        <w:gridCol w:w="424"/>
        <w:gridCol w:w="1722"/>
        <w:gridCol w:w="354"/>
        <w:gridCol w:w="238"/>
        <w:gridCol w:w="129"/>
        <w:gridCol w:w="2138"/>
        <w:gridCol w:w="68"/>
      </w:tblGrid>
      <w:tr>
        <w:trPr/>
        <w:tc>
          <w:tcPr>
            <w:tcW w:w="2355"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1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1722"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138"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r>
      <w:tr>
        <w:trPr/>
        <w:tc>
          <w:tcPr>
            <w:tcW w:w="2355"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Plan Category</w:t>
            </w:r>
          </w:p>
        </w:tc>
        <w:tc>
          <w:tcPr>
            <w:tcW w:w="239" w:type="dxa"/>
            <w:tcBorders/>
            <w:shd w:fill="auto" w:val="clear"/>
            <w:vAlign w:val="bottom"/>
          </w:tcPr>
          <w:p>
            <w:pPr>
              <w:pStyle w:val="TableContents"/>
              <w:spacing w:before="0" w:after="283"/>
              <w:rPr/>
            </w:pPr>
            <w:r>
              <w:rPr/>
              <w:t> </w:t>
            </w:r>
          </w:p>
        </w:tc>
        <w:tc>
          <w:tcPr>
            <w:tcW w:w="223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 Number of</w:t>
              <w:br/>
              <w:t>Securities to be</w:t>
              <w:br/>
              <w:t>Issued Upon Exercise</w:t>
              <w:br/>
              <w:t>of Outstanding</w:t>
              <w:br/>
              <w:t>Options, Warrants</w:t>
              <w:br/>
              <w:t>and Rights</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214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(b) Weighted-</w:t>
              <w:br/>
              <w:t>Average Exercise</w:t>
              <w:br/>
              <w:t>Price of Outstanding</w:t>
              <w:br/>
              <w:t>Options, Warrants</w:t>
              <w:br/>
              <w:t>and Rights</w:t>
            </w:r>
          </w:p>
        </w:tc>
        <w:tc>
          <w:tcPr>
            <w:tcW w:w="354"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226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 Number of</w:t>
              <w:br/>
              <w:t>Securities Remaining</w:t>
              <w:br/>
              <w:t>Available for Future</w:t>
              <w:br/>
              <w:t>Issuance Under</w:t>
              <w:br/>
              <w:t>Equity Compensation</w:t>
              <w:br/>
              <w:t>Plans (Excluding</w:t>
              <w:br/>
              <w:t>Securities Reflected</w:t>
              <w:br/>
              <w:t>in Column (a))</w:t>
            </w:r>
          </w:p>
        </w:tc>
        <w:tc>
          <w:tcPr>
            <w:tcW w:w="68" w:type="dxa"/>
            <w:tcBorders/>
            <w:shd w:fill="auto" w:val="clear"/>
            <w:vAlign w:val="bottom"/>
          </w:tcPr>
          <w:p>
            <w:pPr>
              <w:pStyle w:val="TableContents"/>
              <w:spacing w:before="0" w:after="283"/>
              <w:rPr/>
            </w:pPr>
            <w:r>
              <w:rPr/>
              <w:t> </w:t>
            </w:r>
          </w:p>
        </w:tc>
      </w:tr>
      <w:tr>
        <w:trPr/>
        <w:tc>
          <w:tcPr>
            <w:tcW w:w="2355" w:type="dxa"/>
            <w:tcBorders/>
            <w:shd w:fill="CCEEFF" w:val="clear"/>
          </w:tcPr>
          <w:p>
            <w:pPr>
              <w:pStyle w:val="TableContents"/>
              <w:spacing w:before="0" w:after="0"/>
              <w:rPr>
                <w:rFonts w:ascii="Times New Roman" w:hAnsi="Times New Roman"/>
                <w:sz w:val="20"/>
              </w:rPr>
            </w:pPr>
            <w:r>
              <w:rPr>
                <w:rFonts w:ascii="Times New Roman" w:hAnsi="Times New Roman"/>
                <w:sz w:val="20"/>
              </w:rPr>
              <w:t>Equity compensation plans approved by security holders</w:t>
            </w:r>
          </w:p>
        </w:tc>
        <w:tc>
          <w:tcPr>
            <w:tcW w:w="23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sz w:val="4"/>
                <w:szCs w:val="4"/>
              </w:rPr>
            </w:pPr>
            <w:r>
              <w:rPr>
                <w:sz w:val="4"/>
                <w:szCs w:val="4"/>
              </w:rPr>
            </w:r>
          </w:p>
        </w:tc>
        <w:tc>
          <w:tcPr>
            <w:tcW w:w="211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39"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sz w:val="4"/>
                <w:szCs w:val="4"/>
              </w:rPr>
            </w:pPr>
            <w:r>
              <w:rPr>
                <w:sz w:val="4"/>
                <w:szCs w:val="4"/>
              </w:rPr>
            </w:r>
          </w:p>
        </w:tc>
        <w:tc>
          <w:tcPr>
            <w:tcW w:w="1722"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238"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sz w:val="4"/>
                <w:szCs w:val="4"/>
              </w:rPr>
            </w:pPr>
            <w:r>
              <w:rPr>
                <w:sz w:val="4"/>
                <w:szCs w:val="4"/>
              </w:rPr>
            </w:r>
          </w:p>
        </w:tc>
        <w:tc>
          <w:tcPr>
            <w:tcW w:w="2138"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sz w:val="4"/>
                <w:szCs w:val="4"/>
              </w:rPr>
            </w:pPr>
            <w:r>
              <w:rPr>
                <w:sz w:val="4"/>
                <w:szCs w:val="4"/>
              </w:rPr>
            </w:r>
          </w:p>
        </w:tc>
      </w:tr>
      <w:tr>
        <w:trPr/>
        <w:tc>
          <w:tcPr>
            <w:tcW w:w="2355" w:type="dxa"/>
            <w:tcBorders/>
            <w:shd w:fill="auto" w:val="clear"/>
          </w:tcPr>
          <w:p>
            <w:pPr>
              <w:pStyle w:val="TableContents"/>
              <w:spacing w:before="0" w:after="0"/>
              <w:rPr>
                <w:rFonts w:ascii="Times New Roman" w:hAnsi="Times New Roman"/>
                <w:sz w:val="20"/>
              </w:rPr>
            </w:pPr>
            <w:r>
              <w:rPr>
                <w:rFonts w:ascii="Times New Roman" w:hAnsi="Times New Roman"/>
                <w:sz w:val="20"/>
              </w:rPr>
              <w:t>2021 Equity Incentive Plan(1)</w:t>
            </w:r>
          </w:p>
        </w:tc>
        <w:tc>
          <w:tcPr>
            <w:tcW w:w="23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2112" w:type="dxa"/>
            <w:tcBorders/>
            <w:shd w:fill="auto" w:val="clear"/>
            <w:vAlign w:val="bottom"/>
          </w:tcPr>
          <w:p>
            <w:pPr>
              <w:pStyle w:val="TableContents"/>
              <w:spacing w:before="0" w:after="283"/>
              <w:jc w:val="right"/>
              <w:rPr/>
            </w:pPr>
            <w:r>
              <w:rPr/>
              <w:t>3,381,369</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w:t>
            </w:r>
          </w:p>
        </w:tc>
        <w:tc>
          <w:tcPr>
            <w:tcW w:w="1722" w:type="dxa"/>
            <w:tcBorders/>
            <w:shd w:fill="auto" w:val="clear"/>
            <w:vAlign w:val="bottom"/>
          </w:tcPr>
          <w:p>
            <w:pPr>
              <w:pStyle w:val="TableContents"/>
              <w:spacing w:before="0" w:after="283"/>
              <w:jc w:val="right"/>
              <w:rPr/>
            </w:pPr>
            <w:r>
              <w:rPr/>
              <w:t>11.62</w:t>
            </w:r>
          </w:p>
        </w:tc>
        <w:tc>
          <w:tcPr>
            <w:tcW w:w="354" w:type="dxa"/>
            <w:tcBorders/>
            <w:shd w:fill="auto" w:val="clear"/>
            <w:vAlign w:val="bottom"/>
          </w:tcPr>
          <w:p>
            <w:pPr>
              <w:pStyle w:val="TableContents"/>
              <w:spacing w:before="0" w:after="283"/>
              <w:rPr/>
            </w:pPr>
            <w:r>
              <w:rPr/>
              <w:t>(2) </w:t>
            </w:r>
          </w:p>
        </w:tc>
        <w:tc>
          <w:tcPr>
            <w:tcW w:w="23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138" w:type="dxa"/>
            <w:tcBorders/>
            <w:shd w:fill="auto" w:val="clear"/>
            <w:vAlign w:val="bottom"/>
          </w:tcPr>
          <w:p>
            <w:pPr>
              <w:pStyle w:val="TableContents"/>
              <w:spacing w:before="0" w:after="283"/>
              <w:jc w:val="right"/>
              <w:rPr/>
            </w:pPr>
            <w:r>
              <w:rPr/>
              <w:t>2,318,761</w:t>
            </w:r>
          </w:p>
        </w:tc>
        <w:tc>
          <w:tcPr>
            <w:tcW w:w="68" w:type="dxa"/>
            <w:tcBorders/>
            <w:shd w:fill="auto" w:val="clear"/>
            <w:vAlign w:val="bottom"/>
          </w:tcPr>
          <w:p>
            <w:pPr>
              <w:pStyle w:val="TableContents"/>
              <w:spacing w:before="0" w:after="283"/>
              <w:rPr/>
            </w:pPr>
            <w:r>
              <w:rPr/>
              <w:t> </w:t>
            </w:r>
          </w:p>
        </w:tc>
      </w:tr>
      <w:tr>
        <w:trPr/>
        <w:tc>
          <w:tcPr>
            <w:tcW w:w="2355" w:type="dxa"/>
            <w:tcBorders/>
            <w:shd w:fill="CCEEFF" w:val="clear"/>
          </w:tcPr>
          <w:p>
            <w:pPr>
              <w:pStyle w:val="TableContents"/>
              <w:spacing w:before="0" w:after="0"/>
              <w:rPr>
                <w:rFonts w:ascii="Times New Roman" w:hAnsi="Times New Roman"/>
                <w:sz w:val="20"/>
              </w:rPr>
            </w:pPr>
            <w:r>
              <w:rPr>
                <w:rFonts w:ascii="Times New Roman" w:hAnsi="Times New Roman"/>
                <w:sz w:val="20"/>
              </w:rPr>
              <w:t>2021 Employee Stock Purchase Plan(3)</w:t>
            </w:r>
          </w:p>
        </w:tc>
        <w:tc>
          <w:tcPr>
            <w:tcW w:w="23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211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1722" w:type="dxa"/>
            <w:tcBorders/>
            <w:shd w:fill="CCEEFF" w:val="clear"/>
            <w:vAlign w:val="bottom"/>
          </w:tcPr>
          <w:p>
            <w:pPr>
              <w:pStyle w:val="TableContents"/>
              <w:spacing w:before="0" w:after="283"/>
              <w:jc w:val="right"/>
              <w:rPr/>
            </w:pPr>
            <w:r>
              <w:rPr/>
              <w:t>  </w:t>
            </w:r>
          </w:p>
        </w:tc>
        <w:tc>
          <w:tcPr>
            <w:tcW w:w="354"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2138" w:type="dxa"/>
            <w:tcBorders/>
            <w:shd w:fill="CCEEFF" w:val="clear"/>
            <w:vAlign w:val="bottom"/>
          </w:tcPr>
          <w:p>
            <w:pPr>
              <w:pStyle w:val="TableContents"/>
              <w:spacing w:before="0" w:after="283"/>
              <w:jc w:val="right"/>
              <w:rPr/>
            </w:pPr>
            <w:r>
              <w:rPr/>
              <w:t>1,106,721</w:t>
            </w:r>
          </w:p>
        </w:tc>
        <w:tc>
          <w:tcPr>
            <w:tcW w:w="68" w:type="dxa"/>
            <w:tcBorders/>
            <w:shd w:fill="CCEEFF" w:val="clear"/>
            <w:vAlign w:val="bottom"/>
          </w:tcPr>
          <w:p>
            <w:pPr>
              <w:pStyle w:val="TableContents"/>
              <w:spacing w:before="0" w:after="283"/>
              <w:rPr/>
            </w:pPr>
            <w:r>
              <w:rPr/>
              <w:t> </w:t>
            </w:r>
          </w:p>
        </w:tc>
      </w:tr>
      <w:tr>
        <w:trPr/>
        <w:tc>
          <w:tcPr>
            <w:tcW w:w="2355" w:type="dxa"/>
            <w:tcBorders/>
            <w:shd w:fill="auto" w:val="clear"/>
          </w:tcPr>
          <w:p>
            <w:pPr>
              <w:pStyle w:val="TableContents"/>
              <w:spacing w:before="0" w:after="0"/>
              <w:rPr>
                <w:rFonts w:ascii="Times New Roman" w:hAnsi="Times New Roman"/>
                <w:sz w:val="20"/>
              </w:rPr>
            </w:pPr>
            <w:r>
              <w:rPr>
                <w:rFonts w:ascii="Times New Roman" w:hAnsi="Times New Roman"/>
                <w:sz w:val="20"/>
              </w:rPr>
              <w:t>2016 Equity Incentive Plan(4)</w:t>
            </w:r>
          </w:p>
        </w:tc>
        <w:tc>
          <w:tcPr>
            <w:tcW w:w="23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2112" w:type="dxa"/>
            <w:tcBorders/>
            <w:shd w:fill="auto" w:val="clear"/>
            <w:vAlign w:val="bottom"/>
          </w:tcPr>
          <w:p>
            <w:pPr>
              <w:pStyle w:val="TableContents"/>
              <w:spacing w:before="0" w:after="283"/>
              <w:jc w:val="right"/>
              <w:rPr/>
            </w:pPr>
            <w:r>
              <w:rPr/>
              <w:t>2,288,005</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w:t>
            </w:r>
          </w:p>
        </w:tc>
        <w:tc>
          <w:tcPr>
            <w:tcW w:w="1722" w:type="dxa"/>
            <w:tcBorders/>
            <w:shd w:fill="auto" w:val="clear"/>
            <w:vAlign w:val="bottom"/>
          </w:tcPr>
          <w:p>
            <w:pPr>
              <w:pStyle w:val="TableContents"/>
              <w:spacing w:before="0" w:after="283"/>
              <w:jc w:val="right"/>
              <w:rPr/>
            </w:pPr>
            <w:r>
              <w:rPr/>
              <w:t>5.62</w:t>
            </w:r>
          </w:p>
        </w:tc>
        <w:tc>
          <w:tcPr>
            <w:tcW w:w="354"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138" w:type="dxa"/>
            <w:tcBorders/>
            <w:shd w:fill="auto" w:val="clear"/>
            <w:vAlign w:val="bottom"/>
          </w:tcPr>
          <w:p>
            <w:pPr>
              <w:pStyle w:val="TableContents"/>
              <w:spacing w:before="0" w:after="283"/>
              <w:jc w:val="right"/>
              <w:rPr/>
            </w:pPr>
            <w:r>
              <w:rPr/>
              <w:t>  </w:t>
            </w:r>
          </w:p>
        </w:tc>
        <w:tc>
          <w:tcPr>
            <w:tcW w:w="68" w:type="dxa"/>
            <w:tcBorders/>
            <w:shd w:fill="auto" w:val="clear"/>
            <w:vAlign w:val="bottom"/>
          </w:tcPr>
          <w:p>
            <w:pPr>
              <w:pStyle w:val="TableContents"/>
              <w:spacing w:before="0" w:after="283"/>
              <w:rPr/>
            </w:pPr>
            <w:r>
              <w:rPr/>
              <w:t> </w:t>
            </w:r>
          </w:p>
        </w:tc>
      </w:tr>
      <w:tr>
        <w:trPr/>
        <w:tc>
          <w:tcPr>
            <w:tcW w:w="2355" w:type="dxa"/>
            <w:tcBorders/>
            <w:shd w:fill="CCEEFF" w:val="clear"/>
          </w:tcPr>
          <w:p>
            <w:pPr>
              <w:pStyle w:val="TableContents"/>
              <w:spacing w:before="0" w:after="0"/>
              <w:rPr>
                <w:rFonts w:ascii="Times New Roman" w:hAnsi="Times New Roman"/>
                <w:sz w:val="20"/>
              </w:rPr>
            </w:pPr>
            <w:r>
              <w:rPr>
                <w:rFonts w:ascii="Times New Roman" w:hAnsi="Times New Roman"/>
                <w:sz w:val="20"/>
              </w:rPr>
              <w:t>Total</w:t>
            </w:r>
          </w:p>
        </w:tc>
        <w:tc>
          <w:tcPr>
            <w:tcW w:w="23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2112" w:type="dxa"/>
            <w:tcBorders/>
            <w:shd w:fill="CCEEFF" w:val="clear"/>
            <w:vAlign w:val="bottom"/>
          </w:tcPr>
          <w:p>
            <w:pPr>
              <w:pStyle w:val="TableContents"/>
              <w:spacing w:before="0" w:after="283"/>
              <w:jc w:val="right"/>
              <w:rPr/>
            </w:pPr>
            <w:r>
              <w:rPr/>
              <w:t>5,669,374</w:t>
            </w:r>
          </w:p>
        </w:tc>
        <w:tc>
          <w:tcPr>
            <w:tcW w:w="6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w:t>
            </w:r>
          </w:p>
        </w:tc>
        <w:tc>
          <w:tcPr>
            <w:tcW w:w="1722" w:type="dxa"/>
            <w:tcBorders/>
            <w:shd w:fill="CCEEFF" w:val="clear"/>
            <w:vAlign w:val="bottom"/>
          </w:tcPr>
          <w:p>
            <w:pPr>
              <w:pStyle w:val="TableContents"/>
              <w:spacing w:before="0" w:after="283"/>
              <w:jc w:val="right"/>
              <w:rPr/>
            </w:pPr>
            <w:r>
              <w:rPr/>
              <w:t>9.20</w:t>
            </w:r>
          </w:p>
        </w:tc>
        <w:tc>
          <w:tcPr>
            <w:tcW w:w="354"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2138" w:type="dxa"/>
            <w:tcBorders/>
            <w:shd w:fill="CCEEFF" w:val="clear"/>
            <w:vAlign w:val="bottom"/>
          </w:tcPr>
          <w:p>
            <w:pPr>
              <w:pStyle w:val="TableContents"/>
              <w:spacing w:before="0" w:after="283"/>
              <w:jc w:val="right"/>
              <w:rPr/>
            </w:pPr>
            <w:r>
              <w:rPr/>
              <w:t>3,425,482</w:t>
            </w:r>
          </w:p>
        </w:tc>
        <w:tc>
          <w:tcPr>
            <w:tcW w:w="68" w:type="dxa"/>
            <w:tcBorders/>
            <w:shd w:fill="CCEEFF"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number of shares of common stock available for issuance under our 2021 Equity Incentive Plan (2021 Plan) will automatically increase on the first day of each fiscal year, in an amount equal to the lesser of: 4,000,000 shares; 4% of our outstanding shares of common stock as of the last day of the immediately preceding year; or such other amount as our board of directors may determine.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weighted-average exercise price takes into account the shares subject to outstanding RSU awards, which have no exercise price. The weighted-average exercise price, excluding such outstanding RSU awards, is $13.45.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number of shares of common stock available for issuance under our 2021 Employee Stock Purchase Plan (2021 ESPP) will automatically increase on the first day of each fiscal year in an amount equal to the lesser of: 800,000 shares; 1% of the outstanding shares of the Companys common stock as of the last day of the immediately preceding year; or such other amount as the board of directors may determine.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no longer grant awards under the 2016 Equity Incentive Plan (2016 Plan); however, all outstanding options issued pursuant to the 2016 Plan continue to be governed by their existing terms. To the extent that any such awards are forfeited or lapse unexercised or are repurchased, the shares of common stock subject to such awards will become available for issuance under the 2021 Plan.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4" w:name="toc455357_42"/>
      <w:bookmarkEnd w:id="44"/>
      <w:r>
        <w:rPr>
          <w:rFonts w:ascii="Times New Roman" w:hAnsi="Times New Roman"/>
          <w:b/>
          <w:sz w:val="20"/>
        </w:rPr>
        <w:t xml:space="preserve">SECURITY OWNERSHIP OF CERTAIN BENEFICIAL OWNERS AND MANAGEMENT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the beneficial ownership of our common stock as of March 31, 2023, by: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person, or group of affiliated persons, known by us to beneficially own more than 5% of our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of our named executive officers;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of our directors and nominees for director;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of our executive officers and directors as a group. </w:t>
            </w:r>
          </w:p>
        </w:tc>
      </w:tr>
    </w:tbl>
    <w:p>
      <w:pPr>
        <w:pStyle w:val="TextBody"/>
        <w:spacing w:before="240" w:after="0"/>
        <w:jc w:val="left"/>
        <w:rPr>
          <w:rFonts w:ascii="Times New Roman" w:hAnsi="Times New Roman"/>
          <w:sz w:val="20"/>
        </w:rPr>
      </w:pPr>
      <w:r>
        <w:rPr>
          <w:rFonts w:ascii="Times New Roman" w:hAnsi="Times New Roman"/>
          <w:sz w:val="20"/>
        </w:rPr>
        <w:t xml:space="preserve">We have determined beneficial ownership in accordance with the rules of the SEC, and thus it represents sole or shared voting or investment power with respect to our securities. Unless otherwise indicated, to our knowledge, the persons or entities identified in the table have sole voting power and sole investment power with respect to all shares shown as beneficially owned by them, subject to community property laws where applicable. </w:t>
      </w:r>
    </w:p>
    <w:p>
      <w:pPr>
        <w:pStyle w:val="TextBody"/>
        <w:spacing w:before="240" w:after="0"/>
        <w:jc w:val="left"/>
        <w:rPr>
          <w:rFonts w:ascii="Times New Roman" w:hAnsi="Times New Roman"/>
          <w:sz w:val="20"/>
        </w:rPr>
      </w:pPr>
      <w:r>
        <w:rPr>
          <w:rFonts w:ascii="Times New Roman" w:hAnsi="Times New Roman"/>
          <w:sz w:val="20"/>
        </w:rPr>
        <w:t xml:space="preserve">We have based our calculation of the percentage of beneficial ownership on 66,865,424 shares of our common stock outstanding as of March 31, 2023. We have deemed shares of our common stock subject to stock options that are currently exercisable or exercisable within 60 days of March 31, 2023, to be outstanding and to be beneficially owned by the person holding the stock option for the purpose of computing the percentage ownership of that person. We did not deem these shares outstanding, however, for the purpose of computing the percentage ownership of any other person. </w:t>
      </w:r>
    </w:p>
    <w:p>
      <w:pPr>
        <w:pStyle w:val="TextBody"/>
        <w:spacing w:before="240" w:after="0"/>
        <w:jc w:val="left"/>
        <w:rPr>
          <w:rFonts w:ascii="Times New Roman" w:hAnsi="Times New Roman"/>
          <w:sz w:val="20"/>
        </w:rPr>
      </w:pPr>
      <w:r>
        <w:rPr>
          <w:rFonts w:ascii="Times New Roman" w:hAnsi="Times New Roman"/>
          <w:sz w:val="20"/>
        </w:rPr>
        <w:t xml:space="preserve">Unless otherwise indicated, the address for each person or entity listed in the table is c/o Tenaya Therapeutics, Inc., 171 Oyster Point Boulevard, Suite 500, South San Francisco, CA 94080.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485"/>
        <w:gridCol w:w="361"/>
        <w:gridCol w:w="60"/>
        <w:gridCol w:w="1219"/>
        <w:gridCol w:w="60"/>
        <w:gridCol w:w="361"/>
        <w:gridCol w:w="110"/>
        <w:gridCol w:w="1035"/>
        <w:gridCol w:w="64"/>
      </w:tblGrid>
      <w:tr>
        <w:trPr/>
        <w:tc>
          <w:tcPr>
            <w:tcW w:w="4485"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448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284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Shares Beneficially Owned</w:t>
            </w:r>
          </w:p>
        </w:tc>
        <w:tc>
          <w:tcPr>
            <w:tcW w:w="64" w:type="dxa"/>
            <w:tcBorders/>
            <w:shd w:fill="auto" w:val="clear"/>
            <w:vAlign w:val="bottom"/>
          </w:tcPr>
          <w:p>
            <w:pPr>
              <w:pStyle w:val="TableContents"/>
              <w:spacing w:before="0" w:after="283"/>
              <w:rPr/>
            </w:pPr>
            <w:r>
              <w:rPr/>
              <w:t> </w:t>
            </w:r>
          </w:p>
        </w:tc>
      </w:tr>
      <w:tr>
        <w:trPr/>
        <w:tc>
          <w:tcPr>
            <w:tcW w:w="4485"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Name of Beneficial Owner</w:t>
            </w:r>
          </w:p>
        </w:tc>
        <w:tc>
          <w:tcPr>
            <w:tcW w:w="361" w:type="dxa"/>
            <w:tcBorders/>
            <w:shd w:fill="auto" w:val="clear"/>
            <w:vAlign w:val="bottom"/>
          </w:tcPr>
          <w:p>
            <w:pPr>
              <w:pStyle w:val="TableContents"/>
              <w:spacing w:before="0" w:after="283"/>
              <w:rPr/>
            </w:pPr>
            <w:r>
              <w:rPr/>
              <w:t>  </w:t>
            </w:r>
          </w:p>
        </w:tc>
        <w:tc>
          <w:tcPr>
            <w:tcW w:w="127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6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1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Percentage</w:t>
            </w:r>
          </w:p>
        </w:tc>
        <w:tc>
          <w:tcPr>
            <w:tcW w:w="64" w:type="dxa"/>
            <w:tcBorders/>
            <w:shd w:fill="auto" w:val="clear"/>
            <w:vAlign w:val="bottom"/>
          </w:tcPr>
          <w:p>
            <w:pPr>
              <w:pStyle w:val="TableContents"/>
              <w:spacing w:before="0" w:after="283"/>
              <w:rPr/>
            </w:pPr>
            <w:r>
              <w:rPr/>
              <w:t> </w:t>
            </w:r>
          </w:p>
        </w:tc>
      </w:tr>
      <w:tr>
        <w:trPr/>
        <w:tc>
          <w:tcPr>
            <w:tcW w:w="4485" w:type="dxa"/>
            <w:tcBorders/>
            <w:shd w:fill="CCEEFF" w:val="clear"/>
          </w:tcPr>
          <w:p>
            <w:pPr>
              <w:pStyle w:val="TableContents"/>
              <w:spacing w:before="0" w:after="0"/>
              <w:rPr>
                <w:rFonts w:ascii="Times New Roman" w:hAnsi="Times New Roman"/>
                <w:b/>
                <w:i/>
                <w:sz w:val="20"/>
              </w:rPr>
            </w:pPr>
            <w:r>
              <w:rPr>
                <w:rFonts w:ascii="Times New Roman" w:hAnsi="Times New Roman"/>
                <w:b/>
                <w:i/>
                <w:sz w:val="20"/>
              </w:rPr>
              <w:t>5% or Greater Stockholders:</w:t>
            </w:r>
          </w:p>
        </w:tc>
        <w:tc>
          <w:tcPr>
            <w:tcW w:w="3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21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61"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sz w:val="4"/>
                <w:szCs w:val="4"/>
              </w:rPr>
            </w:pPr>
            <w:r>
              <w:rPr>
                <w:sz w:val="4"/>
                <w:szCs w:val="4"/>
              </w:rPr>
            </w:r>
          </w:p>
        </w:tc>
        <w:tc>
          <w:tcPr>
            <w:tcW w:w="1035" w:type="dxa"/>
            <w:tcBorders/>
            <w:shd w:fill="CCEEFF" w:val="clear"/>
            <w:vAlign w:val="bottom"/>
          </w:tcPr>
          <w:p>
            <w:pPr>
              <w:pStyle w:val="TableContents"/>
              <w:spacing w:before="0" w:after="283"/>
              <w:rPr>
                <w:sz w:val="4"/>
                <w:szCs w:val="4"/>
              </w:rPr>
            </w:pPr>
            <w:r>
              <w:rPr>
                <w:sz w:val="4"/>
                <w:szCs w:val="4"/>
              </w:rPr>
            </w:r>
          </w:p>
        </w:tc>
        <w:tc>
          <w:tcPr>
            <w:tcW w:w="64" w:type="dxa"/>
            <w:tcBorders/>
            <w:shd w:fill="CCEEFF" w:val="clear"/>
            <w:vAlign w:val="bottom"/>
          </w:tcPr>
          <w:p>
            <w:pPr>
              <w:pStyle w:val="TableContents"/>
              <w:spacing w:before="0" w:after="283"/>
              <w:rPr>
                <w:sz w:val="4"/>
                <w:szCs w:val="4"/>
              </w:rPr>
            </w:pPr>
            <w:r>
              <w:rPr>
                <w:sz w:val="4"/>
                <w:szCs w:val="4"/>
              </w:rPr>
            </w:r>
          </w:p>
        </w:tc>
      </w:tr>
      <w:tr>
        <w:trPr/>
        <w:tc>
          <w:tcPr>
            <w:tcW w:w="4485" w:type="dxa"/>
            <w:tcBorders/>
            <w:shd w:fill="auto" w:val="clear"/>
          </w:tcPr>
          <w:p>
            <w:pPr>
              <w:pStyle w:val="TableContents"/>
              <w:spacing w:before="0" w:after="0"/>
              <w:rPr>
                <w:rFonts w:ascii="Times New Roman" w:hAnsi="Times New Roman"/>
                <w:sz w:val="20"/>
              </w:rPr>
            </w:pPr>
            <w:r>
              <w:rPr>
                <w:rFonts w:ascii="Times New Roman" w:hAnsi="Times New Roman"/>
                <w:sz w:val="20"/>
              </w:rPr>
              <w:t>Entities affiliated with The Column Group(1)</w:t>
            </w:r>
          </w:p>
        </w:tc>
        <w:tc>
          <w:tcPr>
            <w:tcW w:w="3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19" w:type="dxa"/>
            <w:tcBorders/>
            <w:shd w:fill="auto" w:val="clear"/>
            <w:vAlign w:val="bottom"/>
          </w:tcPr>
          <w:p>
            <w:pPr>
              <w:pStyle w:val="TableContents"/>
              <w:spacing w:before="0" w:after="283"/>
              <w:jc w:val="right"/>
              <w:rPr/>
            </w:pPr>
            <w:r>
              <w:rPr/>
              <w:t>20,777,343</w:t>
            </w:r>
          </w:p>
        </w:tc>
        <w:tc>
          <w:tcPr>
            <w:tcW w:w="6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035" w:type="dxa"/>
            <w:tcBorders/>
            <w:shd w:fill="auto" w:val="clear"/>
            <w:vAlign w:val="bottom"/>
          </w:tcPr>
          <w:p>
            <w:pPr>
              <w:pStyle w:val="TableContents"/>
              <w:spacing w:before="0" w:after="283"/>
              <w:jc w:val="right"/>
              <w:rPr/>
            </w:pPr>
            <w:r>
              <w:rPr/>
              <w:t>31.07</w:t>
            </w:r>
          </w:p>
        </w:tc>
        <w:tc>
          <w:tcPr>
            <w:tcW w:w="64" w:type="dxa"/>
            <w:tcBorders/>
            <w:shd w:fill="auto" w:val="clear"/>
            <w:vAlign w:val="bottom"/>
          </w:tcPr>
          <w:p>
            <w:pPr>
              <w:pStyle w:val="TableContents"/>
              <w:spacing w:before="0" w:after="283"/>
              <w:rPr/>
            </w:pPr>
            <w:r>
              <w:rPr/>
              <w:t> </w:t>
            </w:r>
          </w:p>
        </w:tc>
      </w:tr>
      <w:tr>
        <w:trPr/>
        <w:tc>
          <w:tcPr>
            <w:tcW w:w="4485" w:type="dxa"/>
            <w:tcBorders/>
            <w:shd w:fill="CCEEFF" w:val="clear"/>
          </w:tcPr>
          <w:p>
            <w:pPr>
              <w:pStyle w:val="TableContents"/>
              <w:spacing w:before="0" w:after="0"/>
              <w:rPr>
                <w:rFonts w:ascii="Times New Roman" w:hAnsi="Times New Roman"/>
                <w:sz w:val="20"/>
              </w:rPr>
            </w:pPr>
            <w:r>
              <w:rPr>
                <w:rFonts w:ascii="Times New Roman" w:hAnsi="Times New Roman"/>
                <w:sz w:val="20"/>
              </w:rPr>
              <w:t>Entities affiliated with RA Capital Management(2)</w:t>
            </w:r>
          </w:p>
        </w:tc>
        <w:tc>
          <w:tcPr>
            <w:tcW w:w="3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19" w:type="dxa"/>
            <w:tcBorders/>
            <w:shd w:fill="CCEEFF" w:val="clear"/>
            <w:vAlign w:val="bottom"/>
          </w:tcPr>
          <w:p>
            <w:pPr>
              <w:pStyle w:val="TableContents"/>
              <w:spacing w:before="0" w:after="283"/>
              <w:jc w:val="right"/>
              <w:rPr/>
            </w:pPr>
            <w:r>
              <w:rPr/>
              <w:t>6,428,483</w:t>
            </w:r>
          </w:p>
        </w:tc>
        <w:tc>
          <w:tcPr>
            <w:tcW w:w="60"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035" w:type="dxa"/>
            <w:tcBorders/>
            <w:shd w:fill="CCEEFF" w:val="clear"/>
            <w:vAlign w:val="bottom"/>
          </w:tcPr>
          <w:p>
            <w:pPr>
              <w:pStyle w:val="TableContents"/>
              <w:spacing w:before="0" w:after="283"/>
              <w:jc w:val="right"/>
              <w:rPr/>
            </w:pPr>
            <w:r>
              <w:rPr/>
              <w:t>9.99</w:t>
            </w:r>
          </w:p>
        </w:tc>
        <w:tc>
          <w:tcPr>
            <w:tcW w:w="64" w:type="dxa"/>
            <w:tcBorders/>
            <w:shd w:fill="CCEEFF" w:val="clear"/>
            <w:vAlign w:val="bottom"/>
          </w:tcPr>
          <w:p>
            <w:pPr>
              <w:pStyle w:val="TableContents"/>
              <w:spacing w:before="0" w:after="283"/>
              <w:rPr/>
            </w:pPr>
            <w:r>
              <w:rPr/>
              <w:t> </w:t>
            </w:r>
          </w:p>
        </w:tc>
      </w:tr>
      <w:tr>
        <w:trPr/>
        <w:tc>
          <w:tcPr>
            <w:tcW w:w="4485" w:type="dxa"/>
            <w:tcBorders/>
            <w:shd w:fill="auto" w:val="clear"/>
          </w:tcPr>
          <w:p>
            <w:pPr>
              <w:pStyle w:val="TableContents"/>
              <w:spacing w:before="0" w:after="0"/>
              <w:rPr>
                <w:rFonts w:ascii="Times New Roman" w:hAnsi="Times New Roman"/>
                <w:sz w:val="20"/>
              </w:rPr>
            </w:pPr>
            <w:r>
              <w:rPr>
                <w:rFonts w:ascii="Times New Roman" w:hAnsi="Times New Roman"/>
                <w:sz w:val="20"/>
              </w:rPr>
              <w:t>Entities affiliated with Casdin Group(3)</w:t>
            </w:r>
          </w:p>
        </w:tc>
        <w:tc>
          <w:tcPr>
            <w:tcW w:w="3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19" w:type="dxa"/>
            <w:tcBorders/>
            <w:shd w:fill="auto" w:val="clear"/>
            <w:vAlign w:val="bottom"/>
          </w:tcPr>
          <w:p>
            <w:pPr>
              <w:pStyle w:val="TableContents"/>
              <w:spacing w:before="0" w:after="283"/>
              <w:jc w:val="right"/>
              <w:rPr/>
            </w:pPr>
            <w:r>
              <w:rPr/>
              <w:t>6,427,200</w:t>
            </w:r>
          </w:p>
        </w:tc>
        <w:tc>
          <w:tcPr>
            <w:tcW w:w="6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035" w:type="dxa"/>
            <w:tcBorders/>
            <w:shd w:fill="auto" w:val="clear"/>
            <w:vAlign w:val="bottom"/>
          </w:tcPr>
          <w:p>
            <w:pPr>
              <w:pStyle w:val="TableContents"/>
              <w:spacing w:before="0" w:after="283"/>
              <w:jc w:val="right"/>
              <w:rPr/>
            </w:pPr>
            <w:r>
              <w:rPr/>
              <w:t>9.99</w:t>
            </w:r>
          </w:p>
        </w:tc>
        <w:tc>
          <w:tcPr>
            <w:tcW w:w="64" w:type="dxa"/>
            <w:tcBorders/>
            <w:shd w:fill="auto" w:val="clear"/>
            <w:vAlign w:val="bottom"/>
          </w:tcPr>
          <w:p>
            <w:pPr>
              <w:pStyle w:val="TableContents"/>
              <w:spacing w:before="0" w:after="283"/>
              <w:rPr/>
            </w:pPr>
            <w:r>
              <w:rPr/>
              <w:t> </w:t>
            </w:r>
          </w:p>
        </w:tc>
      </w:tr>
      <w:tr>
        <w:trPr/>
        <w:tc>
          <w:tcPr>
            <w:tcW w:w="4485" w:type="dxa"/>
            <w:tcBorders/>
            <w:shd w:fill="CCEEFF" w:val="clear"/>
          </w:tcPr>
          <w:p>
            <w:pPr>
              <w:pStyle w:val="TableContents"/>
              <w:spacing w:before="0" w:after="0"/>
              <w:rPr>
                <w:rFonts w:ascii="Times New Roman" w:hAnsi="Times New Roman"/>
                <w:sz w:val="20"/>
              </w:rPr>
            </w:pPr>
            <w:r>
              <w:rPr>
                <w:rFonts w:ascii="Times New Roman" w:hAnsi="Times New Roman"/>
                <w:sz w:val="20"/>
              </w:rPr>
              <w:t>T. Rowe Price Associates, Inc.(4)</w:t>
            </w:r>
          </w:p>
        </w:tc>
        <w:tc>
          <w:tcPr>
            <w:tcW w:w="3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19" w:type="dxa"/>
            <w:tcBorders/>
            <w:shd w:fill="CCEEFF" w:val="clear"/>
            <w:vAlign w:val="bottom"/>
          </w:tcPr>
          <w:p>
            <w:pPr>
              <w:pStyle w:val="TableContents"/>
              <w:spacing w:before="0" w:after="283"/>
              <w:jc w:val="right"/>
              <w:rPr/>
            </w:pPr>
            <w:r>
              <w:rPr/>
              <w:t>4,472,202</w:t>
            </w:r>
          </w:p>
        </w:tc>
        <w:tc>
          <w:tcPr>
            <w:tcW w:w="60"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035" w:type="dxa"/>
            <w:tcBorders/>
            <w:shd w:fill="CCEEFF" w:val="clear"/>
            <w:vAlign w:val="bottom"/>
          </w:tcPr>
          <w:p>
            <w:pPr>
              <w:pStyle w:val="TableContents"/>
              <w:spacing w:before="0" w:after="283"/>
              <w:jc w:val="right"/>
              <w:rPr/>
            </w:pPr>
            <w:r>
              <w:rPr/>
              <w:t>6.69</w:t>
            </w:r>
          </w:p>
        </w:tc>
        <w:tc>
          <w:tcPr>
            <w:tcW w:w="64" w:type="dxa"/>
            <w:tcBorders/>
            <w:shd w:fill="CCEEFF" w:val="clear"/>
            <w:vAlign w:val="bottom"/>
          </w:tcPr>
          <w:p>
            <w:pPr>
              <w:pStyle w:val="TableContents"/>
              <w:spacing w:before="0" w:after="283"/>
              <w:rPr/>
            </w:pPr>
            <w:r>
              <w:rPr/>
              <w:t> </w:t>
            </w:r>
          </w:p>
        </w:tc>
      </w:tr>
      <w:tr>
        <w:trPr/>
        <w:tc>
          <w:tcPr>
            <w:tcW w:w="4485" w:type="dxa"/>
            <w:tcBorders/>
            <w:shd w:fill="auto" w:val="clear"/>
          </w:tcPr>
          <w:p>
            <w:pPr>
              <w:pStyle w:val="TableContents"/>
              <w:spacing w:before="0" w:after="0"/>
              <w:rPr>
                <w:rFonts w:ascii="Times New Roman" w:hAnsi="Times New Roman"/>
                <w:sz w:val="20"/>
              </w:rPr>
            </w:pPr>
            <w:r>
              <w:rPr>
                <w:rFonts w:ascii="Times New Roman" w:hAnsi="Times New Roman"/>
                <w:b/>
                <w:i/>
                <w:sz w:val="20"/>
              </w:rPr>
              <w:t>Named Executive Officers and Directors</w:t>
            </w:r>
            <w:r>
              <w:rPr>
                <w:rFonts w:ascii="Times New Roman" w:hAnsi="Times New Roman"/>
                <w:b/>
                <w:sz w:val="20"/>
              </w:rPr>
              <w:t>:</w:t>
            </w:r>
          </w:p>
        </w:tc>
        <w:tc>
          <w:tcPr>
            <w:tcW w:w="3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21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sz w:val="4"/>
                <w:szCs w:val="4"/>
              </w:rPr>
            </w:pPr>
            <w:r>
              <w:rPr>
                <w:sz w:val="4"/>
                <w:szCs w:val="4"/>
              </w:rPr>
            </w:r>
          </w:p>
        </w:tc>
        <w:tc>
          <w:tcPr>
            <w:tcW w:w="1035"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r>
      <w:tr>
        <w:trPr/>
        <w:tc>
          <w:tcPr>
            <w:tcW w:w="4485" w:type="dxa"/>
            <w:tcBorders/>
            <w:shd w:fill="CCEEFF" w:val="clear"/>
          </w:tcPr>
          <w:p>
            <w:pPr>
              <w:pStyle w:val="TableContents"/>
              <w:spacing w:before="0" w:after="0"/>
              <w:rPr>
                <w:rFonts w:ascii="Times New Roman" w:hAnsi="Times New Roman"/>
                <w:sz w:val="20"/>
              </w:rPr>
            </w:pPr>
            <w:r>
              <w:rPr>
                <w:rFonts w:ascii="Times New Roman" w:hAnsi="Times New Roman"/>
                <w:sz w:val="20"/>
              </w:rPr>
              <w:t>Faraz Ali, M.B.A.(5)</w:t>
            </w:r>
          </w:p>
        </w:tc>
        <w:tc>
          <w:tcPr>
            <w:tcW w:w="3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19" w:type="dxa"/>
            <w:tcBorders/>
            <w:shd w:fill="CCEEFF" w:val="clear"/>
            <w:vAlign w:val="bottom"/>
          </w:tcPr>
          <w:p>
            <w:pPr>
              <w:pStyle w:val="TableContents"/>
              <w:spacing w:before="0" w:after="283"/>
              <w:jc w:val="right"/>
              <w:rPr/>
            </w:pPr>
            <w:r>
              <w:rPr/>
              <w:t>948,521</w:t>
            </w:r>
          </w:p>
        </w:tc>
        <w:tc>
          <w:tcPr>
            <w:tcW w:w="60"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035" w:type="dxa"/>
            <w:tcBorders/>
            <w:shd w:fill="CCEEFF" w:val="clear"/>
            <w:vAlign w:val="bottom"/>
          </w:tcPr>
          <w:p>
            <w:pPr>
              <w:pStyle w:val="TableContents"/>
              <w:spacing w:before="0" w:after="283"/>
              <w:jc w:val="right"/>
              <w:rPr/>
            </w:pPr>
            <w:r>
              <w:rPr/>
              <w:t>1.40</w:t>
            </w:r>
          </w:p>
        </w:tc>
        <w:tc>
          <w:tcPr>
            <w:tcW w:w="64" w:type="dxa"/>
            <w:tcBorders/>
            <w:shd w:fill="CCEEFF" w:val="clear"/>
            <w:vAlign w:val="bottom"/>
          </w:tcPr>
          <w:p>
            <w:pPr>
              <w:pStyle w:val="TableContents"/>
              <w:spacing w:before="0" w:after="283"/>
              <w:rPr/>
            </w:pPr>
            <w:r>
              <w:rPr/>
              <w:t> </w:t>
            </w:r>
          </w:p>
        </w:tc>
      </w:tr>
      <w:tr>
        <w:trPr/>
        <w:tc>
          <w:tcPr>
            <w:tcW w:w="4485" w:type="dxa"/>
            <w:tcBorders/>
            <w:shd w:fill="auto" w:val="clear"/>
          </w:tcPr>
          <w:p>
            <w:pPr>
              <w:pStyle w:val="TableContents"/>
              <w:spacing w:before="0" w:after="0"/>
              <w:rPr>
                <w:rFonts w:ascii="Times New Roman" w:hAnsi="Times New Roman"/>
                <w:sz w:val="20"/>
              </w:rPr>
            </w:pPr>
            <w:r>
              <w:rPr>
                <w:rFonts w:ascii="Times New Roman" w:hAnsi="Times New Roman"/>
                <w:sz w:val="20"/>
              </w:rPr>
              <w:t>Timothy Hoey, Ph.D.(6)</w:t>
            </w:r>
          </w:p>
        </w:tc>
        <w:tc>
          <w:tcPr>
            <w:tcW w:w="3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19" w:type="dxa"/>
            <w:tcBorders/>
            <w:shd w:fill="auto" w:val="clear"/>
            <w:vAlign w:val="bottom"/>
          </w:tcPr>
          <w:p>
            <w:pPr>
              <w:pStyle w:val="TableContents"/>
              <w:spacing w:before="0" w:after="283"/>
              <w:jc w:val="right"/>
              <w:rPr/>
            </w:pPr>
            <w:r>
              <w:rPr/>
              <w:t>279,929</w:t>
            </w:r>
          </w:p>
        </w:tc>
        <w:tc>
          <w:tcPr>
            <w:tcW w:w="6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035" w:type="dxa"/>
            <w:tcBorders/>
            <w:shd w:fill="auto" w:val="clear"/>
            <w:vAlign w:val="bottom"/>
          </w:tcPr>
          <w:p>
            <w:pPr>
              <w:pStyle w:val="TableContents"/>
              <w:spacing w:before="0" w:after="283"/>
              <w:jc w:val="right"/>
              <w:rPr/>
            </w:pPr>
            <w:r>
              <w:rPr/>
              <w:t>*</w:t>
            </w:r>
          </w:p>
        </w:tc>
        <w:tc>
          <w:tcPr>
            <w:tcW w:w="64" w:type="dxa"/>
            <w:tcBorders/>
            <w:shd w:fill="auto" w:val="clear"/>
            <w:vAlign w:val="bottom"/>
          </w:tcPr>
          <w:p>
            <w:pPr>
              <w:pStyle w:val="TableContents"/>
              <w:spacing w:before="0" w:after="283"/>
              <w:rPr/>
            </w:pPr>
            <w:r>
              <w:rPr/>
              <w:t> </w:t>
            </w:r>
          </w:p>
        </w:tc>
      </w:tr>
      <w:tr>
        <w:trPr/>
        <w:tc>
          <w:tcPr>
            <w:tcW w:w="4485" w:type="dxa"/>
            <w:tcBorders/>
            <w:shd w:fill="CCEEFF" w:val="clear"/>
          </w:tcPr>
          <w:p>
            <w:pPr>
              <w:pStyle w:val="TableContents"/>
              <w:spacing w:before="0" w:after="0"/>
              <w:rPr>
                <w:rFonts w:ascii="Times New Roman" w:hAnsi="Times New Roman"/>
                <w:sz w:val="20"/>
              </w:rPr>
            </w:pPr>
            <w:r>
              <w:rPr>
                <w:rFonts w:ascii="Times New Roman" w:hAnsi="Times New Roman"/>
                <w:sz w:val="20"/>
              </w:rPr>
              <w:t>Whittemore (Whit) Tingley, M.D., Ph.D.(7)</w:t>
            </w:r>
          </w:p>
        </w:tc>
        <w:tc>
          <w:tcPr>
            <w:tcW w:w="3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19" w:type="dxa"/>
            <w:tcBorders/>
            <w:shd w:fill="CCEEFF" w:val="clear"/>
            <w:vAlign w:val="bottom"/>
          </w:tcPr>
          <w:p>
            <w:pPr>
              <w:pStyle w:val="TableContents"/>
              <w:spacing w:before="0" w:after="283"/>
              <w:jc w:val="right"/>
              <w:rPr/>
            </w:pPr>
            <w:r>
              <w:rPr/>
              <w:t>198,366</w:t>
            </w:r>
          </w:p>
        </w:tc>
        <w:tc>
          <w:tcPr>
            <w:tcW w:w="60"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035" w:type="dxa"/>
            <w:tcBorders/>
            <w:shd w:fill="CCEEFF" w:val="clear"/>
            <w:vAlign w:val="bottom"/>
          </w:tcPr>
          <w:p>
            <w:pPr>
              <w:pStyle w:val="TableContents"/>
              <w:spacing w:before="0" w:after="283"/>
              <w:jc w:val="right"/>
              <w:rPr/>
            </w:pPr>
            <w:r>
              <w:rPr/>
              <w:t>*</w:t>
            </w:r>
          </w:p>
        </w:tc>
        <w:tc>
          <w:tcPr>
            <w:tcW w:w="64" w:type="dxa"/>
            <w:tcBorders/>
            <w:shd w:fill="CCEEFF" w:val="clear"/>
            <w:vAlign w:val="bottom"/>
          </w:tcPr>
          <w:p>
            <w:pPr>
              <w:pStyle w:val="TableContents"/>
              <w:spacing w:before="0" w:after="283"/>
              <w:rPr/>
            </w:pPr>
            <w:r>
              <w:rPr/>
              <w:t> </w:t>
            </w:r>
          </w:p>
        </w:tc>
      </w:tr>
      <w:tr>
        <w:trPr/>
        <w:tc>
          <w:tcPr>
            <w:tcW w:w="4485" w:type="dxa"/>
            <w:tcBorders/>
            <w:shd w:fill="auto" w:val="clear"/>
          </w:tcPr>
          <w:p>
            <w:pPr>
              <w:pStyle w:val="TableContents"/>
              <w:spacing w:before="0" w:after="0"/>
              <w:rPr>
                <w:rFonts w:ascii="Times New Roman" w:hAnsi="Times New Roman"/>
                <w:sz w:val="20"/>
              </w:rPr>
            </w:pPr>
            <w:r>
              <w:rPr>
                <w:rFonts w:ascii="Times New Roman" w:hAnsi="Times New Roman"/>
                <w:sz w:val="20"/>
              </w:rPr>
              <w:t>Amy Burroughs, M.B.A.(8)</w:t>
            </w:r>
          </w:p>
        </w:tc>
        <w:tc>
          <w:tcPr>
            <w:tcW w:w="3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19" w:type="dxa"/>
            <w:tcBorders/>
            <w:shd w:fill="auto" w:val="clear"/>
            <w:vAlign w:val="bottom"/>
          </w:tcPr>
          <w:p>
            <w:pPr>
              <w:pStyle w:val="TableContents"/>
              <w:spacing w:before="0" w:after="283"/>
              <w:jc w:val="right"/>
              <w:rPr/>
            </w:pPr>
            <w:r>
              <w:rPr/>
              <w:t>5,555</w:t>
            </w:r>
          </w:p>
        </w:tc>
        <w:tc>
          <w:tcPr>
            <w:tcW w:w="6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035" w:type="dxa"/>
            <w:tcBorders/>
            <w:shd w:fill="auto" w:val="clear"/>
            <w:vAlign w:val="bottom"/>
          </w:tcPr>
          <w:p>
            <w:pPr>
              <w:pStyle w:val="TableContents"/>
              <w:spacing w:before="0" w:after="283"/>
              <w:jc w:val="right"/>
              <w:rPr/>
            </w:pPr>
            <w:r>
              <w:rPr/>
              <w:t>*</w:t>
            </w:r>
          </w:p>
        </w:tc>
        <w:tc>
          <w:tcPr>
            <w:tcW w:w="64" w:type="dxa"/>
            <w:tcBorders/>
            <w:shd w:fill="auto" w:val="clear"/>
            <w:vAlign w:val="bottom"/>
          </w:tcPr>
          <w:p>
            <w:pPr>
              <w:pStyle w:val="TableContents"/>
              <w:spacing w:before="0" w:after="283"/>
              <w:rPr/>
            </w:pPr>
            <w:r>
              <w:rPr/>
              <w:t> </w:t>
            </w:r>
          </w:p>
        </w:tc>
      </w:tr>
      <w:tr>
        <w:trPr/>
        <w:tc>
          <w:tcPr>
            <w:tcW w:w="4485" w:type="dxa"/>
            <w:tcBorders/>
            <w:shd w:fill="CCEEFF" w:val="clear"/>
          </w:tcPr>
          <w:p>
            <w:pPr>
              <w:pStyle w:val="TableContents"/>
              <w:spacing w:before="0" w:after="0"/>
              <w:rPr>
                <w:rFonts w:ascii="Times New Roman" w:hAnsi="Times New Roman"/>
                <w:sz w:val="20"/>
              </w:rPr>
            </w:pPr>
            <w:r>
              <w:rPr>
                <w:rFonts w:ascii="Times New Roman" w:hAnsi="Times New Roman"/>
                <w:sz w:val="20"/>
              </w:rPr>
              <w:t>Jin-Long Chen, Ph.D.(9)</w:t>
            </w:r>
          </w:p>
        </w:tc>
        <w:tc>
          <w:tcPr>
            <w:tcW w:w="3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19" w:type="dxa"/>
            <w:tcBorders/>
            <w:shd w:fill="CCEEFF" w:val="clear"/>
            <w:vAlign w:val="bottom"/>
          </w:tcPr>
          <w:p>
            <w:pPr>
              <w:pStyle w:val="TableContents"/>
              <w:spacing w:before="0" w:after="283"/>
              <w:jc w:val="right"/>
              <w:rPr/>
            </w:pPr>
            <w:r>
              <w:rPr/>
              <w:t>30,000</w:t>
            </w:r>
          </w:p>
        </w:tc>
        <w:tc>
          <w:tcPr>
            <w:tcW w:w="60"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035" w:type="dxa"/>
            <w:tcBorders/>
            <w:shd w:fill="CCEEFF" w:val="clear"/>
            <w:vAlign w:val="bottom"/>
          </w:tcPr>
          <w:p>
            <w:pPr>
              <w:pStyle w:val="TableContents"/>
              <w:spacing w:before="0" w:after="283"/>
              <w:jc w:val="right"/>
              <w:rPr/>
            </w:pPr>
            <w:r>
              <w:rPr/>
              <w:t>*</w:t>
            </w:r>
          </w:p>
        </w:tc>
        <w:tc>
          <w:tcPr>
            <w:tcW w:w="64" w:type="dxa"/>
            <w:tcBorders/>
            <w:shd w:fill="CCEEFF" w:val="clear"/>
            <w:vAlign w:val="bottom"/>
          </w:tcPr>
          <w:p>
            <w:pPr>
              <w:pStyle w:val="TableContents"/>
              <w:spacing w:before="0" w:after="283"/>
              <w:rPr/>
            </w:pPr>
            <w:r>
              <w:rPr/>
              <w:t> </w:t>
            </w:r>
          </w:p>
        </w:tc>
      </w:tr>
      <w:tr>
        <w:trPr/>
        <w:tc>
          <w:tcPr>
            <w:tcW w:w="4485" w:type="dxa"/>
            <w:tcBorders/>
            <w:shd w:fill="auto" w:val="clear"/>
          </w:tcPr>
          <w:p>
            <w:pPr>
              <w:pStyle w:val="TableContents"/>
              <w:spacing w:before="0" w:after="0"/>
              <w:rPr>
                <w:rFonts w:ascii="Times New Roman" w:hAnsi="Times New Roman"/>
                <w:sz w:val="20"/>
              </w:rPr>
            </w:pPr>
            <w:r>
              <w:rPr>
                <w:rFonts w:ascii="Times New Roman" w:hAnsi="Times New Roman"/>
                <w:sz w:val="20"/>
              </w:rPr>
              <w:t>David Goeddel, Ph.D.(1)</w:t>
            </w:r>
          </w:p>
        </w:tc>
        <w:tc>
          <w:tcPr>
            <w:tcW w:w="3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19" w:type="dxa"/>
            <w:tcBorders/>
            <w:shd w:fill="auto" w:val="clear"/>
            <w:vAlign w:val="bottom"/>
          </w:tcPr>
          <w:p>
            <w:pPr>
              <w:pStyle w:val="TableContents"/>
              <w:spacing w:before="0" w:after="283"/>
              <w:jc w:val="right"/>
              <w:rPr/>
            </w:pPr>
            <w:r>
              <w:rPr/>
              <w:t>20,777,343</w:t>
            </w:r>
          </w:p>
        </w:tc>
        <w:tc>
          <w:tcPr>
            <w:tcW w:w="6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035" w:type="dxa"/>
            <w:tcBorders/>
            <w:shd w:fill="auto" w:val="clear"/>
            <w:vAlign w:val="bottom"/>
          </w:tcPr>
          <w:p>
            <w:pPr>
              <w:pStyle w:val="TableContents"/>
              <w:spacing w:before="0" w:after="283"/>
              <w:jc w:val="right"/>
              <w:rPr/>
            </w:pPr>
            <w:r>
              <w:rPr/>
              <w:t>31.07</w:t>
            </w:r>
          </w:p>
        </w:tc>
        <w:tc>
          <w:tcPr>
            <w:tcW w:w="64" w:type="dxa"/>
            <w:tcBorders/>
            <w:shd w:fill="auto" w:val="clear"/>
            <w:vAlign w:val="bottom"/>
          </w:tcPr>
          <w:p>
            <w:pPr>
              <w:pStyle w:val="TableContents"/>
              <w:spacing w:before="0" w:after="283"/>
              <w:rPr/>
            </w:pPr>
            <w:r>
              <w:rPr/>
              <w:t> </w:t>
            </w:r>
          </w:p>
        </w:tc>
      </w:tr>
      <w:tr>
        <w:trPr/>
        <w:tc>
          <w:tcPr>
            <w:tcW w:w="4485" w:type="dxa"/>
            <w:tcBorders/>
            <w:shd w:fill="CCEEFF" w:val="clear"/>
          </w:tcPr>
          <w:p>
            <w:pPr>
              <w:pStyle w:val="TableContents"/>
              <w:spacing w:before="0" w:after="0"/>
              <w:rPr>
                <w:rFonts w:ascii="Times New Roman" w:hAnsi="Times New Roman"/>
                <w:sz w:val="20"/>
              </w:rPr>
            </w:pPr>
            <w:r>
              <w:rPr>
                <w:rFonts w:ascii="Times New Roman" w:hAnsi="Times New Roman"/>
                <w:sz w:val="20"/>
              </w:rPr>
              <w:t>Karah Parschauer, J.D.(10)</w:t>
            </w:r>
          </w:p>
        </w:tc>
        <w:tc>
          <w:tcPr>
            <w:tcW w:w="3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19" w:type="dxa"/>
            <w:tcBorders/>
            <w:shd w:fill="CCEEFF" w:val="clear"/>
            <w:vAlign w:val="bottom"/>
          </w:tcPr>
          <w:p>
            <w:pPr>
              <w:pStyle w:val="TableContents"/>
              <w:spacing w:before="0" w:after="283"/>
              <w:jc w:val="right"/>
              <w:rPr/>
            </w:pPr>
            <w:r>
              <w:rPr/>
              <w:t>9,205</w:t>
            </w:r>
          </w:p>
        </w:tc>
        <w:tc>
          <w:tcPr>
            <w:tcW w:w="60"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035" w:type="dxa"/>
            <w:tcBorders/>
            <w:shd w:fill="CCEEFF" w:val="clear"/>
            <w:vAlign w:val="bottom"/>
          </w:tcPr>
          <w:p>
            <w:pPr>
              <w:pStyle w:val="TableContents"/>
              <w:spacing w:before="0" w:after="283"/>
              <w:jc w:val="right"/>
              <w:rPr/>
            </w:pPr>
            <w:r>
              <w:rPr/>
              <w:t>*</w:t>
            </w:r>
          </w:p>
        </w:tc>
        <w:tc>
          <w:tcPr>
            <w:tcW w:w="64" w:type="dxa"/>
            <w:tcBorders/>
            <w:shd w:fill="CCEEFF" w:val="clear"/>
            <w:vAlign w:val="bottom"/>
          </w:tcPr>
          <w:p>
            <w:pPr>
              <w:pStyle w:val="TableContents"/>
              <w:spacing w:before="0" w:after="283"/>
              <w:rPr/>
            </w:pPr>
            <w:r>
              <w:rPr/>
              <w:t> </w:t>
            </w:r>
          </w:p>
        </w:tc>
      </w:tr>
      <w:tr>
        <w:trPr/>
        <w:tc>
          <w:tcPr>
            <w:tcW w:w="4485" w:type="dxa"/>
            <w:tcBorders/>
            <w:shd w:fill="auto" w:val="clear"/>
          </w:tcPr>
          <w:p>
            <w:pPr>
              <w:pStyle w:val="TableContents"/>
              <w:spacing w:before="0" w:after="0"/>
              <w:rPr>
                <w:rFonts w:ascii="Times New Roman" w:hAnsi="Times New Roman"/>
                <w:sz w:val="20"/>
              </w:rPr>
            </w:pPr>
            <w:r>
              <w:rPr>
                <w:rFonts w:ascii="Times New Roman" w:hAnsi="Times New Roman"/>
                <w:sz w:val="20"/>
              </w:rPr>
              <w:t>Catherine Stehman-Breen, M.D.(11)</w:t>
            </w:r>
          </w:p>
        </w:tc>
        <w:tc>
          <w:tcPr>
            <w:tcW w:w="3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19" w:type="dxa"/>
            <w:tcBorders/>
            <w:shd w:fill="auto" w:val="clear"/>
            <w:vAlign w:val="bottom"/>
          </w:tcPr>
          <w:p>
            <w:pPr>
              <w:pStyle w:val="TableContents"/>
              <w:spacing w:before="0" w:after="283"/>
              <w:jc w:val="right"/>
              <w:rPr/>
            </w:pPr>
            <w:r>
              <w:rPr/>
              <w:t>21,875</w:t>
            </w:r>
          </w:p>
        </w:tc>
        <w:tc>
          <w:tcPr>
            <w:tcW w:w="6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035" w:type="dxa"/>
            <w:tcBorders/>
            <w:shd w:fill="auto" w:val="clear"/>
            <w:vAlign w:val="bottom"/>
          </w:tcPr>
          <w:p>
            <w:pPr>
              <w:pStyle w:val="TableContents"/>
              <w:spacing w:before="0" w:after="283"/>
              <w:jc w:val="right"/>
              <w:rPr/>
            </w:pPr>
            <w:r>
              <w:rPr/>
              <w:t>*</w:t>
            </w:r>
          </w:p>
        </w:tc>
        <w:tc>
          <w:tcPr>
            <w:tcW w:w="64" w:type="dxa"/>
            <w:tcBorders/>
            <w:shd w:fill="auto" w:val="clear"/>
            <w:vAlign w:val="bottom"/>
          </w:tcPr>
          <w:p>
            <w:pPr>
              <w:pStyle w:val="TableContents"/>
              <w:spacing w:before="0" w:after="283"/>
              <w:rPr/>
            </w:pPr>
            <w:r>
              <w:rPr/>
              <w:t> </w:t>
            </w:r>
          </w:p>
        </w:tc>
      </w:tr>
      <w:tr>
        <w:trPr/>
        <w:tc>
          <w:tcPr>
            <w:tcW w:w="4485" w:type="dxa"/>
            <w:tcBorders/>
            <w:shd w:fill="CCEEFF" w:val="clear"/>
          </w:tcPr>
          <w:p>
            <w:pPr>
              <w:pStyle w:val="TableContents"/>
              <w:spacing w:before="0" w:after="0"/>
              <w:rPr>
                <w:rFonts w:ascii="Times New Roman" w:hAnsi="Times New Roman"/>
                <w:sz w:val="20"/>
              </w:rPr>
            </w:pPr>
            <w:r>
              <w:rPr>
                <w:rFonts w:ascii="Times New Roman" w:hAnsi="Times New Roman"/>
                <w:sz w:val="20"/>
              </w:rPr>
              <w:t>June Lee, M.D.(12)</w:t>
            </w:r>
          </w:p>
        </w:tc>
        <w:tc>
          <w:tcPr>
            <w:tcW w:w="3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19" w:type="dxa"/>
            <w:tcBorders/>
            <w:shd w:fill="CCEEFF" w:val="clear"/>
            <w:vAlign w:val="bottom"/>
          </w:tcPr>
          <w:p>
            <w:pPr>
              <w:pStyle w:val="TableContents"/>
              <w:spacing w:before="0" w:after="283"/>
              <w:jc w:val="right"/>
              <w:rPr/>
            </w:pPr>
            <w:r>
              <w:rPr/>
              <w:t>9,468</w:t>
            </w:r>
          </w:p>
        </w:tc>
        <w:tc>
          <w:tcPr>
            <w:tcW w:w="60"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035" w:type="dxa"/>
            <w:tcBorders/>
            <w:shd w:fill="CCEEFF" w:val="clear"/>
            <w:vAlign w:val="bottom"/>
          </w:tcPr>
          <w:p>
            <w:pPr>
              <w:pStyle w:val="TableContents"/>
              <w:spacing w:before="0" w:after="283"/>
              <w:jc w:val="right"/>
              <w:rPr/>
            </w:pPr>
            <w:r>
              <w:rPr/>
              <w:t>*</w:t>
            </w:r>
          </w:p>
        </w:tc>
        <w:tc>
          <w:tcPr>
            <w:tcW w:w="64" w:type="dxa"/>
            <w:tcBorders/>
            <w:shd w:fill="CCEEFF" w:val="clear"/>
            <w:vAlign w:val="bottom"/>
          </w:tcPr>
          <w:p>
            <w:pPr>
              <w:pStyle w:val="TableContents"/>
              <w:spacing w:before="0" w:after="283"/>
              <w:rPr/>
            </w:pPr>
            <w:r>
              <w:rPr/>
              <w:t> </w:t>
            </w:r>
          </w:p>
        </w:tc>
      </w:tr>
      <w:tr>
        <w:trPr/>
        <w:tc>
          <w:tcPr>
            <w:tcW w:w="4485" w:type="dxa"/>
            <w:tcBorders/>
            <w:shd w:fill="auto" w:val="clear"/>
          </w:tcPr>
          <w:p>
            <w:pPr>
              <w:pStyle w:val="TableContents"/>
              <w:spacing w:before="0" w:after="0"/>
              <w:rPr>
                <w:rFonts w:ascii="Times New Roman" w:hAnsi="Times New Roman"/>
                <w:sz w:val="20"/>
              </w:rPr>
            </w:pPr>
            <w:r>
              <w:rPr>
                <w:rFonts w:ascii="Times New Roman" w:hAnsi="Times New Roman"/>
                <w:sz w:val="20"/>
              </w:rPr>
              <w:t>Deepak Srivastava, M.D.(13)</w:t>
            </w:r>
          </w:p>
        </w:tc>
        <w:tc>
          <w:tcPr>
            <w:tcW w:w="3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19" w:type="dxa"/>
            <w:tcBorders/>
            <w:shd w:fill="auto" w:val="clear"/>
            <w:vAlign w:val="bottom"/>
          </w:tcPr>
          <w:p>
            <w:pPr>
              <w:pStyle w:val="TableContents"/>
              <w:spacing w:before="0" w:after="283"/>
              <w:jc w:val="right"/>
              <w:rPr/>
            </w:pPr>
            <w:r>
              <w:rPr/>
              <w:t>594,656</w:t>
            </w:r>
          </w:p>
        </w:tc>
        <w:tc>
          <w:tcPr>
            <w:tcW w:w="6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035" w:type="dxa"/>
            <w:tcBorders/>
            <w:shd w:fill="auto" w:val="clear"/>
            <w:vAlign w:val="bottom"/>
          </w:tcPr>
          <w:p>
            <w:pPr>
              <w:pStyle w:val="TableContents"/>
              <w:spacing w:before="0" w:after="283"/>
              <w:jc w:val="right"/>
              <w:rPr/>
            </w:pPr>
            <w:r>
              <w:rPr/>
              <w:t>*</w:t>
            </w:r>
          </w:p>
        </w:tc>
        <w:tc>
          <w:tcPr>
            <w:tcW w:w="64" w:type="dxa"/>
            <w:tcBorders/>
            <w:shd w:fill="auto" w:val="clear"/>
            <w:vAlign w:val="bottom"/>
          </w:tcPr>
          <w:p>
            <w:pPr>
              <w:pStyle w:val="TableContents"/>
              <w:spacing w:before="0" w:after="283"/>
              <w:rPr/>
            </w:pPr>
            <w:r>
              <w:rPr/>
              <w:t> </w:t>
            </w:r>
          </w:p>
        </w:tc>
      </w:tr>
      <w:tr>
        <w:trPr/>
        <w:tc>
          <w:tcPr>
            <w:tcW w:w="4485" w:type="dxa"/>
            <w:tcBorders/>
            <w:shd w:fill="CCEEFF" w:val="clear"/>
          </w:tcPr>
          <w:p>
            <w:pPr>
              <w:pStyle w:val="TableContents"/>
              <w:spacing w:before="0" w:after="0"/>
              <w:rPr>
                <w:rFonts w:ascii="Times New Roman" w:hAnsi="Times New Roman"/>
                <w:sz w:val="20"/>
              </w:rPr>
            </w:pPr>
            <w:r>
              <w:rPr>
                <w:rFonts w:ascii="Times New Roman" w:hAnsi="Times New Roman"/>
                <w:sz w:val="20"/>
              </w:rPr>
              <w:t>Jeffrey T. Walsh, M.B.A.(14)</w:t>
            </w:r>
          </w:p>
        </w:tc>
        <w:tc>
          <w:tcPr>
            <w:tcW w:w="3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19" w:type="dxa"/>
            <w:tcBorders/>
            <w:shd w:fill="CCEEFF" w:val="clear"/>
            <w:vAlign w:val="bottom"/>
          </w:tcPr>
          <w:p>
            <w:pPr>
              <w:pStyle w:val="TableContents"/>
              <w:spacing w:before="0" w:after="283"/>
              <w:jc w:val="right"/>
              <w:rPr/>
            </w:pPr>
            <w:r>
              <w:rPr/>
              <w:t>33,750</w:t>
            </w:r>
          </w:p>
        </w:tc>
        <w:tc>
          <w:tcPr>
            <w:tcW w:w="60"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035" w:type="dxa"/>
            <w:tcBorders/>
            <w:shd w:fill="CCEEFF" w:val="clear"/>
            <w:vAlign w:val="bottom"/>
          </w:tcPr>
          <w:p>
            <w:pPr>
              <w:pStyle w:val="TableContents"/>
              <w:spacing w:before="0" w:after="283"/>
              <w:jc w:val="right"/>
              <w:rPr/>
            </w:pPr>
            <w:r>
              <w:rPr/>
              <w:t>*</w:t>
            </w:r>
          </w:p>
        </w:tc>
        <w:tc>
          <w:tcPr>
            <w:tcW w:w="64" w:type="dxa"/>
            <w:tcBorders/>
            <w:shd w:fill="CCEEFF" w:val="clear"/>
            <w:vAlign w:val="bottom"/>
          </w:tcPr>
          <w:p>
            <w:pPr>
              <w:pStyle w:val="TableContents"/>
              <w:spacing w:before="0" w:after="283"/>
              <w:rPr/>
            </w:pPr>
            <w:r>
              <w:rPr/>
              <w:t> </w:t>
            </w:r>
          </w:p>
        </w:tc>
      </w:tr>
      <w:tr>
        <w:trPr/>
        <w:tc>
          <w:tcPr>
            <w:tcW w:w="4485" w:type="dxa"/>
            <w:tcBorders/>
            <w:shd w:fill="auto" w:val="clear"/>
          </w:tcPr>
          <w:p>
            <w:pPr>
              <w:pStyle w:val="TableContents"/>
              <w:spacing w:before="0" w:after="0"/>
              <w:rPr>
                <w:rFonts w:ascii="Times New Roman" w:hAnsi="Times New Roman"/>
                <w:sz w:val="20"/>
              </w:rPr>
            </w:pPr>
            <w:r>
              <w:rPr>
                <w:rFonts w:ascii="Times New Roman" w:hAnsi="Times New Roman"/>
                <w:sz w:val="20"/>
              </w:rPr>
              <w:t>R. Sanders Williams, M.D.</w:t>
            </w:r>
          </w:p>
        </w:tc>
        <w:tc>
          <w:tcPr>
            <w:tcW w:w="3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19" w:type="dxa"/>
            <w:tcBorders/>
            <w:shd w:fill="auto" w:val="clear"/>
            <w:vAlign w:val="bottom"/>
          </w:tcPr>
          <w:p>
            <w:pPr>
              <w:pStyle w:val="TableContents"/>
              <w:spacing w:before="0" w:after="283"/>
              <w:jc w:val="right"/>
              <w:rPr/>
            </w:pPr>
            <w:r>
              <w:rPr/>
              <w:t>29,999</w:t>
            </w:r>
          </w:p>
        </w:tc>
        <w:tc>
          <w:tcPr>
            <w:tcW w:w="6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035" w:type="dxa"/>
            <w:tcBorders/>
            <w:shd w:fill="auto" w:val="clear"/>
            <w:vAlign w:val="bottom"/>
          </w:tcPr>
          <w:p>
            <w:pPr>
              <w:pStyle w:val="TableContents"/>
              <w:spacing w:before="0" w:after="283"/>
              <w:jc w:val="right"/>
              <w:rPr/>
            </w:pPr>
            <w:r>
              <w:rPr/>
              <w:t>*</w:t>
            </w:r>
          </w:p>
        </w:tc>
        <w:tc>
          <w:tcPr>
            <w:tcW w:w="64" w:type="dxa"/>
            <w:tcBorders/>
            <w:shd w:fill="auto" w:val="clear"/>
            <w:vAlign w:val="bottom"/>
          </w:tcPr>
          <w:p>
            <w:pPr>
              <w:pStyle w:val="TableContents"/>
              <w:spacing w:before="0" w:after="283"/>
              <w:rPr/>
            </w:pPr>
            <w:r>
              <w:rPr/>
              <w:t> </w:t>
            </w:r>
          </w:p>
        </w:tc>
      </w:tr>
      <w:tr>
        <w:trPr/>
        <w:tc>
          <w:tcPr>
            <w:tcW w:w="4485" w:type="dxa"/>
            <w:tcBorders/>
            <w:shd w:fill="CCEEFF" w:val="clear"/>
          </w:tcPr>
          <w:p>
            <w:pPr>
              <w:pStyle w:val="TableContents"/>
              <w:spacing w:before="0" w:after="0"/>
              <w:rPr>
                <w:rFonts w:ascii="Times New Roman" w:hAnsi="Times New Roman"/>
                <w:sz w:val="20"/>
              </w:rPr>
            </w:pPr>
            <w:r>
              <w:rPr>
                <w:rFonts w:ascii="Times New Roman" w:hAnsi="Times New Roman"/>
                <w:sz w:val="20"/>
              </w:rPr>
              <w:t>All executive officers and directors as a group (13 persons)(15)</w:t>
            </w:r>
          </w:p>
        </w:tc>
        <w:tc>
          <w:tcPr>
            <w:tcW w:w="3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19" w:type="dxa"/>
            <w:tcBorders/>
            <w:shd w:fill="CCEEFF" w:val="clear"/>
            <w:vAlign w:val="bottom"/>
          </w:tcPr>
          <w:p>
            <w:pPr>
              <w:pStyle w:val="TableContents"/>
              <w:spacing w:before="0" w:after="283"/>
              <w:jc w:val="right"/>
              <w:rPr/>
            </w:pPr>
            <w:r>
              <w:rPr/>
              <w:t>23,142,871</w:t>
            </w:r>
          </w:p>
        </w:tc>
        <w:tc>
          <w:tcPr>
            <w:tcW w:w="60"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035" w:type="dxa"/>
            <w:tcBorders/>
            <w:shd w:fill="CCEEFF" w:val="clear"/>
            <w:vAlign w:val="bottom"/>
          </w:tcPr>
          <w:p>
            <w:pPr>
              <w:pStyle w:val="TableContents"/>
              <w:spacing w:before="0" w:after="283"/>
              <w:jc w:val="right"/>
              <w:rPr/>
            </w:pPr>
            <w:r>
              <w:rPr/>
              <w:t>33.83</w:t>
            </w:r>
          </w:p>
        </w:tc>
        <w:tc>
          <w:tcPr>
            <w:tcW w:w="64"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less than 1%.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information taken from the Form 4 filed on March 14, 2023, consists of 11,337,053 shares held directly by The Column Group Opportunity III, LP (TCG Opportunity III LP), 4,414,720 shares held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pPr>
            <w:r>
              <w:rPr/>
              <w:t xml:space="preserve">directly by The Column Group III, LP (TCG III LP) and 4,985,570 shares held directly by The Column Group III-A, LP (TCG III-A LP). The Column Group Opportunity III, GP, LP (TCG Opportunity III GP LP) is the general partner of TCG Opportunity III LP and may be deemed to have voting, investment and dispositive power with respect to the shares held by TCG Opportunity III LP. The Column Group III GP, LP (TCG III GP) is the general partner of both TCG III LP and TCG III-A LP and may be deemed to have voting, investment and dispositive power with respect to the shares held by TCG III LP and TCG III-A LP. The managing partners of TCG Opportunity III GP LP and TCG III GP are David V. Goeddel, Peter Svennilson and Tim Kutzkey who may be deemed to share voting and investment power with respect to the shares, and each of whom disclaim beneficial ownership of the shares held by TCG Opportunity III LP, TCG III LP and TCG III LP except to the extent of their pecuniary interests therein, if any. Dr. Goeddel is a member of our board of directors. The address of TCG Opportunity III LP, TCG III LP and TCG III-A LP is 1 Letterman Drive, Building D, Suite M-900, San Francisco, California 94129.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information taken from the Schedule 13G/A filed on February 14, 2023, on behalf of RA Capital Management, L.P., Peter Kolchinsky, Rajeev Shah, and RA Capital Healthcare Fund, L.P. (collectively, RA Capital). RA Capital Healthcare Fund, L.P. directly holds 5,943,938 shares and pre-funded warrants to purchase 4,882,582 shares, and RA Capital Nexus Fund II, L.P. directly holds 123,545 shares. RA Capital Healthcare Fund GP, LLC is the general partner of the Fund and RA Capital Nexus Fund II GP, LLC is the general partner of the Nexus Fund II. The general partner of RA Capital is RA Capital Management GP, LLC, of which Peter Kolchinsky and Rajeev Shah are the controlling persons. RA Capital serves as investment adviser for the Fund and the Nexus Fund II and may be deemed to be the beneficial owner of these shares and exercise shared voting and investment control over these shares. The 13G/A states that the pre-funded warrants can only be exercised to such an extent that the exercise of the warrants would not cause RA Capital and its affiliates to own more than 9.99% of our outstanding common stock.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information taken from the Schedule 13D filed on December 7, 2022. These 6,427,200 shares are held by various entities affiliated with Casdin Capital, LLC (Casdin Capital). Casdin Capital may be deemed to be the beneficial owner of these shares and exercises shared voting and investment control over these shares. Eli Casdin, is the managing member of Casdin Capital and may be deemed to have voting and investment power with respect to the shares and disclaims beneficial ownership of the shares except to the extent of his pecuniary interests therein, if any. The address of Casdin Capital and Eli Casdin is 1350 Avenue of the Americas, Suite 2600, New York, NY 10019. The 13G/A states that Casdin Capital holds pre-funded warrants to purchase 1,354,111 which can only be exercised to such an extent that the exercise of the warrants would not cause Casdin Capital and to own more than 9.99% of our outstanding common stock.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information taken from the Schedule 13G filed on February 14, 2023. T. Rowe Price Associates, Inc. holds sole voting power over 738,693 shares and dispositive power over 4,472,202 shares. The address of this entity is 100 East Pratt Street, Baltimore, Maryland, 21202.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(5)</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948,521 shares subject to outstanding options exercisable within 60 days of March 31, 2023.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(6)</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81,283 shares subject to outstanding options exercisable within 60 days of March 31, 2023.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(7)</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198,366 shares subject to outstanding options exercisable within 60 days of March 31, 2023.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(8)</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5,555 shares subject to outstanding options exercisable within 60 days of March 31, 2023.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(9)</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5,000 shares subject to outstanding options exercisable within 60 days of March 31, 2023.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(10)</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9,205 shares subject to outstanding options exercisable within 60 days of March 31, 2023.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13,750 shares subject to outstanding options exercisable within 60 days of March 31, 2023.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9,468 shares subject to outstanding options exercisable within 60 days of March 31, 2023.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372,435 shares of common stock held by The J. David Gladstone Institute for which Dr. Srivastava serves as President and 30,555 shares subject to outstanding options exercisable within 60 days of March 31, 2023.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33,750 shares subject to outstanding options exercisable within 60 days of March 31, 2023.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1,537,657 shares subject to outstanding options exercisable within 60 days of March 31, 2023.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5" w:name="toc455357_43"/>
      <w:bookmarkEnd w:id="45"/>
      <w:r>
        <w:rPr>
          <w:rFonts w:ascii="Times New Roman" w:hAnsi="Times New Roman"/>
          <w:b/>
          <w:sz w:val="20"/>
        </w:rPr>
        <w:t xml:space="preserve">RELATED PERSON TRANSACTIONS </w:t>
      </w:r>
    </w:p>
    <w:p>
      <w:pPr>
        <w:pStyle w:val="TextBody"/>
        <w:spacing w:before="240" w:after="0"/>
        <w:jc w:val="left"/>
        <w:rPr>
          <w:rFonts w:ascii="Times New Roman" w:hAnsi="Times New Roman"/>
          <w:sz w:val="20"/>
        </w:rPr>
      </w:pPr>
      <w:r>
        <w:rPr>
          <w:rFonts w:ascii="Times New Roman" w:hAnsi="Times New Roman"/>
          <w:sz w:val="20"/>
        </w:rPr>
        <w:t xml:space="preserve">The following is a description of each transaction since the beginning of our last fiscal year, and each currently proposed transaction, in which: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have been or are to be a participant;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 involved exceeded or exceeds $120,000;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of our directors (including director nominees), executive officers, or beneficial holders of more than 5% of any class of our voting securities, or any immediate family member of, or person sharing the household with, any of these individuals or entities, had or will have a direct or indirect material interest. </w:t>
            </w:r>
          </w:p>
        </w:tc>
      </w:tr>
    </w:tbl>
    <w:p>
      <w:pPr>
        <w:pStyle w:val="TextBody"/>
        <w:spacing w:before="360" w:after="0"/>
        <w:jc w:val="left"/>
        <w:rPr>
          <w:rFonts w:ascii="Times New Roman" w:hAnsi="Times New Roman"/>
          <w:b/>
          <w:sz w:val="20"/>
        </w:rPr>
      </w:pPr>
      <w:r>
        <w:rPr>
          <w:rFonts w:ascii="Times New Roman" w:hAnsi="Times New Roman"/>
          <w:b/>
          <w:sz w:val="20"/>
        </w:rPr>
        <w:t xml:space="preserve">Investors Rights Agreement </w:t>
      </w:r>
    </w:p>
    <w:p>
      <w:pPr>
        <w:pStyle w:val="TextBody"/>
        <w:spacing w:before="120" w:after="0"/>
        <w:jc w:val="left"/>
        <w:rPr>
          <w:rFonts w:ascii="Times New Roman" w:hAnsi="Times New Roman"/>
          <w:sz w:val="20"/>
        </w:rPr>
      </w:pPr>
      <w:r>
        <w:rPr>
          <w:rFonts w:ascii="Times New Roman" w:hAnsi="Times New Roman"/>
          <w:sz w:val="20"/>
        </w:rPr>
        <w:t xml:space="preserve">We are party to an investors rights agreement, as amended and restated, with certain holders of our capital stock, including entities affiliated with The Column Group III, LP, The Column Group III-A, LP, Casdin Partners Master Fund, L.P., and Casdin Private Growth Equity Fund, L.P. Under our investors rights agreement, among other things, certain holders of our capital stock have the right to demand that we file a registration statement or request that their shares of our capital stock be covered by a registration statement that we are otherwise filing. </w:t>
      </w:r>
    </w:p>
    <w:p>
      <w:pPr>
        <w:pStyle w:val="TextBody"/>
        <w:spacing w:before="360" w:after="0"/>
        <w:jc w:val="left"/>
        <w:rPr>
          <w:rFonts w:ascii="Times New Roman" w:hAnsi="Times New Roman"/>
          <w:b/>
          <w:sz w:val="20"/>
        </w:rPr>
      </w:pPr>
      <w:r>
        <w:rPr>
          <w:rFonts w:ascii="Times New Roman" w:hAnsi="Times New Roman"/>
          <w:b/>
          <w:sz w:val="20"/>
        </w:rPr>
        <w:t xml:space="preserve">Stock and Pre-funded Warrant Issuances </w:t>
      </w:r>
    </w:p>
    <w:p>
      <w:pPr>
        <w:pStyle w:val="TextBody"/>
        <w:spacing w:before="120" w:after="0"/>
        <w:jc w:val="left"/>
        <w:rPr>
          <w:rFonts w:ascii="Times New Roman" w:hAnsi="Times New Roman"/>
          <w:sz w:val="20"/>
        </w:rPr>
      </w:pPr>
      <w:r>
        <w:rPr>
          <w:rFonts w:ascii="Times New Roman" w:hAnsi="Times New Roman"/>
          <w:sz w:val="20"/>
        </w:rPr>
        <w:t xml:space="preserve">In November 2022, we issued and sold an aggregate of 25,429,716 shares of our common stock at a purchase price of $2.60 per share and, to certain investors in lieu of common stock, pre-funded warrants to purchase 6,236,693 shares of our common stock at a price of $2.599 per pre-funded warrant. We received total net proceeds of $76.9 million after deducting underwriting discounts and commissions of $4.9 million and offering expenses of $0.5 million. </w:t>
      </w:r>
    </w:p>
    <w:p>
      <w:pPr>
        <w:pStyle w:val="TextBody"/>
        <w:spacing w:before="240" w:after="0"/>
        <w:jc w:val="left"/>
        <w:rPr>
          <w:rFonts w:ascii="Times New Roman" w:hAnsi="Times New Roman"/>
          <w:sz w:val="20"/>
        </w:rPr>
      </w:pPr>
      <w:r>
        <w:rPr>
          <w:rFonts w:ascii="Times New Roman" w:hAnsi="Times New Roman"/>
          <w:sz w:val="20"/>
        </w:rPr>
        <w:t xml:space="preserve">Purchasers of our stock and pre-funded warrants include venture capital funds that beneficially own more than 5% of our outstanding capital stock and/or are or were represented on our board of directors. The following table presents the number of shares and preferred stock warrants and total purchase price paid by these entities.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3849"/>
        <w:gridCol w:w="239"/>
        <w:gridCol w:w="60"/>
        <w:gridCol w:w="1098"/>
        <w:gridCol w:w="60"/>
        <w:gridCol w:w="239"/>
        <w:gridCol w:w="67"/>
        <w:gridCol w:w="1231"/>
        <w:gridCol w:w="60"/>
        <w:gridCol w:w="239"/>
        <w:gridCol w:w="140"/>
        <w:gridCol w:w="1226"/>
        <w:gridCol w:w="64"/>
      </w:tblGrid>
      <w:tr>
        <w:trPr/>
        <w:tc>
          <w:tcPr>
            <w:tcW w:w="384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3849"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Investor</w:t>
            </w:r>
          </w:p>
        </w:tc>
        <w:tc>
          <w:tcPr>
            <w:tcW w:w="239" w:type="dxa"/>
            <w:tcBorders/>
            <w:shd w:fill="auto" w:val="clear"/>
            <w:vAlign w:val="bottom"/>
          </w:tcPr>
          <w:p>
            <w:pPr>
              <w:pStyle w:val="TableContents"/>
              <w:spacing w:before="0" w:after="283"/>
              <w:rPr/>
            </w:pPr>
            <w:r>
              <w:rPr/>
              <w:t>  </w:t>
            </w:r>
          </w:p>
        </w:tc>
        <w:tc>
          <w:tcPr>
            <w:tcW w:w="115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 of</w:t>
              <w:br/>
              <w:t>Common</w:t>
              <w:br/>
              <w:t>Stock</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9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Pre-funded</w:t>
              <w:br/>
              <w:t>Warrants</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36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br/>
              <w:t>Purchase</w:t>
              <w:br/>
              <w:t>Price</w:t>
            </w:r>
          </w:p>
        </w:tc>
        <w:tc>
          <w:tcPr>
            <w:tcW w:w="64" w:type="dxa"/>
            <w:tcBorders/>
            <w:shd w:fill="auto" w:val="clear"/>
            <w:vAlign w:val="bottom"/>
          </w:tcPr>
          <w:p>
            <w:pPr>
              <w:pStyle w:val="TableContents"/>
              <w:spacing w:before="0" w:after="283"/>
              <w:rPr/>
            </w:pPr>
            <w:r>
              <w:rPr/>
              <w:t> </w:t>
            </w:r>
          </w:p>
        </w:tc>
      </w:tr>
      <w:tr>
        <w:trPr/>
        <w:tc>
          <w:tcPr>
            <w:tcW w:w="3849" w:type="dxa"/>
            <w:tcBorders/>
            <w:shd w:fill="CCEEFF" w:val="clear"/>
          </w:tcPr>
          <w:p>
            <w:pPr>
              <w:pStyle w:val="TableContents"/>
              <w:spacing w:before="0" w:after="0"/>
              <w:rPr>
                <w:rFonts w:ascii="Times New Roman" w:hAnsi="Times New Roman"/>
                <w:sz w:val="20"/>
              </w:rPr>
            </w:pPr>
            <w:r>
              <w:rPr>
                <w:rFonts w:ascii="Times New Roman" w:hAnsi="Times New Roman"/>
                <w:sz w:val="20"/>
              </w:rPr>
              <w:t>Funds Affiliated with The Column Group(1)</w:t>
            </w:r>
          </w:p>
        </w:tc>
        <w:tc>
          <w:tcPr>
            <w:tcW w:w="23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9,615,384</w:t>
            </w:r>
          </w:p>
        </w:tc>
        <w:tc>
          <w:tcPr>
            <w:tcW w:w="6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26" w:type="dxa"/>
            <w:tcBorders/>
            <w:shd w:fill="CCEEFF" w:val="clear"/>
            <w:vAlign w:val="bottom"/>
          </w:tcPr>
          <w:p>
            <w:pPr>
              <w:pStyle w:val="TableContents"/>
              <w:spacing w:before="0" w:after="283"/>
              <w:jc w:val="right"/>
              <w:rPr/>
            </w:pPr>
            <w:r>
              <w:rPr/>
              <w:t>24,999,998</w:t>
            </w:r>
          </w:p>
        </w:tc>
        <w:tc>
          <w:tcPr>
            <w:tcW w:w="64" w:type="dxa"/>
            <w:tcBorders/>
            <w:shd w:fill="CCEEFF" w:val="clear"/>
            <w:vAlign w:val="bottom"/>
          </w:tcPr>
          <w:p>
            <w:pPr>
              <w:pStyle w:val="TableContents"/>
              <w:spacing w:before="0" w:after="283"/>
              <w:rPr/>
            </w:pPr>
            <w:r>
              <w:rPr/>
              <w:t> </w:t>
            </w:r>
          </w:p>
        </w:tc>
      </w:tr>
      <w:tr>
        <w:trPr/>
        <w:tc>
          <w:tcPr>
            <w:tcW w:w="3849" w:type="dxa"/>
            <w:tcBorders/>
            <w:shd w:fill="auto" w:val="clear"/>
          </w:tcPr>
          <w:p>
            <w:pPr>
              <w:pStyle w:val="TableContents"/>
              <w:spacing w:before="0" w:after="0"/>
              <w:rPr>
                <w:rFonts w:ascii="Times New Roman" w:hAnsi="Times New Roman"/>
                <w:sz w:val="20"/>
              </w:rPr>
            </w:pPr>
            <w:r>
              <w:rPr>
                <w:rFonts w:ascii="Times New Roman" w:hAnsi="Times New Roman"/>
                <w:sz w:val="20"/>
              </w:rPr>
              <w:t>Funds Affiliated with Casdin Capital LLC(2)</w:t>
            </w:r>
          </w:p>
        </w:tc>
        <w:tc>
          <w:tcPr>
            <w:tcW w:w="2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2,492,042</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jc w:val="right"/>
              <w:rPr/>
            </w:pPr>
            <w:r>
              <w:rPr/>
              <w:t>1,354,111</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26" w:type="dxa"/>
            <w:tcBorders/>
            <w:shd w:fill="auto" w:val="clear"/>
            <w:vAlign w:val="bottom"/>
          </w:tcPr>
          <w:p>
            <w:pPr>
              <w:pStyle w:val="TableContents"/>
              <w:spacing w:before="0" w:after="283"/>
              <w:jc w:val="right"/>
              <w:rPr/>
            </w:pPr>
            <w:r>
              <w:rPr/>
              <w:t>9,998,643</w:t>
            </w:r>
          </w:p>
        </w:tc>
        <w:tc>
          <w:tcPr>
            <w:tcW w:w="64" w:type="dxa"/>
            <w:tcBorders/>
            <w:shd w:fill="auto" w:val="clear"/>
            <w:vAlign w:val="bottom"/>
          </w:tcPr>
          <w:p>
            <w:pPr>
              <w:pStyle w:val="TableContents"/>
              <w:spacing w:before="0" w:after="283"/>
              <w:rPr/>
            </w:pPr>
            <w:r>
              <w:rPr/>
              <w:t> </w:t>
            </w:r>
          </w:p>
        </w:tc>
      </w:tr>
      <w:tr>
        <w:trPr/>
        <w:tc>
          <w:tcPr>
            <w:tcW w:w="3849" w:type="dxa"/>
            <w:tcBorders/>
            <w:shd w:fill="CCEEFF" w:val="clear"/>
          </w:tcPr>
          <w:p>
            <w:pPr>
              <w:pStyle w:val="TableContents"/>
              <w:spacing w:before="0" w:after="0"/>
              <w:rPr>
                <w:rFonts w:ascii="Times New Roman" w:hAnsi="Times New Roman"/>
                <w:sz w:val="20"/>
              </w:rPr>
            </w:pPr>
            <w:r>
              <w:rPr>
                <w:rFonts w:ascii="Times New Roman" w:hAnsi="Times New Roman"/>
                <w:sz w:val="20"/>
              </w:rPr>
              <w:t>Funds Affiliated with RA Capital Management(3)</w:t>
            </w:r>
          </w:p>
        </w:tc>
        <w:tc>
          <w:tcPr>
            <w:tcW w:w="23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4,732,803</w:t>
            </w:r>
          </w:p>
        </w:tc>
        <w:tc>
          <w:tcPr>
            <w:tcW w:w="6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jc w:val="right"/>
              <w:rPr/>
            </w:pPr>
            <w:r>
              <w:rPr/>
              <w:t>4,882,582</w:t>
            </w:r>
          </w:p>
        </w:tc>
        <w:tc>
          <w:tcPr>
            <w:tcW w:w="6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26" w:type="dxa"/>
            <w:tcBorders/>
            <w:shd w:fill="CCEEFF" w:val="clear"/>
            <w:vAlign w:val="bottom"/>
          </w:tcPr>
          <w:p>
            <w:pPr>
              <w:pStyle w:val="TableContents"/>
              <w:spacing w:before="0" w:after="283"/>
              <w:jc w:val="right"/>
              <w:rPr/>
            </w:pPr>
            <w:r>
              <w:rPr/>
              <w:t>24,995,119</w:t>
            </w:r>
          </w:p>
        </w:tc>
        <w:tc>
          <w:tcPr>
            <w:tcW w:w="64"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Entities affiliated with The Column Group holding our securities are aggregated for reporting ownership information and include The Column Group Opportunity III, LP, The Column Group III, LP and The Column Group III-A, LP. David Goeddel, a member of our board of directors is the Managing Partner of The Column Group.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Entities affiliated with Casdin Capital LLC holding our securities are aggregated for reporting ownership information and include Casdin Partners Master Fund, L.P. and Casdin Private Growth Equity Fund, L.P. Eli Casdin, a former member of our board of directors at the time of the offering and the Chief Investment Officer of Casdin Capital LLC and the managing member of Casdin Partners GP, LLC.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Entities affiliated with RA Capital Management holding our securities are aggregated for reporting ownership information and include RA Capital Management, L.P. and RA Capital Nexus Fund II, L.P.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Indemnification Agreements </w:t>
      </w:r>
    </w:p>
    <w:p>
      <w:pPr>
        <w:pStyle w:val="TextBody"/>
        <w:spacing w:before="120" w:after="0"/>
        <w:jc w:val="left"/>
        <w:rPr>
          <w:rFonts w:ascii="Times New Roman" w:hAnsi="Times New Roman"/>
          <w:sz w:val="20"/>
        </w:rPr>
      </w:pPr>
      <w:r>
        <w:rPr>
          <w:rFonts w:ascii="Times New Roman" w:hAnsi="Times New Roman"/>
          <w:sz w:val="20"/>
        </w:rPr>
        <w:t xml:space="preserve">Our Amended and Restated Certificate of Incorporation contains provisions limiting the liability of the members of our board of directors, and our Bylaws provide that we will indemnify each of our officers and the members of our board of directors to the fullest extent permitted under Delaware law, subject to certain exceptions. Our Amended and Restated Certificate of Incorporation and Bylaws also provide our board of directors with discretion to indemnify our employees and other agents when it determines to be appropriate. In addition, we have entered into an indemnification agreement with each of our executive officers and the members of our board of directors requiring us to indemnify them. </w:t>
      </w:r>
    </w:p>
    <w:p>
      <w:pPr>
        <w:pStyle w:val="TextBody"/>
        <w:spacing w:before="360" w:after="0"/>
        <w:jc w:val="left"/>
        <w:rPr>
          <w:rFonts w:ascii="Times New Roman" w:hAnsi="Times New Roman"/>
          <w:b/>
          <w:sz w:val="20"/>
        </w:rPr>
      </w:pPr>
      <w:bookmarkStart w:id="46" w:name="toc455357_44"/>
      <w:bookmarkEnd w:id="46"/>
      <w:r>
        <w:rPr>
          <w:rFonts w:ascii="Times New Roman" w:hAnsi="Times New Roman"/>
          <w:b/>
          <w:sz w:val="20"/>
        </w:rPr>
        <w:t xml:space="preserve">Policies and Procedures for Related Person Transactions </w:t>
      </w:r>
    </w:p>
    <w:p>
      <w:pPr>
        <w:pStyle w:val="TextBody"/>
        <w:spacing w:before="120" w:after="0"/>
        <w:jc w:val="left"/>
        <w:rPr>
          <w:rFonts w:ascii="Times New Roman" w:hAnsi="Times New Roman"/>
          <w:sz w:val="20"/>
        </w:rPr>
      </w:pPr>
      <w:r>
        <w:rPr>
          <w:rFonts w:ascii="Times New Roman" w:hAnsi="Times New Roman"/>
          <w:sz w:val="20"/>
        </w:rPr>
        <w:t xml:space="preserve">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The charter of our audit committee provides that our audit committee shall review and approve in advance any related party transaction. </w:t>
      </w:r>
    </w:p>
    <w:p>
      <w:pPr>
        <w:pStyle w:val="TextBody"/>
        <w:spacing w:before="240" w:after="0"/>
        <w:jc w:val="left"/>
        <w:rPr>
          <w:rFonts w:ascii="Times New Roman" w:hAnsi="Times New Roman"/>
          <w:sz w:val="20"/>
        </w:rPr>
      </w:pPr>
      <w:r>
        <w:rPr>
          <w:rFonts w:ascii="Times New Roman" w:hAnsi="Times New Roman"/>
          <w:sz w:val="20"/>
        </w:rPr>
        <w:t xml:space="preserve">Our board of directors adopted a formal written policy governing our entry into any transaction that exceeds $120,000 and in which any related person has a direct or indirect material interest. The policy provides that management shall present related party transactions to the audit committee for approval. The policy does not prevent management from entering into any related party transaction without prior approval of the audit committee, so long as such related party transaction is thereafter presented to the audit committee for ratification.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7" w:name="toc455357_45"/>
      <w:bookmarkEnd w:id="47"/>
      <w:r>
        <w:rPr>
          <w:rFonts w:ascii="Times New Roman" w:hAnsi="Times New Roman"/>
          <w:b/>
          <w:sz w:val="20"/>
        </w:rPr>
        <w:t xml:space="preserve">OTHER MATTERS </w:t>
      </w:r>
    </w:p>
    <w:p>
      <w:pPr>
        <w:pStyle w:val="TextBody"/>
        <w:spacing w:before="240" w:after="0"/>
        <w:jc w:val="left"/>
        <w:rPr>
          <w:rFonts w:ascii="Times New Roman" w:hAnsi="Times New Roman"/>
          <w:b/>
          <w:sz w:val="20"/>
        </w:rPr>
      </w:pPr>
      <w:bookmarkStart w:id="48" w:name="toc455357_46"/>
      <w:bookmarkEnd w:id="48"/>
      <w:r>
        <w:rPr>
          <w:rFonts w:ascii="Times New Roman" w:hAnsi="Times New Roman"/>
          <w:b/>
          <w:sz w:val="20"/>
        </w:rPr>
        <w:t xml:space="preserve">Delinquent Section 16(a) Reports </w:t>
      </w:r>
    </w:p>
    <w:p>
      <w:pPr>
        <w:pStyle w:val="TextBody"/>
        <w:spacing w:before="120" w:after="0"/>
        <w:jc w:val="left"/>
        <w:rPr>
          <w:rFonts w:ascii="Times New Roman" w:hAnsi="Times New Roman"/>
          <w:sz w:val="20"/>
        </w:rPr>
      </w:pPr>
      <w:r>
        <w:rPr>
          <w:rFonts w:ascii="Times New Roman" w:hAnsi="Times New Roman"/>
          <w:sz w:val="20"/>
        </w:rPr>
        <w:t xml:space="preserve">Section 16(a) of the Exchange Act requires that our directors and executive officers, and persons who own more than 10% of our common stock, file reports of ownership and changes in ownership with the SEC. Based on our review of such filings and written representations from certain reporting persons that no Form 5 is required, we believe that during the fiscal year ended December 31, 2022, all directors, executive officers and greater than 10% stockholders complied with all Section 16(a) filing requirements applicable to them, except as follows: (a) Dr. Srivastava, who serves as President of the J. David Gladstone Institutes, failed to timely file a Form 4 relating to the purchase of Tenaya common stock by the J. David Gladstone Institutes on November 21, 2022, in connection with our public offering. A Form 4 was subsequently filed on December 9, 2022; and (b) Mr. Casdin, who serves the Managing Member of Casdin Capital, LLC, failed to timely file a Form 4 relating to the purchase of Tenaya common stock by the Casdin Capital, LLC on November 21, 2022, in connection with our public offering. A Form 4 was subsequently filed on November 25, 2022. </w:t>
      </w:r>
    </w:p>
    <w:p>
      <w:pPr>
        <w:pStyle w:val="TextBody"/>
        <w:spacing w:before="360" w:after="0"/>
        <w:jc w:val="left"/>
        <w:rPr>
          <w:rFonts w:ascii="Times New Roman" w:hAnsi="Times New Roman"/>
          <w:b/>
          <w:sz w:val="20"/>
        </w:rPr>
      </w:pPr>
      <w:bookmarkStart w:id="49" w:name="toc455357_47"/>
      <w:bookmarkEnd w:id="49"/>
      <w:r>
        <w:rPr>
          <w:rFonts w:ascii="Times New Roman" w:hAnsi="Times New Roman"/>
          <w:b/>
          <w:sz w:val="20"/>
        </w:rPr>
        <w:t xml:space="preserve">2022 Annual Report and SEC Filings </w:t>
      </w:r>
    </w:p>
    <w:p>
      <w:pPr>
        <w:pStyle w:val="TextBody"/>
        <w:spacing w:before="120" w:after="0"/>
        <w:jc w:val="left"/>
        <w:rPr>
          <w:rFonts w:ascii="Times New Roman" w:hAnsi="Times New Roman"/>
          <w:sz w:val="20"/>
        </w:rPr>
      </w:pPr>
      <w:r>
        <w:rPr>
          <w:rFonts w:ascii="Times New Roman" w:hAnsi="Times New Roman"/>
          <w:sz w:val="20"/>
        </w:rPr>
        <w:t xml:space="preserve">Our financial statements for our fiscal year ended December 31, 2022, are included in our annual report, which we will make available to stockholders at the same time as this proxy statement. Our proxy materials and our annual report are posted on our website at www.tenayatherapeutics.com and are available from the SEC at its website at </w:t>
      </w:r>
      <w:r>
        <w:rPr>
          <w:rFonts w:ascii="Times New Roman" w:hAnsi="Times New Roman"/>
          <w:i/>
          <w:sz w:val="20"/>
        </w:rPr>
        <w:t>www.sec.gov</w:t>
      </w:r>
      <w:r>
        <w:rPr>
          <w:rFonts w:ascii="Times New Roman" w:hAnsi="Times New Roman"/>
          <w:sz w:val="20"/>
        </w:rPr>
        <w:t xml:space="preserve">. </w:t>
      </w:r>
      <w:r>
        <w:rPr>
          <w:rFonts w:ascii="Times New Roman" w:hAnsi="Times New Roman"/>
          <w:b/>
          <w:sz w:val="20"/>
        </w:rPr>
        <w:t xml:space="preserve">You may also obtain a copy of our annual report, free of charge, by sending a written request to: </w:t>
      </w:r>
    </w:p>
    <w:p>
      <w:pPr>
        <w:pStyle w:val="TextBody"/>
        <w:spacing w:before="240" w:after="0"/>
        <w:jc w:val="center"/>
        <w:rPr>
          <w:rFonts w:ascii="Times New Roman" w:hAnsi="Times New Roman"/>
          <w:sz w:val="20"/>
        </w:rPr>
      </w:pPr>
      <w:r>
        <w:rPr>
          <w:rFonts w:ascii="Times New Roman" w:hAnsi="Times New Roman"/>
          <w:sz w:val="20"/>
        </w:rPr>
        <w:t xml:space="preserve">Tenaya Therapeutics, Inc. </w:t>
      </w:r>
    </w:p>
    <w:p>
      <w:pPr>
        <w:pStyle w:val="TextBody"/>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spacing w:before="0" w:after="0"/>
        <w:jc w:val="center"/>
        <w:rPr>
          <w:rFonts w:ascii="Times New Roman" w:hAnsi="Times New Roman"/>
          <w:sz w:val="20"/>
        </w:rPr>
      </w:pPr>
      <w:r>
        <w:rPr>
          <w:rFonts w:ascii="Times New Roman" w:hAnsi="Times New Roman"/>
          <w:sz w:val="20"/>
        </w:rPr>
        <w:t xml:space="preserve">171 Oyster Point Boulevard, Suite 500 </w:t>
      </w:r>
    </w:p>
    <w:p>
      <w:pPr>
        <w:pStyle w:val="TextBody"/>
        <w:spacing w:before="0" w:after="0"/>
        <w:jc w:val="center"/>
        <w:rPr>
          <w:rFonts w:ascii="Times New Roman" w:hAnsi="Times New Roman"/>
          <w:sz w:val="20"/>
        </w:rPr>
      </w:pPr>
      <w:r>
        <w:rPr>
          <w:rFonts w:ascii="Times New Roman" w:hAnsi="Times New Roman"/>
          <w:sz w:val="20"/>
        </w:rPr>
        <w:t xml:space="preserve">South San Francisco, CA 94080 </w:t>
      </w:r>
    </w:p>
    <w:p>
      <w:pPr>
        <w:pStyle w:val="TextBody"/>
        <w:spacing w:before="240" w:after="0"/>
        <w:jc w:val="left"/>
        <w:rPr>
          <w:rFonts w:ascii="Times New Roman" w:hAnsi="Times New Roman"/>
          <w:sz w:val="20"/>
        </w:rPr>
      </w:pPr>
      <w:r>
        <w:rPr>
          <w:rFonts w:ascii="Times New Roman" w:hAnsi="Times New Roman"/>
          <w:sz w:val="20"/>
        </w:rPr>
        <w:t xml:space="preserve">Information contained on, or that can be accessed through, our website is not intended to be incorporated by reference into this proxy statement, and references to our website address in this proxy statement are inactive textual references only. </w:t>
      </w:r>
    </w:p>
    <w:p>
      <w:pPr>
        <w:pStyle w:val="TextBody"/>
        <w:spacing w:before="240" w:after="0"/>
        <w:jc w:val="center"/>
        <w:rPr>
          <w:rFonts w:ascii="Times New Roman" w:hAnsi="Times New Roman"/>
          <w:sz w:val="20"/>
        </w:rPr>
      </w:pPr>
      <w:r>
        <w:rPr>
          <w:rFonts w:ascii="Times New Roman" w:hAnsi="Times New Roman"/>
          <w:sz w:val="20"/>
        </w:rPr>
        <w:t xml:space="preserve">* * * </w:t>
      </w:r>
    </w:p>
    <w:p>
      <w:pPr>
        <w:pStyle w:val="TextBody"/>
        <w:spacing w:before="240" w:after="0"/>
        <w:jc w:val="left"/>
        <w:rPr>
          <w:rFonts w:ascii="Times New Roman" w:hAnsi="Times New Roman"/>
          <w:sz w:val="20"/>
        </w:rPr>
      </w:pPr>
      <w:r>
        <w:rPr>
          <w:rFonts w:ascii="Times New Roman" w:hAnsi="Times New Roman"/>
          <w:sz w:val="20"/>
        </w:rPr>
        <w:t xml:space="preserve">The board of directors does not know of any other matters to be presented at the annual meeting. If any additional matters are properly presented at the annual meeting, the persons named in the proxy will have discretion to vote the shares of our common stock they represent in accordance with their own judgment on such matters. </w:t>
      </w:r>
    </w:p>
    <w:p>
      <w:pPr>
        <w:pStyle w:val="TextBody"/>
        <w:spacing w:before="240" w:after="0"/>
        <w:jc w:val="left"/>
        <w:rPr>
          <w:rFonts w:ascii="Times New Roman" w:hAnsi="Times New Roman"/>
          <w:sz w:val="20"/>
        </w:rPr>
      </w:pPr>
      <w:r>
        <w:rPr>
          <w:rFonts w:ascii="Times New Roman" w:hAnsi="Times New Roman"/>
          <w:sz w:val="20"/>
        </w:rPr>
        <w:t xml:space="preserve">It is important that your shares be represented at the annual meeting, regardless of the number of shares that you hold. You are, therefore, urged to vote as promptly as possible to ensure your vote is recorded. </w:t>
      </w:r>
    </w:p>
    <w:p>
      <w:pPr>
        <w:pStyle w:val="TextBody"/>
        <w:spacing w:before="360" w:after="0"/>
        <w:jc w:val="left"/>
        <w:rPr>
          <w:rFonts w:ascii="Times New Roman" w:hAnsi="Times New Roman"/>
          <w:b/>
          <w:sz w:val="20"/>
        </w:rPr>
      </w:pPr>
      <w:r>
        <w:rPr>
          <w:rFonts w:ascii="Times New Roman" w:hAnsi="Times New Roman"/>
          <w:b/>
          <w:sz w:val="20"/>
        </w:rPr>
        <w:t xml:space="preserve">THE BOARD OF DIRECTORS </w:t>
      </w:r>
    </w:p>
    <w:p>
      <w:pPr>
        <w:pStyle w:val="TextBody"/>
        <w:spacing w:before="120" w:after="0"/>
        <w:jc w:val="left"/>
        <w:rPr>
          <w:rFonts w:ascii="Times New Roman" w:hAnsi="Times New Roman"/>
          <w:sz w:val="20"/>
        </w:rPr>
      </w:pPr>
      <w:r>
        <w:rPr>
          <w:rFonts w:ascii="Times New Roman" w:hAnsi="Times New Roman"/>
          <w:sz w:val="20"/>
        </w:rPr>
        <w:t xml:space="preserve">South San Francisco, California </w:t>
      </w:r>
    </w:p>
    <w:p>
      <w:pPr>
        <w:pStyle w:val="TextBody"/>
        <w:spacing w:before="0" w:after="0"/>
        <w:jc w:val="left"/>
        <w:rPr>
          <w:rFonts w:ascii="Times New Roman" w:hAnsi="Times New Roman"/>
          <w:sz w:val="20"/>
        </w:rPr>
      </w:pPr>
      <w:r>
        <w:rPr>
          <w:rFonts w:ascii="Times New Roman" w:hAnsi="Times New Roman"/>
          <w:sz w:val="20"/>
        </w:rPr>
        <w:t xml:space="preserve">April 27,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7067550" cy="9144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067550" cy="9144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YOUR VOTE IS IMPORTANT! PLEASE VOTE BY: INTERNET Go To: www.proxypush.com/TNYA Cast your vote online P.O. BOX 8016, CARY, NC 27512-9903 Have your Proxy Card ready Follow the simple instructions to record your vote PHONE Call 1-866-475-3780 Use any touch-tone telephone Have your Proxy Card ready Follow the simple recorded instructions MAIL Mark, sign and date your Proxy Card Fold and return your Proxy Card in the postage-paid envelope provided ALEXA, VOTE MY PROXY Open Alexa app and browse skills Search Vote my Proxy Enable skill You must register to attend the meeting online and/or participate at www.proxydocs.com/TNYA Tenaya Therapeutics, Inc. Annual Meeting of Stockholders For Stockholders of record as of April 10, 2023 TIME: Thursday, June 8, 2023 8:00 AM, Pacific Time PLACE: Annual Meeting to be held live via the Internet - please visit www.proxydocs.com/TNYA for more details This proxy is being solicited on behalf of the Board of Directors The undersigned hereby appoints Faraz Ali, Leone D. Patterson and Jennifer Drimmer Rokovich (the Named Proxies), and each or either of them, as proxies for the undersigned, with full power of substitution and revocation, and authorizes them, and each of them, to vote all the shares of capital stock of Tenaya Therapeutics, Inc. which the undersigned is entitled to vote at the Annual Meeting of Stockholders to be held at 8:00 AM Pacific Time on June 8, 2023, and any adjournment or postponement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FOR ALL NOMINEES FOR DIRECTORS IN PROPOSAL 1, AND FOR PROPOSALS 2 AND 3.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TO ATTEND the Annual Meeting, please visit www.proxydocs.com/TNYA for virtual meeting registration details. PLEASE BE SURE TO SIGN AND DATE THIS PROXY CARD AND MARK ON THE REVERSE SIDE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7067550" cy="9144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067550" cy="9144000"/>
                    </a:xfrm>
                    <a:prstGeom prst="rect">
                      <a:avLst/>
                    </a:prstGeom>
                  </pic:spPr>
                </pic:pic>
              </a:graphicData>
            </a:graphic>
          </wp:inline>
        </w:drawing>
      </w:r>
      <w:r>
        <w:rPr/>
        <w:t xml:space="preserve"> </w:t>
      </w:r>
    </w:p>
    <w:p>
      <w:pPr>
        <w:pStyle w:val="TextBody"/>
        <w:spacing w:before="0" w:after="283"/>
        <w:jc w:val="left"/>
        <w:rPr>
          <w:rFonts w:ascii="Times New Roman" w:hAnsi="Times New Roman"/>
          <w:color w:val="FFFFFF"/>
          <w:sz w:val="2"/>
        </w:rPr>
      </w:pPr>
      <w:r>
        <w:rPr>
          <w:rFonts w:ascii="Times New Roman" w:hAnsi="Times New Roman"/>
          <w:color w:val="FFFFFF"/>
          <w:sz w:val="2"/>
        </w:rPr>
        <w:t xml:space="preserve">Tenaya Therapeutics, Inc. Annual Meeting of Stockholders Please make your marks like this: X The Board of Directors recommends a vote FOR each Nominee listed below in Proposal 1 and FOR Proposals 2 and 3. BOARD OF DIRECTORS PROPOSAL YOUR VOTE RECOMMENDS 1. To elect three Class II directors to hold office until our 2026 annual meeting of stockholders and until their respective successors are elected and qualified. FOR WITHHOLD 1.01 Amy Burroughs, M.B.A. FOR P2 P2 1.02 Jin-Long Chen, Ph.D. FOR P3 P3 1.03 Catherine Stehman-Breen, M.D. FOR P4 P4 FOR AGAINST ABSTAIN 2. To ratify the appointment of Deloitte &amp; Touche LLP as our independent registered public FOR accounting firm for our fiscal year ending December 31, 2023. P5 P5 P5 3. To approve an amendment to our Amended and Restated Certificate of Incorporation to reflect FOR recently adopted Delaware law provisions regarding officer exculpation. P6 P6 P6 NOTE: In their discretion, the Named Proxies are authorized to vote upon such other business as may properly come before the Annual Meeting or any adjustments or postponements thereof. You must register to attend the meeting online and/or participate at www.proxydocs.com/TNYA Authorized Signatures -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45</Pages>
  <Words>23508</Words>
  <CharactersWithSpaces>149079</CharactersWithSpaces>
  <Paragraphs>2634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 14A</dc:title>
</cp:coreProperties>
</file>