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120" w:right="2500" w:hanging="3099"/>
        <w:spacing w:after="0" w:line="334" w:lineRule="auto"/>
        <w:tabs>
          <w:tab w:leader="none" w:pos="48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FROM___________TO___________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001-40656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TENAYA THERAPEUTICS, INC.</w:t>
      </w:r>
    </w:p>
    <w:p>
      <w:pPr>
        <w:sectPr>
          <w:pgSz w:w="11900" w:h="16838" w:orient="portrait"/>
          <w:cols w:equalWidth="0" w:num="1">
            <w:col w:w="11240"/>
          </w:cols>
          <w:pgMar w:left="320" w:top="124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171 Oyster Point Boulevard, Suite 500</w:t>
      </w:r>
    </w:p>
    <w:p>
      <w:pPr>
        <w:spacing w:after="0" w:line="1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81-3789973</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94080</w:t>
      </w:r>
    </w:p>
    <w:p>
      <w:pPr>
        <w:spacing w:after="0" w:line="28" w:lineRule="exact"/>
        <w:rPr>
          <w:sz w:val="24"/>
          <w:szCs w:val="24"/>
          <w:color w:val="auto"/>
        </w:rPr>
      </w:pPr>
    </w:p>
    <w:p>
      <w:pPr>
        <w:sectPr>
          <w:pgSz w:w="11900" w:h="16838" w:orient="portrait"/>
          <w:cols w:equalWidth="0" w:num="2">
            <w:col w:w="7640" w:space="300"/>
            <w:col w:w="3300"/>
          </w:cols>
          <w:pgMar w:left="320" w:top="1249"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825-6990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58"/>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TNYA</w:t>
            </w:r>
          </w:p>
        </w:tc>
        <w:tc>
          <w:tcPr>
            <w:tcW w:w="2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r>
      <w:tr>
        <w:trPr>
          <w:trHeight w:val="171"/>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r>
    </w:tbl>
    <w:p>
      <w:pPr>
        <w:spacing w:after="0" w:line="10" w:lineRule="exact"/>
        <w:rPr>
          <w:sz w:val="24"/>
          <w:szCs w:val="24"/>
          <w:color w:val="auto"/>
        </w:rPr>
      </w:pPr>
    </w:p>
    <w:p>
      <w:pPr>
        <w:ind w:right="458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800" w:type="dxa"/>
            <w:vAlign w:val="bottom"/>
          </w:tcPr>
          <w:p>
            <w:pPr>
              <w:ind w:left="29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8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480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18"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40"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2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Global Select Stock Market on June 30, 2025 was approximately $63.1 million.</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5, 2026 was 216,998,876.</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5" w:lineRule="exact"/>
        <w:rPr>
          <w:sz w:val="24"/>
          <w:szCs w:val="24"/>
          <w:color w:val="auto"/>
        </w:rPr>
      </w:pPr>
    </w:p>
    <w:p>
      <w:pPr>
        <w:ind w:right="400"/>
        <w:spacing w:after="0" w:line="238" w:lineRule="auto"/>
        <w:rPr>
          <w:sz w:val="20"/>
          <w:szCs w:val="20"/>
          <w:color w:val="auto"/>
        </w:rPr>
      </w:pPr>
      <w:r>
        <w:rPr>
          <w:rFonts w:ascii="Times New Roman" w:cs="Times New Roman" w:eastAsia="Times New Roman" w:hAnsi="Times New Roman"/>
          <w:sz w:val="13"/>
          <w:szCs w:val="13"/>
          <w:color w:val="auto"/>
        </w:rPr>
        <w:t>Portions of the definitive proxy statement for the Registrant’s 2026 Annual Meeting of Stockholders are incorporated by reference in Part III of this Form 10-K. Such definitive proxy statement will be filed with the Securities and Exchange Commission within 120 days after the end of the Registrant’s 2025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6"/>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gridSpan w:val="2"/>
            <w:vMerge w:val="continue"/>
          </w:tcPr>
          <w:p>
            <w:pPr>
              <w:spacing w:after="0"/>
              <w:rPr>
                <w:sz w:val="14"/>
                <w:szCs w:val="14"/>
                <w:color w:val="auto"/>
              </w:rPr>
            </w:pPr>
          </w:p>
        </w:tc>
        <w:tc>
          <w:tcPr>
            <w:tcW w:w="5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12"/>
        </w:trPr>
        <w:tc>
          <w:tcPr>
            <w:tcW w:w="1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500" w:type="dxa"/>
            <w:vAlign w:val="bottom"/>
            <w:gridSpan w:val="5"/>
          </w:tcPr>
          <w:p>
            <w:pPr>
              <w:spacing w:after="0"/>
              <w:rPr>
                <w:sz w:val="17"/>
                <w:szCs w:val="17"/>
                <w:color w:val="auto"/>
              </w:rPr>
            </w:pP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412"/>
        </w:trPr>
        <w:tc>
          <w:tcPr>
            <w:tcW w:w="1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40" w:type="dxa"/>
            <w:vAlign w:val="bottom"/>
            <w:gridSpan w:val="4"/>
          </w:tcPr>
          <w:p>
            <w:pPr>
              <w:spacing w:after="0"/>
              <w:rPr>
                <w:sz w:val="17"/>
                <w:szCs w:val="17"/>
                <w:color w:val="auto"/>
              </w:rPr>
            </w:pP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20" w:type="dxa"/>
            <w:vAlign w:val="bottom"/>
            <w:tcBorders>
              <w:bottom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1020" w:right="6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approvals, and alignment,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potential advantages of our products compared to our competitors, and the success of competing therapies that are or may become available;</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 and our belief in the potential applications of our current product candidates to additional indications and targets;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collaboration with Alnylam, including potential targets, research and development strategy, the timing and duration of the collaboration, expected payments, and the achievement of milestones;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61"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 w:name="page4"/>
    <w:bookmarkEnd w:id="3"/>
    <w:p>
      <w:pPr>
        <w:spacing w:after="0" w:line="86" w:lineRule="exact"/>
        <w:rPr>
          <w:sz w:val="20"/>
          <w:szCs w:val="20"/>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committed to a bold mission: to discover, develop and deliver potentially curative therapies that address the underlying drivers of heart disease.</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Heart disease remains the leading cause of death in the world. In the U.S., one person dies from a cardiovascular-related health condition every 34 seconds, a gruesome statistic that translates to one in every three deaths in the U.S each year. One in 20 adults suffer from congenital heart disease (CHD) and the picture is equally bleak at the other end of the age spectrum, as approximately 40,000 children are born in the U.S every year with CHD, the leading cause of birth defect-related morbidity and mortality. While there is a clear need for improved treatments, the rate of cardiovascular drug product approvals has declined in recent years and few of the approved treatments address the underlying cause of such diseases.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collective understanding of the links between heart disease and genetic factors is increasing dramatically, creating new opportunities for the advancement of novel disease-modifying therapeutics that target the underlying cause of disease. Roughly one-third to one-half of all heart diseases are linked to genetic risks, regardless of major racial and ethnic backgrounds, and there are over 250 known genetically defined disorders where the primary source of morbidity and mortality involves the heart. Leveraging this improved understanding of the genetic causes of heart disease, as well as an increased recognition that precision medicine initiatives may accelerate the advancement of scientific breakthroughs, our vision is to change the treatment paradigm for heart disease and in doing so, improve and extend the lives of patients.</w:t>
      </w:r>
    </w:p>
    <w:p>
      <w:pPr>
        <w:spacing w:after="0" w:line="7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primarily focused on advancing our clinical-stage gene therapy candidates, TN-201,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Phase 1b/2 clinical testing to establish the safety and efficacy profile of two different doses. We anticipate that data generated to date and over the course of 2026 will support pursuit of regulatory alignment on late-stage development for TN-201 and TN-401. A third clinical-stage candidate discovered utilizing our targeted drug discovery capabilities is TN-301, a highly specific small molecule inhibitor of histone deacetylase 6 (HDAC6) with a unique multi-modal mechanism of action that has potentially broad utility in prevalent conditions such as heart failure with preserved ejection fraction (HFpEF), as well as other cardiac, metabolic, muscular and pulmonary diseases, including but not limited to genetic dilated cardiomyopathy (DCM), Duchenne muscular dystrophy (DMD) and pulmonary arterial hypertension (PAH).</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were founded with a long-term goal of building a fully integrated biopharmaceutical company focused on discovering, developing and ultimately commercializing first-/best-in-class precision medicines for heart disease. Early on in our company history, we invested in differentiated capabilities to enable modality agnostic target identification and validation and product candidate optimization efforts anchored in human genetics and the use of human disease models. These highly productive platform drug discovery capabilities directly contributed to the development of our three clinical-stage programs, as well as to several earlier-stage pipeline. To support our initial focus on gene therapy candidates, we have internalized expertise in capsid engineering, promoters and regulatory elements and manufacturing science anchored on the use of adeno-associated viruses (AAVs) as the method of delivery to the heart. That in-depth genetic medicines expertise has directly informed the design, optimization and production of our lead gene therapy candidates, TN-201 and TN-401.</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extensive cardiac genetic medicines capabilities make us a potential partner of choice for academic researchers and industry partners alike. In March 2026, we entered into a multi-target research collaboration with Alnylam Pharmaceuticals, Inc. (Alnylam), to identify and validate novel gene targets for the potential treatment of cardiovascular disease. Importantly, this agreement takes advantage of our modality agnostic discovery know-how and provides reimbursement for research efforts.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For programs addressing relatively rare conditions – for example, our gene therapies for genetic cardiomyopathies – our strategy is to develop, manufacture, and commercialize at least some of these programs on our own, although we may selectively consider partnerships to access technology, accelerate our progress, or improve our global reach. Where our discovery efforts lead to product candidates intended for relatively prevalent indications our strategy is to out-license or partner such programs.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 Pipeline</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are advancing a diverse pipeline of product candidates intended to target the underlying causes of rare and highly prevalent forms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45720</wp:posOffset>
            </wp:positionV>
            <wp:extent cx="5349240" cy="3008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Each of our most advanced product candidates, TN-201, TN-401, and TN-301, emerged from an initial examination of the genetic underpinnings of heart conditions and has progressed to clinical stage with the support of our proprietary internal capabilities.</w:t>
      </w:r>
    </w:p>
    <w:p>
      <w:pPr>
        <w:spacing w:after="0" w:line="50" w:lineRule="exact"/>
        <w:rPr>
          <w:sz w:val="20"/>
          <w:szCs w:val="20"/>
          <w:color w:val="auto"/>
        </w:rPr>
      </w:pPr>
    </w:p>
    <w:p>
      <w:pPr>
        <w:ind w:left="1020" w:hanging="503"/>
        <w:spacing w:after="0" w:line="24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TN-201 gene therapy for HCM caused by variants in the MYBPC3 gene: </w:t>
      </w:r>
      <w:r>
        <w:rPr>
          <w:rFonts w:ascii="Times New Roman" w:cs="Times New Roman" w:eastAsia="Times New Roman" w:hAnsi="Times New Roman"/>
          <w:sz w:val="18"/>
          <w:szCs w:val="18"/>
          <w:color w:val="auto"/>
        </w:rPr>
        <w:t>TN-201 is our AAV9-based gene therapy being developed to treat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underlying cause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by delivering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via a single infusion. </w:t>
      </w:r>
      <w:r>
        <w:rPr>
          <w:rFonts w:ascii="Times New Roman" w:cs="Times New Roman" w:eastAsia="Times New Roman" w:hAnsi="Times New Roman"/>
          <w:sz w:val="18"/>
          <w:szCs w:val="18"/>
          <w:i w:val="1"/>
          <w:iCs w:val="1"/>
          <w:color w:val="auto"/>
        </w:rPr>
        <w:t xml:space="preserve">MYBPC3 </w:t>
      </w:r>
      <w:r>
        <w:rPr>
          <w:rFonts w:ascii="Times New Roman" w:cs="Times New Roman" w:eastAsia="Times New Roman" w:hAnsi="Times New Roman"/>
          <w:sz w:val="18"/>
          <w:szCs w:val="18"/>
          <w:color w:val="auto"/>
        </w:rPr>
        <w:t>mutations are the most common genetic cause of HCM, accounting for approximately 20% of the overall HCM population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120,000 people in the U.S. alone. Patients may experience serious complications such as shortness of breath, fainting and palpitations, significant impairment in overall quality of life, heart failure, and sudden cardiac death. We are currently conducting the Phase 1b/2 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-1 clinical trial in symptomatic adults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for which we presented one year or greater safety, biopsy and efficacy results for the three patients enrolled in Cohort 1 and initial safety and available biopsy data for patients in Cohort 2 at the American Heart Association’s (AHA) Scientific Sessions 2025 in November 2025, with simultaneous publication in </w:t>
      </w:r>
      <w:r>
        <w:rPr>
          <w:rFonts w:ascii="Times New Roman" w:cs="Times New Roman" w:eastAsia="Times New Roman" w:hAnsi="Times New Roman"/>
          <w:sz w:val="18"/>
          <w:szCs w:val="18"/>
          <w:i w:val="1"/>
          <w:iCs w:val="1"/>
          <w:color w:val="auto"/>
        </w:rPr>
        <w:t>Cardiovascular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w:t>
      </w:r>
      <w:r>
        <w:rPr>
          <w:rFonts w:ascii="Times New Roman" w:cs="Times New Roman" w:eastAsia="Times New Roman" w:hAnsi="Times New Roman"/>
          <w:sz w:val="18"/>
          <w:szCs w:val="18"/>
          <w:color w:val="auto"/>
        </w:rPr>
        <w:t>. We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longer-term Cohort 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interim Cohort 2 data in the first half of 2026, followed by two-year Cohort 1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and one-year Cohort 2 data in the second half of the year</w:t>
      </w:r>
      <w:r>
        <w:rPr>
          <w:rFonts w:ascii="Times New Roman" w:cs="Times New Roman" w:eastAsia="Times New Roman" w:hAnsi="Times New Roman"/>
          <w:sz w:val="18"/>
          <w:szCs w:val="18"/>
          <w:color w:val="000000"/>
        </w:rPr>
        <w:t>. We also intend to pursue alignment with regulatory authorities on pivotal trial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plans for TN-201. TN-201 has received Fast Track, Orphan Drug and Rare Pediatric Disease Designation from the FDA and also received orphan medicinal product designation from the European Commission (EC).</w:t>
      </w:r>
    </w:p>
    <w:p>
      <w:pPr>
        <w:spacing w:after="0" w:line="78" w:lineRule="exact"/>
        <w:rPr>
          <w:rFonts w:ascii="Times New Roman" w:cs="Times New Roman" w:eastAsia="Times New Roman" w:hAnsi="Times New Roman"/>
          <w:sz w:val="18"/>
          <w:szCs w:val="18"/>
          <w:color w:val="auto"/>
        </w:rPr>
      </w:pPr>
    </w:p>
    <w:p>
      <w:pPr>
        <w:ind w:left="1020" w:right="40" w:hanging="503"/>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TN-401 gene therapy for ARVC caused by variants in the PKP2 gene: </w:t>
      </w:r>
      <w:r>
        <w:rPr>
          <w:rFonts w:ascii="Times New Roman" w:cs="Times New Roman" w:eastAsia="Times New Roman" w:hAnsi="Times New Roman"/>
          <w:sz w:val="18"/>
          <w:szCs w:val="18"/>
          <w:color w:val="auto"/>
        </w:rPr>
        <w:t>TN-401 is our AAV9-based gene therapy being developed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also known as arrhythmogenic cardiomyopathy (ACM), a condition characterized by arrhythmias, palpitations, lightheadedness, dizziness and fainting that typically strikes before age 40. The prevalence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is estimated at more than 70,000 people in the U.S. alone, though it frequently goes undiagnosed as sudden cardiac death is the first sign of disease in nearly one quarter of known cases. We are currently conducting 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-1, our Phase 1b/2 clinical trial evaluating TN-401 in adult patients with </w:t>
      </w:r>
      <w:r>
        <w:rPr>
          <w:rFonts w:ascii="Times New Roman" w:cs="Times New Roman" w:eastAsia="Times New Roman" w:hAnsi="Times New Roman"/>
          <w:sz w:val="18"/>
          <w:szCs w:val="18"/>
          <w:i w:val="1"/>
          <w:iCs w:val="1"/>
          <w:color w:val="auto"/>
        </w:rPr>
        <w:t>PKP2-</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6" w:lineRule="exact"/>
        <w:rPr>
          <w:sz w:val="20"/>
          <w:szCs w:val="20"/>
          <w:color w:val="auto"/>
        </w:rPr>
      </w:pPr>
    </w:p>
    <w:p>
      <w:pPr>
        <w:ind w:left="1020" w:right="40"/>
        <w:spacing w:after="0" w:line="261" w:lineRule="auto"/>
        <w:rPr>
          <w:sz w:val="20"/>
          <w:szCs w:val="20"/>
          <w:color w:val="auto"/>
        </w:rPr>
      </w:pPr>
      <w:r>
        <w:rPr>
          <w:rFonts w:ascii="Times New Roman" w:cs="Times New Roman" w:eastAsia="Times New Roman" w:hAnsi="Times New Roman"/>
          <w:sz w:val="18"/>
          <w:szCs w:val="18"/>
          <w:color w:val="auto"/>
        </w:rPr>
        <w:t>associated ARVC, for which we presented initial safety, biopsy and arrhythmia results for three patients enrolled in Cohort 1. We expect to present one-year Cohort 1 data and initial Cohort 2 data in the first half of 2026, with interim Cohort 2 results anticipated in the second half of the year. We also intend to pursue alignment with regulatory authorities on pivotal trial plans for TN-401. TN-401 has received Fast Track and Orphan Drug designation from the FDA and orphan medicinal product designation from the EC.</w:t>
      </w:r>
    </w:p>
    <w:p>
      <w:pPr>
        <w:spacing w:after="0" w:line="68" w:lineRule="exact"/>
        <w:rPr>
          <w:sz w:val="20"/>
          <w:szCs w:val="20"/>
          <w:color w:val="auto"/>
        </w:rPr>
      </w:pPr>
    </w:p>
    <w:p>
      <w:pPr>
        <w:ind w:left="1020" w:right="40" w:hanging="503"/>
        <w:spacing w:after="0" w:line="25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TN-301 small molecule HDAC6 inhibitor for the potential treatment of HFpEF and other cardiac, muscular or metabolic conditions: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initially discovered the cardioprotective qualities of selective HDAC6 inhibition in a genetic model of DCM. In subsequent preclinical studies, TN-301 was also shown to reverse many of the signs and symptoms of HFpEF, with evidence of improvements in cardiac function, glucose tolerance, inflammation and fibrosis. We completed Phase 1 clinical testing of TN-301 in healthy volunteers, observing an acceptable safety profile, suitability for once-daily dosing, and dose-dependent target engagement. Consistent with our strategy, we believe that TN-301’s late-stage development and commercialization in large indications such as HFpEF would best be led by a strategic pharmaceutical partner with global resources to explore the full potential of the molecule. In parallel with seeking opportunities to partner TN-301, we plan to selectively explore its utility in rare and orphan indications in which it may be possible to demonstrate proof-of-activity in a well-defined patient population. Using the mechanistic insights gained from our preclinical studies of TN-301, we have identified additional indications where TN-301’s distinct activity has the potential to address the underlying pathophysiology of disease. Among the most promising of these is the potential for TN-301 to target the mechanisms that drive DMD, a severe disease involving muscle fibrosis and atrophy for which the leading cause of death is cardiomyopathy. In preclinical studies, TN-301 improved muscle function in the mouse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model of the disease and addressed key drivers of cardiomyopathy in relevant human cell-based models of DMD, while minimizing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off-target toxicities associated with an approved pan-HDAC6 treatment for DMD.</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While our resources are firmly focused on our lead product candidates, we have multiple early-stage programs progressing through preclinical development using various therapeutic approaches, including cellular regeneration, gene addition, gene editing and gene silencing to address rare and/or prevalent heart diseases. Today, our pipeline consists of programs to which we have exclusive worldwide rights and that have emerged from our internal efforts, with select product candidates originating based on intellectual property licensed from academic institutions.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Integrated Capabilities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distinct suite of integrated capabilities broadly enable modality agnostic target identification and validation, design of AAV-based genetic medicines and in-house manufacturing to support our efforts to discover and develop disease-modifying treatments focused on heart disease. Our interrelated capabilities include the use of human-induced Pluripotent Stem Cell (iPSC)-derived and engineered heart tissue disease models, machine learning and phenotypic screening and capsid engineering and novel promoter constructs, all of which are intended to enable the discovery, design, delivery and development of therapeutics that are best suited to a given cardiovascular condition. For manufacturing, our early strategy was to have complete ownership of process development and analytical development for our gene therapy product candidates. This strategy supported our ability to produce the clinical trial material needed for our current Phase 1b/2 clinical trials of TN-201 and TN-401, as well as the development of the know-how and capabilities necessary to manage our late-stage drug manufacturing requirements.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Agreements</w:t>
      </w:r>
    </w:p>
    <w:p>
      <w:pPr>
        <w:spacing w:after="0" w:line="121"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We seek to enter into collaborations pursuant to which we can use our platform to benefit patients with cardiovascular diseases, or that we believe will contribute to our ability to develop and ultimately commercialize our clinical-stage product candidates and to advance our preclinical programs.</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March 2026, we entered into a collaboration agreement with Alnylam, pursuant to which both parties agreed to a research collaboration to discover and validate novel gene targets for the potential treatment of cardiovascular disease.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Together, both parties will nominate an aggregate of 15 targets, align on which targets to move forward into the collaboration and then collaborate for a period of twenty-four (24) months (which may be extended for completion of the work) during which the parties will conduct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validation activities under a mutually agreed research plan and budget. Each party will be solely responsible for its own costs incurred to conduct its activities under the research plan, except that Alnylam will reimburse us for full-time employees and out-of-pocket costs and expenses incurred by us in accordance with the agreed-upon research budget. After completion of the validation activities, Alnylam will be solely responsible, at its own expense, for all development, manufacture, regulatory and commercialization activities for any products directed to a collaboration target.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collaboration agreement, we granted Alnylam an exclusive, worldwide license, with the right to sublicense, under our relevant intellectual property rights and know-how related to the collaboration targets, to evaluate and utilize such collaboration targets and to research, develop, manufacture and commercialize any product directed to such collaboration targets. During the twenty-four (24)-month period following the completion of the validation activities, Alnylam will have the right to evaluate each collaboration target to determine whether to further develop products directed to such collaboration target. In the event Alnylam fails to commence a non-human primate pharmacodynamic study for any target nominated by us prior to the end of such evaluation period, then such target will be deemed a terminated collaboration target, the collaboration agreement will expire for such target, and the license we granted to Alnylam with respect to such target will be terminated. During the term of the collaboration agreement, except in connection with the conduct of validation activities under the research plan, we are not permitted to conduct any research or development activities with respect to certain collaboration targets or any therapeutic products designed to be directed to such targets for as long as the target remains a collaboration target.</w:t>
      </w:r>
    </w:p>
    <w:p>
      <w:pPr>
        <w:spacing w:after="0" w:line="8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collaboration agreement, Alnylam will pay us an upfront payment of up to $10.0 million within thirty (30) days after Alnylam’s receipt of an invoice from us. The upfront fee is subject to $500,000 reductions for up to eight targets we nominate that do not meet certain agreed-upon standards and that the joint steering committee chooses not to advance. We are also eligible to receive up to an aggregate of $1.13 billion in development, regulatory and sales-based milestones related to products directed to targets we nominate.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targets we nominate for which Alnylam has commenced a non-human primate pharmacodynamic study prior to the end of the aforementioned evaluation period, the collaboration agreement will continue on a target-by-target basis through the date on which no more payment obligations remain. For targets nominated by Alnylam, the collaboration agreement will continue through the completion of the validation activities performed by us. Either party may terminate the collaboration agreement for the other party’s uncured material breach or insolvency, subject to specified notice and cure periods. Alnylam may unilaterally terminate the collaboration agreement in its entirety, for any or no reason, subject to a specified notice period.</w:t>
      </w:r>
    </w:p>
    <w:p>
      <w:pPr>
        <w:spacing w:after="0" w:line="7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among other provisions, customary representations and warranties by the parties, intellectual property protection covenants, certain indemnification rights in favor of each party and customary confidentiality provisions.</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collaboration agreement with Alnylam does not purport to be complete and is qualified in its entirety by the full text of such agreement, a copy of which the Company intends to file as an exhibit to its Quarterly Report on Form 10-Q for the quarter ending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Heart Disease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Heart disease is the leading cause of death in the world, representing an estimated 32% of all global fatalities. The heart is a complex organ due to its biological structure as well as its tightly regulated and coordinated electrophysiological and biomechanical properties. Heart disease comes in many forms, affects individuals at many ages, and is a result of many factors. In each case, the underlying cause could be genetic or due to normal aging or due to environmental factors. Our initial research and development focus has been on the genetics associated with conditions affecting the heart muscle, also known as cardiomyopathies, specifically HCM and ARVC, each of which can lead to serious comorbidities such as sudden cardiac arrest or heart failure.</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Historically, treatments for heart disease have been aimed at broadly addressing symptoms of highly prevalent conditions and the development of novel treatments has been stymied by the need for lengthy studies primarily focused on survival and hospitalization outcomes. Such studies required enrolling large, heterogeneous patient populations in an effort to achieve statistically significant signals of efficacy. Consequently, innovation in heart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disease drug development has lagged in comparison to therapeutic areas such as oncology and rare diseases where more targeted approaches have achieved clinical and regulatory success.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Momentum for Precision Approaches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the past several years, increasing clinical and regulatory validation for more targeted approaches have emerged for precision approaches to heart disease and AAV-based gene therapies. These include FDA draft guidance supporting smaller clinical studies that emphasize the use of clinically meaningful endpoints of “feel and function” and a small but growing number of examples of clinical success and regulatory approvals for disease-modifying treatments geared toward targeted disease populations, including in genetic cardiomyopathies, that have followed similar development and regulatory paths.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combination of increasing insights into the genetic causes of heart disease and recognition of the importance of genetic testing support the discovery, development and commercial opportunities for precision medicines that target the underlying genetic cause of heart conditions. More than 250 genetically defined disorders are now known where the primary source of morbidity and mortality involves the heart, providing numerous potentially druggable targets for characterization. Updated clinical practice guidelines from the American College of Cardiology, American Heart Association and European Society of Cardiology recommending genetic testing and family counseling, and the push for mandatory screening of young athletes, are all leading to improved access to genetic testing, patient diagnosis and disease management. At the same time, the field of gene therapy drug development has matured. The safety and efficacy of genetic medicines, and AAV9-based gene therapies in particular, continues to grow with multiple new regulatory approvals in recent years resulting in thousands of patients dosed worldwide.</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with the evolving understanding of heart disease, and the genetic underpinnings of disease in particular, there are significant opportunities where our proprietary capabilities and singular focus will enable us to benefit from and support the evolution towards more precise diagnosis, drug development, and treatment for heart disease.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Evolving Regulatory Pathway for Gene Therapy</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regulatory pathway for gene therapy is evolving toward a more efficient, science-driven approach that is beginning to bridge the gap between innovative drug development and patient access to medicines that address the unmet need for rare disease conditions. A study by the Association for Regenerative Medicine found that gene therapies for rare disease have a 2 to 3.5-fold higher likelihood of achieving regulatory approval as compared to other modalities. This report is bolstered by multiple emerging FDA policies and practices intended to help streamline the development of gene therapies and mitigate safety and tolerability concerns that can delay development timelines. In just the past year, several developments impacting U.S. regulatory consideration of genetic medicines for rare diseases have emerged or been reaffirmed:</w:t>
      </w:r>
    </w:p>
    <w:p>
      <w:pPr>
        <w:spacing w:after="0" w:line="120" w:lineRule="exact"/>
        <w:rPr>
          <w:sz w:val="20"/>
          <w:szCs w:val="20"/>
          <w:color w:val="auto"/>
        </w:rPr>
      </w:pPr>
    </w:p>
    <w:p>
      <w:pPr>
        <w:ind w:left="900" w:right="6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multiple gene therapy sponsors on pivotal trial and accelerated approval pathways indicating a willingness to consider surrogate markers of efficacy and expedited regulatory review.</w:t>
      </w:r>
    </w:p>
    <w:p>
      <w:pPr>
        <w:spacing w:after="0" w:line="80"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issuance of important guidance, including expedited programs for regenerative medicines and the regenerative medicine advanced therapy (RMAT) designation, the issuance of advice on study design, endpoints and analysis for rare and pediatric cell and gene therapies, and the recent adoption of Rare Disease Evidence Principles which facilitates the approval of medicines for rare diseases with very small patient populations in which a known genetic defect is a known driver of disease, among others.</w:t>
      </w:r>
    </w:p>
    <w:p>
      <w:pPr>
        <w:spacing w:after="0" w:line="112"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Congress’s reauthorization of the Rare Disease Priority Review Voucher Program is another important step that provides stability for the rare disease community, stimulates investment in pediatric rare disease and allows sponsors to expedite the FDA review process, reducing the time to market for new treatments. This reauthorization further strengthens the opportunity for TN-201 as a treatment for pediatric patients suffering from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8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For Tenaya, we believe these actions collectively reflect a commitment to facilitating the development and approval of cell and gene therapy products for rare conditions and balancing safety and rigorous standards with accelerating access to innovative medicines for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long-term goal is to become a leading, fully integrated biotechnology company delivering next-generation therapies that address the underlying causes of heart disease. We are taking advantage of an expanded understanding of heart biology and advances in the science of genetics and disease models to discover, develop, manufacture and ultimately commercialize a deep and diverse pipeline of novel heart disease therapies. The key components of our strategy to achieve these goals are:</w:t>
      </w:r>
    </w:p>
    <w:p>
      <w:pPr>
        <w:spacing w:after="0" w:line="68" w:lineRule="exact"/>
        <w:rPr>
          <w:sz w:val="20"/>
          <w:szCs w:val="20"/>
          <w:color w:val="auto"/>
        </w:rPr>
      </w:pPr>
    </w:p>
    <w:p>
      <w:pPr>
        <w:ind w:left="1020" w:right="20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Focus on heart disease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Heart disease remains a leading cause of death globally, and the unmet medical need remains high. We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71"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disease-modifying therapies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developing disease-modifying and potentially life-saving novel therapies that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therapy candidates for genetically defined conditions have the potential to be curative after a single dose.</w:t>
      </w:r>
    </w:p>
    <w:p>
      <w:pPr>
        <w:spacing w:after="0" w:line="81" w:lineRule="exact"/>
        <w:rPr>
          <w:rFonts w:ascii="Times New Roman" w:cs="Times New Roman" w:eastAsia="Times New Roman" w:hAnsi="Times New Roman"/>
          <w:sz w:val="18"/>
          <w:szCs w:val="18"/>
          <w:color w:val="auto"/>
        </w:rPr>
      </w:pPr>
    </w:p>
    <w:p>
      <w:pPr>
        <w:ind w:left="1020" w:right="10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Target defined sub-populations of patients most likely to respond to our therapies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seek to focus on patient populations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genetic cause of the disease is well-established, including genetic cardiomyopathies and other monogenic disorders. We also seek to use different strategies to sub-segment larger heart failure populations through the use of genetics or biomarkers to improve selection of patients with attributes that are more suited to the specific mechanism of action of a given product candidate. We believe this strategy can accelerate clinical development, reduce overall development costs, and improve the probability of clinical and regulatory success.</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Internalize and integrate core capabilities to support our innovation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Powering our drug discovery engine are genetic insights into cardiac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biology, coupled with a suite of core capabilities centered on modality agnostic target discovery and validation and design, production and delivery know-how for AAV-based genetic medicines. We believe the integration of our know-how and innovations in these areas will allow us to generate scientific insights more rapidly and improve the probability of technical and regulatory success of our product candidates.</w:t>
      </w:r>
    </w:p>
    <w:p>
      <w:pPr>
        <w:spacing w:after="0" w:line="53"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a deep and diverse pipeline of therapies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diversity of our programs illustrates the ambition of our vision and the versatility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depth of our scientific approach. Our pipeline includes therapeutics for both rare and prevalent heart diseases across multiple treatment modalities. Our most advanced rare disease programs include two AAV-based gene therapy candidates in early clinical development: TN-201, our product candidate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TN-401, our product candidate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TN-301, a small molecule inhibitor of HDAC6 intended to address HFpEF has successfully completed a Phase 1 clinical trial. We are also working on several other early-stage programs, including gene editing and cardiac regeneration, that we believe will add to our future pipeline opportunities.</w:t>
      </w:r>
    </w:p>
    <w:p>
      <w:pPr>
        <w:spacing w:after="0" w:line="74" w:lineRule="exact"/>
        <w:rPr>
          <w:rFonts w:ascii="Times New Roman" w:cs="Times New Roman" w:eastAsia="Times New Roman" w:hAnsi="Times New Roman"/>
          <w:sz w:val="18"/>
          <w:szCs w:val="18"/>
          <w:color w:val="auto"/>
        </w:rPr>
      </w:pPr>
    </w:p>
    <w:p>
      <w:pPr>
        <w:ind w:left="1020" w:right="10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Seek partnerships that can expand our reach and accelerate our efforts. </w:t>
      </w:r>
      <w:r>
        <w:rPr>
          <w:rFonts w:ascii="Times New Roman" w:cs="Times New Roman" w:eastAsia="Times New Roman" w:hAnsi="Times New Roman"/>
          <w:sz w:val="18"/>
          <w:szCs w:val="18"/>
          <w:color w:val="auto"/>
        </w:rPr>
        <w:t>We believe our focus on heart disease and extensive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core capabilities make us a potential partner of choice for academics and larger companies alike who wish to access deep expertise in next-generation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 and/or specific modalities.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2" w:lineRule="exact"/>
        <w:rPr>
          <w:sz w:val="20"/>
          <w:szCs w:val="20"/>
          <w:color w:val="auto"/>
        </w:rPr>
      </w:pPr>
    </w:p>
    <w:p>
      <w:pPr>
        <w:ind w:left="1020" w:right="8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Become a fully integrated biopharmaceutical company with commercial capabilities. </w:t>
      </w:r>
      <w:r>
        <w:rPr>
          <w:rFonts w:ascii="Times New Roman" w:cs="Times New Roman" w:eastAsia="Times New Roman" w:hAnsi="Times New Roman"/>
          <w:sz w:val="18"/>
          <w:szCs w:val="18"/>
          <w:color w:val="auto"/>
        </w:rPr>
        <w:t>We aim to discover, develop, manufacture,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eventually commercialize therapies, with an initial focus on those therapies for rare disease populations that could be launched and marketed by a relatively small, specialized salesforce.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Gene Therapy Programs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Gene therapy is a way of treating or preventing diseases or medical conditions caused by genetic mutations. Our initial programs target loss-of-function mutations that affect a given gene’s ability to make a protein resulting in a pathogenic protein deficiency. Gene therapy compensates for the mutated gene by delivering a working gene to target cells in order to restore healthy function and thereby address the underlying cause of a disease.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utilize AAVs, and specifically AAV9, to deliver the therapeutic working gene to target cells of the heart muscle. AAVs are naturally occurring viruses that are not known to cause diseases in people and are the most common viral vectors used in gene therapy. Viral DNA is removed and the resulting viral shell, or capsid, is loaded with a working gene and regulatory elements to ensure preferential delivery to target tissues and successful transfer of the gene into cells, known as transduction. AAV9 is the most widely studied and clinically validated capsid and has been proven to transduce human cardiomyocytes.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TN-201: Gene Therapy for MYBPC3-associated HCM</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developing TN-201, an investigational AAV-based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 condition caused by insufficient levels of myosin-binding protein C (MyBP-C).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genetic mutations are the most common cause of familial HCM. These mutations and the associated deficiency in MyBP-C protein, result in dysregulation of the heart’s contractile mechanism which in turn causes the heart walls of affected individuals to become significantly thickened, leading to fibrosis, abnormal heart rhythms, cardiac dysfunction, heart failure, and increased risk of sudden cardiac death. There are currently no approved therapies that address the underlying cause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HCM</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HCM is a condition in which the heart walls become thickened (hypertrophy) due to excess contraction, resulting in a reduced ability of the left ventricle (LV) to relax and fill (diastole) and pump (systole) blood effectively with each heartbeat. HCM is a chronic, progressive disease associated with significant impairment to patients’ overall quality of life, as well as an elevated risk of sudden cardiac death. Symptoms include chest pain, shortness of breath (dyspnea), fainting (syncope), fatigue and palpitations. As the disease progresses, patients may suffer premature death due to end-stage heart failure or malignant ventricular arrhythmia (VA) sometimes leading to sudden cardiac death or stroke. Disease onset can occur at any age, with HCM most frequently emerging in adults in their mid-40s. When HCM emerges in children and young adults, the disease course is typically more aggressive and prognosis is worse than that observed in older patients. HCM is the leading cause of sudden cardiac death in young adults.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HCM is estimated to affect one in every 500 people, approximating more than 600,000 people in the U.S. A majority of HCM patients are currently undiagnosed, with diagnosis typically starting with the onset of symptoms, family screening, or the discovery of an abnormal electrocardiogram (ECG) pattern. A clinical diagnosis of HCM in adults is defined as a left ventricular wall thickening of greater than 15mm. 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to the rest of the body. Nonobstructive HCM is more frequently characterized by diastolic dysfunction resulting in increased LV filling pressures that leads to chest pain and dyspnea. The genetic causes of HCM may be diverse, but approximately 60% of patients with HCM have clearly identifiable familial disease with an autosomal dominant pattern of inheritance.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are estimated to represent approximately 20% of the overall HCM population and to affect approximately 120,000 patients in the 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may result in either form of HCM. In contrast to the general HCM population in which oHCM makes up approximately two-thirds of diagnoses, a majority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patients have the nonobstructive form of the disease, with one study involving a series of more than 1,000 patients finding that 69% of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mutations had nHCM, while 31% presented with LVOT characteristic of oHCM.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HCM patients who are heterozygous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are typically diagnosed earlier in life as compared to genotype-negative HCM patients and have more severe disease associated with increases in arrhythmia, sudden cardiac death and cardiovascular mortality. Those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before the age of eighteen represent a sizeable severe population subject to more rapid disease progression and a markedly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greater cumulative disease burden compared to those with adult-onset. Infants with homozygous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represent a rare, but particularly severe patient group. With high risk of death and no available treatment options to address the underlying genetic mutation, the only option for those born with homozygous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is a heart transplant, typically within the first year of life.</w:t>
      </w:r>
    </w:p>
    <w:p>
      <w:pPr>
        <w:spacing w:after="0" w:line="7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encodes the MyBP-C protein, which forms a key component of the cardiac sarcomere, the fundamental contractile unit of the cardiomyocyte. MyBP-C protein is central to regulation of both contraction and relaxation of the cardiac muscle. Reduced MyBP-C protein levels associated with heterozygous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an LV assist device (LVAD) or transplantation, in the most severely affected patients. Fibrosis and muscle cell disarray may also lead to arrhythmias in some patients, including life-threatening VA and atrial fibrillation, which can lead to stroke.</w:t>
      </w:r>
    </w:p>
    <w:p>
      <w:pPr>
        <w:spacing w:after="0" w:line="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Approximately 90%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result are truncating. Analysis of the hearts of patients who carry truncating mutations of the </w:t>
      </w:r>
      <w:r>
        <w:rPr>
          <w:rFonts w:ascii="Times New Roman" w:cs="Times New Roman" w:eastAsia="Times New Roman" w:hAnsi="Times New Roman"/>
          <w:sz w:val="18"/>
          <w:szCs w:val="18"/>
          <w:i w:val="1"/>
          <w:iCs w:val="1"/>
          <w:color w:val="auto"/>
        </w:rPr>
        <w:t xml:space="preserve">MYBPC3 </w:t>
      </w:r>
      <w:r>
        <w:rPr>
          <w:rFonts w:ascii="Times New Roman" w:cs="Times New Roman" w:eastAsia="Times New Roman" w:hAnsi="Times New Roman"/>
          <w:sz w:val="18"/>
          <w:szCs w:val="18"/>
          <w:color w:val="auto"/>
        </w:rPr>
        <w:t>gene show on average approximately 40% lower levels of functional MyBP-C protein compared to unaffected hearts. In the most severe cases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both copies of the gene are affected, there is a complete lack of functional MyBP-C protein expression. We believe these findings support the idea that mutations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cause human disease through haploinsufficiency and the hypothesis that gene replacement may address the underlying cause of disease by increasing the levels of functional MyBP-C protein.</w:t>
      </w:r>
    </w:p>
    <w:p>
      <w:pPr>
        <w:spacing w:after="0" w:line="7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implantation of an LVAD or a heart transplant may be the only options.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recent years, a class of agents known as cardiac myosin inhibitors have emerged as potential treatments for HCM. Two of these agents, mavacamten and aficamten, are approved for the treatment of adults with oHCM. However, there are currently no therapies approved specifically for adult and pediatric HCM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or for those with nonobstructive disease.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believe TN-201 has the potential to address the underlying biological basis of disease in adult and pediatric HCM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Based on our early clinical data, TN-201 gene therapy has the potential to achieve robust expression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and to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including LV hypertrophy. By increasing MyBP-C expression, TN-201 may improve heart functional capacity, stabilize or reverse disease symptoms, reduce the need for invasive treatments and improve survival. As with other AAV-based gene therapies, benefits are expected to be durable and a one-time dose may be sufficient to halt or even reverse disease. TN-201 has received Orphan Drug, Fast Track and Rare Pediatric Disease Designations from the FDA and orphan medicinal product designation from the EC.</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MyPEAK-1 Phase 1b/2 Clinical Trial of TN-201</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MyPEAK-1 is a multi-center, open-label clinical trial designed to assess the safety, tolerability and efficacy of a one-time intravenous infusion of TN-201. The trial may enroll up to thirty symptomatic (New York Heart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Association (NYHA) class II or III) adults (ages 18-75) with low titers of pre-existing AAV9 neutralizing antibodies who have been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Endpoints for the trial include safety and tolerability, pharmacokinetics (PK) (as measured by transgene, mRNA expression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MyBP-C protein level changes via cardiac biopsies), pharmacodynamic (PD) (as measured by imaging and plasma biomarkers), exercise capacity (as measured by a six-minute walk test and cardiopulmonary exercise testing (CPET)) and patient-reported outcomes (as measured by a Kansas City Cardiomyopathy Questionnaire). These assessments are taken at regular intervals during the first year of the study. Patients enrolled in MyPEAK-1 are monitored for an additional four years to gather long-term safety and efficacy data. The trial includes a preventative immunosuppressive regimen at the time of dosing, close safety monitoring, and the gradual tapering of immunosuppressive medications. Two dose levels of TN-201 are being assessed in the trial, 3E13 vg/kg (Cohort 1) and 6E13 vg/kg (Cohort 2). These doses associated with near-maximal efficacy in preclinical studies of a homozygous knock-out model. As per protocol, review by the independent data safety monitoring board (DSMB) of all available data from the first six patients dosed determined that TN-201 had an acceptable safety profile to proceed with dosing expansion cohorts at either dose level. We are enrolling additional patients in MyPEAK-1 to further characterize dose response and inform dose selection for late-stage clinical trials.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2025, we presented interim data from MyPEAK-1 at the AHA's Scientific Sessions 2025, with simultaneous publication in </w:t>
      </w:r>
      <w:r>
        <w:rPr>
          <w:rFonts w:ascii="Times New Roman" w:cs="Times New Roman" w:eastAsia="Times New Roman" w:hAnsi="Times New Roman"/>
          <w:sz w:val="18"/>
          <w:szCs w:val="18"/>
          <w:i w:val="1"/>
          <w:iCs w:val="1"/>
          <w:color w:val="auto"/>
        </w:rPr>
        <w:t>Cardiovascular Research</w:t>
      </w:r>
      <w:r>
        <w:rPr>
          <w:rFonts w:ascii="Times New Roman" w:cs="Times New Roman" w:eastAsia="Times New Roman" w:hAnsi="Times New Roman"/>
          <w:sz w:val="18"/>
          <w:szCs w:val="18"/>
          <w:color w:val="auto"/>
        </w:rPr>
        <w:t>. Interim data presented included safety, biopsy and efficacy results for the three patients enrolled in Cohort 1 with follow-up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ranging from Week 52-78, and safety and available assessments for the patients in Cohort 2 who had post-dose assessments 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adverse events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DNA and RNA analyses of cardiac biopsy samples from all three patients in Cohort 1 showed evidence of sustained presence of TN-201 DNA in the heart and increasing mRNA expression over time. The first patient in Cohort 2 with serial biopsy data (Patient 6) had a greater than 2-fold increase in cardiac transduction and RNA expression at Week 12 relative to the average for these measures observed across Cohort 1 patients. MyBP-C protein levels across Cohort 1 increased over time by an average of 4% from the first biopsy taken to Week 52. The first evaluable patient in Cohort 2 (Patient 6) demonstrated a clear dose response, and early MyBP-C expression increased by 14% after only 12 weeks post-dose.</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All patients with greater than 26 weeks of follow-up demonstrated improvement in at least one parameter of disease, across biomarkers, hypertrophy and heart failure symptoms. Cardiac troponin I, a predictive risk factor of adverse cardiac outcomes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All three patients in Cohort 1 showed evidence of significant improvement in one or more measures of hypertrophy at Week 52, with notable reductions in left ventricular posterior wall thickness (LVPWT) of between 21% and 39%. Greater LVPWT is an independent risk factor for reduced long-term survival after septal myectomy. Two out of three Cohort 1 patients saw reductions from baseline in left ventricular mass index (LVMI) of between 12% and 22% at Week 52. In the first Cohort 2 patient for whom Week 26 data were available (Patient 4), cardiac troponin I remained within the normal range and NT-proBNP remained stable. LVPWT and LVMI also remained stable at Week 26. NYHA classification, a measure of the impact of heart failure symptoms on activities of daily living, improved in all patients by at least one class by Week 26, and all Cohort 1 patients were NYHA Class I (asymptomatic) as of the data cutoff date. Longer-term follow-up for all patients is required to further inform our understanding of TN-201’s potential as a treatment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Following proactive correspondence with the FDA relating to future development plans for TN-201 the FDA placed MyPEAK-1 on clinical hold requesting an amendment to the protocol primarily to standardize activities related to patient monitoring and management of the immunosuppression regimen across trial sites. We worked swiftly and collaboratively with the FDA to resolve the clinical hold and received notification from the FDA within less than six weeks that the clinical hold was removed and we do not expect this action to have impacted data milestones or development timelines for TN-201.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We expect to present longer-term Cohort 1 and interim Cohort 2 data in the first half of 2026. In the second half of 2026, one-year Cohort 2 data and two-year Cohort 1 data from MyPEAK-1 are anticipated. We also intend to pursue alignment with regulatory authorities on pivotal trial plans for TN-201.</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Noninterventional Studies in Support of TN-201's Clinical Development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Despite advances in the treatment of the obstructive HCM in recent years with the approval of cardiac myosin inhibitors, there are no approved treatments for those with the non-obstructive form of disease or those diagnosed before the age of 18. Recognizing the urgent medical need among pediatric patients, we initiated the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MyClimb completed enrollment of more than 200 individuals, and is believed to be the largest study of pediatric individuals with MYBPC3-associated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Evidence Supporting TN-201 Clinical Development</w:t>
      </w:r>
    </w:p>
    <w:p>
      <w:pPr>
        <w:spacing w:after="0" w:line="11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preclinical studies, we systemically administered a mouse surrogate of TN-201 (AAV:mMybpc3 or mTN-201) in two-week-old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knockout (KO) mice.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model develops marked LV hypertrophy, poor cardiac function, and dilation at two weeks of age, comparable to HCM patients with truncating or null mutations. Due to the severe phenotype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mice and the lack of any MyBP-C protein, this is considered a demanding model to demonstrate efficacy particularly for modeling heterozygous patients, who lack only 35% to 40% of normal sarcomeric MyBP-C protein. Treatment with mTN-201 improved LV hypertrophy and cardiac function compared to their pre-treatment baseline levels, indicating partial reversal of the disease and dramatically extended lifespan. Treated mice exhibited an absolute improvement of ejection fraction (EF) of more than 20% versus untreated controls that eventually increases to more than 30% at 13 months, the last echocardiography measurement. EF and LV hypertrophy (LV mass normalized to body weight) improvements did not diminish over time, suggesting that a single systemic dose may be sufficient for a durable reversal of </w:t>
      </w:r>
      <w:r>
        <w:rPr>
          <w:rFonts w:ascii="Times New Roman" w:cs="Times New Roman" w:eastAsia="Times New Roman" w:hAnsi="Times New Roman"/>
          <w:sz w:val="18"/>
          <w:szCs w:val="18"/>
          <w:i w:val="1"/>
          <w:iCs w:val="1"/>
          <w:color w:val="auto"/>
        </w:rPr>
        <w:t>MYBPC3-associated</w:t>
      </w:r>
      <w:r>
        <w:rPr>
          <w:rFonts w:ascii="Times New Roman" w:cs="Times New Roman" w:eastAsia="Times New Roman" w:hAnsi="Times New Roman"/>
          <w:sz w:val="18"/>
          <w:szCs w:val="18"/>
          <w:color w:val="auto"/>
        </w:rPr>
        <w:t xml:space="preserve"> HCM. Additionally, we observed improvements in LV diameter and ECG measurements. There is also a clear survival benefit with no deaths due to heart failure in the mTN-201 arm and 100% mortality in the untreated control arm out to 20 months following dosing.</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addition, a dose-response relationship has been demonstrated with mTN-201. Weight-based doses, 1E13 vg/kg, 3E13 vg/kg and 1E14 vg/kg, all produced significant improvements in EF, LV hypertrophy, and measures of electrophysiological function (QT interval) at eight months post-injection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KO HCM mouse model. The 1E13 vg/kg dose had the lowest levels of efficacy, while the 3E1</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vg/kg had high improvement with a mean decrease of hypertrophy of more 5.3 mg/g LV Mass (± 1.3) and a mean improvement of EF of 26% (± 3.7), similar to the 1E14 vg/kg dose, suggesting a plateau in the dose-response curve.</w:t>
      </w:r>
    </w:p>
    <w:p>
      <w:pPr>
        <w:spacing w:after="0" w:line="87"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During optimization of our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therapies, we discovered a cardiomyocyte-specific promoter, TNP-CM1, with improved performance attributes as compared to the standard cardiac troponin T (cTnT) promoter.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confirmed that TNP-CM1 significantly increased expression of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compared to what can be achieved with the standard cTnT promoter.</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TN-401: Gene Therapy for PKP2-associated ARVC</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TN-401, an investigational AAV-based gene therapy for the potential treatment of ARVC, also known as arrhythmogenic cardiomyopathy or ACM, caused by mutations to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Such mutations are estimated to affect more than 70,000 patients in the U.S.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result in insufficient expression of a protein needed for the proper functioning of desmosome, a complex that maintains physical connections and electrical signaling between heart muscle cells. As the desmosome structure is impaired, cardiac muscle cells are progressively replaced by fibrofatty tissue and electrical pulses in the heart become unstable, resulting in adverse remodeling and irregular heart rhythms. TN-401 is designed to deliver a working </w:t>
      </w:r>
      <w:r>
        <w:rPr>
          <w:rFonts w:ascii="Times New Roman" w:cs="Times New Roman" w:eastAsia="Times New Roman" w:hAnsi="Times New Roman"/>
          <w:sz w:val="18"/>
          <w:szCs w:val="18"/>
          <w:i w:val="1"/>
          <w:iCs w:val="1"/>
          <w:color w:val="auto"/>
        </w:rPr>
        <w:t xml:space="preserve">PKP2 </w:t>
      </w:r>
      <w:r>
        <w:rPr>
          <w:rFonts w:ascii="Times New Roman" w:cs="Times New Roman" w:eastAsia="Times New Roman" w:hAnsi="Times New Roman"/>
          <w:sz w:val="18"/>
          <w:szCs w:val="18"/>
          <w:color w:val="auto"/>
        </w:rPr>
        <w:t>gene into heart muscle cells using an AAV9 capsid where the functional</w:t>
      </w:r>
      <w:r>
        <w:rPr>
          <w:rFonts w:ascii="Times New Roman" w:cs="Times New Roman" w:eastAsia="Times New Roman" w:hAnsi="Times New Roman"/>
          <w:sz w:val="18"/>
          <w:szCs w:val="18"/>
          <w:i w:val="1"/>
          <w:iCs w:val="1"/>
          <w:color w:val="auto"/>
        </w:rPr>
        <w:t xml:space="preserve"> PKP2 </w:t>
      </w:r>
      <w:r>
        <w:rPr>
          <w:rFonts w:ascii="Times New Roman" w:cs="Times New Roman" w:eastAsia="Times New Roman" w:hAnsi="Times New Roman"/>
          <w:sz w:val="18"/>
          <w:szCs w:val="18"/>
          <w:color w:val="auto"/>
        </w:rPr>
        <w:t>gene produces the missing protein, restoring function and reversing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slowing progression of disease by addressing the genetic mutation most frequently underlying ARVC.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ARVC</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ARVC is a chronic, progressive disease with an estimated prevalence in the general population of approximately 1:1000 to 1:5000. It occurs when the structure and electrical signals of cardiomyocytes are disrupted, resulting in irregular heart rhythms and a gradual replacement of heart muscle cells with fatty deposits and fibrotic tissue which can lead to heart failure over time.</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Patients with ARVC are typically diagnosed between the ages of 20 and 40 and most commonly present with symptoms related to VAs, particularly abnormally high heart rates known as ventricular tachycardia and premature ventricular contractions (PVCs). These dangerous rhythm abnormalities place patients at increased risk for sudden cardiac arrest or sudden cardiac death. ARVC is a common cause of sudden cardiac arrest in young people, and it is estimated that in up to 23% of cases, the first sign of disease is sudden cardiac death. To reduce the risk of sudden cardiac death, patients with ARVC are typically discouraged from competitive or endurance sports activities and physical exercise may be limited. ARVC patients may also grapple with additional symptoms, including palpitations, lightheadedness, dizziness, and fainting.</w:t>
      </w:r>
    </w:p>
    <w:p>
      <w:pPr>
        <w:spacing w:after="0" w:line="7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Mutations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are the most common genetic cause of ARVC, with more than 40% of ARVC patients carrying pathogenic variants. PKP2 protein is an integral component of cell adhesion protein complexes known as desmosomes which connect adjacent cardiomyocytes in the heart. Desmosomes are responsible for maintaining the heart tissue integrity and for stabilizing channels called gap junctions that allow for cellular communication among heart cells, which in turn is important to proper synchronization of cardiomyocyte contractions across the myocardium contributing to each heartbeat. When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is mutated, reduction of PKP2 protein disrupts structure and function of desmosomes and gap junctions. As a result of these disruptions, cardiomyocytes become more sensitive to the normal mechanical stress of the beating heart, leading to progressive cell loss, inflammation, scar formation, and fat deposition, illustrating the crucial role the PKP2 protein plays in maintaining the structural and functional integrity of heart tissue.</w:t>
      </w:r>
    </w:p>
    <w:p>
      <w:pPr>
        <w:spacing w:after="0" w:line="7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Mutations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are commonly heterozygous and inherited in an autosomal dominant fashion, i.e., a mutation in one allele is sufficient to cause the disease. On average, these mutations lead to a reduction of wild-type protein level of about 50%. We believe these findings support the idea that mutations of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cause human disease through haploinsufficiency and support the hypothesis that gene replacement may address the underlying cause of disease by increasing the levels of functional PKP2 protein.</w:t>
      </w:r>
    </w:p>
    <w:p>
      <w:pPr>
        <w:spacing w:after="0" w:line="7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Following a diagnosis, ARVC patients are typically implanted with an implantable cardioverter defibrillator (ICD) to prevent sudden cardiac arrest by resetting arrhythmias. ICD implantation is currently the only proven effective treatment for preventing sudden cardiac arrest and death in ARVC patients, but ICDs are also associated with complications, including inappropriate interventions. Patients may progress to catheter ablation procedures which have a high rate of recurrent VA and have not been shown to reduce risk of sudden cardiac death or improve survival. ARVC treatment options may also include beta blockers and other anti-arrhythmic or heart failure medications, intended to reduce VAs. However, studies comparing the efficacy of such treatments have not been conducted. Despite the availability of these treatments, clinical heart failure has been documented in up to 40% of ARVC patients and there remains no approved therapies that address the underlying genetic causes of the disease.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TN-401 is our AAV-based gene replacement therapy designed to deliver a fully functional copy of the human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the hearts of ARVC patients carrying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We believe that delivery of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cardiomyocytes represents a promising treatment that can address the underlying genetic cause of this disease. As the disease is most often caused by haploinsufficiency, expression of a functional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increase PKP2 protein levels in cardiomyocytes is expected to restore proper structure and function of the desmosome. This in turn has the potential to slow and even reverse the progression of disease in patients.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will be delivered using AAV9 capsid with well-established tropism for the heart and expression of the PKP2 protein will be selective to the heart through use of a cardiomyocyte-specific promoter. TN-401 has received Fast Track and Orphan Drug Designations from the FDA and orphan medicinal product designation from the EC.</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RIDGE-1 Phase 1b/2 Clinical Trial of TN-401</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RIDGE-1 is our multi-center, open-label clinical trial designed to assess the safety, tolerability and efficacy of a one-time intravenous infusion of TN-401. The trial permits dosing up to 15 symptomatic (NYHA class I, II or III)</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adults (ages 18-65) with low titers of AAV9 neutralizing antibodies who have been diagnosed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and have an ICD. The primary endpoints for the trial include safety and tolerability, PK (as measured by transgene, mRNA and protein expression via cardiac biopsies at 8 weeks and 52 weeks) and PD (as measured by changes in daily PVCs and non-sustained ventricular tachycardia).</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Additional endpoints include changes in premature ventricular contractions, frequency of ventricular tachycardia, frequency of ICD shocks or pacing, imaging biomarkers by echo evaluating structural/hemodynamic changes, plasma biomarkers and patient-reported outcomes. The trial will include a preventative immunosuppressive regimen and close safety monitoring, as well as a 5-year follow-up on safety and efficacy. We are evaluating two dose levels of TN-401 in the trial, 3E13 vg/kg (Cohort 1), a dose associated with near-maximal efficacy in preclinical studies, and 6E13 vg/kg (Cohort 2). In January 2026, the DSMB for RIDGE-1 reviewed all available data from Cohort 1 and Cohort 2, determined that TN-401 had an acceptable safety profile and endorsed proceeding into expansion cohorts at either dose level, per protocol. We are enrolling additional patients in RIDGE-1 to further characterize dose response and inform dose selection for late-stage clinical trials.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2025, we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Additionally, no Cohort 1 patients had experienced an ICD shock post-treatment and all had tapered off prophylactic immunosuppressive medicines.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Serial biopsies taken at baseline and Week 8 post dose for Patients 1 and 2 provided consistent evidence of TN-401 transduction and expression. At Week 8, TN-401 robust mRNA expression was observed across all three patients. Post-treatment protein levels of PKP2 increased significantly in Patients 1 and 2 by a mean of 10% from baseline to Week 8 as measured by liquid chromatography–mass spectrometry normalized to myosin heavy chain, a motor protein in the sarcomere found exclusively in cardiomyocytes. Change in PKP2 protein levels for Patient 3 appeared slightly lower than baseline despite having the highest levels of TN-401 mRNA expression across Cohort 1. This confounding result for PKP2 protein level falls within the standard deviation of these methods and may be due to the inherent variability in sampling biopsies. A second post-dose biopsy will be collected and analyzed from Week 52 per protocol for all patients.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All three patients in Cohort 1 had severe electrical instability with a history of VAs and had undergone a catheter ablation procedure, an elective procedure to reduce ventricular tachycardia recurrence. At baseline, each Cohort 1 patient met the enrollment criteria of greater than 500 premature ventricular contractions per 24 hours as measured over a seven-day monitoring period prior to dosing. Patient 1 experienced a decrease in PVCs by 46% as of their most recent (Week 40) visit, while Patient 2 experienced a decrease in PVCs of 89% as of their most recent (Week 32) visit. Non-sustained ventricular tachycardia (NSVT) burden was eliminated or stable six months after treatment with TN-401. Patient 1 had a low NSVT count at baseline, which remained low at their most recent visit (Week 40). Patient 2 also had a substantial NSVT burden of 78 counts per 24-hour period at baseline that dropped to zero and remained stable by Week 32. Meaningful changes in PVCs or NSVTs were not expected nor observed for Patient 3 as of the data cut off, which was less than six months following treatment with TN-401. Other potential measures of clinical response including QRS duration, T wave inversions, heart function and NYHA class were in the normal range or remained stable for all three Cohort 1 patients during the post-dose follow-up period. We expect to present one-year Cohort 1 data and initial Cohort 2 data in the first half of 2026, with interim Cohort 2 results anticipated in the second half of the year. We also intend to pursue alignment with regulatory authorities on pivotal trial plans for TN-401.</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RIDGE-1, which is being conducted at multiple clinical trial sites with ARVC expertise at leading cardiology centers in the U.S. and United Kingdom.</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Noninterventional Studies in Support of TN-401's Clinical Development</w:t>
      </w:r>
    </w:p>
    <w:p>
      <w:pPr>
        <w:spacing w:after="0" w:line="11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To support our development efforts for TN-401, we have initiated RIDGE a global noninterventional study to collect treatment history and seroprevalence to AAV9 antibodies data among ARVC patients who carry pathogenic</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Interim data from RIDGE, believed to be the largest natural history study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was presented at Heart Rhythm Society’s (HRS) annual meeting in April 2025.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RIDGE-1 based on low levels of pre-existing antibodies to AAV9</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Evidence Supporting TN-401 Clinical Development Plan</w:t>
      </w:r>
    </w:p>
    <w:p>
      <w:pPr>
        <w:spacing w:after="0" w:line="117"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preclinical efficacy studies employed a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cardiac conditional knockout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mouse model that simulates key aspects of ARVC including dilation of the right ventricle (RV) and LV, decline in LV heart function, severe ventricular arrhythmia, and early mortality.</w:t>
      </w:r>
    </w:p>
    <w:p>
      <w:pPr>
        <w:spacing w:after="0" w:line="5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preclinical studies, we systemically administered either TN-401 or a mouse surrogate (referred to interchangeably as a “PKP2 gene therapy”) in </w:t>
      </w:r>
      <w:r>
        <w:rPr>
          <w:rFonts w:ascii="Times New Roman" w:cs="Times New Roman" w:eastAsia="Times New Roman" w:hAnsi="Times New Roman"/>
          <w:sz w:val="18"/>
          <w:szCs w:val="18"/>
          <w:i w:val="1"/>
          <w:iCs w:val="1"/>
          <w:color w:val="auto"/>
        </w:rPr>
        <w:t xml:space="preserve">Pkp2-cKO </w:t>
      </w:r>
      <w:r>
        <w:rPr>
          <w:rFonts w:ascii="Times New Roman" w:cs="Times New Roman" w:eastAsia="Times New Roman" w:hAnsi="Times New Roman"/>
          <w:sz w:val="18"/>
          <w:szCs w:val="18"/>
          <w:color w:val="auto"/>
        </w:rPr>
        <w:t>mice across a range of dose levels from 1E13 vg/kg to 1E14 vg/kg and observed near maximal efficacy in the mouse model at 3E13 vg/kg.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severity and rapid progression of this disease model, combined with the homozygous gene KO and near complete loss of PKP2 protein in cardiac tissue, resulted in 100% mortality within 4-6 weeks post induction of KO. Whether administered prior to or following disease onset, PKP2 gene therapy demonstrated prevention or attenuation and/or reversal of disease progression, ultimately culminating in improved survival in both modes of treatment. These improvements in disease state were accompanied by restoration of desmosomes and gap junctions at the molecular and cellular level. PKP2 gene therapy was well tolerated in preclinical studies compliant with Good Laboratory Practice (GLP).</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Specifically, when administered prior to disease onset,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prevented all ARVC disease characteristics in </w:t>
      </w:r>
      <w:r>
        <w:rPr>
          <w:rFonts w:ascii="Times New Roman" w:cs="Times New Roman" w:eastAsia="Times New Roman" w:hAnsi="Times New Roman"/>
          <w:sz w:val="18"/>
          <w:szCs w:val="18"/>
          <w:i w:val="1"/>
          <w:iCs w:val="1"/>
          <w:color w:val="auto"/>
        </w:rPr>
        <w:t>Pkp2-cKO</w:t>
      </w:r>
      <w:r>
        <w:rPr>
          <w:rFonts w:ascii="Times New Roman" w:cs="Times New Roman" w:eastAsia="Times New Roman" w:hAnsi="Times New Roman"/>
          <w:sz w:val="18"/>
          <w:szCs w:val="18"/>
          <w:color w:val="auto"/>
        </w:rPr>
        <w:t xml:space="preserve"> mice including RV enlargement, LVEF decline, ventricular arrhythmias, and adverse fibrotic remodeling. Even when administered after disease onset in this rapidly progressing model,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attenuated LVEF decline with an average 15% (+/- 5.6%) increase in absolute EF versus the vehicle-treated group and attenuated worsening of VA event frequency and severity. Administration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also supported a near-complete reversal of RV enlargement leading to a restoration of the wild-type level. The beneficial effects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have been shown to be dose dependent and durable following a single dose. Survival was also improved in a dose-dependent manner and the effect was sustained for the duration of the study;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therapy extended median lifespan from 4.7 weeks to ≥ 50 weeks, regardless of preventative or post-onset dosing.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Small Molecule Program</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TN-301: HDAC6 Inhibitor Program with Potential Utility in HFpEF and Other Cardiac, Metabolic, Muscular and Pulmonary Diseases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much of our research, development and manufacturing focus is on cardiac conditions for which genetic medicines such as gene therapy or gene editing can address the underlying cause of disease, our proprietary target discovery and validation capabilities allow us to pursue modality-agnostic drug discovery efforts. These capabilities led to the discovery of cardio-protective properties of HDAC6 inhibition, which in turn led to the development of TN-301, a highly selective small molecule inhibitor of HDAC6 with broad utility in HFpEF and other cardiac, metabolic, muscular and pulmonary diseases.</w:t>
      </w:r>
    </w:p>
    <w:p>
      <w:pPr>
        <w:spacing w:after="0" w:line="7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Initial preclinical testing of our HDAC6 inhibitors in a severely progressive murine model of </w:t>
      </w:r>
      <w:r>
        <w:rPr>
          <w:rFonts w:ascii="Times New Roman" w:cs="Times New Roman" w:eastAsia="Times New Roman" w:hAnsi="Times New Roman"/>
          <w:sz w:val="18"/>
          <w:szCs w:val="18"/>
          <w:i w:val="1"/>
          <w:iCs w:val="1"/>
          <w:color w:val="auto"/>
        </w:rPr>
        <w:t>BAG3</w:t>
      </w:r>
      <w:r>
        <w:rPr>
          <w:rFonts w:ascii="Times New Roman" w:cs="Times New Roman" w:eastAsia="Times New Roman" w:hAnsi="Times New Roman"/>
          <w:sz w:val="18"/>
          <w:szCs w:val="18"/>
          <w:color w:val="auto"/>
        </w:rPr>
        <w:t>-associated DCM demonstrated protection against dilation and stabilization of ejection fraction. Subsequent preclinical testing in multiple HFpEF mouse models then demonstrated improvements in cardiac structure and function, including reversal of LV hypertrophy and diastolic dysfunction. More recently, following the approval of a pan-HDAC inhibitor to slow progression in Duchenne muscular dystrophy, we conducted preclinical comparative studies intended to explore the potential for TN-301 to delay or reverse both skeletal muscle pathology and cardiomyopathy in DMD.</w:t>
      </w:r>
    </w:p>
    <w:p>
      <w:pPr>
        <w:spacing w:after="0" w:line="7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work has confirmed that HDAC6 inhibition exerts its benefits on the heart and other organs in the body through a multi-modal mechanism of action that includes reductions in inflammation, oxidative stress, fibrosis, and metabolic dysregulation, as well as improvements in autophagy, protein quality control, mitochondrial metabolism,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8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and lipid metabolism. These preclinical results and mechanistic insights encourage us to believe that TN-301 and our portfolio of HDAC6 inhibitor molecules may be well suited to the treatment of HFpEF, as well as other cardiac, metabolic, muscular and pulmonary disorders where there is strong alignment between TN-301’s mechanism and the pathophysiology of disease.</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1 Clinical Trial of TN-301 in Healthy Participants</w:t>
      </w:r>
    </w:p>
    <w:p>
      <w:pPr>
        <w:spacing w:after="0" w:line="11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Following extensive preclinical work to characterize TN-301’s mechanism, we completed a randomized (3:1), double-blind, placebo-controlled Phase 1 clinical trial to assess the safety and tolerability of escalating oral doses of TN-301 in healthy adult participants. Secondary objectives of the clinical trial included assessment of PK and PD measures.</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(HFSA) Annual Scientific Meeting. The Phase 1 trial enrolled participants in two stages. In Stage 1, participants received single ascending doses (SAD) (1mg – 700mg) and in Stage 2, participants received multiple ascending doses (MAD) (25mg, 100mg and 300mg once daily for 14 days).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TN-301 was generally well tolerated across the broad range of doses studied. Most adverse events were gastro-intestinal related, occurred with similar frequency in the placebo group and did not increase as doses of TN-301 increased. No thrombocytopenia or QT prolongation risk was observed as has been reported from clinical experience with pan-HDAC inhibition (e.g., givinostat).</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PK results showed dose-proportional increases in plasma exposure in the SAD and MAD stages of the study with a half-life supportive of once-daily dosing. Increasing TN-301 doses and exposures in both stages of the clinical trial also resulted in corresponding increases in PD effect. Unlike other HDAC enzymes which are found in the cell nucleus, HDAC6 is localized to the cell cytoplasm where it interacts with multiple proteins to coordinate cellular processes. One of the main substrates of HDAC6 inhibition is tubulin. In the Phase 1 clinical trial, acetylated tubulin was evaluated in circulating cells in order to measure target engagement in a robust and reproducible manner. Inhibition of HDAC6 resulted in an increase in acetylated tubulin over baseline. There were no corresponding changes in histone acetylation with TN-301, underscoring the selectivity of TN-301 for HDAC6 and potentially reducing the risk of off target effects observed with less selective HDAC6 inhibitors or pan-HDAC inhibition.</w:t>
      </w:r>
    </w:p>
    <w:p>
      <w:pPr>
        <w:spacing w:after="0" w:line="8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Based on the safety profile, robust target engagement and pharmacokinetics observed in our Phase 1 clinical trial in healthy volunteers, we believe TN-301 is ready for advancement into clinical studies in patients, with HFpEF and DMD being among the most promising potential indications identified to date.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Potential for TN-301 in HFpEF</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HFpEF</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a progressive disease in many patients. Symptoms initially include fatigue, shortness of breath, and edema, resulting in reduced physical activity. Over time, this results in a substantial limitation in activities and impact on quality of life, and patients are at risk of premature death.</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with HFpEF represent approximately half of all heart failure patients, with prevalence of the disease anticipated to increase by more than 45% by 2030. The increase in HFpEF prevalence is at least in part due to the high overlap of this condition with diabetes and obesity which are also on the rise in the U.S. and globally. At least half of all hospital admissions for heart failure are related to HFpEF and approximately 24% of the HFpEF population is considered to have NYHA Class III or Class IV disease, representing a disease burden that markedly impacts quality of life and limits physical activity. Among patients hospitalized for HFpEF, readmission for heart failure and mortality rates over a five-year period are as high as 40% and 75%, respectively. Historically, HFpEF patients have been prescribed therapies for heart failure with reduced ejection fraction, including diuretics, beta-blockers, and ACE inhibitors, despite limited data demonstrating efficacy or improved outcomes. While recent advances in treatment have been made with the approval of new classes of medications such as the sodium glucose cotransporter 2 (SGLT2) inhibitors and glucagon-like peptide 1 (GLP-1) receptor agonists, HFpEF remains one of the greatest unmet needs in cardiovascular medicine.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Key aspects of HFpEF disease biology include oxidative stress and inflammation, cardiac fibrosis, cardiac hypertrophy and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between patients with HFpEF population and those suffering from diabetes and obesity.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Based on our observations of TN-301’s mechanism, we believe TN-301 has the potential to target converging mechanisms that drive HFpEF disease progression, with the potential to slow down or even reverse the symptoms.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Evidence Supporting TN-301 Clinical Development in HFpEF</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Preclinical studies of TYA-018, a structurally similar and functionally equivalent compound to TN-301, in a relevant murine model that recapitulates systemic and cardiovascular features of HFpEF in humans demonstrated reversal of LV wall thickness, LV mass, LV end diastolic pressure and LV relaxation and filling. Treatment with TYA-018 also resulted in a trend of decreased lung weight, indicative of improvement in pulmonary congestion consistent with the reduction of filling pressure. In addition, we observed an improvement in glucose tolerance, suggesting that treatment with a selective HDAC6 inhibitor may have a positive impact on glucose metabolism, as well as reductions of key biomarkers of inflammation, fibrosis, and cardiac damage. The data overall confirmed that the multi-modal mechanism of action of selective HDAC6 inhibitors, such as TN-301 may address many of the hallmarks of HFpEF.</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also conducted a comparison study of TYA-018, with empagliflozin, an SGLT2 inhibitor approved for HFpEF. TYA-018 reduced LV mass and diastolic pressure and improved diastolic function and glucose tolerance with comparable efficacy to empagliflozin. TYA-018 co-administered with empagliflozin demonstrated additive benefit compared to either agent alone improving several measures of heart function. In the study, empagliflozin achieved efficacy as anticipated based on the data generated in HFpEF patients from large clinical trials, which provides strong validation of our mouse model and suggests that preclinical results may translate to the clinic.</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Taken together, these data support the potential for a selective HDAC6 inhibitor such as TN-301 to be used either alone or in combination with SGLT2 inhibitors, as a treatment for patients with HFpEF.</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Clinical Development of TN-301 in HFpEF</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Consistent with our strategy, we believe that TN-301’s late-stage development and commercialization in large indications such as HFpEF would best be led by a strategic pharmaceutical partner with global resources to explore the full potential of the molecule.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Potential for TN-301 in DMD</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Based on our observations of TN-301’s mechanism and evidence of efficacy for an approved pan-HDAC agent, we are exploring the development of TN-301 for DMD, a condition caused by genetic mutations in the </w:t>
      </w:r>
      <w:r>
        <w:rPr>
          <w:rFonts w:ascii="Times New Roman" w:cs="Times New Roman" w:eastAsia="Times New Roman" w:hAnsi="Times New Roman"/>
          <w:sz w:val="18"/>
          <w:szCs w:val="18"/>
          <w:i w:val="1"/>
          <w:iCs w:val="1"/>
          <w:color w:val="auto"/>
        </w:rPr>
        <w:t>dystrophin</w:t>
      </w:r>
      <w:r>
        <w:rPr>
          <w:rFonts w:ascii="Times New Roman" w:cs="Times New Roman" w:eastAsia="Times New Roman" w:hAnsi="Times New Roman"/>
          <w:sz w:val="18"/>
          <w:szCs w:val="18"/>
          <w:color w:val="auto"/>
        </w:rPr>
        <w:t xml:space="preserve"> gene, leading to absence of functional dystrophin protein in the heart and skeletal muscle. The muscle pathologies that underlie muscle wasting in the absence of dystrophin include inflammation, fibrosis, altered regeneration, mitochondrial dysfunction and disrupted autophagic flux – all processes that can be improved by HDAC6 inhibition. Further, DMD-related cardiomyopathy, which develops as healthy heart tissue becomes fibrotic, is the leading cause of death among patients. Based on TN-301’s cardioprotective profile, we believe it may offer differentiated benefit in slowing DMD cardiomyopathy’s progression.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DMD</w:t>
      </w:r>
    </w:p>
    <w:p>
      <w:pPr>
        <w:spacing w:after="0" w:line="119" w:lineRule="exact"/>
        <w:rPr>
          <w:sz w:val="20"/>
          <w:szCs w:val="20"/>
          <w:color w:val="auto"/>
        </w:rPr>
      </w:pPr>
    </w:p>
    <w:p>
      <w:pPr>
        <w:jc w:val="both"/>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DMD is a severe, progressive, and ultimately fatal genetic disorder estimated to impact 15,000 individuals in the U.S. and over 300,000 globally. DMD predominantly affects males as a result of mutations in the </w:t>
      </w:r>
      <w:r>
        <w:rPr>
          <w:rFonts w:ascii="Times New Roman" w:cs="Times New Roman" w:eastAsia="Times New Roman" w:hAnsi="Times New Roman"/>
          <w:sz w:val="18"/>
          <w:szCs w:val="18"/>
          <w:i w:val="1"/>
          <w:iCs w:val="1"/>
          <w:color w:val="auto"/>
        </w:rPr>
        <w:t>dystrophin</w:t>
      </w:r>
      <w:r>
        <w:rPr>
          <w:rFonts w:ascii="Times New Roman" w:cs="Times New Roman" w:eastAsia="Times New Roman" w:hAnsi="Times New Roman"/>
          <w:sz w:val="18"/>
          <w:szCs w:val="18"/>
          <w:color w:val="auto"/>
        </w:rPr>
        <w:t xml:space="preserve"> gene located on the X chromosome. The absence of functional dystrophin, a structural protein essential for maintaining the stability and integrity of muscle cell membranes, results in progressive muscle weakness and degeneration. Muscle fibers become structurally unstable and susceptible to contraction-induced damage, leading to repeated cycles of degeneration and regeneration.</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These recurrent injury cycles trigger a sustained inflammatory response and over time, the progressive replacement of healthy muscle tissue with fibrotic and adipose tissue leads to worsening muscle weakness and loss of function.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As the disease progresses, degeneration extends beyond skeletal muscle to involve the cardiac muscle, frequently culminating in heart failure. DMD-related cardiomyopathy is the most common cause of mortality, with most individuals with DMD succumbing to cardiac or respiratory failure between 20 and 30 years of age.</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are presently eight FDA-approved therapeutics for DMD, including a targeted gene therapy aimed at restoring dystrophin and four exon-skipping antisense oligonucleotides which target specific gene mutations to produce shortened, functional dystrophin proteins. Each of these require genetic testing and their efficacy is limited to specific mutations. Two corticosteroid therapies are intended to reduce inflammatory damage, improve muscle strength and slow progression, but are subject to traditional steroid side effects. Givinostat is an oral pan-HDAC inhibitor that has been shown to reduce inflammation and slow muscle loss. While offering the advantage of being appropriate for children over six regardless of genetic variant, givinostat has dose-limiting toxicities such as thrombocytopenia, QT prolongation risk, and gastrointestinal issues. Despite the advances in treatment for DMD, there are no approved therapies that address both the muscle atrophy associated with DMD and DMD cardiomyopathy.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Solution</w:t>
      </w:r>
    </w:p>
    <w:p>
      <w:pPr>
        <w:spacing w:after="0" w:line="11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believe TN-301 has the potential to target converging mechanisms that drive DMD disease progression, slowing the degeneration of both skeletal and cardiac muscle.</w:t>
      </w:r>
    </w:p>
    <w:p>
      <w:pPr>
        <w:spacing w:after="0" w:line="5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Preclinical studies have demonstrated that selective HDAC6 inhibition enhances tubulin acetylation, leading to stabilization of the microtubule network and improved structural integrity of muscle fibers resulting in significant increases in muscle strength and function. In dystrophin-deficient models, HDAC6 inhibition was observed to reduce fibrotic remodeling, leading to an overall improvement in muscle morphology and function. HDAC6 inhibition may also exert indirect anti-inflammatory effects by modulating gene expression networks across muscle fibers, fibroblasts, and immune cells, further limiting secondary damage and supporting regeneration. By stabilizing the cytoskeleton, enhancing autophagy, and reducing fibrosis and inflammation, selective HDAC6 inhibitors address multiple pathogenic pathways implicated in disease progression.</w:t>
      </w:r>
    </w:p>
    <w:p>
      <w:pPr>
        <w:spacing w:after="0" w:line="79"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We believe TN-301 may offer dosing and compliance advantages to currently approved treatments. As a once-daily small molecule with an orthogonal mechanism, HDAC6 inhibition may add benefit to existing dystrophin-replacement or anti-inflammatory steroidal regimens, which are administered by infusion or injection.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 in DMD</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the Muscular Dystrophy Association (MDA) Clinical &amp; Scientific Congress 2026, we presented results from preclinical studies comparing TN-301 with the FDA-approved pan HDAC inhibitor, givinostat, in a well-established mouse model of DMD, and in human iPSC-derived cardiomyocytes from DMD patients.</w:t>
      </w:r>
    </w:p>
    <w:p>
      <w:pPr>
        <w:spacing w:after="0" w:line="6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After five weeks of once-daily oral dosing, TN-301 showed a statistically significant increase in forelimb grip strength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at both 3 mg/kg and 30 mg/kg compared to vehicle with both doses of TN-301 achieving wildtype (WT) levels of grip strength after five 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spacing w:after="0" w:line="7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Taken together, these data support advancement of TN-301 as a potential DMD therapy with benefits for both skeletal and cardiac muscle and reduced liabilities compared to pan-HDAC inhibitors.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Clinical Development of TN-301 in DMD and Other Cardiac, Metabolic and Muscular Diseases</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parallel with seeking opportunities to partner TN-301 for late-stage development and commercialization in large indications such as HFpEF, we plan to explore indications in which it may be possible to demonstrate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 w:name="page21"/>
    <w:bookmarkEnd w:id="20"/>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proof-of-activity in smaller, well-defined patient populations. Based on our preclinical observations, initial indications of interest include DMD, other muscular dystrophies, genetic DCM and PAH.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Integrated Capabilities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Foundational to our modality-agnostic research and drug discovery efforts are our proprietary integrated capabilities that include disease models, capsid engineering, promoters and regulatory elements, drug delivery and manufacturing. These differentiated capabilities collectively support discovery of novel targets,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optimization and lead validation,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lead characterization, and efficient development, engineering and production of product candidates that, if approved, could address the high unmet need of patients with heart diseases.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Leveraging our extensive in-house capabilities, we are able to take a differentiated and competitively advantageous approach to target identification and validation and preclinical characterization of each of our prospective candidates, which we believe provides us with deeper insights, shortened product development cycles, reduced scientific risks and improved probability of technical and regulatory success for our product candidates relative to others. For example, with regard to our gene therapy candidates, the application of our capsid engineering and promoter design and delivery expertise may enable us to overcome the limitations faced by prior cardiac gene therapy approaches by enabling more precise delivery and more robust gene expression while lowering the risk of off-target effects. Each of our core internal capabilities is described in more detail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Models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internalized the ability to create and integrate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within our research organization, which allows us to simulate human heart disease phenotypes. This combination of human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rodent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creates significant value to the organization, as singular models of human heart disease may not be adequate to assess the efficacy or safety of novel therapies. Our disease modeling capabilities serve to facilitate the discovery of new leads and to characterize the activity of existing leads as we move through preclinical development.</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For our</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human iPSC-cardiomyocyte (iPSC-CM) disease models, we use multiple methods to induce phenotypes within cell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simulate human diseases and then use these models for high throughput target identification and drug discovery. We have developed our own high-throughput imaging analysis technologies to characterize the impact of drug leads directly on cardiomyocytes and cardiac fibroblasts. Taken together, our advancements in disease modeling, including our practice of characterizing targets using three-dimensional human engineered heart tissues, our ability to produce human iPSC-CMs reliably and at an increasing scale, and our combination of immunostaining, high-resolution imaging and application of machine learning algorithms to support high-throughput phenotypic screening, enhance our ability to both identify and characterize potential product candidates early in the discovery process.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We have to date established approximately 20 rodent heart disease models in pursuit of our early pipeline. Our rodent models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in-licensed and novel genetically modified lines, as well as surgically or pharmacologically induced models. Over time, we have developed important insights into the advantages and limitations of specific models and have learned how to optimize experimental design to maximize learnings and de-risk program advancement. This insight influences our preclinical drug development strategies and our discussions with regulatory agencies.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Capsid Engineering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selection of the right capsid for optimal delivery and safety of genetic medicines can make a profound difference in patient safety, therapeutic efficacy, manufacturing productivity and cost of goods. As part of our early product design efforts, we tested AAV9, which has clinically established safety profile and cardiac tropism and proven manufacturability, alongside several other capsids for tropism to cardiomyocytes and for resulting mRNA and protein expression, and in our hands AAV9 proved to be superior to other available capsids. This work contributed to the selection of AAV9 for use with TN-201 and TN-401 and also contributed to the foundations of our novel capsid engineering efforts.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goal is to discover, design, and develop novel cardiac-tropic AAV capsids with superior attributes to AAV9 in order to enable more precise targeting of heart cells and to improve the safety profile of future product candidates by reducing tropism for other organs, particularly the liver. We also believe that using capsids that more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specifically target one cell type over another may help lower cost of goods for such candidates by lowering doses while increasing efficacy. To achieve our goals related to capsid engineering, we have established in-house AAV capsid engineering capabilities and have designed and screened over one billion variants from diverse, proprietary libraries to discover, design, and develop novel capsids to support our programs.</w:t>
      </w:r>
    </w:p>
    <w:p>
      <w:pPr>
        <w:spacing w:after="0" w:line="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approach includes the use of diverse screening methods across a variety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systems to enable our ability to identify novel capsids, followed by the application of specific criteria for the selection of novel capsids, including improved tropism for the heart compared to other organs, with a particular interest in de-targeting the liver; improved transduction of specific heart cell types; lower susceptibility to neutralizing antibodies; and comparable manufacturing in both HEK293- and Sf9/rBV-based manufacturing systems. We then evaluate these novel capsids to identify ones that can outperform the relevant parental capsids, which may vary depending on the intended use.</w:t>
      </w:r>
    </w:p>
    <w:p>
      <w:pPr>
        <w:spacing w:after="0" w:line="7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Through these efforts, we have discovered proprietary capsids with superior performance over parental variants across multiple species. These next-generation capsids have improved tropism for the heart compared to other organs and even for specific cells within the heart; improved expression within the heart cells; and lower susceptibility to neutralizing antibodies. We have identified novel capsids capable of equivalent or superior transduction in the heart, liver detargeting and evasion of preexisting neutralizing antibodies as compared to AAV9. We have also generated data that demonstrate that certain of these capsids have a greater ability to improve heart function compared to the same dose of AAV9 in specific disease models.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Overall, these data provide important proof of concept of the potential utility of capsid engineering. We believe our capsid engineering efforts will be critical in supporting the successful clinical development of future product candidates and enabling those product candidates, if approved, to reach more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Promoters and Regulatory Elements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have created novel promoters and regulatory elements that support our gene therapy and cellular regeneration programs by controlling the expression of genes within the cells. We use these innovations, which are essential to the success of gene therapy,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 For example, we have developed cardiac-specific promoters that enable more selective and robust expression in the heart as compared to other organs. Specifically, during optimization of TN-201, we developed a cardiomyocyte-specific promoter, TNP-CM1, with improved performance attributes and a shorter length as compared to the standard cTnT promoter.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confirmed that TNP-CM1 significantly increased expression of the </w:t>
      </w:r>
      <w:r>
        <w:rPr>
          <w:rFonts w:ascii="Times New Roman" w:cs="Times New Roman" w:eastAsia="Times New Roman" w:hAnsi="Times New Roman"/>
          <w:sz w:val="18"/>
          <w:szCs w:val="18"/>
          <w:i w:val="1"/>
          <w:iCs w:val="1"/>
          <w:color w:val="auto"/>
        </w:rPr>
        <w:t xml:space="preserve">MYBPC3 </w:t>
      </w:r>
      <w:r>
        <w:rPr>
          <w:rFonts w:ascii="Times New Roman" w:cs="Times New Roman" w:eastAsia="Times New Roman" w:hAnsi="Times New Roman"/>
          <w:sz w:val="18"/>
          <w:szCs w:val="18"/>
          <w:color w:val="auto"/>
        </w:rPr>
        <w:t>gene compared to what can be achieved with the standard cTnT promoter. In addition, in a mouse model we observed 1000-fold selectivity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expression in cardiac tissue relative to other tissues, including skeletal muscle, brain and liver. This shorter, yet effective promoter enabled packaging of full-length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DNA despite the limited capacity of AAV.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Delivery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Delivery of drugs to the heart is widely considered to be an important challenge to successful translation of cardiac gene therapy and regenerative medicines into approved products. In an effort to maximize the success of programs within our diverse pipeline, we have actively explored different routes of administration, as well as different infusion- or injection-based catheters to support more targeted delivery and more efficient uptake of therapies based on viral vectors. For our gene therapy product candidates, including TN-201 and TN-401, we generally need broad distribution across the heart tissue that is best suited to infusion-based approaches. Other programs, such as our TN-101 therapy designed to convert resident fibroblasts into working myocardial cells in the setting of post-ischemic heart failure, require more precise delivery into the heart tissue directly around the scar area of the LV. Thus TN-101 is more suited to injection-based approaches. We believe our drug delivery approaches may widen the therapeutic index of certain product candidates by reducing the dose required for a therapeutic benefit.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early strategy was to have complete ownership of our process development, analytical development, manufacturing and quality control (QC) for our gene therapy programs. Maintaining internalized manufacturing for these programs increased our understanding of the attributes of our drug substance and drug product, enabled continuous process improvement, consistency (quality and productivity) and supported the manufacturing requirements for our gene therapy programs in clinical development. The resulting innovation and insights are expected to apply not only for rare populations, but also for more prevalent indications, and allow us to be a partner of choice in AAV-based genetic medicines manufacturing. Overall, the internalization of manufacturing efforts provided us with the know-how and capabilities necessary to manage our late-stage drug manufacturing requirements. Today, we rely on a combination of internal manufacturing capabilities and external contract development manufacturing organizations (CDMOs) for our manufacturing requirements and intend to continue to utilize this strategy as our programs progress through various stages of clinical development and future commercialization, if approved.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We believe our scientific know-how,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or that may be developed in the future.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the depth and diversity of our pipeline, we may face competition from a variety of companies, including:</w:t>
      </w:r>
    </w:p>
    <w:p>
      <w:pPr>
        <w:spacing w:after="0" w:line="11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TN-201: </w:t>
      </w:r>
      <w:r>
        <w:rPr>
          <w:rFonts w:ascii="Times New Roman" w:cs="Times New Roman" w:eastAsia="Times New Roman" w:hAnsi="Times New Roman"/>
          <w:sz w:val="18"/>
          <w:szCs w:val="18"/>
          <w:color w:val="auto"/>
        </w:rPr>
        <w:t>We believe the principal competition for TN-201 will be programs that address the underlying genetic cause of</w:t>
      </w:r>
      <w:r>
        <w:rPr>
          <w:rFonts w:ascii="Times New Roman" w:cs="Times New Roman" w:eastAsia="Times New Roman" w:hAnsi="Times New Roman"/>
          <w:sz w:val="18"/>
          <w:szCs w:val="18"/>
          <w:i w:val="1"/>
          <w:iCs w:val="1"/>
          <w:color w:val="auto"/>
        </w:rPr>
        <w:t xml:space="preserve"> MYBPC3</w:t>
      </w:r>
      <w:r>
        <w:rPr>
          <w:rFonts w:ascii="Times New Roman" w:cs="Times New Roman" w:eastAsia="Times New Roman" w:hAnsi="Times New Roman"/>
          <w:sz w:val="18"/>
          <w:szCs w:val="18"/>
          <w:color w:val="auto"/>
        </w:rPr>
        <w:t>-associated HCM.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publicly available data, we don’t believe any such treatments have received approval from a regulatory agency or reached clinical development. Notwithstanding, we may face competition from treatments for both nHCM and oHCM, including Bristol Myers Squibb’s myosin inhibitor Camzyos and Cytokinetics’ Myqorzo. There are also several other programs at the regulatory review stage or in clinical development for HCM, including Edgewise Therapeutics’ EDG-7500, Lexicon Pharmaceutical's sotagliflozin and Imbria Pharmaceutical's ninerafaxstat.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TN-301: </w:t>
      </w:r>
      <w:r>
        <w:rPr>
          <w:rFonts w:ascii="Times New Roman" w:cs="Times New Roman" w:eastAsia="Times New Roman" w:hAnsi="Times New Roman"/>
          <w:sz w:val="18"/>
          <w:szCs w:val="18"/>
          <w:color w:val="auto"/>
        </w:rPr>
        <w:t>We believe that the principal competition for TN-301 in HFpEF includes agents approved in the U.S. and/or Europe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HFpEF, including Novartis’ Entresto and Eli Lilly and Boehringer Ingleheim’s SGLT2 inhibitor, Jardiance and Astra Zeneca’s SGLT2 inhibitor, Farxiga. While there are no approved HDAC6 inhibitors for cardiovascular indications, HFpEF clinical development is an area of robust investment and multiple additional agents for the treatment of HFpEF are in clinical development, including Eli Lilly and Company’s Tirzepatide. We believe that the principal approved in-class competition for TN-301 in DMD is Italfarmaco's Duvyzat. Alternative approved treatments include branded steroids such as Catalyst Pharmaceuticals and Santhera Pharmaceutical's Agamree and PTC Therapeutics' Emflaza, gene therapies such as Sarepta Therapeutics' Elevidys and exon skippers such as Sarepta Therapeutics' Exondys 51 and NS Pharma's Viltepso. There are other potential treatments in development for DMD including Capricor Therapeutics' and NS Pharma's cardiosphere-derived cell therapy, Deramiocel, Edgewise Therapeutics' myosin inhibitor, Sevasemten, and Avidity Bioscience's exon skipper, AOC-1044, and multiple gene therapies and other therapies.</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TN-401: </w:t>
      </w:r>
      <w:r>
        <w:rPr>
          <w:rFonts w:ascii="Times New Roman" w:cs="Times New Roman" w:eastAsia="Times New Roman" w:hAnsi="Times New Roman"/>
          <w:sz w:val="18"/>
          <w:szCs w:val="18"/>
          <w:color w:val="auto"/>
        </w:rPr>
        <w:t>We believe the principal competition for TN-401 will be programs that address the underlying genetic cause of</w:t>
      </w:r>
      <w:r>
        <w:rPr>
          <w:rFonts w:ascii="Times New Roman" w:cs="Times New Roman" w:eastAsia="Times New Roman" w:hAnsi="Times New Roman"/>
          <w:sz w:val="18"/>
          <w:szCs w:val="18"/>
          <w:i w:val="1"/>
          <w:iCs w:val="1"/>
          <w:color w:val="auto"/>
        </w:rPr>
        <w:t xml:space="preserve"> PKP2</w:t>
      </w:r>
      <w:r>
        <w:rPr>
          <w:rFonts w:ascii="Times New Roman" w:cs="Times New Roman" w:eastAsia="Times New Roman" w:hAnsi="Times New Roman"/>
          <w:sz w:val="18"/>
          <w:szCs w:val="18"/>
          <w:color w:val="auto"/>
        </w:rPr>
        <w:t>-associated ARVC.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publicly available data, we don’t believe any such treatments have received approval from a regulatory agency. However, there are several programs in clinical development for treating the underlying cause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including Rocket Pharmaceutical’s RP-A601 and Lexeo Therapeutics’ LX2020. We may also face competition from therapies and medical devices directed to treat the symptoms of ARVC.</w:t>
      </w:r>
    </w:p>
    <w:p>
      <w:pPr>
        <w:spacing w:after="0" w:line="72" w:lineRule="exact"/>
        <w:rPr>
          <w:sz w:val="20"/>
          <w:szCs w:val="20"/>
          <w:color w:val="auto"/>
        </w:rPr>
      </w:pPr>
    </w:p>
    <w:p>
      <w:pPr>
        <w:ind w:right="380" w:firstLine="509"/>
        <w:spacing w:after="0" w:line="284" w:lineRule="auto"/>
        <w:rPr>
          <w:sz w:val="20"/>
          <w:szCs w:val="20"/>
          <w:color w:val="auto"/>
        </w:rPr>
      </w:pPr>
      <w:r>
        <w:rPr>
          <w:rFonts w:ascii="Times New Roman" w:cs="Times New Roman" w:eastAsia="Times New Roman" w:hAnsi="Times New Roman"/>
          <w:sz w:val="18"/>
          <w:szCs w:val="18"/>
          <w:color w:val="auto"/>
        </w:rPr>
        <w:t>For information regarding the risks related to competition, see “</w:t>
      </w:r>
      <w:r>
        <w:rPr>
          <w:rFonts w:ascii="Times New Roman" w:cs="Times New Roman" w:eastAsia="Times New Roman" w:hAnsi="Times New Roman"/>
          <w:sz w:val="18"/>
          <w:szCs w:val="18"/>
          <w:i w:val="1"/>
          <w:iCs w:val="1"/>
          <w:color w:val="auto"/>
        </w:rPr>
        <w:t>Risk Factors—Risks Related to the Discovery Development, Manufacturing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of Our Product Candidates.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European Union (EU) and other select jurisdictions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w:t>
      </w:r>
    </w:p>
    <w:p>
      <w:pPr>
        <w:spacing w:after="0" w:line="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Each of our lead product candidates is covered by at least one or more issued U.S. patents, which are described below. We also have numerous pending patent applications, and will continue to file new patent applications, in the U.S., the EU and other select countries covering our lead product candidates, as well as our early-stage programs in preclinical development. Beyond these issued patents and pending patent applications, our owned and exclusively licensed patent portfolio also covers various aspects of our core capabilities, including our gene delivery expression cassettes and vectors, recombinant capsid proteins, gene editing technology and manufacturing processes.</w:t>
      </w:r>
    </w:p>
    <w:p>
      <w:pPr>
        <w:spacing w:after="0" w:line="7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TN-201</w:t>
      </w:r>
      <w:r>
        <w:rPr>
          <w:rFonts w:ascii="Times New Roman" w:cs="Times New Roman" w:eastAsia="Times New Roman" w:hAnsi="Times New Roman"/>
          <w:sz w:val="18"/>
          <w:szCs w:val="18"/>
          <w:color w:val="auto"/>
        </w:rPr>
        <w:t>: With regard to TN-201, we own four issued U.S. patents covering a recombinant adeno-associated virus (rAAV) virion whose vector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genome encodes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and methods of using the same for treating cardiomyopathy, one pending non-provisional U.S. patent application, four issued foreign patents in Eurasia, Malaysia, and South Africa, and 24 pending foreign patent applications. The pending foreign patent applications are in a number of jurisdictions, including Australia, Brazil, Canada, China, European Patent Office, Israel, India, Japan, Republic of Korea, Mexico, New Zealand, Saudi Arabia, Singapore, South Africa, and United Arab Emirates. Any U.S. or foreign patents issued from the pending patent applications are expected to expire in 2041, assuming payment of all appropriate maintenance, renewal, annuity or other governmental fees, and without taking potential patent term extensions or adjustments into account. The issued U.S. patents and pending U.S. non-provisional patent applications are directed to various aspects of TN-201, including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expression cassettes, rAAV vectors, rAAV viral genomes and methods of using such compositions for therapeutic indications.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TN-301: </w:t>
      </w:r>
      <w:r>
        <w:rPr>
          <w:rFonts w:ascii="Times New Roman" w:cs="Times New Roman" w:eastAsia="Times New Roman" w:hAnsi="Times New Roman"/>
          <w:sz w:val="18"/>
          <w:szCs w:val="18"/>
          <w:color w:val="auto"/>
        </w:rPr>
        <w:t>With regard to TN-301, we own three issued U.S. patents, one pending non-provisional U.S. patent application and two issued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in Mexico, Japan, and Saudi Arabia and twenty-seven pending foreign patent applications covering TN-301 and various analogs. The pending foreign applications are in a number of jurisdictions, including Australia, Brazil, Canada, China, Eurasia, Europe, Hong Kong, India, Israel, Japan, South Korea, New Zealand, and South Africa. Any U.S. or foreign patents issued from these pending patent applications are expected to expire in 2040, assuming payment of all appropriate maintenance, renewal, annuity or other governmental fees, and without taking potential patent term extensions or adjustments into account. We also own four patent families that cover methods of treatment of various diseases and disorders with TN-301 and its analogs, with one issued U.S. patent, two pending non-provisional U.S. patent applications, one pending PCT application, one pending U.S. provisional patent application, and fifteen foreign patent applications in multiple jurisdictions including Australia, Canada, China, Europe, Hong Kong, Israel, Japan, Mexico, New Zealand, Singapore, South Africa, and Taiwan. Any U.S. or foreign patents issued from the pending applications are expected to expire between 2042 and 2046, assuming payment of all appropriate maintenance, renewal, annuity or other governmental fees, and without taking potential patent term extensions or adjustments into account. We also own one patent family that covers additional HDAC6i compounds, with one pending non-provisional U.S. patent application, one issued foreign patent in Japan, and two pending foreign patent applications in Europe and Canada.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spacing w:after="0" w:line="7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TN-401: </w:t>
      </w:r>
      <w:r>
        <w:rPr>
          <w:rFonts w:ascii="Times New Roman" w:cs="Times New Roman" w:eastAsia="Times New Roman" w:hAnsi="Times New Roman"/>
          <w:sz w:val="18"/>
          <w:szCs w:val="18"/>
          <w:color w:val="auto"/>
        </w:rPr>
        <w:t>With regard to TN-401, we own one issued U.S. patent, three pending U.S. non-provisional patent applications, three issued foreign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Japan, South Africa, and Eurasia, and 24 pending foreign patent applications, related to proprietary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expression vectors and methods of use. The pending foreign patent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applications are in a number of jurisdictions, including Australia, Brazil, Canada, China, Europe, Israel, India, Japan, Republic of Korea, Mexico, New Zealand, Saudi Arabia, Singapore, South Africa, and United Arab Emirates. Any U.S. or foreign patents issued from the pending patent applications are expected to expire in 2041, assuming payment of all appropriate maintenance, renewal, annuity or other governmental fees and without taking potential patent term extensions or adjustments into account. We own one pending U.S. non-provisional patent application and five foreign patent applications in multiple jurisdictions, including Argentina, Europe, Hong Kong, Japan, and Taiwan, related to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therapeutic treatment methods. Any U.S. or foreign patents issued from the pending patent applications are expected to expire in 2043, assuming payment of all appropriate maintenance, renewal, annuity or other governmental fees, and without taking potential patent term extensions or adjustments into account.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We also seek to preserve the integrity and confidentiality of our data and trade secrets by maintaining physical security of our premises and physical and electronic security of our information technology systems.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rely on a combination of internal manufacturing capabilities and external CDMOs for the manufacture of the drug substance and/or drug product of our portfolio programs and intend to continue to utilize this strategy as our programs progress through various stages of clinical development and future commercialization, if approved.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AAV Manufacturing</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fully integrated and internalized AAV manufacturing capabilities to support product candidates emerging from our discovery efforts that utilize AAV for delivery. Simultaneously, we established a Quality Management System to oversee our GxP operations, including Current Good Manufacturing Practices (cGMP), GLP and Good Clinical Practice (GCP).</w:t>
      </w:r>
    </w:p>
    <w:p>
      <w:pPr>
        <w:spacing w:after="0" w:line="6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Manufacturing Technology Development Center,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MTDC,</w:t>
      </w:r>
      <w:r>
        <w:rPr>
          <w:rFonts w:ascii="Times New Roman" w:cs="Times New Roman" w:eastAsia="Times New Roman" w:hAnsi="Times New Roman"/>
          <w:sz w:val="18"/>
          <w:szCs w:val="18"/>
          <w:color w:val="auto"/>
        </w:rPr>
        <w:t xml:space="preserve"> includes a Vector Core, upstream and downstream process development labs, as well as assay development and QC capabilities, and is co-located with our research labs in the San Francisco Bay Area. The MTDC does non-GMP work using both the sf9-baculovirus and HEK293 systems and operates at the shake flask, 50L, and 200L scales to support all non-clinical studies, including IND-enabling efficacy, pharmacology, toxicology, and biodistribution, as well as process and analytical work appropriate for later stages of development and approval for our lead gene therapy programs. We also utilize the MTDC to support our work on novel technologies intended to improve the scalability, yield and attributes of AAV manufactured products, including improvements in upstream and downstream processes and novel cell lines; we believe this work has the potential to contribute to our existing clinical-stage and/or future potential gene therapy programs.</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2021 we established our </w:t>
      </w:r>
      <w:r>
        <w:rPr>
          <w:rFonts w:ascii="Times New Roman" w:cs="Times New Roman" w:eastAsia="Times New Roman" w:hAnsi="Times New Roman"/>
          <w:sz w:val="18"/>
          <w:szCs w:val="18"/>
          <w:i w:val="1"/>
          <w:iCs w:val="1"/>
          <w:color w:val="auto"/>
        </w:rPr>
        <w:t>Genetic Medicines Manufacturing Center,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GMMC</w:t>
      </w:r>
      <w:r>
        <w:rPr>
          <w:rFonts w:ascii="Times New Roman" w:cs="Times New Roman" w:eastAsia="Times New Roman" w:hAnsi="Times New Roman"/>
          <w:sz w:val="18"/>
          <w:szCs w:val="18"/>
          <w:color w:val="auto"/>
        </w:rPr>
        <w:t xml:space="preserve">, at a time when CDMO capacity was limited and the industry was experiencing quality issues with the available CDMOs. When fully operational, our </w:t>
      </w:r>
      <w:r>
        <w:rPr>
          <w:rFonts w:ascii="Times New Roman" w:cs="Times New Roman" w:eastAsia="Times New Roman" w:hAnsi="Times New Roman"/>
          <w:sz w:val="18"/>
          <w:szCs w:val="18"/>
          <w:i w:val="1"/>
          <w:iCs w:val="1"/>
          <w:color w:val="auto"/>
        </w:rPr>
        <w:t>GMMC</w:t>
      </w:r>
      <w:r>
        <w:rPr>
          <w:rFonts w:ascii="Times New Roman" w:cs="Times New Roman" w:eastAsia="Times New Roman" w:hAnsi="Times New Roman"/>
          <w:sz w:val="18"/>
          <w:szCs w:val="18"/>
          <w:color w:val="auto"/>
        </w:rPr>
        <w:t xml:space="preserve"> can operate at the 200L and 1000L scales to support clinical development activities from first-in-human clinical trials through to late-stage development, and potentially initial commercialization, should regulatory approval be obtained. We successfully utilized the GMMC to produce sufficient drug product to support the current planned dosing for both MyPEAK-1 and RIDGE-1. However, in 2025, due to the available inventory of TN-201 and TN-401 and to support our cost containment initiatives, we decided to decommission the GMMC facility. We will evaluate recommissioning it based on clinical program requirements, or alternatively, will initiate the transfer of our AAV manufacturing process to a CDMO at the appropriate time.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internal manufacturing capabilities, we have also negotiated and entered into master service agreements with multiple CDMOs to provide additional AAV manufacturing and filling capacity, storage, stability program management, and associated risk mitigation. Additionally, we will rely on third parties for certain manufacturing of ancillary materials and release assays, for which we have already secured or intend to secure dual-sourced capacity. To support outsourced manufacturing activities across our gene therapy portfolio, we employ a technical operations staff with the requisite expertise to facilitate technology transfer to and oversight of our CDMOs.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Small Molecule Manufacturing</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rely on various third parties for our cGMP small molecule manufacturing. This external network consists of well-established and reputable CDMOs for our chemistry, manufacturing and control development that have good regulatory standing, suitable manufacturing capacities and capabilities. We will continue to expand this network as appropriate to meet future manufacturing needs for TN-301 and other small molecule product candidates, should such programs advance in the clinic, to regulatory approval and subsequent commercialization.</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source raw materials that are used to manufacture our drug substance from multiple third-party suppliers across the globe. Where appropriate, we stock sufficient quantities of these materials and provide them to our CDMOs so they can manufacture adequate drug substance quantities per our requirements. We also rely on third parties to source materials such as excipients, components and reagents, which are required to manufacture our drug substance and finished drug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regulate, among other things, the research, development, testing, manufacture, QC,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Biologic and Small Molecule Drug Product Development</w:t>
      </w:r>
    </w:p>
    <w:p>
      <w:pPr>
        <w:spacing w:after="0" w:line="121"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In the U.S.,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Biologics must be licensed by the FDA through a biologics license application (BLA), and small molecule products must be approved by the FDA through a new drug application (NDA), before they may be legally marketed in the U.S. The process generally involves the following:</w:t>
      </w:r>
    </w:p>
    <w:p>
      <w:pPr>
        <w:spacing w:after="0" w:line="54" w:lineRule="exact"/>
        <w:rPr>
          <w:sz w:val="20"/>
          <w:szCs w:val="20"/>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alignment with the FDA on clinical trial design;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line="8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or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or NDA to accept the filing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QCs, or the small molecule product’s identity, chemistry, and QCs;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and/or clinical trial sites that generated the data in support of the BLA or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other studies required by the FDA, including immunogenicity, carcinogenicity, genotoxicity, and stability studies;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 including consideration of the views of any FDA advisory committee, prior to any commercial marketing or sale of the biologic or small molecule therapeutic in the United States;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risk evaluation and mitigation strategies (REMS), and the potential requirement to conduct post-approval studies.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Preclinical studies include laboratory evaluation of product biochemistry,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There also are requirements governing the reporting of ongoing clinical trials and completed clinical trial results to public registries.</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and may overlap.</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trials suggesting a significant risk to humans exposed to the investigational product,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NDA and BLA Review Process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or NDA must be accompanied by a user fee. FDA adjusts the PDUFA user fees on an annual basis. According to the FDA’s FY 2026 fee schedule, effective through September 30, 2026, the user fee for an application requiring clinical data, such as a BLA or NDA, is approximately $4.68 million. PDUFA also imposes an annual program fee for each marketed human prescription drug product ($442,213 in 2026)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7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84"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F.4th 1299 (11th Cir. 2021), the court disagreed with the FDA’s longstanding position that the orphan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exclusivity only applies to the approved use or indication within an eligible disease.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In June 2024, the U.S. Supreme Court overruled the </w:t>
      </w:r>
      <w:r>
        <w:rPr>
          <w:rFonts w:ascii="Times New Roman" w:cs="Times New Roman" w:eastAsia="Times New Roman" w:hAnsi="Times New Roman"/>
          <w:sz w:val="18"/>
          <w:szCs w:val="18"/>
          <w:i w:val="1"/>
          <w:iCs w:val="1"/>
          <w:color w:val="231F20"/>
        </w:rPr>
        <w:t>Chevron</w:t>
      </w:r>
      <w:r>
        <w:rPr>
          <w:rFonts w:ascii="Times New Roman" w:cs="Times New Roman" w:eastAsia="Times New Roman" w:hAnsi="Times New Roman"/>
          <w:sz w:val="18"/>
          <w:szCs w:val="18"/>
          <w:color w:val="231F20"/>
        </w:rPr>
        <w:t xml:space="preserve"> doctrine, which gives deference to regulatory agencies’ statutory interpretations in litigation against federal government agencies, such as the FDA, where the law is ambiguous. This landmark Supreme Court decision may invite more stakeholders to bring lawsuits against the FDA and other federal agencies to challenge longstanding decisions and policies, including the FDA’s statutory interpretations of market exclusivities and the “substantial evidence” requirements for drug approvals, which could undermine the FDA's authority and lead to uncertainties in the industry. Further, changes in the leadership of the FDA and other federal agencies under the current administration may lead to new policies and regulatory changes that can impact our clinical development programs and timelines. For example, the FDA has proposed a new process under RDEP to facilitate the approval of drugs to treat rare diseases with very small patient populations with significant unmet medical need and with a known genetic defect that is the major driver of the pathophysiology. We may engage with the FDA for candidates that qualify for this new process, which permits substantial evidence of effectiveness based upon one adequate and well-controlled study with confirmatory evidence.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fast-track program, may be eligible for other types of FDA programs intended to expedite development and review, such as priority review, RMAT designation, and accelerated approval. Any product is eligible for priority review if it treats a serious or life-threatening condition and, if approved, would provide a significant improvement in safety and effectiveness compared to available therapies.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w:t>
      </w:r>
    </w:p>
    <w:p>
      <w:pPr>
        <w:spacing w:after="0" w:line="8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 For accelerated approval, the FDA has the authority to specify conditions for post approval study requirements and can withdraw a product on an expedited basis for noncompliance with post-approval requirements.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Abbreviated Licensure Pathway of Biological Products as Biosimilars or Interchangeable Biosimilars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75" w:lineRule="exact"/>
        <w:rPr>
          <w:sz w:val="20"/>
          <w:szCs w:val="20"/>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studies demonstrating that the proposed biosimilar product is highly similar to the approved product notwithstanding minor differences in clinically inactive components;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studies (including the assessment of toxicity); 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an application must include information demonstrating that:</w:t>
      </w:r>
    </w:p>
    <w:p>
      <w:pPr>
        <w:spacing w:after="0" w:line="117" w:lineRule="exact"/>
        <w:rPr>
          <w:sz w:val="20"/>
          <w:szCs w:val="20"/>
          <w:color w:val="auto"/>
        </w:rPr>
      </w:pPr>
    </w:p>
    <w:p>
      <w:pPr>
        <w:ind w:left="1020" w:right="14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31" w:lineRule="exact"/>
        <w:rPr>
          <w:rFonts w:ascii="Times New Roman" w:cs="Times New Roman" w:eastAsia="Times New Roman" w:hAnsi="Times New Roman"/>
          <w:sz w:val="17"/>
          <w:szCs w:val="17"/>
          <w:color w:val="auto"/>
        </w:rPr>
      </w:pPr>
    </w:p>
    <w:p>
      <w:pPr>
        <w:ind w:left="1020" w:right="4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or conditions of use prescribed, recommended or suggested in the labeling for the proposed biosimilar product have been previously approved for the reference product;</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route of administration, the dosage form and the strength of the proposed biosimilar product are the same as those for the reference product;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in which the biological product is manufactured, processed, packed or held meets standards designed to assure that the biological product continues to be safe, pure and potent.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product is biosimilar to the reference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product is expected to produce the same clinical result as the reference product in any given patient;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8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first biological product determined to be interchangeable with a branded product for any condition of use is also entitled to a period of exclusivity, during which time the FDA may not determine that another product 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Abbreviated NDA Pathway for Generic Drug Products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w:t>
      </w:r>
      <w:r>
        <w:rPr>
          <w:rFonts w:ascii="Times New Roman" w:cs="Times New Roman" w:eastAsia="Times New Roman" w:hAnsi="Times New Roman"/>
          <w:sz w:val="18"/>
          <w:szCs w:val="18"/>
          <w:color w:val="231F20"/>
        </w:rPr>
        <w:t>active pharmaceutical ingredients (</w:t>
      </w:r>
      <w:r>
        <w:rPr>
          <w:rFonts w:ascii="Times New Roman" w:cs="Times New Roman" w:eastAsia="Times New Roman" w:hAnsi="Times New Roman"/>
          <w:sz w:val="18"/>
          <w:szCs w:val="18"/>
          <w:color w:val="auto"/>
        </w:rPr>
        <w:t>API), drug product formulation, specifications, stability, analytical methods, manufacturing process validation data, QC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post-approval clinical studies;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Combination Biologic-Medical Device Products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(CBER)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Regulations (QSR) applicable to medical devices. Further, in February 2024, the FDA issued a final rule replacing the QSR with the Quality Management System Regulation (QMSR) which incorporates by reference the quality management system requirements of ISO 13485:2016. The FDA has stated that the standards contained in ISO 13485:216 are substantially similar to those set forth in the existing QSR. This final rule went into effect on February 2, 2026.</w:t>
      </w:r>
    </w:p>
    <w:p>
      <w:pPr>
        <w:spacing w:after="0" w:line="84"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may develop one or more of our biologic product candidates in combination with a novel delivery medical device.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 Application (PMA). The FDA’s 510(k) clearance process may take three to twelve months from the date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PMA approval process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QMSR, which imposes extensive testing, control, documentation, and other Quality Assurance and GMP requirements.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Matters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a violation of the federal Anti-Kickback Statute constitutes a false or fraudulent claim for purposes of the False Claims Act.</w:t>
      </w:r>
    </w:p>
    <w:p>
      <w:pPr>
        <w:spacing w:after="0" w:line="117"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including fines, penalties, injunctions, requests for recall, and exclusion from participating in government programs. Any action against us for violation of these laws, even if we successfully defend against it, could cause us to incur significant legal expenses and divert our management’s attention from the operation of our business. Changes in regulations, statutes or the interpretation of existing regulations could impact our business and increase our exposure to additional liabilities. For more information, see “</w:t>
      </w:r>
      <w:r>
        <w:rPr>
          <w:rFonts w:ascii="Times New Roman" w:cs="Times New Roman" w:eastAsia="Times New Roman" w:hAnsi="Times New Roman"/>
          <w:sz w:val="18"/>
          <w:szCs w:val="18"/>
          <w:i w:val="1"/>
          <w:iCs w:val="1"/>
          <w:color w:val="auto"/>
        </w:rPr>
        <w:t>Risk Factors— Risks Related to Regulatory Approval and Other Legal Compliance Matters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Data Privacy and Security Laws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a broad variety of laws, rules, regulations and standards relating to privacy, data protection and security may apply to our activities, such as state data breach notification laws, state personal data privacy laws (for example, the California Consumer Privacy Act of 2018, as amended by the California Privacy Rights Act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Aspects of the CCPA and its interpretation and enforcement remain uncertain. Although there are limited exemptions for clinical trial data under the CCPA, the CCPA and other similar laws could impact our business activities, depending on their interpretation. Other states have enacted laws similar to the CCPA, and other state legislatures are currently considering, and may pass, their own comprehensive data privacy and security laws, with potentially greater penalties and more rigorous compliance requirements, and laws in all 50 states require businesses, in certain cases,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w:t>
      </w:r>
      <w:r>
        <w:rPr>
          <w:rFonts w:ascii="Times New Roman" w:cs="Times New Roman" w:eastAsia="Times New Roman" w:hAnsi="Times New Roman"/>
          <w:sz w:val="18"/>
          <w:szCs w:val="18"/>
          <w:i w:val="1"/>
          <w:iCs w:val="1"/>
          <w:color w:val="auto"/>
        </w:rPr>
        <w:t>Risk Factors—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Regulatory Approval and Other Legal Compliance Matters.</w:t>
      </w:r>
      <w:r>
        <w:rPr>
          <w:rFonts w:ascii="Times New Roman" w:cs="Times New Roman" w:eastAsia="Times New Roman" w:hAnsi="Times New Roman"/>
          <w:sz w:val="18"/>
          <w:szCs w:val="18"/>
          <w:color w:val="auto"/>
        </w:rPr>
        <w:t>” We are subject to stringent laws, rules, regulations, policies, industry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Patent-Term Restoration and Marketing Exclusivity</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submitted prior to the expiration of the patent. The United States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Clinical Trials Regulation EU No 536/2014 (the Regulation) repealed the Clinical Trials Directive No. 2001/20/EC on January 31, 2022, which harmonizes the processes for assessment and supervision of clinical trials throughout the European Union. Under the Regulation, clinical trial sponsors can use the Clinical Trials Information System (CTIS) from January 31, 2022, but are not required to use it immediately, in line with a three-year transition period. CTIS publishes certain clinical trial information on a searchable public website and supports the flow of information and interactions between clinical trial sponsors and regulatory authorities in European Union Member States, European Economic Area countries, and the EC.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 Drug Review and Approval</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MAs:</w:t>
      </w:r>
    </w:p>
    <w:p>
      <w:pPr>
        <w:spacing w:after="0" w:line="68" w:lineRule="exact"/>
        <w:rPr>
          <w:sz w:val="20"/>
          <w:szCs w:val="20"/>
          <w:color w:val="auto"/>
        </w:rPr>
      </w:pPr>
    </w:p>
    <w:p>
      <w:pPr>
        <w:ind w:left="1020" w:hanging="503"/>
        <w:spacing w:after="0" w:line="25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Community MA is issued by the EC through the Centralized Procedure, based on the opinion of the Committee for Medicinal Products for Human Use (CHMP), of the </w:t>
      </w:r>
      <w:r>
        <w:rPr>
          <w:rFonts w:ascii="Times New Roman" w:cs="Times New Roman" w:eastAsia="Times New Roman" w:hAnsi="Times New Roman"/>
          <w:sz w:val="18"/>
          <w:szCs w:val="18"/>
          <w:color w:val="231F20"/>
        </w:rPr>
        <w:t>European Medicines Agency (</w:t>
      </w:r>
      <w:r>
        <w:rPr>
          <w:rFonts w:ascii="Times New Roman" w:cs="Times New Roman" w:eastAsia="Times New Roman" w:hAnsi="Times New Roman"/>
          <w:sz w:val="18"/>
          <w:szCs w:val="18"/>
          <w:color w:val="auto"/>
        </w:rPr>
        <w:t>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3" w:lineRule="exact"/>
        <w:rPr>
          <w:rFonts w:ascii="Times New Roman" w:cs="Times New Roman" w:eastAsia="Times New Roman" w:hAnsi="Times New Roman"/>
          <w:sz w:val="18"/>
          <w:szCs w:val="18"/>
          <w:color w:val="auto"/>
        </w:rPr>
      </w:pPr>
    </w:p>
    <w:p>
      <w:pPr>
        <w:ind w:left="1020" w:right="20" w:hanging="503"/>
        <w:spacing w:after="0" w:line="25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8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Data Privacy and Security Laws</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Outside of the United States, </w:t>
      </w:r>
      <w:r>
        <w:rPr>
          <w:rFonts w:ascii="Times New Roman" w:cs="Times New Roman" w:eastAsia="Times New Roman" w:hAnsi="Times New Roman"/>
          <w:sz w:val="18"/>
          <w:szCs w:val="18"/>
          <w:color w:val="231F20"/>
        </w:rPr>
        <w:t>we are subject to extensive legal requirements relating to privacy, data protection, security and the collection, 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transfer and other processing of personal data, and these requirements are continuing to evolve</w:t>
      </w:r>
      <w:r>
        <w:rPr>
          <w:rFonts w:ascii="Times New Roman" w:cs="Times New Roman" w:eastAsia="Times New Roman" w:hAnsi="Times New Roman"/>
          <w:sz w:val="18"/>
          <w:szCs w:val="18"/>
          <w:color w:val="000000"/>
        </w:rPr>
        <w:t>. For example, in the EU, the General Data Protection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Regulation (GDPR) imposes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We are also subject to the UK GDPR, which implements the GDPR in the UK post-Brexit. Failure to comply with the GDPR or UK GDPR may result in fines up to €20,000,000 (£17.5 million in the UK) or 4% of the total worldwide annual turnover of the preceding financial year, whichever is higher, and other administrative penalties. The GDPR and UK GDPR have increased our responsibility and liability in relation to personal data that we may process, and we may be required to implement additional measures in an effort to comply with the GDPR and UK GDPR and with other laws, rules and regulations in the EEA, United Kingdom (UK) and Switzerland relating to privacy and data protection. If our efforts to comply with GDPR and UK GDPR or other applicable foreign laws, rules and regulations are not successful, or are perceived to be unsuccessful, it could adversely affect our business. For more information, see “</w:t>
      </w:r>
      <w:r>
        <w:rPr>
          <w:rFonts w:ascii="Times New Roman" w:cs="Times New Roman" w:eastAsia="Times New Roman" w:hAnsi="Times New Roman"/>
          <w:sz w:val="18"/>
          <w:szCs w:val="18"/>
          <w:i w:val="1"/>
          <w:iCs w:val="1"/>
          <w:color w:val="000000"/>
        </w:rPr>
        <w:t>Risk Factors—Risks Related to Regulatory Approval and Other Legal Compliance Matters.</w:t>
      </w:r>
      <w:r>
        <w:rPr>
          <w:rFonts w:ascii="Times New Roman" w:cs="Times New Roman" w:eastAsia="Times New Roman" w:hAnsi="Times New Roman"/>
          <w:sz w:val="18"/>
          <w:szCs w:val="18"/>
          <w:color w:val="000000"/>
        </w:rPr>
        <w:t>” We are subject to stringent laws, rules, regulations, policies, industry standards and contractual obligations regarding data privacy and security and may be subject to additional laws and regulations in jurisdictions into which we expand. Many of these laws and regulations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are subject to change and reinterpretation and could result in claims, changes to our business practices, monetary penalties, increased cost of operations or other harm to our business.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HHS as a condition for states to receive federal matching funds for the manufacturer’s outpatient drugs furnished to Medicaid patients. The ACA made several changes to the Medicaid Drug Rebate Program, including increasing pharmaceutical manufacturers’ rebate liability and requiring pharmaceutical manufacturers to pay rebates on Medicaid managed care utilization and enlarging the population potentially eligible for Medicaid drug benefits. The American Rescue Plan Act of 2021, beginning January 1, 2024,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 to, among other things, bring more transparency to product pricing, impose limitations on drug price increases and reform government program reimbursement methodologies for drug products. Changes in the leadership of the Department of HHS and various federal agencies under the new Trump administration may lead to new policies and regulatory changes that can increase our compliance costs and impact our operations.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8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participate in the 340B drug pricing program. The required 340B discount on a given product is calculated based on the AMP and Medicaid rebate amounts reported by the manufacturer.</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such judicial challenges, legislative, executive, and administrative actions and any future healthcare measures and agency rules implemented by the new Trump administration on us and the pharmaceutical industry as a whole is unclear.</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For more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Regulatory Approval and Other Legal Compliance Matters.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70 full-time employees. Of the full-time employees employed as of December 31, 2025, 52 engaged in research, development and technical operations. 24 of such employees hold Ph.D. or M.D. (or foreign equivalent) degrees and 10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individuals to perform to the best of their abilities and achieve our objectives. In addition, we provide a variety of programs and services to help employees meet and balance their needs at work, at home and in life, including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2025, was approximately 60% non-white and 51%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spacing w:after="0" w:line="75"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Our mission is to foster and create a unique culture where belonging and empowerment are at the forefront of our community. We advocate for diverse perspectives and encourage employees to be authentic, inclusive, and respectful to each other. We discourage behaviors that do not have a positive impact on our community or support our mission to discover, develop, and deliver curative therapies that target the underlying causes of heart disease.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8" w:lineRule="exact"/>
        <w:rPr>
          <w:sz w:val="20"/>
          <w:szCs w:val="20"/>
          <w:color w:val="auto"/>
        </w:rPr>
      </w:pPr>
    </w:p>
    <w:p>
      <w:pPr>
        <w:ind w:right="80" w:firstLine="509"/>
        <w:spacing w:after="0" w:line="234"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South San Francisco, California 94080. Our telephone number is (650) 825-6990. We maintain a site on the worldwide web at www.tenayatherapeutics.com; however, information found on our website is not incorporated by reference into this report.</w:t>
      </w:r>
    </w:p>
    <w:p>
      <w:pPr>
        <w:spacing w:after="0" w:line="9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information to the public through filings with the SEC, our website (www.tenayatherapeutics.com), press releases, public conference calls, and public webcasts. We use these channels, as well as social media, to communicate with the public about us, our product candidates and other matters. As such, investors, the media and others are encouraged to review the information disclosed through our social media and other channels listed above as such information could be deemed to be material information. Please note that this list may be updated from time to time.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annual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jc w:val="both"/>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220" w:hanging="503"/>
        <w:spacing w:after="0" w:line="258"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ind w:left="1020" w:right="60" w:hanging="503"/>
        <w:spacing w:after="0" w:line="261"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67"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10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would be if we had a longer operating history.</w:t>
      </w:r>
    </w:p>
    <w:p>
      <w:pPr>
        <w:spacing w:after="0" w:line="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December 31, 2025, we had an accumulated deficit of $605.0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contract research organizations (CROs) and clinical sites for the clinical development of our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efficacy and safety profiles that are satisfactory to the FDA or any comparable foreign regulatory authority for marketing approval;</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an efficient and scalable manufacturing process for our product candidates, and the timely manufacture of sufficient quantities of a product candidate for use in clinical trials and, if approved, commercialization;</w:t>
      </w:r>
    </w:p>
    <w:p>
      <w:pPr>
        <w:spacing w:after="0" w:line="53" w:lineRule="exact"/>
        <w:rPr>
          <w:rFonts w:ascii="Times New Roman" w:cs="Times New Roman" w:eastAsia="Times New Roman" w:hAnsi="Times New Roman"/>
          <w:sz w:val="18"/>
          <w:szCs w:val="18"/>
          <w:color w:val="231F20"/>
        </w:rPr>
      </w:pPr>
    </w:p>
    <w:p>
      <w:pPr>
        <w:ind w:left="1020" w:right="20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86" w:lineRule="exact"/>
        <w:rPr>
          <w:sz w:val="20"/>
          <w:szCs w:val="20"/>
          <w:color w:val="auto"/>
        </w:rPr>
      </w:pPr>
    </w:p>
    <w:p>
      <w:pPr>
        <w:ind w:left="1020" w:right="40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achievement of development, regulatory and sales-based milestones under our collaboration agreement with Alnylam;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promoter and regulatory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consistent quality, purity, and potency across clinical supplies and commercial supplies for any approved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and/or eliminate one or more of our research and drug development programs or future commercialization efforts.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over the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As of December 31, 2025, we had $100.5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For example, under our collaboration agreement with Alnylam, we are not permitted to </w:t>
      </w:r>
      <w:r>
        <w:rPr>
          <w:rFonts w:ascii="Times New Roman" w:cs="Times New Roman" w:eastAsia="Times New Roman" w:hAnsi="Times New Roman"/>
          <w:sz w:val="18"/>
          <w:szCs w:val="18"/>
          <w:color w:val="000000"/>
        </w:rPr>
        <w:t>conduct any research or development activities with respect to certain collaboration targets or 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therapeutic products designed to be directed to such targets, for as long as the target remains a collaboration target. </w:t>
      </w:r>
      <w:r>
        <w:rPr>
          <w:rFonts w:ascii="Times New Roman" w:cs="Times New Roman" w:eastAsia="Times New Roman" w:hAnsi="Times New Roman"/>
          <w:sz w:val="18"/>
          <w:szCs w:val="18"/>
          <w:color w:val="231F20"/>
        </w:rPr>
        <w:t>If we are unable to raise additional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requires us to comply with specified operating covenants and places restrictions on our operating and financial flexibility.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the filing date of this periodic report, under our Loan Agreement, we have the right to draw down up to $20.0 million,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events of default and affirmative and negative covenants, including covenants that limit or restrict our ability to, among other things, dispose of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enacted a temporary suspension on the use of state NOLs in taxable years beginning in 2024, 2025 and 2026, which would adversely affect our company if we earn taxable income in 2026. Consequently, our ability to use our NOLs and certain other tax attributes may be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or successfully outsourcing manufacturing,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we do not successfully initiate and complete our clinical trials in a timely manner, including the successful manufacturing of the relevant product candidate,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trials, increase clinical trial costs, delay approval of our product candidates and jeopardize our ability to commercialize our product candidates, if approved, and generate revenue.</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as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231F20"/>
        </w:rPr>
        <w:t>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CBER to consolidate the review of gene therapy and related products, and the Cellular, Tissue and Gene Therapies Advisory Committee to advise CBER on its review.</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8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clinical trial application,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jc w:val="both"/>
        <w:ind w:right="180" w:firstLine="509"/>
        <w:spacing w:after="0" w:line="254" w:lineRule="auto"/>
        <w:rPr>
          <w:sz w:val="20"/>
          <w:szCs w:val="20"/>
          <w:color w:val="auto"/>
        </w:rPr>
      </w:pPr>
      <w:r>
        <w:rPr>
          <w:rFonts w:ascii="Times New Roman" w:cs="Times New Roman" w:eastAsia="Times New Roman" w:hAnsi="Times New Roman"/>
          <w:sz w:val="18"/>
          <w:szCs w:val="18"/>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31F20"/>
        </w:rPr>
        <w:t>Compliance with the CTR and/or MHRA requirements by us, our collaborators and third-party service providers, such as CROs,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7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8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40" w:hanging="503"/>
        <w:spacing w:after="0" w:line="266"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such as we experienced with MyPEAK-1;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and/or duration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68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or untimely clinical data collection, entry, analysis or reporting by clinical sites, third-party contractors and/or CROs;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8"/>
          <w:szCs w:val="18"/>
          <w:color w:val="231F20"/>
        </w:rPr>
        <w:t>.</w:t>
      </w:r>
    </w:p>
    <w:p>
      <w:pPr>
        <w:spacing w:after="0" w:line="8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231F20"/>
        </w:rPr>
        <w:t>Serious adverse events or other side effects observed in any of our clinical trials, through our expanded access program, or in similar trials by other sponsors, may result in difficulty recruiting patients to the clinical trials, cause patients to drop out of our trials, or require that we abandon the trials or our development efforts of that product candidate altogether.</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For example, in November 2025, we announced that the FDA placed MyPEAK-1 on clinical hold to request a protocol amendment, primarily to standardize activities related to patient monitoring and management of the immunosuppressive regimen across trial sites. While the hold was lifted after swift and collaborative engagement with the FDA, there is no assurance that it or any future hold on our clinical trials would not have a material adverse effect on our business or our data milestones or development timelines for TN-201 or other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in advising patients enrolled in our clinical trials to withdraw from our studies to try alternative therapies. Patients also have the right to withdraw from our clinical trials for any reason. Enrollment may also be impacted by an IRB or ethics committee decision to pause or stop enrollment at a trial site, a DSMB recommendation to pause or stop trial enrollment, or a decision by a regulatory authority to pause or stop trial enrollment in a particular country. Additionally, the FDA, EMA or other comparable foreign regulatory authorities may require long-term follow-up assessments for a certain number of patients, which could delay marketing approval.</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also expect patient enrollment to be affected because our competitors have ongoing clinical trials for programs that are under development or are approved for the same indications as our product candidates, and patients who would otherwise be eligible for our clinical trials could instead enroll in clinical trials of our competitors’ programs or choose to take an approved medication. Patient enrollment for our clinical trials has been and may continue to be affected by other factors,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ongoing IRB and/or ethics committee decisions and DSMB recommendations;</w:t>
      </w:r>
    </w:p>
    <w:p>
      <w:pPr>
        <w:spacing w:after="0" w:line="117" w:lineRule="exact"/>
        <w:rPr>
          <w:rFonts w:ascii="Times New Roman" w:cs="Times New Roman" w:eastAsia="Times New Roman" w:hAnsi="Times New Roman"/>
          <w:sz w:val="18"/>
          <w:szCs w:val="18"/>
          <w:color w:val="231F20"/>
        </w:rPr>
      </w:pPr>
    </w:p>
    <w:p>
      <w:pPr>
        <w:jc w:val="both"/>
        <w:ind w:left="1020" w:right="580" w:hanging="503"/>
        <w:spacing w:after="0" w:line="266"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 perception about the use of genetic medicines in human therapeutics or precision medicine;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staff and resources at clinical trial sites, including support for clinical trial enrollment and the availability of hospital beds;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practical and financial burden of the trial protocol on patients, including conflicts with their work, family and personal activities, as well as travel costs, lodging, lost wages and insufficient reimbursement or support;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site activation, contracting and budget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protocol amendments, reviews and approvals;</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on the rate of patient enrollment required by the clinical trial protocol, including those that may be requested by health authorities.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5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w:t>
      </w:r>
      <w:r>
        <w:rPr>
          <w:rFonts w:ascii="Times New Roman" w:cs="Times New Roman" w:eastAsia="Times New Roman" w:hAnsi="Times New Roman"/>
          <w:sz w:val="18"/>
          <w:szCs w:val="18"/>
          <w:color w:val="000000"/>
        </w:rPr>
        <w:t>For example, in connection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our cost containment measures, we are prioritizing generating data from our MyPEAK-1 and RIDGE-1 clinical trials of TN-201 and TN-401, respectively. </w:t>
      </w:r>
      <w:r>
        <w:rPr>
          <w:rFonts w:ascii="Times New Roman" w:cs="Times New Roman" w:eastAsia="Times New Roman" w:hAnsi="Times New Roman"/>
          <w:sz w:val="18"/>
          <w:szCs w:val="18"/>
          <w:color w:val="231F20"/>
        </w:rPr>
        <w:t>Our decisions concerning the allocation of research, development, collaboration, management and financial resources toward particular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7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231F20"/>
        </w:rPr>
        <w:t>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Initial, interim and topline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trials,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ensure that the process works and the product candidate is made strictly and consistently in compliance with the process. Problems with the manufacturing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process, even minor deviations from the normal process, including during the manufacture of drug substance, drug product, filling, labeling, packaging, storage, shipping, QC and testing and/or in connection with release assays, including potency assays, could result in product defects, lot failures, product recalls, product liability claims or insufficient inventory, and may ultimately disrupt or delay the supply of our product candidates.</w:t>
      </w:r>
    </w:p>
    <w:p>
      <w:pPr>
        <w:spacing w:after="0" w:line="6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Although some of our employees have experience in the manufacturing of biopharmaceutical products from prior employment at other companies, we as a company have limited experience in manufacturing and oversight of CDMOs conducting manufacturing activities on our behalf. We may also encounter problems hiring and retaining the experienced personnel needed to manage our complex manufacturing operations, including those outsourced to CDMOs. If we experience unanticipated employee shortage or turnover in any of these areas, we may not be able to maintain oversight of our QC, conduct further process improvements or meet our product development timelines; we may also experience difficulties in maintaining compliance with applicable regulatory requirements, which would impair our product development and commercialization efforts.</w:t>
      </w:r>
    </w:p>
    <w:p>
      <w:pPr>
        <w:spacing w:after="0" w:line="79"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To date, our product candidates have been manufactured in quantities adequate for preclinical studies and our Phase 1b/2 clinical trials for our lead product candidates. We will need to manufacture product candidates in larger quantities for commercialization of the resulting product, if that product candidate is approved for sale, and we may need to manufacture more product to conduct later-stage clinical trials.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Moreover, if we choose to transfer manufacturing activities for our clinical-stage gene therapy programs to a CDMO, we may also be required to conduct additional studies to ensure comparability, notify and submit additional filings to regulatory authorities, and obtain regulatory authority approval for the new facilities, which may be delayed or never received. While the manufacturing process alone is complex, quality issues may also arise during drug product filling, labeling, packaging, storage, shipping and ongoing QC and testing activities.</w:t>
      </w:r>
    </w:p>
    <w:p>
      <w:pPr>
        <w:spacing w:after="0" w:line="86" w:lineRule="exact"/>
        <w:rPr>
          <w:sz w:val="20"/>
          <w:szCs w:val="20"/>
          <w:color w:val="auto"/>
        </w:rPr>
      </w:pPr>
    </w:p>
    <w:p>
      <w:pPr>
        <w:ind w:right="440" w:firstLine="44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our product candidates will be subject to significant government regulations and approvals, which are often costly and could result in adverse consequences to our business if we or our CDMO’s fail to comply with the regulations or maintain the approvals.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and our CDMOs will be subject to inspections by the FDA and comparable agencies in other jurisdictions to confirm compliance with applicable regulatory requirements. These requirements include the qualification and validation of manufacturing equipment and processes. Any failure to follow cGMP or other regulatory requirements or delay, interruption or other issues that arise in the manufacture of our product candidates as a result of a failure of our facilities or the facilities or operations of our CDMOs or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231F20"/>
        </w:rPr>
        <w:t>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spacing w:after="0" w:line="17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100" w:hanging="503"/>
        <w:spacing w:after="0" w:line="312" w:lineRule="auto"/>
        <w:tabs>
          <w:tab w:leader="none" w:pos="10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public perception about the use of genetic medicines, whether related to our technology or our competitor’s technology;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231F20"/>
        </w:rPr>
        <w:t>There is significant uncertainty related to third-party payor coverage and reimbursement of newly approved products. In the U.S., for example, principal decisions about reimbursement for new products are typically made by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collaborators entitle us to indemnification against losses, such indemnification may not be available or adequate should any claim arise.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may be sued if any of our product candidates or any medications, procedures or activities associated with our clinical trial protocols or our expanded access program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the facilities used to manufacture our products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raise capital or enter into strategic agreements for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31F20"/>
        </w:rPr>
        <w:t>authorities have substantial discretion in the approval process and may refuse to accept any application or may decide that our data are insufficient for approval and require additional preclinical, clinical or other data.</w:t>
      </w:r>
    </w:p>
    <w:p>
      <w:pPr>
        <w:spacing w:after="0" w:line="5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68" w:lineRule="exact"/>
        <w:rPr>
          <w:sz w:val="20"/>
          <w:szCs w:val="20"/>
          <w:color w:val="auto"/>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312" w:lineRule="auto"/>
        <w:tabs>
          <w:tab w:leader="none" w:pos="1020"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FDA, EMA or other comparable foreign regulatory authorities may fail to approve the manufacturing processes, test procedures and specifications or facilities of CDMOs and or third-party manufacturers with which we contract for clinical and commercial supplies;</w:t>
      </w:r>
    </w:p>
    <w:p>
      <w:pPr>
        <w:spacing w:after="0" w:line="31" w:lineRule="exact"/>
        <w:rPr>
          <w:rFonts w:ascii="Times New Roman" w:cs="Times New Roman" w:eastAsia="Times New Roman" w:hAnsi="Times New Roman"/>
          <w:sz w:val="17"/>
          <w:szCs w:val="17"/>
          <w:color w:val="231F20"/>
        </w:rPr>
      </w:pPr>
    </w:p>
    <w:p>
      <w:pPr>
        <w:ind w:left="1020" w:right="110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Further, under the current leadership at the HHS, layoffs due to the reduction in force initiative and other measures implemented by the Department of Government Efficiency, agency staff departures, and lapse of government appropriations can impact the normal operations of the FDA as well as other federal agencies. The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231F20"/>
        </w:rPr>
        <w:t>If the FDA or EMA grants marketing approval of a product candidate, other comparable regulatory authorities in foreign jurisdictions must still approve the manufacturing, marketing and promotion and reimbursement of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EMA or other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 facilities where the products are manufactured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w:t>
      </w:r>
    </w:p>
    <w:p>
      <w:pPr>
        <w:spacing w:after="0" w:line="8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The Consolidated Appropriations Act of 2026, signed into law in February 2026, codified this longstanding FDA interpretation of the Orphan Drug Act, allowing the FDA to approve multiple versions of the same orphan drug for different subindications and subpopulations.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p>
    <w:p>
      <w:pPr>
        <w:spacing w:after="0" w:line="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has been extended by Congress through September 2029 under the Consolidated Appropriations Act, 2026, which means the FDA may not award any priority review vouchers under this program after September 30, 2029. There is no guarantee that any of our product candidates will be approved by that date, or at all. We may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obtain a priority review voucher prior to expiration of the program, unless Congress further reauthorizes the program.</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 from the FDA for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cs="Times New Roman" w:eastAsia="Times New Roman" w:hAnsi="Times New Roman"/>
          <w:sz w:val="18"/>
          <w:szCs w:val="18"/>
          <w:color w:val="231F20"/>
        </w:rPr>
        <w:t>there can be no assurances that we will be able to obtain orphan drug designation for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other product candidates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the FDA’s ability to engage in oversight and implementation activities in the normal course or constraints on our business operations, including operations of our contractors, our business may be negatively impacted.</w:t>
      </w:r>
    </w:p>
    <w:p>
      <w:pPr>
        <w:spacing w:after="0" w:line="80"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231F20"/>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under the current U.S. presidential administration, agency reorganization, mass layoffs due to the reduction in force initiative and other measures implemented by the Department of Government Efficiency may impact the normal operations of the FDA as well as other federal agencies. The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w:t>
      </w:r>
    </w:p>
    <w:p>
      <w:pPr>
        <w:spacing w:after="0" w:line="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231F20"/>
        </w:rPr>
        <w:t>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the first agreements with two major pharmaceutical companies to bring American drug prices in line with the lowest paid by other developed nations, requiring the companies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9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transfer, security and other processing of personal information.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we are subject to extensive legal requirements relating to privacy, data protection, security and the collection, distribution, use, disclosure, storage, transfer and other processing of personal data. For example, the collection and use of health data and other personal data, including personal data collected in clinical trials, is governed in the EU by the GDPR, which imposes substantial obligations upon companies and provides rights for individuals, and by certain EU member state-level legislation. </w:t>
      </w:r>
      <w:r>
        <w:rPr>
          <w:rFonts w:ascii="Times New Roman" w:cs="Times New Roman" w:eastAsia="Times New Roman" w:hAnsi="Times New Roman"/>
          <w:sz w:val="18"/>
          <w:szCs w:val="18"/>
          <w:color w:val="000000"/>
        </w:rPr>
        <w:t>The GDPR also forms part of the law of England and Wales, Scotland and Northern Ireland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 GDPR or UK GDPR may result in fines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up to €20,000,000 </w:t>
      </w:r>
      <w:r>
        <w:rPr>
          <w:rFonts w:ascii="Times New Roman" w:cs="Times New Roman" w:eastAsia="Times New Roman" w:hAnsi="Times New Roman"/>
          <w:sz w:val="18"/>
          <w:szCs w:val="18"/>
          <w:color w:val="000000"/>
        </w:rPr>
        <w:t>(£17.5 million in the UK)</w:t>
      </w:r>
      <w:r>
        <w:rPr>
          <w:rFonts w:ascii="Times New Roman" w:cs="Times New Roman" w:eastAsia="Times New Roman" w:hAnsi="Times New Roman"/>
          <w:sz w:val="18"/>
          <w:szCs w:val="18"/>
          <w:color w:val="231F20"/>
        </w:rPr>
        <w:t xml:space="preserve"> or 4% of the total worldwide annual turnover of the preceding financial year, whichever is higher, and other administrative penalties. The GDPR or UK GDPR impose significant responsibility and expose us to potential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cs="Times New Roman" w:eastAsia="Times New Roman" w:hAnsi="Times New Roman"/>
          <w:sz w:val="18"/>
          <w:szCs w:val="18"/>
          <w:color w:val="000000"/>
        </w:rPr>
        <w:t>In Canada, the Personal Information Protection and Electronic Documents Act (PIPEDA) and similar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In the U.S., a variety of laws, rules, regulations and standards relating to privacy, data protection, security, and the distribution, use, disclosure, storage, transfer and other processing of data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231F20"/>
        </w:rPr>
        <w:t>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other states have enacted laws relating to privacy and data security that either are in operation or slated to go into operation over the next several years. In many cases, these laws are comprehensive privacy laws similar to the CCPA, with potentially greater penalties and more rigorous compliance requirements.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States also are enacting laws addressing specific subject matter, such as Washington’s My Health, My Data Act, which includes a private right of action. Laws in all 50 states may require businesses to provide notice to individuals whose personal data has been disclosed as a result of a data breach. The U.S. government also has instituted rules, effective April 8, 2025, that prohibit or restrict transactions involving certain types and amounts of sensitive data between U.S. persons and foreign persons associated with specific countries of concern. Among other things, these new rules require U.S. businesses to seek assurances from certain foreign parties with which they share sensitive data (under certain types of agreements) that those parties will not further share that data with parties in countries of concern.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data protection and security imposing new and relatively burdensome obligations, and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an effort to do so.</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60" w:hanging="503"/>
        <w:spacing w:after="0" w:line="261"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86" w:lineRule="exact"/>
        <w:rPr>
          <w:sz w:val="20"/>
          <w:szCs w:val="20"/>
          <w:color w:val="auto"/>
        </w:rPr>
      </w:pPr>
    </w:p>
    <w:p>
      <w:pPr>
        <w:ind w:left="1020" w:right="66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58"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231F20"/>
        </w:rPr>
      </w:pPr>
    </w:p>
    <w:p>
      <w:pPr>
        <w:ind w:left="1020" w:right="120" w:hanging="503"/>
        <w:spacing w:after="0" w:line="261"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231F20"/>
        </w:rPr>
      </w:pPr>
    </w:p>
    <w:p>
      <w:pPr>
        <w:ind w:left="1020" w:right="2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6"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231F20"/>
        </w:rPr>
        <w:t>found to be not in compliance with applicable laws, they may be subject to criminal, civil or administrative sanctions, including exclusions from government funded healthcare programs.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Other new regulations could affect the transfer of certain types of data abroad, including to China, and may add expenses or unforeseen burdens to the process of contracting with service providers. These regulations,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tariffs on imports, trade sanctions, other trade restrictions, or a global trade war could increase our costs and materially and adversely affect our business operations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negatively affected by tariffs, trade restrictions, and other governmental actions, any of which can be imposed suddenly and unpredictably. For example, there is currently significant uncertainty about the future relationship between the U.S. and various other countries with respect to trade policies, treaties, trade regulations, and tariffs. Beginning in 2025, the U.S. government imposed or announced various new tariffs on certain imports, including commodity-specific, reciprocal, and country-specific tariffs, and additional tariffs may be forthcoming. For example, in April 2025, the U.S. Department of Commerce initiated an investigation into potential tariffs on pharmaceuticals, pharmaceutical ingredients, and derivative products; when these investigations are complete, the U.S. government may decide to levy additional tariffs on these products. These or additional tariffs (and the uncertainty around their implementation) could affect inputs to our products, as well 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U.S. or other countries, our business, financial condition, and results of operations may be materially harmed.</w:t>
      </w:r>
    </w:p>
    <w:p>
      <w:pPr>
        <w:spacing w:after="0" w:line="86"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The ultimate impact of any tariffs or trade restrictions will depend on various factors, including the timing of implementation and the duration, amount, scope, and nature of the tariffs and trade restrictions and reactions from other countries.</w:t>
      </w:r>
    </w:p>
    <w:p>
      <w:pPr>
        <w:spacing w:after="0" w:line="5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Tariffs, trade restrictions or any resulting trade war could negatively affect the global market, including for pharmaceuticals, and could have a significant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While we have </w:t>
      </w:r>
      <w:r>
        <w:rPr>
          <w:rFonts w:ascii="Times New Roman" w:cs="Times New Roman" w:eastAsia="Times New Roman" w:hAnsi="Times New Roman"/>
          <w:sz w:val="18"/>
          <w:szCs w:val="18"/>
          <w:color w:val="000000"/>
        </w:rPr>
        <w:t>reflected the effects of the enactment of OBBB Act for the fiscal year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2025, w</w:t>
      </w:r>
      <w:r>
        <w:rPr>
          <w:rFonts w:ascii="Times New Roman" w:cs="Times New Roman" w:eastAsia="Times New Roman" w:hAnsi="Times New Roman"/>
          <w:sz w:val="18"/>
          <w:szCs w:val="18"/>
          <w:color w:val="231F20"/>
        </w:rPr>
        <w:t>e will continue to evaluate the full impact of the legislation on us. These changes could affect our total U.S. federal tax liability when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and if we become profitable.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We are highly dependent on the principal members of our management, our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31F20"/>
        </w:rPr>
        <w:t>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advisors and consultants or if they provide services to our competitors, our development and commercialization efforts will be impaired and our business will be significantly harmed.</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 information, given their size and complexity and the increasing amounts of information maintained on our internal information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systems, and those of our third-party CROs, manufacturers, contractors (including sites performing our clinical trials), consultants and other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systems are vulnerable to breakdown or other damage or interruption from, among other things, inadvertent or intentional actions by our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contractors, consultants, business partners, and other third parties and cyber-attacks and other hacking attempts by malicious third parties,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disrupt or compromise our system infrastructure or lead to the loss, destruction, alteration,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 service providers have frequently been the target of threats of this nature and we expect these threats and attacks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continue.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delay of the development and commercialization of our product candidates.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w:t>
      </w:r>
    </w:p>
    <w:p>
      <w:pPr>
        <w:spacing w:after="0" w:line="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While we maintain cybersecurity insurance that we believe to be reasonable for our business, our current cybersecurity insurance may not fully cover the damages arising from the assertion of one or more large claims against us in connection with a breach or other cybersecurity-related matter, which could adversely affect our business, financial condition, results of operations and prospects.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cs="Times New Roman" w:eastAsia="Times New Roman" w:hAnsi="Times New Roman"/>
          <w:sz w:val="18"/>
          <w:szCs w:val="18"/>
          <w:color w:val="000000"/>
        </w:rPr>
        <w:t>Additionally, recent reforms and changes at government agencies of the U.S. and those of non-U.S. jurisdictions could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increase the uncertainties, timing and costs surrounding the prosecution or maintenance of our patent applications, and the maintenance, enforcement, or defense of our issued patents. </w:t>
      </w:r>
      <w:r>
        <w:rPr>
          <w:rFonts w:ascii="Times New Roman" w:cs="Times New Roman" w:eastAsia="Times New Roman" w:hAnsi="Times New Roman"/>
          <w:sz w:val="18"/>
          <w:szCs w:val="18"/>
          <w:color w:val="231F20"/>
        </w:rPr>
        <w:t>We rely on patent, copyright, trade secret and trademark laws in the U.S. and certain other countries to protect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right="220" w:hanging="503"/>
        <w:spacing w:after="0" w:line="266"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patents, potential future patents or the patents of our licensors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raise additional funds or otherwise have a material adverse effect on our business, results of operations, financial condition and prospects.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11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cs="Times New Roman" w:eastAsia="Times New Roman" w:hAnsi="Times New Roman"/>
          <w:sz w:val="18"/>
          <w:szCs w:val="18"/>
          <w:color w:val="000000"/>
        </w:rPr>
        <w:t>For example, the U.S. Supreme Court held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cs="Times New Roman" w:eastAsia="Times New Roman" w:hAnsi="Times New Roman"/>
          <w:sz w:val="18"/>
          <w:szCs w:val="18"/>
          <w:color w:val="231F20"/>
        </w:rPr>
        <w:t xml:space="preserve">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w:t>
      </w:r>
      <w:r>
        <w:rPr>
          <w:rFonts w:ascii="Times New Roman" w:cs="Times New Roman" w:eastAsia="Times New Roman" w:hAnsi="Times New Roman"/>
          <w:sz w:val="18"/>
          <w:szCs w:val="18"/>
          <w:color w:val="000000"/>
        </w:rPr>
        <w:t xml:space="preserve">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w:t>
      </w:r>
      <w:r>
        <w:rPr>
          <w:rFonts w:ascii="Times New Roman" w:cs="Times New Roman" w:eastAsia="Times New Roman" w:hAnsi="Times New Roman"/>
          <w:sz w:val="18"/>
          <w:szCs w:val="18"/>
          <w:color w:val="231F20"/>
        </w:rPr>
        <w:t>The laws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regulations governing patents could change in unpredictable ways that would weaken our ability to obtain new patents or to enforce our existing patent and the patents we might obtain or license in the future.</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patents, patent applications or in-licensed patent rights and other intellectual property.</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although we are not aware of any inventorship disputes as of the date of this periodic report,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ineffective in perfecting ownership of inventions developed by that individual. Such claims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7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0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231F20"/>
        </w:rPr>
      </w:pPr>
    </w:p>
    <w:p>
      <w:pPr>
        <w:ind w:left="1020" w:right="60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31F20"/>
        </w:rPr>
        <w:t>potential commercialization of our product candidates, including limiting supplies necessary for clinical trials and regulatory approvals, which would seriously harm our business.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11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48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costly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or technical capabilities, delay its potential commercialization or reduce the scope of any sales or marketing activities, or increase our expenditures and undertake development or commercialization activities at our own expense. If we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elect to increase our expenditures to fund development or commercialization activities on our own, we may need to reduce our planned capital expenditures across other areas of our business or obtain additional capital, which may not be available to us on acceptable terms or at all. If we do not have sufficient funds, we may not be able to further develop our product candidates or bring them to market and generate product revenue.</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If we enter into any collaboration arrangements with any third parties, we will likely have limited control over the amount and timing of resources that our collaborators dedicate to the development or commercialization of our product candidates. For example, under our collaboration agreement with Alnylam, following the completion of the validation activities, Alnylam will have complete control of </w:t>
      </w:r>
      <w:r>
        <w:rPr>
          <w:rFonts w:ascii="Times New Roman" w:cs="Times New Roman" w:eastAsia="Times New Roman" w:hAnsi="Times New Roman"/>
          <w:sz w:val="18"/>
          <w:szCs w:val="18"/>
          <w:color w:val="000000"/>
        </w:rPr>
        <w:t>all development, manufacture, regulatory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commercialization activities for any products directed to a collaboration target. </w:t>
      </w:r>
      <w:r>
        <w:rPr>
          <w:rFonts w:ascii="Times New Roman" w:cs="Times New Roman" w:eastAsia="Times New Roman" w:hAnsi="Times New Roman"/>
          <w:sz w:val="18"/>
          <w:szCs w:val="18"/>
          <w:color w:val="231F20"/>
        </w:rPr>
        <w:t>Our ability to generate revenues from these arrangements will depend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our collaborators’ abilities and efforts to successfully perform the functions assigned to them in these arrangements. Collaborations involving our product candidates or technical capabilities would pose numerous risks to us, including the following:</w:t>
      </w:r>
    </w:p>
    <w:p>
      <w:pPr>
        <w:spacing w:after="0" w:line="79" w:lineRule="exact"/>
        <w:rPr>
          <w:sz w:val="20"/>
          <w:szCs w:val="20"/>
          <w:color w:val="auto"/>
        </w:rPr>
      </w:pPr>
    </w:p>
    <w:p>
      <w:pPr>
        <w:ind w:left="1020" w:right="56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2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231F20"/>
        </w:rPr>
      </w:pPr>
    </w:p>
    <w:p>
      <w:pPr>
        <w:ind w:left="1020" w:right="60" w:hanging="503"/>
        <w:spacing w:after="0" w:line="261"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98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231F20"/>
        </w:rPr>
        <w:t>adversely impact our ability to report progress to our investors and otherwise plan our own development of our product candidates;</w:t>
      </w:r>
    </w:p>
    <w:p>
      <w:pPr>
        <w:spacing w:after="0" w:line="117" w:lineRule="exact"/>
        <w:rPr>
          <w:sz w:val="20"/>
          <w:szCs w:val="20"/>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83" w:lineRule="exact"/>
        <w:rPr>
          <w:sz w:val="20"/>
          <w:szCs w:val="20"/>
          <w:color w:val="auto"/>
        </w:rPr>
      </w:pPr>
    </w:p>
    <w:p>
      <w:pPr>
        <w:ind w:right="5120"/>
        <w:spacing w:after="0" w:line="378"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ind w:right="24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application of new standards and practices applied by the FDA for review of product candidates;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licensing arrangements or capital commitments;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decision to terminate or dispose of any preclinical or clinical programs;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level of research and development expenses incurred for our product candidates and programs;</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continued listing standards of the Nasdaq Global Select Market require, among other things, that the minimum price of a listed company’s stock be at or above $1.00. On April 15, 2025, we received a letter from the Staff of Nasdaq indicating that, based upon the closing bid price of shares of our common stock for the 30 consecutive business day period between March 3, 2025, through April 12, 2025, the Company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In the event we do not regain compliance by the end of the Compliance Period, we may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its publicly held shares and all other initial listing standards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Nasdaq, with the exception of the bid price requirement, and will need to provide written notice of its intention to cure the deficiency during the Second Compliance Period, by effecting a reverse stock split, if necessary. There can be no assurance that we will be eligible for the Second Compliance Period, if applicable, or that the Staff would grant our request for continued listing subsequent to any delisting notification and there can be no assurance that we will be able to regain or maintain compliance with the minimum bid price requirement or any other Nasdaq listing standards, if applicable.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do not regain compliance with or continue to satisfy the Nasdaq continued listing requirements,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231F20"/>
        </w:rPr>
        <w:t>As of December 31, 2025, our executive officers, directors, holders of 5% or more of our capital stock and their respective affiliates beneficially owned approximately 36%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Sales of a substantial number of shares of our common stock in the public market could occur at any time. For example, we filed (i) on March 4, 2025, a prospectus supplement to our shelf registration statement on Form S-3 that became effective on August 10, 2022 that covered the offering, issuance and sale of 75,000,000 shares of our common stock, Series A Warrants to purchase 75,000,000 shares of our common stock, and Series B warrants to purchase 37,500,000 shares of our common stock, (ii) </w:t>
      </w:r>
      <w:r>
        <w:rPr>
          <w:rFonts w:ascii="Times New Roman" w:cs="Times New Roman" w:eastAsia="Times New Roman" w:hAnsi="Times New Roman"/>
          <w:sz w:val="18"/>
          <w:szCs w:val="18"/>
          <w:color w:val="000000"/>
        </w:rPr>
        <w:t>a new shelf registration statement on Form S-3 that became effective on March 31, 2025</w:t>
      </w:r>
      <w:r>
        <w:rPr>
          <w:rFonts w:ascii="Times New Roman" w:cs="Times New Roman" w:eastAsia="Times New Roman" w:hAnsi="Times New Roman"/>
          <w:sz w:val="18"/>
          <w:szCs w:val="18"/>
          <w:color w:val="231F20"/>
        </w:rPr>
        <w:t>, which will allow us to undertake various equity and debt offerings up to $300.0 million (the 2025 Shelf Registration), and (iii) on December 12, 2025, a prospectus supplement to our 2025 Shelf Registration that covered the offering, issuance and sale of 50,000,000 shares of our common stock and warrants to purchase 50,000,000 shares of our common stock</w:t>
      </w:r>
      <w:r>
        <w:rPr>
          <w:rFonts w:ascii="Times New Roman" w:cs="Times New Roman" w:eastAsia="Times New Roman" w:hAnsi="Times New Roman"/>
          <w:sz w:val="18"/>
          <w:szCs w:val="18"/>
          <w:color w:val="000000"/>
        </w:rPr>
        <w:t>.</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the warrants are exercised and shares are sold, or if it is perceived that they will be sold, in the public market, the trading price of our common stock could decline.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prevent any attempts by our stockholders to replace or remove our current management by making it more difficult for stockholders to replace members of our board of directors. These provisions, among other things:</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4" w:name="page95"/>
    <w:bookmarkEnd w:id="94"/>
    <w:p>
      <w:pPr>
        <w:spacing w:after="0" w:line="8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established policies and processes for assessing, identifying, and managing material risk from cybersecurity threats, and have </w:t>
      </w:r>
      <w:r>
        <w:rPr>
          <w:rFonts w:ascii="Times New Roman" w:cs="Times New Roman" w:eastAsia="Times New Roman" w:hAnsi="Times New Roman"/>
          <w:sz w:val="18"/>
          <w:szCs w:val="18"/>
          <w:color w:val="211D1E"/>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 xml:space="preserve">these processes into our overall risk management systems and processes. In collaboration with our external vendors specializing in cybersecurity management, </w:t>
      </w:r>
      <w:r>
        <w:rPr>
          <w:rFonts w:ascii="Times New Roman" w:cs="Times New Roman" w:eastAsia="Times New Roman" w:hAnsi="Times New Roman"/>
          <w:sz w:val="18"/>
          <w:szCs w:val="18"/>
          <w:color w:val="000000"/>
        </w:rPr>
        <w:t>we r</w:t>
      </w:r>
      <w:r>
        <w:rPr>
          <w:rFonts w:ascii="Times New Roman" w:cs="Times New Roman" w:eastAsia="Times New Roman" w:hAnsi="Times New Roman"/>
          <w:sz w:val="18"/>
          <w:szCs w:val="18"/>
          <w:color w:val="211D1E"/>
        </w:rPr>
        <w:t xml:space="preserve">outinely assess material risks from cybersecurity threats, including </w:t>
      </w:r>
      <w:r>
        <w:rPr>
          <w:rFonts w:ascii="Times New Roman" w:cs="Times New Roman" w:eastAsia="Times New Roman" w:hAnsi="Times New Roman"/>
          <w:sz w:val="18"/>
          <w:szCs w:val="18"/>
          <w:color w:val="000000"/>
        </w:rPr>
        <w:t>any potential unauthorized access to our information systems that</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could result in adverse effects on the confidentiality, integrity, or availability of our information systems or any information residing therein.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11D1E"/>
        </w:rPr>
        <w:t>We conduct periodic risk assessments to identify cybersecurity threats, as well as assessments of planned material changes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11D1E"/>
        </w:rPr>
        <w:t>Following these risk assessments, we consider whether and how to re-design, implement, and maintain reasonable safeguards to minimize identified risks; reasonably address any identified gaps in existing safeguards; and regularly monitor the effectiveness of our safeguards. In consideration of the size and complexity of our business, we devote significant internal and external resources to manage material risks from cybersecurity threats. We also designate specific personnel, including our Senior Director, Information Technology, to manage the risk assessment and mitigation process and to closely coordinate with our General Counsel on applicable regulatory obligations.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1D1E"/>
        </w:rPr>
        <w:t>As part of our overall risk management system, we monitor and test our safeguards and train our employees on these safeguards. Personnel at all levels and departments are made aware of our cybersecurity policies through required policy review and trainings at the time of hire and periodically during their employment with us.</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11D1E"/>
        </w:rPr>
        <w:t>We engage consultants, auditors, or other third parties in connection with our risk assessment processes. These professionals assist us in the design and implementation of our cybersecurity policies and procedures, as well as to monitor and test our safeguards. In addition, in order to mitigate cybersecurity risks associated with our use of third-party service providers, we require certain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1D1E"/>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w:t>
      </w:r>
      <w:r>
        <w:rPr>
          <w:rFonts w:ascii="Times New Roman" w:cs="Times New Roman" w:eastAsia="Times New Roman" w:hAnsi="Times New Roman"/>
          <w:sz w:val="18"/>
          <w:szCs w:val="18"/>
          <w:i w:val="1"/>
          <w:iCs w:val="1"/>
          <w:color w:val="231F20"/>
        </w:rPr>
        <w:t>Our computer systems, or those</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i w:val="1"/>
          <w:iCs w:val="1"/>
          <w:color w:val="231F20"/>
        </w:rPr>
        <w:t>of any of our CROs, manufacturers, contractors, consultants or other third parties or potential future collaborators, may fail or suffer security incidents or data privacy breaches or other unauthorized or improper access to, use of,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231F20"/>
        </w:rPr>
        <w:t>destruction of our proprietary or confidential data, employee data, or personal data, which could result in additional costs, loss of revenue, significant liabilities, harm to our brand and material disruption of our operations</w:t>
      </w:r>
      <w:r>
        <w:rPr>
          <w:rFonts w:ascii="Times New Roman" w:cs="Times New Roman" w:eastAsia="Times New Roman" w:hAnsi="Times New Roman"/>
          <w:sz w:val="18"/>
          <w:szCs w:val="18"/>
          <w:color w:val="211D1E"/>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(our “Board”) is informed oversight of our risk management process, including risks from cybersecurity threats. Our Board is responsible for monitoring and assessing strategic risk exposure, and our executive officers are responsible for the day-to-day management of the material risks we face. Our Board administers its cybersecurity risk oversight function directly as a whole, as well as through the Audit Committee.</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Senior Director, Information Technology, along with the members of our Incident Response Team, which includes our Senior Vice President,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Finance and our General Counsel, are primarily responsible to assess and manage our material risks from cybersecurity threats. Our Incident Response Team is supported by an experienced managed service provider and an incident response provider with extensive global cybersecurity expertise, who each monitor, assess and report threats to us. Additionally, our Senior Director, Information Technology has over twenty years of experience operating in the information technology, security and cybersecurity space. In particular, he has experience with cybersecurity assessment and prevention, incident responses, breach notifications and remediation.</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Senior Director, Information Technology oversees our cybersecurity policies and processes, including those described in “Risk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 xml:space="preserve">and Strategy” above and, along with and informed by the Information Technology organization and our Incident Response Team, monitors the prevention, detection, mitigation, and remediation of cybersecurity incidents. </w:t>
      </w:r>
      <w:r>
        <w:rPr>
          <w:rFonts w:ascii="Times New Roman" w:cs="Times New Roman" w:eastAsia="Times New Roman" w:hAnsi="Times New Roman"/>
          <w:sz w:val="18"/>
          <w:szCs w:val="18"/>
          <w:color w:val="000000"/>
        </w:rPr>
        <w:t>Depending on the severity of the security incident, the Incident Response Team will</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report the security incident to our Audit Committee, including the financial impact of the security incident and any regulatory violations. </w:t>
      </w:r>
      <w:r>
        <w:rPr>
          <w:rFonts w:ascii="Times New Roman" w:cs="Times New Roman" w:eastAsia="Times New Roman" w:hAnsi="Times New Roman"/>
          <w:sz w:val="18"/>
          <w:szCs w:val="18"/>
          <w:color w:val="211D1E"/>
        </w:rPr>
        <w:t>As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Information Technology organization monitors the security and effectiveness of our policies and procedures, they also work to keep the Senior Director, Information Technology and other members of leadership informed of critical incidents, process updates, or other material details, in accordance with our internal reporting structure.</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Audit Committee receives an annual briefing regarding our company’s cybersecurity risks and activities, including the status of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system development, company-wide cybersecurity training programs, material changes to the cybersecurity system, policies or practices, any recent cybersecurity incidents and related responses, cybersecurity systems testing and engagement of third-party service providers in support of our cybersecurity system. Special meetings may also be called with the Audit Committee to brief the members on any material cybersecurity incidents and related responses thereto. After such briefings, our Audit Committee will provide an update to the Board on such reports. In addition, the Board will receive periodic updates in meeting materials or directly from o</w:t>
      </w:r>
      <w:r>
        <w:rPr>
          <w:rFonts w:ascii="Times New Roman" w:cs="Times New Roman" w:eastAsia="Times New Roman" w:hAnsi="Times New Roman"/>
          <w:sz w:val="18"/>
          <w:szCs w:val="18"/>
          <w:color w:val="000000"/>
        </w:rPr>
        <w:t>ur</w:t>
      </w:r>
      <w:r>
        <w:rPr>
          <w:rFonts w:ascii="Times New Roman" w:cs="Times New Roman" w:eastAsia="Times New Roman" w:hAnsi="Times New Roman"/>
          <w:sz w:val="18"/>
          <w:szCs w:val="18"/>
          <w:color w:val="211D1E"/>
        </w:rPr>
        <w:t xml:space="preserve"> Senior Vice President, Finance on cybersecurity risks and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in South San Francisco, where we lease a facility containing approximately 32,370 square feet of office and laboratory space located at 171 Oyster Point Blvd., Suite 500, South San Francisco, CA 94080. The lease expires on November 30, 2027, unless earlier terminated in accordance with the lease, and we may renew the lease term for two additional five-year periods.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have a leased space at a facility in Union City containing manufacturing and office space located at 33498 Central Avenue, Union City, CA</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94587. The lease expires in July 2031, unless earlier terminated in accordance with the lease. We may renew the lease term for one additional five-year period.</w:t>
      </w:r>
    </w:p>
    <w:p>
      <w:pPr>
        <w:spacing w:after="0" w:line="7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“TNYA”. Public trading of our common stock began on July 30, 2021. Prior to that,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March 5, 2026, there were 38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Part III, Item 12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August 3, 2021, we completed our initial public offering (IPO) and issued an aggregate of 13,800,000 shares of our common stock (inclusive of 1,800,000 shares pursuant to the underwriters’ overallotment option) at a price of $15.00 per share. We have used all proceeds from our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Heart disease remains a leading cause of death in the world. We believe the emerging insights into the genetic causes of cardiovascular conditions and increased recognition for precision medicine approaches has created an opportunity to change the treatment paradigm for heart disease, and in doing so improve and extend the lives of patients.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modality-agnostic target identification and validation, anchored in human genetics and the use of human disease models. To support our initial focus on gene therapy candidates, we also internalized expertise in capsid engineering, novel promoter constructs and manufacturing anchored on the use of AAVs as the method of delivery to the heart. That proprietary expertise has directly informed the discovery, design, optimization and production of our pipeline.</w:t>
      </w:r>
    </w:p>
    <w:p>
      <w:pPr>
        <w:spacing w:after="0" w:line="70"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are primarily focused on advancing of our clinical-stage gene therapy candidates, TN-201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TN-401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Each candidate is currently in Phase 1b/2 trials to establish the safety profile of two different doses in adults with disease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pathogenic/likely pathogenic mutations. We anticipate that data generated to date and over the course of 2026 will support our pursuit of regulatory alignment on late-stage development for our gene therapy product candidates. A third internally discovered clinical-stage candidate, TN-301, is a highly specific small molecule inhibitor of HDAC6 with potentially broad utility in HFpEF and other cardiac, metabolic, muscular and pulmonary diseases, including but not limited to genetic DCM, DMD and PAH.</w:t>
      </w:r>
    </w:p>
    <w:p>
      <w:pPr>
        <w:spacing w:after="0" w:line="76"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For programs arising out of our modality agnostic drug discovery platform that address relatively rare conditions our strategy is to develop, manufacture, and commercialize at least some of these programs on our own, although we may selectively consider partnerships to access technology, accelerate our progress, or improve our global reach to patients. For example, in March 2026, we entered into a multi-target research collaboration with Alnylam, to identify and validate novel gene targets for the potential treatment of cardiovascular disease. Importantly, this agreement takes advantage of our modality agnostic discovery know-how and provides reimbursement for research efforts. Where our discovery efforts lead to product candidates intended for relatively prevalent indications our strategy is to out-license or partner such programs.</w:t>
      </w:r>
    </w:p>
    <w:p>
      <w:pPr>
        <w:spacing w:after="0" w:line="7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TN-201 is our investigational gene therapy for individuals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MyBP-C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83"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is our Phase 1b/2 multi-center, open-label clinical trial, designed to assess the safety, tolerability and efficacy of a one-time intravenous infusion of TN-201. Enrollment and dosing in both the 3E13 vg/kg dose (Cohort 1) and 6E13 vg/kg dose (Cohort 2) cohorts are complete. A per protocol review by the DSMB of all available data from the first six patients dosed determined that TN-201 had an acceptable safety profile to proceed with dosing expansion cohorts at either dose level. We are enrolling additional patients in MyPEAK-1 to further characterize dose response and inform dose selection for late-stage clinical trials.</w:t>
      </w:r>
    </w:p>
    <w:p>
      <w:pPr>
        <w:spacing w:after="0" w:line="9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In November 2025, we presented interim data from MyPEAK-1 at the AHA's Scientific Sessions 2025, with simultaneous publication in </w:t>
      </w:r>
      <w:r>
        <w:rPr>
          <w:rFonts w:ascii="Times New Roman" w:cs="Times New Roman" w:eastAsia="Times New Roman" w:hAnsi="Times New Roman"/>
          <w:sz w:val="18"/>
          <w:szCs w:val="18"/>
          <w:i w:val="1"/>
          <w:iCs w:val="1"/>
          <w:color w:val="auto"/>
        </w:rPr>
        <w:t>Cardiovascular Research</w:t>
      </w:r>
      <w:r>
        <w:rPr>
          <w:rFonts w:ascii="Times New Roman" w:cs="Times New Roman" w:eastAsia="Times New Roman" w:hAnsi="Times New Roman"/>
          <w:sz w:val="18"/>
          <w:szCs w:val="18"/>
          <w:color w:val="auto"/>
        </w:rPr>
        <w:t>. Interim data presented included safety, biopsy and efficacy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9" w:name="page100"/>
    <w:bookmarkEnd w:id="99"/>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results for the three patients enrolled in Cohort 1 with follow-up ranging from Week 52-78, and safety and available assessments for the patients in Cohort 2 who have post-dose assessments ranging from Week 12-26 as of the July 2025 data cut off. Patient 5 was lost to further follow-up after week 12. TN-201 was generally well tolerated across both dose cohorts and no dose-limiting toxicities were observed. Reversible, asymptomatic liver enzyme elevations (Grade 1-3) were the most common treatment-related AEs reported. There were two treatment-related AEs classified as serious either due to inpatient administration of steroids or extended monitoring; a Grade 2 transaminase elevation that responded to steroids and a Grade 1 elevation of complement factors that resolved without additional intervention. Adjustments to monitoring and immunosuppression during Cohort 1 resulted in faster tapers and lower cumulative corticosteroid doses in Cohort 2, despite the higher TN-201 dose.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DNA and RNA analyses of cardiac biopsy samples from all three patients in Cohort 1 showed evidence of sustained presence of TN-201 DNA in the heart and increasing mRNA expression over time. The first patient in Cohort 2 with serial biopsy data (Patient 6) had a greater than 2-fold increase in cardiac transduction and RNA expression at Week 12 relative to the average for these measures observed across Cohort 1 patients. MyBP-C protein levels across Cohort 1 increased over time by an average of 4% from the first biopsy taken to Week 52. The first evaluable patient in Cohort 2 (Patient 6) demonstrated a clear dose response, and early MyBP-C expression increased by 14% after only 12 weeks post-dose.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All patients with greater than 26 weeks of follow-up demonstrated improvement in at least one parameter of disease, across biomarkers, hypertrophy and heart failure symptoms. Cardiac troponin I, a predictive risk factor of adverse cardiac outcomes such as ventricular arrhythmias, sudden cardiac death, and progression to end-stage heart failure, declined by as much as 74% from baseline, to normal or near-normal levels in all Cohort 1 patients. NT-proBNP, a biomarker of cardiac muscle strain, improved or remained stable in two of three Cohort 1 patients. All three patients in Cohort 1 showed evidence of significant improvement in one or more measures of hypertrophy at Week 52, with notable reductions in LVPWT of between 21% and 39%. Greater LVPWT is an independent risk factor for reduced long-term survival after septal myectomy. Two out of three Cohort 1 patients saw reductions from baseline in LVMI of between 12% and 22% at Week 52. In the first Cohort 2 patient for whom Week 26 data were available (Patient 4), cardiac troponin I remained within the normal range and NT-proBNP remained stable,. LVPWT and LVMI also remained stable at Week 26. NYHA classification, a measure of the impact of heart failure symptoms on activities of daily living, improved in all patients by at least one class by Week 26, and all Cohort 1 patients were NYHA Class I (asymptomatic) as of the data cutoff date. Longer-term follow-up for all patients is required to further inform our understanding of TN-201’s potential as a treatment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84"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We expect to present longer-term Cohort 1 and interim Cohort 2 data in the first half of 2026. In the second half of 2026, one-year Cohort 2 data and two-year Cohort 1 data from MyPEAK-1 are anticipated. We also intend to pursue alignment with regulatory authorities on pivotal trial plans for TN-201.</w:t>
      </w:r>
    </w:p>
    <w:p>
      <w:pPr>
        <w:spacing w:after="0" w:line="3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Despite advances in the treatment of the obstructive HCM in recent years with the approval of cardiac myosin inhibitors, there are no approved treatments for those with the non-obstructive form of disease or those diagnosed before the age of 18. Recognizing the urgent medical need among pediatric patients, we initiated MyClimb, a retrospective and prospective natural history study of pediatric patients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MyClimb completed enrollment of more than 200 individuals, and is believed to be the largest study of pediatric individuals with MYBPC3-associated HCM ever conducted. Initial data indicated that 93% of participants had the nonobstructive HCM phenotype, for which there are currently no approved treatment options and that genotype was a significant predictor of risk. The data also revealed that LVMI may serve as a surrogate marker for poor long-term outcomes and as an appropriate marker to evaluate the early effectiveness of TN-201’s potential in a future pivotal trial.</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FDA has granted TN-201 Fast Track, Orphan Drug and Rare Pediatric Drug Designations. TN-201 has also received orphan medicinal product designation from the EC.</w:t>
      </w:r>
    </w:p>
    <w:p>
      <w:pPr>
        <w:spacing w:after="0" w:line="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74"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is our Phase 1b/2 multi-center, open-label clinical trial, designed to assess the safety, tolerability and efficacy of a one-time intravenous infusion of TN-401. Enrollment and dosing in both the 3E13 vg/kg dose (Cohort 1) and 6E13 vg/kg dose (Cohort 2) cohorts are complete. In January 2026, the DSMB for RIDGE-1 reviewed all available data from Cohort 1 and Cohort 2, determined that TN-401 had an acceptable safety profile and endorsed proceeding into expansion cohorts at either dose level, per protocol. We are enrolling additional patients in RIDGE-1 to inform dose selection for late-stage clinical trials.</w:t>
      </w:r>
    </w:p>
    <w:p>
      <w:pPr>
        <w:spacing w:after="0" w:line="9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2025, we presented interim data from RIDGE-1, including safety, biopsy and arrhythmia results as of the October 2025 data cut off for three patients enrolled in Cohort 1, with follow-up ranging from Week 20 to Week 40. TN-401 was generally well tolerated and no dose-limiting toxicities were observed. AEs were generally mild, asymptomatic and manageable and a majority of the AEs were deemed unrelated to TN-401. Among the AEs related to TN-401, there was a Grade 1 incidence of elevated troponin levels categorized as a serious AE due to inpatient monitoring. There were no incidents of thrombotic microangiopathy or cardiotoxicities observed and no arrhythmias associated with TN-401 occurred. Additionally, no Cohort 1 patients had experienced an ICD shock post-treatment and all had tapered off prophylactic immunosuppressive medicines.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Serial biopsies taken at baseline and Week 8 post dose for Patients 1 and 2 provided consistent evidence of TN-401 transduction and expression. At Week 8, TN-401 robust mRNA expression was observed across all three patients. Post-treatment protein levels of PKP2 increased significantly in Patients 1 and 2 by a mean of 10% from baseline to Week 8 as measured by liquid chromatography–mass spectrometry normalized to myosin heavy chain, a motor protein in the sarcomere found exclusively in cardiomyocytes. Change in PKP2 protein levels for Patient 3 appeared slightly lower than baseline despite having the highest levels of TN-401 mRNA expression across Cohort 1. This confounding result for PKP2 protein level falls within the standard deviation of these methods and may be due to the inherent variability in sampling biopsies. A second post-dose biopsy will be collected and analyzed from Week 52 per protocol for all patients.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All three patients in Cohort 1 had severe electrical instability with a history of VAs and had undergone a catheter ablation procedure, an elective procedure to reduce ventricular tachycardia recurrence. At baseline, each Cohort 1 patient met the enrollment criteria of greater than 500 premature ventricular contractions per 24 hours as measured over a seven-day monitoring period prior to dosing. Two of three patients experienced significant and clinically meaningful improvements in electrical instability, as measured by seven-day ambulatory monitoring of PVCs following dosing. Patient 1 experienced a decrease in PVCs by 46% as of their most recent (Week 40) visit, while Patient 2 experienced a decrease in PVCs of 89% as of their most recent (Week 32) visit. Non-sustained ventricular tachycardia (NSVT) burden was eliminated or stable six months after treatment with TN-401. Patient 1 had a low NSVT count at baseline, which remained low at their most recent visit (Week 40). Patient 2 also had a substantial NSVT burden of 78 counts per 24-hour period at baseline that dropped to zero and remained stable by Week 32. Meaningful changes in PVCs or NSVTs were not expected nor observed for Patient 3 as of the data cut off, which was less than six months following treatment with TN-401. Other potential measures of clinical response including QRS duration, T wave inversions, heart function and NYHA class were in the normal range or remained stable for all three Cohort 1 patients during the post-dose follow-up period. We expect to present one-year Cohort 1 data and initial Cohort 2 data in the first half of 2026, with interim Cohort 2 results anticipated in the second half of the year. We also intend to pursue alignment with regulatory authorities on pivotal trial plans for TN-401.</w:t>
      </w:r>
    </w:p>
    <w:p>
      <w:pPr>
        <w:spacing w:after="0" w:line="8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2025, we were awarded a Clinical Grant (Clin2) of $8.0 million from CIRM, a state of California Agency that funds regenerative medicine, stem cell, and gene therapy research. Proceeds from the grant will help fund clinical trial costs for our ongoing Phase 1b/2 RIDGE-1 clinical trial of TN-401 gene therapy. RIDGE-1 is being conducted at multiple clinical trial sites with ARVC expertise at leading cardiology centers in the U.S. and United Kingdom.</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To support our development efforts for TN-401, we have initiated RIDGE a global noninterventional study to collect treatment history and seroprevalence to AAV9 antibodies data among ARVC patients who carry pathogenic or likely pathogenic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mutations. Interim data from RIDGE, believed to be the largest natural history study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-associated ARVC, was presented at HRS’s annual meeting in April 2025.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experience a high burden of arrhythmias despite treatments with anti-arrhythmic medications, beta blockers and the anti-arrhythmic flecainide, as well as surgical interventions such as ablation and ICD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4"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color w:val="auto"/>
        </w:rPr>
        <w:t xml:space="preserve">placement. Further, current treatments appeared to do little to halt or prevent progressive structural changes to the heart that occur as a result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RIDGE-1 based on low levels of pre-existing antibodies to AAV9.</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TN-401 has received Orphan Drug and Fast Track designation from the FDA and orphan medicinal product designation from the EC.</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are also advancing TN-301, a highly specific HDAC6 inhibitor that has potential utility in HFpEF and other cardiac, metabolic and muscular diseases. TN-301 was initially discovered and validated as having cardioprotective qualities in preclinical studies of a rapidly worsening mouse model of </w:t>
      </w:r>
      <w:r>
        <w:rPr>
          <w:rFonts w:ascii="Times New Roman" w:cs="Times New Roman" w:eastAsia="Times New Roman" w:hAnsi="Times New Roman"/>
          <w:sz w:val="18"/>
          <w:szCs w:val="18"/>
          <w:i w:val="1"/>
          <w:iCs w:val="1"/>
          <w:color w:val="auto"/>
        </w:rPr>
        <w:t xml:space="preserve">BAG3 </w:t>
      </w:r>
      <w:r>
        <w:rPr>
          <w:rFonts w:ascii="Times New Roman" w:cs="Times New Roman" w:eastAsia="Times New Roman" w:hAnsi="Times New Roman"/>
          <w:sz w:val="18"/>
          <w:szCs w:val="18"/>
          <w:color w:val="auto"/>
        </w:rPr>
        <w:t>mutant DCM. HDAC6 is a cytoplasmic enzyme known to regulate diverse cellular processes. Based on TN-301’s multi-modal mechanism of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includes reductions in inflammation, oxidative stress, fibrosis, and metabolic dysregulation, as well as improvements in autophagy, protein quality control, mitochondrial metabolism, and lipid metabolism, TN-301 may be well suited to the treatment of HFpEF, as well as other cardiac, metabolic, muscular and pulmonary disorders where there is strong alignment between TN-301’s mechanism and the pathophysiology of disease.</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Extensive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have also shown that TN-301 addresses diverse pathological processes with direct and systemic benefits in models of HFpEF. In comparative studies, selective HDAC6 inhibition as a single agent has been shown to have similar efficacy to empagliflozin, an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in which inflammation, fibrosis and metabolic dysregulation may be implicated.</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Based on our observations of TN-301’s mechanism and evidence of efficacy for an approved pan-HDAC agent, we are also exploring the development of TN-301 for DMD, a condition caused by genetic mutations in the </w:t>
      </w:r>
      <w:r>
        <w:rPr>
          <w:rFonts w:ascii="Times New Roman" w:cs="Times New Roman" w:eastAsia="Times New Roman" w:hAnsi="Times New Roman"/>
          <w:sz w:val="18"/>
          <w:szCs w:val="18"/>
          <w:i w:val="1"/>
          <w:iCs w:val="1"/>
          <w:color w:val="auto"/>
        </w:rPr>
        <w:t>dystrophin</w:t>
      </w:r>
      <w:r>
        <w:rPr>
          <w:rFonts w:ascii="Times New Roman" w:cs="Times New Roman" w:eastAsia="Times New Roman" w:hAnsi="Times New Roman"/>
          <w:sz w:val="18"/>
          <w:szCs w:val="18"/>
          <w:color w:val="auto"/>
        </w:rPr>
        <w:t xml:space="preserve"> gene, leading to absence of functional dystrophin protein in the heart and skeletal muscle. The muscle pathologies that underlie muscle wasting in the absence of dystrophin include inflammation, fibrosis, altered regeneration, mitochondrial dysfunction and disrupted autophagic flux – all processes that can be improved by HDAC6 inhibition.</w:t>
      </w:r>
    </w:p>
    <w:p>
      <w:pPr>
        <w:spacing w:after="0" w:line="72"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At the MDA Clinical &amp; Scientific Congress 2026, we presented results from preclinical studies comparing TN-301 with the FDA-approved pan HDAC inhibitor, givinostat, in a well-established mouse model of DMD, and in human iPSC-derived cardiomyocytes from DMD patients. After five weeks of once-daily oral dosing, TN-301 showed a statistically significant increase in forelimb grip strength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at both 3 mg/kg and 30 mg/kg compared to vehicle with both doses of TN-301 achieving WT levels of grip strength after five weeks. Further, TN-301 demonstrated greater efficacy at both doses compared to the 10 mg/kg dose of givinostat, which corresponds to the clinically relevant dose used in DMD patients. Notably, the effects of TN-301 at both doses approached those observed with the 30 mg/kg dose of givinostat, a level that is not tolerated in humans.</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engineered heart tissues derived from human DMD-induced iPSCs, TN-301 corrected calcium handling abnormalities, a key driver of DMD cardiomyopathy, including beat-to-beat fluctuations in calcium amplitude. In contrast, givinostat exacerbated calcium handling irregularities. In an experiment of DMD patient-derived iPSC cardiomyocytes designed to measure oxygen consumption and mitochondrial stress, both known contributors to DMD cardiomyopathy, TN-301 corrected basal and maximal respiration whereas givinostat worsened both measures. Taken together, these data support advancement of TN-301 as a potential DMD therapy with benefits for both skeletal and cardiac muscle and reduced liabilities compared to pan-HDAC inhibitors.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Consistent with our strategy, we believe that TN-301’s late-stage development and commercialization in large indications such as HFpEF would best be led by a strategic pharmaceutical partner with global resources to explore the full potential of the molecule. In parallel, we plan to explore indications in which it may be possible to demonstrate proof-of-activity in smaller, well-defined patient populations. Based on our preclinical observations, initial indications of interest include DMD, other muscular dystrophies, genetic DCM and PAH.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8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clinical-stage candidates, we have multiple early-stage programs using various therapeutic approaches, including gene addition, gene editing, gene silencing, and cellular regeneration to address other forms of rare and/or prevalent forms of heart disease. We do not have any products approve for sale and have not generated any revenue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8"/>
        </w:trPr>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196"/>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32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68,607</w:t>
            </w:r>
          </w:p>
        </w:tc>
        <w:tc>
          <w:tcPr>
            <w:tcW w:w="28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86,742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(18,135)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24,724</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(4,482)</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93,331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(22,617)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4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(93,331)</w:t>
            </w: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(115,948)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22,617</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(2,055)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(43%)</w:t>
            </w:r>
          </w:p>
        </w:tc>
      </w:tr>
      <w:tr>
        <w:trPr>
          <w:trHeight w:val="203"/>
        </w:trPr>
        <w:tc>
          <w:tcPr>
            <w:tcW w:w="4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4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other income,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(2,085)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49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196"/>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(90,597)</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(111,129)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20,532</w:t>
            </w: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-959485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-959485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-959485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-162560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made following data generated from our MyPEAK-1 and RIDGE-1 clinical trials and our ability to achieve regulatory alignment on our pivotal trial plans for our TN-201 and TN-401 programs.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8"/>
        </w:trPr>
        <w:tc>
          <w:tcPr>
            <w:tcW w:w="3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7"/>
                <w:szCs w:val="17"/>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w:t>
            </w:r>
          </w:p>
        </w:tc>
        <w:tc>
          <w:tcPr>
            <w:tcW w:w="13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19,944</w:t>
            </w:r>
          </w:p>
        </w:tc>
        <w:tc>
          <w:tcPr>
            <w:tcW w:w="70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26,024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(6,080)</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(pre-commercial)</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23,433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(5,718)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w:t>
            </w:r>
          </w:p>
        </w:tc>
      </w:tr>
      <w:tr>
        <w:trPr>
          <w:trHeight w:val="202"/>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20,858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(4,389)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(1,948)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6"/>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68,607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86,742</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(18,135)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-25400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$68.6 million and $86.7 million for the years ended December 31, 2025 and 2024, respectively. The decrease of $18.1 million, or 21%, was primarily due to:</w:t>
      </w:r>
    </w:p>
    <w:p>
      <w:pPr>
        <w:spacing w:after="0" w:line="54" w:lineRule="exact"/>
        <w:rPr>
          <w:sz w:val="20"/>
          <w:szCs w:val="20"/>
          <w:color w:val="auto"/>
        </w:rPr>
      </w:pPr>
    </w:p>
    <w:p>
      <w:pPr>
        <w:ind w:left="900" w:right="12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$6.1 million in clinical trial related costs primarily driven by a decrease in clinical support costs, including regulatory consulting fees and lower employee-related costs driven by workforce reductions initiated in March 2025 and May 2024 (together, the Workforce Reductions);</w:t>
      </w:r>
    </w:p>
    <w:p>
      <w:pPr>
        <w:spacing w:after="0" w:line="6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$5.7 million in manufacturing costs due to lower employee-related costs driven by the Workforce Reductions, as well as reduced spending on supplies, materials, and facility maintenance;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of $4.4 million in research costs and $1.9 million in other research and development costs due to lower employee-related costs driven by the Workforce Reductions.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7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 and our ability to achieve regulatory alignment on our pivotal trial plans for our TN-201 and TN-401 programs.</w:t>
      </w:r>
    </w:p>
    <w:p>
      <w:pPr>
        <w:spacing w:after="0" w:line="7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$24.7 million and $29.2 million for the years ended December 31, 2025 and 2024, respectively. The decrease of $4.5 million, or 15%, was primarily due to decreases in employee-related costs driven by the Workforce Reductions and lower professional fees.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Interest income was $2.7 million and $4.7 million for the years ended December 31, 2025 and 2024, respectively. The year-over-year decrease of $2.1 million was primarily due to lower cash, cash equivalents and investment balances.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for the year ended December 31, 2025, was $90.6 million, compared to a net loss of $111.1 million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December 31, 2025, we have funded our operations primarily from the sale and issuance of our equity securities. As of December 31, 2025, we had cash, cash equivalents and investments in marketable securities of $100.5 million and an accumulated deficit of $605.0 million.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February 2025, we announced we were awarded an $8 million grant from the CIRM to support RIDGE-1. The award is payable to us upon achievement of certain clinical milestones. Additionally, if CIRM determines, in its sole discretion, that we have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we will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co-fund the research project with CIRM and the amount of our co-funding requirement is predetermined as a part of the award. For the year ended December 31, 2025, we recognized $2.5 million as a reduction of research and development expenses in connection with the grant.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212529"/>
        </w:rPr>
        <w:t xml:space="preserve">On August 6, 2024, we entered into a </w:t>
      </w:r>
      <w:r>
        <w:rPr>
          <w:rFonts w:ascii="Times New Roman" w:cs="Times New Roman" w:eastAsia="Times New Roman" w:hAnsi="Times New Roman"/>
          <w:sz w:val="18"/>
          <w:szCs w:val="18"/>
          <w:color w:val="000000"/>
        </w:rPr>
        <w:t>Loan Agreement with Silicon Valley Bank (SVB)</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2025, all of the term loan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commitments expired under the Loan Agreement and no term loans were outstanding. </w:t>
      </w:r>
      <w:r>
        <w:rPr>
          <w:rFonts w:ascii="Times New Roman" w:cs="Times New Roman" w:eastAsia="Times New Roman" w:hAnsi="Times New Roman"/>
          <w:sz w:val="18"/>
          <w:szCs w:val="18"/>
          <w:color w:val="212529"/>
        </w:rPr>
        <w:t>The Loan Agreement provides that an additional loan of $20.0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million may be available at SVB’s discretion, subject to specified conditions.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December 15, 2025, we completed an underwritten public offering of 50,000,000 units, priced at a public offering price of $1.20 per unit, with each unit consisting of one share of common stock and a warrant to purchase one share of common stock at an exercise price of $1.50 per share, which are immediately exercisable and expire five years from the date of issuance (December 2025 Warrant), under our registration statement on Form S-3 (File No. 333-286005). We received net proceeds of $55.8 million, after deducting underwriting discounts and commissions of $3.6 million and other offering expenses of $0.6 million.</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March 5, 2025, we completed an underwritten offering of 75,000,000 units, priced at a public offering price of $0.70 per unit, with each unit consisting of one share of our common stock, a warrant to purchase one share of our common stock at an exercise price of $0.80 per share, which are immediately exercisable and expire five years from the date of issuance (a Series A Warrant) and a warrant to purchase one-half of a share of our common stock at an exercise price of $0.70 per share, which are immediately exercisable and expire on June 30, 2026 (a Series B Warrant), under our registration statement on Form S-3 (File No. 333-266741). We received net proceeds of approximately $48.9 million, after deducting underwriting discounts and commissions of approximately $3.2 million and other offering expenses of approximately $0.5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We received net proceeds of approximately $46.8 million, after deducting underwriting discounts and commissions of approximately $3.0 million and other offering expenses of approximately $0.2 million. As of December 31, 2024, all pre-funded warrants have been exercised for an exercise price of $0.001 per share.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to establish an “at-the-market” (ATM) offering defined in Rule 415 under the Securities Act. Pursuant to the Sales Agreement, we are permitted to offer and sell, from time to time, shares of our common stock having a maximum aggregate offering price of up to $75.0 million. In January 2025, we sold 822,566 shares of our common stock under the ATM offering for net proceeds of $0.9 million, after deducting commissions and offering costs of $0.3 million. As of December 31, 2025, we may issue and sell up to approximately $69.8 million of common stock under the ATM offering.</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may increase in the future, if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product candidates, TN-201, TN-401 and TN-301;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6" w:lineRule="exact"/>
        <w:rPr>
          <w:sz w:val="20"/>
          <w:szCs w:val="20"/>
          <w:color w:val="auto"/>
        </w:rPr>
      </w:pPr>
    </w:p>
    <w:p>
      <w:pPr>
        <w:ind w:left="1020" w:right="1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Annual Report on Form 10-K.</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w:t>
      </w:r>
    </w:p>
    <w:p>
      <w:pPr>
        <w:spacing w:after="0" w:line="11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(68,264)</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(90,501)</w:t>
            </w: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56,083</w:t>
            </w:r>
          </w:p>
        </w:tc>
        <w:tc>
          <w:tcPr>
            <w:tcW w:w="5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108,405</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47,749</w:t>
            </w:r>
          </w:p>
        </w:tc>
        <w:tc>
          <w:tcPr>
            <w:tcW w:w="120" w:type="dxa"/>
            <w:vAlign w:val="bottom"/>
          </w:tcPr>
          <w:p>
            <w:pPr>
              <w:spacing w:after="0"/>
              <w:rPr>
                <w:sz w:val="18"/>
                <w:szCs w:val="18"/>
                <w:color w:val="auto"/>
              </w:rPr>
            </w:pPr>
          </w:p>
        </w:tc>
      </w:tr>
      <w:tr>
        <w:trPr>
          <w:trHeight w:val="23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40" w:type="dxa"/>
            <w:vAlign w:val="bottom"/>
            <w:shd w:val="clear" w:color="auto" w:fill="CFF0FC"/>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96,224</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(41,621)</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$68.3 million, which consisted primarily of a net loss of $90.6 million and a net change in operating assets and liabilities of $2.5 million, partially offset by $24.0 million in non-cash charges. The change in net operating assets and liabilities was primarily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due to a decrease in operating lease liabilities of $2.8 million. Cash flows from operations are generally impacted by the timing of payments to vendors and vendor payment terms. The non-cash charges primarily consisted of stock-based compensation of $13.0 million and depreciation and amortization of $8.4 million.</w:t>
      </w:r>
    </w:p>
    <w:p>
      <w:pPr>
        <w:spacing w:after="0" w:line="68"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2024 was $90.5 million, which consisted primarily of a net loss of $111.1 million and a net change in operating assets and liabilities of $7.9 million, partially offset by $27.3 million in non-cash charges. The change in net operating assets and liabilities was primarily due to a decrease in accounts payable and accrued expenses and other current liabilities of $5.3 million and a decrease in operating lease liabilities of $4.1 million. Cash flows from operations are generally impacted by the timing of payments to vendors and vendor payment terms. The non-cash charges primarily consisted of stock-based compensation of $16.5 million and depreciation and amortization of $8.5 million.</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2025 was $56.1 million, which consisted primarily of proceeds from maturities of marketable securities of $45.7 million and sales of marketable securities of $11.0 million.</w:t>
      </w:r>
    </w:p>
    <w:p>
      <w:pPr>
        <w:spacing w:after="0" w:line="54"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was $1.1 million, which consisted primarily of proceeds from maturities of marketable securities of $81.2 million and proceeds from sales of marketable securities of $8.0 million, partially offset by purchases of marketable securities of $87.1 million.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$108.4 million, which primarily consisted of net proceeds from our March 2025 and December 2025 follow-on offerings of $105.1 million.</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$47.7 million, which primarily consisted of net proceeds from our February 2024 follow-on offering of $46.8 million.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lease office space for our corporate headquarters in South San Francisco under a lease that expires in November 2027. We expect to pay rent of approximately $2.5 million during 2026 for this lease. We also lease a manufacturing facility in Union City under a lease that expires in July 2031. We expect to pay rent of approximately $1.4 million in 2026 for this lease. As of December 31, 2025, undiscounted future minimum lease payments of $4.8 million and $8.3 million remain on the South San Francisco and Union City leases, respectively.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68"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for making judgments about the carrying value of assets and liabilities that are not readily apparent from other sources. Actual results may differ from these estimates under different assumptions or conditions.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52" w:lineRule="exact"/>
        <w:rPr>
          <w:sz w:val="20"/>
          <w:szCs w:val="20"/>
          <w:color w:val="auto"/>
        </w:rPr>
      </w:pPr>
    </w:p>
    <w:p>
      <w:pPr>
        <w:ind w:left="900" w:right="360" w:hanging="518"/>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grant date fair value of common stock was determined by using the closing price per share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 reported on the Nasdaq Global Select Market.</w:t>
      </w:r>
    </w:p>
    <w:p>
      <w:pPr>
        <w:spacing w:after="0" w:line="50" w:lineRule="exact"/>
        <w:rPr>
          <w:rFonts w:ascii="Times New Roman" w:cs="Times New Roman" w:eastAsia="Times New Roman" w:hAnsi="Times New Roman"/>
          <w:sz w:val="18"/>
          <w:szCs w:val="18"/>
          <w:color w:val="auto"/>
        </w:rPr>
      </w:pPr>
    </w:p>
    <w:p>
      <w:pPr>
        <w:ind w:left="900" w:right="440" w:hanging="518"/>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determine the expected term, which represents the period that stock-based awards are expected to be outstanding,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simplified method, which is presumed to be the mid-point between the contractual term and the vesting term.</w:t>
      </w:r>
    </w:p>
    <w:p>
      <w:pPr>
        <w:spacing w:after="0" w:line="50" w:lineRule="exact"/>
        <w:rPr>
          <w:rFonts w:ascii="Times New Roman" w:cs="Times New Roman" w:eastAsia="Times New Roman" w:hAnsi="Times New Roman"/>
          <w:sz w:val="18"/>
          <w:szCs w:val="18"/>
          <w:color w:val="auto"/>
        </w:rPr>
      </w:pPr>
    </w:p>
    <w:p>
      <w:pPr>
        <w:ind w:left="900" w:right="60" w:hanging="518"/>
        <w:spacing w:after="0" w:line="258"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we have limited trading history of our common stock, we have determined our computation of expected volatility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spacing w:after="0" w:line="75" w:lineRule="exact"/>
        <w:rPr>
          <w:rFonts w:ascii="Times New Roman" w:cs="Times New Roman" w:eastAsia="Times New Roman" w:hAnsi="Times New Roman"/>
          <w:sz w:val="18"/>
          <w:szCs w:val="18"/>
          <w:color w:val="auto"/>
        </w:rPr>
      </w:pPr>
    </w:p>
    <w:p>
      <w:pPr>
        <w:ind w:left="900" w:right="500" w:hanging="518"/>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on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assumption.</w:t>
      </w:r>
    </w:p>
    <w:p>
      <w:pPr>
        <w:spacing w:after="0" w:line="50" w:lineRule="exact"/>
        <w:rPr>
          <w:rFonts w:ascii="Times New Roman" w:cs="Times New Roman" w:eastAsia="Times New Roman" w:hAnsi="Times New Roman"/>
          <w:sz w:val="18"/>
          <w:szCs w:val="18"/>
          <w:color w:val="auto"/>
        </w:rPr>
      </w:pPr>
    </w:p>
    <w:p>
      <w:pPr>
        <w:ind w:left="900" w:right="460" w:hanging="518"/>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yield is assumed to be zero as we have never paid and have no plans to pay dividends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4"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financial statements for more information concerning certain of the specific assumptions we used in applying the Black-Scholes valuation model to determine the estimated fair value of our stock options.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in Item 10(f)(1) of Regulation S-K, and are not required to provide the information under this item.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1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40" w:type="dxa"/>
            <w:vAlign w:val="bottom"/>
            <w:gridSpan w:val="5"/>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20" w:type="dxa"/>
            <w:vAlign w:val="bottom"/>
          </w:tcPr>
          <w:p>
            <w:pPr>
              <w:spacing w:after="0"/>
              <w:rPr>
                <w:sz w:val="24"/>
                <w:szCs w:val="24"/>
                <w:color w:val="auto"/>
              </w:rPr>
            </w:pPr>
          </w:p>
        </w:tc>
      </w:tr>
      <w:tr>
        <w:trPr>
          <w:trHeight w:val="500"/>
        </w:trPr>
        <w:tc>
          <w:tcPr>
            <w:tcW w:w="5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3360" w:type="dxa"/>
            <w:vAlign w:val="bottom"/>
            <w:gridSpan w:val="3"/>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17"/>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Balance Sheets as of December 31, 2025 and 2024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216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7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2025 and 2024</w:t>
            </w:r>
          </w:p>
        </w:tc>
        <w:tc>
          <w:tcPr>
            <w:tcW w:w="18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18"/>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Stockholders’ Equity for the years ended December 31, 2025 and 2024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18"/>
        </w:trPr>
        <w:tc>
          <w:tcPr>
            <w:tcW w:w="6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2025 and 2024</w:t>
            </w:r>
          </w:p>
        </w:tc>
        <w:tc>
          <w:tcPr>
            <w:tcW w:w="298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18"/>
        </w:trPr>
        <w:tc>
          <w:tcPr>
            <w:tcW w:w="5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3660" w:type="dxa"/>
            <w:vAlign w:val="bottom"/>
            <w:gridSpan w:val="4"/>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885"/>
        </w:trPr>
        <w:tc>
          <w:tcPr>
            <w:tcW w:w="2160" w:type="dxa"/>
            <w:vAlign w:val="bottom"/>
            <w:tcBorders>
              <w:top w:val="single" w:sz="8" w:color="0000FF"/>
            </w:tcBorders>
          </w:tcPr>
          <w:p>
            <w:pPr>
              <w:spacing w:after="0"/>
              <w:rPr>
                <w:sz w:val="24"/>
                <w:szCs w:val="24"/>
                <w:color w:val="auto"/>
              </w:rPr>
            </w:pP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-2142490</wp:posOffset>
            </wp:positionV>
            <wp:extent cx="28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Tenaya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Tenaya Therapeutics, Inc. (the "Company") as of December 31, 2025 and 2024, the related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100,547</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146,921</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December 31, 2025 and 2024; no shares issued and outstanding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December 31, 2025 and 2024</w:t>
            </w:r>
          </w:p>
        </w:tc>
        <w:tc>
          <w:tcPr>
            <w:tcW w:w="3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of December 31, 2025 and 2024; 216,760,283 and 86,542,340</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20"/>
                <w:szCs w:val="20"/>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607,229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(605,008)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(514,411)</w:t>
            </w: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146,921</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-3805555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-3805555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-3248025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-2391410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-2391410</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86,742</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115,948</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(93,331)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(115,948)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(111,129)</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(111,129)</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(90,625)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(110,995)</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152,971,259</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84,822,468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-2056765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-1207770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-334010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8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1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68,330,342</w:t>
            </w:r>
          </w:p>
        </w:tc>
        <w:tc>
          <w:tcPr>
            <w:tcW w:w="1080" w:type="dxa"/>
            <w:vAlign w:val="bottom"/>
            <w:gridSpan w:val="2"/>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542,805</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(403,282)</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net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8,888,890</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costs of $3,236</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423,620</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purchase plan</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743,041</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pre-funded</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8,156,447</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warrants</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warrant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(111,129)</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(111,129)</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86,542,340</w:t>
            </w:r>
          </w:p>
        </w:tc>
        <w:tc>
          <w:tcPr>
            <w:tcW w:w="1080" w:type="dxa"/>
            <w:vAlign w:val="bottom"/>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607,229</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(514,411)</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92,854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and warrants in follow-on</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125,000,000</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104,637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offering, net of issuance costs of $7,850</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190,483</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purchase plan</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936,144</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 market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822,566</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sales, net of issuance costs of $280</w:t>
            </w: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3,268,750</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(90,597)</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(90,597)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216,760,283</w:t>
            </w:r>
          </w:p>
        </w:tc>
        <w:tc>
          <w:tcPr>
            <w:tcW w:w="1080" w:type="dxa"/>
            <w:vAlign w:val="bottom"/>
            <w:gridSpan w:val="2"/>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728,252</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(605,008)</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123,265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-1362075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-1362075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-1362075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-1362075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-1362075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4" w:name="page115"/>
    <w:bookmarkEnd w:id="11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(90,597)</w:t>
            </w: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(111,129)</w:t>
            </w:r>
          </w:p>
        </w:tc>
      </w:tr>
      <w:tr>
        <w:trPr>
          <w:trHeight w:val="149"/>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8,468</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(184)</w:t>
            </w: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2,473</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3,391</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9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(581)</w:t>
            </w:r>
          </w:p>
        </w:tc>
      </w:tr>
      <w:tr>
        <w:trPr>
          <w:trHeight w:val="148"/>
        </w:trPr>
        <w:tc>
          <w:tcPr>
            <w:tcW w:w="7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(4,745)</w:t>
            </w:r>
          </w:p>
        </w:tc>
      </w:tr>
      <w:tr>
        <w:trPr>
          <w:trHeight w:val="149"/>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(2,778)</w:t>
            </w:r>
          </w:p>
        </w:tc>
        <w:tc>
          <w:tcPr>
            <w:tcW w:w="9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(4,118)</w:t>
            </w:r>
          </w:p>
        </w:tc>
      </w:tr>
      <w:tr>
        <w:trPr>
          <w:trHeight w:val="148"/>
        </w:trPr>
        <w:tc>
          <w:tcPr>
            <w:tcW w:w="7380" w:type="dxa"/>
            <w:vAlign w:val="bottom"/>
            <w:tcBorders>
              <w:bottom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(68,264)</w:t>
            </w:r>
          </w:p>
        </w:tc>
        <w:tc>
          <w:tcPr>
            <w:tcW w:w="980" w:type="dxa"/>
            <w:vAlign w:val="bottom"/>
          </w:tcPr>
          <w:p>
            <w:pPr>
              <w:spacing w:after="0"/>
              <w:rPr>
                <w:sz w:val="12"/>
                <w:szCs w:val="12"/>
                <w:color w:val="auto"/>
              </w:rPr>
            </w:pPr>
          </w:p>
        </w:tc>
        <w:tc>
          <w:tcPr>
            <w:tcW w:w="7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(90,501)</w:t>
            </w: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(618)</w:t>
            </w:r>
          </w:p>
        </w:tc>
        <w:tc>
          <w:tcPr>
            <w:tcW w:w="9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(1,025)</w:t>
            </w: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(87,069)</w:t>
            </w: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10,958</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7,997</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45,743</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81,211</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r>
      <w:tr>
        <w:trPr>
          <w:trHeight w:val="142"/>
        </w:trPr>
        <w:tc>
          <w:tcPr>
            <w:tcW w:w="738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3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56,083</w:t>
            </w:r>
          </w:p>
        </w:tc>
        <w:tc>
          <w:tcPr>
            <w:tcW w:w="2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pre-funded warrants, and warrants in follow-on offering, net of issuance costs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105,065</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46,762</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120" w:type="dxa"/>
            <w:vAlign w:val="bottom"/>
          </w:tcPr>
          <w:p>
            <w:pPr>
              <w:spacing w:after="0"/>
              <w:rPr>
                <w:sz w:val="12"/>
                <w:szCs w:val="12"/>
                <w:color w:val="auto"/>
              </w:rPr>
            </w:pPr>
          </w:p>
        </w:tc>
      </w:tr>
      <w:tr>
        <w:trPr>
          <w:trHeight w:val="149"/>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warrants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at-the-market sales, net of issuance costs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3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108,405</w:t>
            </w:r>
          </w:p>
        </w:tc>
        <w:tc>
          <w:tcPr>
            <w:tcW w:w="280" w:type="dxa"/>
            <w:vAlign w:val="bottom"/>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47,749</w:t>
            </w:r>
          </w:p>
        </w:tc>
        <w:tc>
          <w:tcPr>
            <w:tcW w:w="12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96,224</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(41,621)</w:t>
            </w: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w:t>
            </w:r>
          </w:p>
        </w:tc>
        <w:tc>
          <w:tcPr>
            <w:tcW w:w="2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46,363</w:t>
            </w:r>
          </w:p>
        </w:tc>
        <w:tc>
          <w:tcPr>
            <w:tcW w:w="120" w:type="dxa"/>
            <w:vAlign w:val="bottom"/>
          </w:tcPr>
          <w:p>
            <w:pPr>
              <w:spacing w:after="0"/>
              <w:rPr>
                <w:sz w:val="12"/>
                <w:szCs w:val="12"/>
                <w:color w:val="auto"/>
              </w:rPr>
            </w:pPr>
          </w:p>
        </w:tc>
      </w:tr>
      <w:tr>
        <w:trPr>
          <w:trHeight w:val="18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32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100,966</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4,742</w:t>
            </w:r>
          </w:p>
        </w:tc>
        <w:tc>
          <w:tcPr>
            <w:tcW w:w="120" w:type="dxa"/>
            <w:vAlign w:val="bottom"/>
            <w:shd w:val="clear" w:color="auto" w:fill="CFF0FC"/>
          </w:tcPr>
          <w:p>
            <w:pPr>
              <w:spacing w:after="0"/>
              <w:rPr>
                <w:sz w:val="15"/>
                <w:szCs w:val="15"/>
                <w:color w:val="auto"/>
              </w:rPr>
            </w:pPr>
          </w:p>
        </w:tc>
      </w:tr>
      <w:tr>
        <w:trPr>
          <w:trHeight w:val="129"/>
        </w:trPr>
        <w:tc>
          <w:tcPr>
            <w:tcW w:w="7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30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100,547</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3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2"/>
                <w:szCs w:val="12"/>
                <w:color w:val="auto"/>
              </w:rPr>
            </w:pPr>
          </w:p>
        </w:tc>
      </w:tr>
      <w:tr>
        <w:trPr>
          <w:trHeight w:val="18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132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100,966</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4,742</w:t>
            </w:r>
          </w:p>
        </w:tc>
        <w:tc>
          <w:tcPr>
            <w:tcW w:w="120" w:type="dxa"/>
            <w:vAlign w:val="bottom"/>
            <w:shd w:val="clear" w:color="auto" w:fill="CFF0FC"/>
          </w:tcPr>
          <w:p>
            <w:pPr>
              <w:spacing w:after="0"/>
              <w:rPr>
                <w:sz w:val="15"/>
                <w:szCs w:val="15"/>
                <w:color w:val="auto"/>
              </w:rPr>
            </w:pPr>
          </w:p>
        </w:tc>
      </w:tr>
      <w:tr>
        <w:trPr>
          <w:trHeight w:val="129"/>
        </w:trPr>
        <w:tc>
          <w:tcPr>
            <w:tcW w:w="7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32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Offering cost included in accounts payable and accrued expenses and other current liabilities</w:t>
            </w:r>
          </w:p>
        </w:tc>
        <w:tc>
          <w:tcPr>
            <w:tcW w:w="132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280" w:type="dxa"/>
            <w:vAlign w:val="bottom"/>
          </w:tcPr>
          <w:p>
            <w:pPr>
              <w:spacing w:after="0"/>
              <w:rPr>
                <w:sz w:val="12"/>
                <w:szCs w:val="12"/>
                <w:color w:val="auto"/>
              </w:rPr>
            </w:pP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warrant in connection with Loan Agreement</w:t>
            </w:r>
          </w:p>
        </w:tc>
        <w:tc>
          <w:tcPr>
            <w:tcW w:w="132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-2571115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-1790700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-1229360</wp:posOffset>
            </wp:positionV>
            <wp:extent cx="9398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-1229360</wp:posOffset>
            </wp:positionV>
            <wp:extent cx="10287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-814070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-796290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-402590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-385445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-402590</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 and other relatively rare cardio/metabolic indications such as Duchenne muscular dystrophy.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December 31, 2025, the Company had an accumulated deficit of $605.0 million. The Company incurred a net loss of $90.6 million and $111.1 million during the years ended December 31, 2025 and 2024, respectively. The Company had $100.5 million of cash, cash equivalents and investments in marketable securities as of December 31, 2025.</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December 31, 2025 will be sufficient to fund the Company’s operations for at least the next twelve months following the date these financial statements are filed with the Securities and Exchange Commission (SEC).</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valuation of equity-based awards and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6" w:name="page117"/>
    <w:bookmarkEnd w:id="116"/>
    <w:p>
      <w:pPr>
        <w:spacing w:after="0" w:line="86"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7"/>
          <w:szCs w:val="17"/>
          <w:color w:val="auto"/>
        </w:rPr>
        <w:t>establishes a three-tiered hierarchy, which prioritizes the inputs used in the valuation methodologies in measuring fair value as follows: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cash equivalents and marketable securities. The Company maintains deposits in cash and cash equivalents in federally insured financial institutions that it believes have high credit quality. Such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certain risks including, but not limited to, the ability to obtain future financing, possible failure of ongoing and future clinical trials, the need to obtain regulatory approvals for its product candidates, the need to successfully commercialize and gain market acceptance of the Company’s product candidates, competitive developments, protection of proprietary technology, the ability to make milestone, royalty or other payments due under licensing agreements, and the Company’s ability to attract and retain employees necessary to support its business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segment, which is the business of discovering and developing potential treatments that address the underlying drivers of heart disease. The Company’s long-lived assets are located in the United States.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restricted cash primarily represents the security deposit for the Company’s operating lease in South San Francisco, California. The security deposit is in the form of a letter of credit secured by restricted cash.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The Company evaluates securities for impairment at the end of each reporting period. Factors considered in the evaluation include whether a decline in fair value below the amortized cost basis is due to credit-related factors or non-credit-related factors, the financial condition and near-term prospect of the issuer, and the Company’s intent and ability to hold the investment to allow for anticipated recovery in fair value. A credit-related impairment is recognized as an allowance on the balance sheet with a corresponding adjustment to earnings. Any impairment that is not credit-related is reported as a component of other comprehensive loss. Realized gains and losses are included in other income, net. The cost of securities sold is based on the specific-identification method. Interest earned on marketable securities is included in interest income.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net, within the Company’s statements of operations and comprehensive loss. Repair and maintenance costs, which are not considered improvements and do not extend the useful life of property and equipment, are expensed as incurred.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for 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among others, consulting fees, salaries, benefits, travel, stock-based compensation, laboratory supplies and other non-capital equipment utilized for in-house research, allocated facilities and overhead costs, fees related to licensing agreements, fees paid to contract research organizations that conduct research and development activities on the Company’s behalf and costs related to compliance with regulatory requirements.</w:t>
      </w:r>
    </w:p>
    <w:p>
      <w:pPr>
        <w:spacing w:after="0" w:line="7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Goods or services incurred for research and development activities that have not yet been invoiced are recorded as liabilities within accrued expenses and other current liabilities on the Company’s balance sheets.</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is determined on the date of grant based on the estimated fair value of the Company’s common stock on that date.</w:t>
      </w:r>
    </w:p>
    <w:p>
      <w:pPr>
        <w:spacing w:after="0" w:line="54"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determining the estimated fair value of options granted to employees and nonemployees, the Company uses the Black-Scholes option pricing model.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the Company's financial statements for the specific assumptions used in applying the Black-Scholes valuation model.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As of December 31, 2025 and 2024, the Company has recorded a full valuation allowance on its net deferred tax assets.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if any, related to unrecognized tax benefits are included within the provision for income tax.</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the Company’s common stock outstanding for the period, without consideration for potential dilutive shares of common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stock. As the Company is in a loss position for the periods presented, diluted net loss per share is the same as basic net loss per share, since the effects of potentially dilutive securities are antidilutive.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February 2025, the Company announced it was awarded an $8 million grant from the California Institute for Regenerative Medicine (CIRM) to support the clinical trial of TN-401. The award is payable to the Company upon achievement of certain clinical milestones.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the Company will co-fund the research project with CIRM and the amount of the Company's co-funding requirement is predetermined as a part of the award. The Company accounts for the grant under Accounting Standards Codification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and records the funds against the research and development expenses as the milestones are achieved. For the year ended December 31, 2025, the Company recognized $2.5 million as a reduction of research and development expenses in connection with the grant.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740): Improvements to Income Tax Disclosures </w:t>
      </w:r>
      <w:r>
        <w:rPr>
          <w:rFonts w:ascii="Times New Roman" w:cs="Times New Roman" w:eastAsia="Times New Roman" w:hAnsi="Times New Roman"/>
          <w:sz w:val="18"/>
          <w:szCs w:val="18"/>
          <w:color w:val="auto"/>
        </w:rPr>
        <w:t>(ASU 2023-09), which requires disaggregated information about a reporting entity’s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reconciliation as well as information on income taxes paid. ASU 2023-09 is effective for annual periods beginning after December 15, 2024. The Company adopted this ASU on a prospective basis for the year ended December 31, 2025. The adoption of ASU 2023-09 did not have any effect on the Company's financial statements but resulted in expanded income tax disclosures.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Company's financial statements for the related disclosure.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Government Grants </w:t>
      </w:r>
      <w:r>
        <w:rPr>
          <w:rFonts w:ascii="Times New Roman" w:cs="Times New Roman" w:eastAsia="Times New Roman" w:hAnsi="Times New Roman"/>
          <w:sz w:val="18"/>
          <w:szCs w:val="18"/>
          <w:i w:val="1"/>
          <w:iCs w:val="1"/>
          <w:color w:val="auto"/>
        </w:rPr>
        <w:t>(Topic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which adds guidance to Accounting Standards Codification (ASC) 832 on the recognition, measurement, and presentation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grants. The guidance establishes a framework for accounting for government grants, including grants related to assets and grants related to income. ASU 2025-10 is effective for the Company for annual periods beginning after December 15, 2028, and interim periods within those annual periods. Early adoption is permitted. The Company is evaluating the impact of this standard on its financial statements and related disclosures.</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for entities to estimate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revenue transactions accounted for under ASC 606. ASU 2025-05 is effective for the Company for annual periods beginning after December 15, 2025, and interim periods within those annual periods. Early adoption is permitted. The Company is evaluating the impact of this standard on its financial statements and related disclosures.</w:t>
      </w:r>
    </w:p>
    <w:p>
      <w:pPr>
        <w:spacing w:after="0" w:line="75" w:lineRule="exact"/>
        <w:rPr>
          <w:sz w:val="20"/>
          <w:szCs w:val="20"/>
          <w:color w:val="auto"/>
        </w:rPr>
      </w:pPr>
    </w:p>
    <w:p>
      <w:pPr>
        <w:ind w:right="1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(Topic 220):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Disaggregation of Income Statement Expenses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(ASU 2024-03), which requires public companies to disclose, in interim and 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77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42"/>
        </w:trPr>
        <w:tc>
          <w:tcPr>
            <w:tcW w:w="77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67,605</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tcPr>
          <w:p>
            <w:pPr>
              <w:spacing w:after="0"/>
              <w:rPr>
                <w:sz w:val="18"/>
                <w:szCs w:val="18"/>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(39,933)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(32,290)</w:t>
            </w:r>
          </w:p>
        </w:tc>
      </w:tr>
      <w:tr>
        <w:trPr>
          <w:trHeight w:val="20"/>
        </w:trPr>
        <w:tc>
          <w:tcPr>
            <w:tcW w:w="7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2025 and 2024 was $8.4 million and $8.5 million,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500" w:type="dxa"/>
            <w:vAlign w:val="bottom"/>
            <w:gridSpan w:val="2"/>
            <w:shd w:val="clear" w:color="auto" w:fill="CFF0FC"/>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6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5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(In</w:t>
            </w:r>
          </w:p>
        </w:tc>
        <w:tc>
          <w:tcPr>
            <w:tcW w:w="1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500" w:type="dxa"/>
            <w:vAlign w:val="bottom"/>
            <w:gridSpan w:val="2"/>
            <w:shd w:val="clear" w:color="auto" w:fill="CFF0FC"/>
          </w:tcPr>
          <w:p>
            <w:pPr>
              <w:ind w:left="2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6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500" w:type="dxa"/>
            <w:vAlign w:val="bottom"/>
            <w:gridSpan w:val="2"/>
            <w:shd w:val="clear" w:color="auto" w:fill="CFF0FC"/>
          </w:tcPr>
          <w:p>
            <w:pPr>
              <w:ind w:left="2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6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540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jc w:val="right"/>
              <w:ind w:right="1854"/>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-2716530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-2716530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-1070610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-1053465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office and manufacturing space in Union City, California. The lease commenced in May 2021 and has a ten-year term with one five-year renewal option.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years ended December 31, 2025 and 2024 was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28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w:t>
            </w:r>
          </w:p>
        </w:tc>
        <w:tc>
          <w:tcPr>
            <w:tcW w:w="1520" w:type="dxa"/>
            <w:vAlign w:val="bottom"/>
            <w:gridSpan w:val="2"/>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520" w:type="dxa"/>
            <w:vAlign w:val="bottom"/>
            <w:gridSpan w:val="2"/>
            <w:shd w:val="clear" w:color="auto" w:fill="CFF0FC"/>
          </w:tcPr>
          <w:p>
            <w:pPr>
              <w:jc w:val="center"/>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28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Borders>
              <w:bottom w:val="single" w:sz="8" w:color="CFF0FC"/>
            </w:tcBorders>
          </w:tcPr>
          <w:p>
            <w:pPr>
              <w:spacing w:after="0"/>
              <w:rPr>
                <w:sz w:val="17"/>
                <w:szCs w:val="17"/>
                <w:color w:val="auto"/>
              </w:rPr>
            </w:pPr>
          </w:p>
        </w:tc>
      </w:tr>
      <w:tr>
        <w:trPr>
          <w:trHeight w:val="236"/>
        </w:trPr>
        <w:tc>
          <w:tcPr>
            <w:tcW w:w="7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lease cost</w:t>
            </w:r>
          </w:p>
        </w:tc>
        <w:tc>
          <w:tcPr>
            <w:tcW w:w="122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28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center"/>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obligations</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center"/>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00" w:type="dxa"/>
            <w:vAlign w:val="bottom"/>
            <w:shd w:val="clear" w:color="auto" w:fill="CFF0FC"/>
          </w:tcPr>
          <w:p>
            <w:pPr>
              <w:spacing w:after="0"/>
              <w:rPr>
                <w:sz w:val="17"/>
                <w:szCs w:val="17"/>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520" w:type="dxa"/>
            <w:vAlign w:val="bottom"/>
            <w:gridSpan w:val="2"/>
          </w:tcPr>
          <w:p>
            <w:pPr>
              <w:jc w:val="center"/>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-415925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-398780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-553085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-415925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-398780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-553085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operating leases had a weighted average remaining lease term of 4.1 years and a weighted average discount rate of 9.1%. As of December 31, 2024, the Company’s operating leases had a weighted average remaining lease term of 4.8 years and a weighted average discount rate of 8.9%. Future minimum lease payments under the Company’s operating leases as of December 31, 2025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90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3,864</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r>
      <w:tr>
        <w:trPr>
          <w:trHeight w:val="216"/>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8"/>
                <w:szCs w:val="18"/>
                <w:color w:val="auto"/>
              </w:rPr>
            </w:pPr>
          </w:p>
        </w:tc>
      </w:tr>
      <w:tr>
        <w:trPr>
          <w:trHeight w:val="210"/>
        </w:trPr>
        <w:tc>
          <w:tcPr>
            <w:tcW w:w="9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13,116</w:t>
            </w: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Imputed interest</w:t>
            </w:r>
          </w:p>
        </w:tc>
        <w:tc>
          <w:tcPr>
            <w:tcW w:w="3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r>
      <w:tr>
        <w:trPr>
          <w:trHeight w:val="250"/>
        </w:trPr>
        <w:tc>
          <w:tcPr>
            <w:tcW w:w="9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December 31, 2025 and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8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2025 and 2024, the Company did not have any material indemnification claims that were probable or reasonably possible and, consequently, has not recorded any related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12529"/>
        </w:rPr>
        <w:t xml:space="preserve">On August 6, 2024, the Company entered into the Loan Agreement with Silicon Valley Bank (SVB). </w:t>
      </w:r>
      <w:r>
        <w:rPr>
          <w:rFonts w:ascii="Times New Roman" w:cs="Times New Roman" w:eastAsia="Times New Roman" w:hAnsi="Times New Roman"/>
          <w:sz w:val="18"/>
          <w:szCs w:val="18"/>
          <w:color w:val="000000"/>
        </w:rPr>
        <w:t>Pursuant to the terms of the Loan Agreement,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term loans in an aggregate principal amount of up to $45.0 million may be made under multiple tranches. An initial tranche of up to $15.0 million became available on the closing date but expired on June 30, 2025. Additional tranches totaling $10.0 million became available between October 2024 and December 2024, upon the achievement of certain clinical milestones but expired on December 31, 2025. A final tranche of up to $20.0 million may be available for draw down through July 31, 2026 at SVB’s discretion, subject to specified conditions. As of December 31, 2025, the Company has not drawn any funds under the Loan Agreement.</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will accrue on the term loan advances at a rate per annum that is equal to the greater of 8.50% and the prime rate and will be payable monthly in arrears. Principal payments on any term loan advances that are borrowed would commence immediately, subject to extension to July 1, 2026, upon the satisfaction of certain milestones.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Loan Agreement, the Company granted SVB a security interest in substantially all of the assets of the Company, other than its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stockholders’ equity includes shares related to early exercised options and restricted stock that are subject to repurchase. Common stock issued and outstanding is reduced for any repurchases of early exercised stock options and restricted stock.</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Lender Warrant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Loan Agreement, the Company issued to SVB a warrant to purchase up to 171,848 shares of common stock (the Lender Warrant). </w:t>
      </w:r>
      <w:r>
        <w:rPr>
          <w:rFonts w:ascii="Times New Roman" w:cs="Times New Roman" w:eastAsia="Times New Roman" w:hAnsi="Times New Roman"/>
          <w:sz w:val="18"/>
          <w:szCs w:val="18"/>
          <w:color w:val="212529"/>
        </w:rPr>
        <w:t>The Lender Warrant became exercisable for 73,649 shares upon closing (the Initial Lender Warrant), which represented 0.075</w:t>
      </w:r>
      <w:r>
        <w:rPr>
          <w:rFonts w:ascii="Times New Roman" w:cs="Times New Roman" w:eastAsia="Times New Roman" w:hAnsi="Times New Roman"/>
          <w:sz w:val="18"/>
          <w:szCs w:val="18"/>
          <w:color w:val="auto"/>
        </w:rPr>
        <w:t>% of the Company's common stock and common stock equivalents outstanding as of the day before the closing, on a fully-diluted basis, at an exercise price of $2.55 per share. The Initial Lender Warrant was classified as equity and its fair value was recorded in the stockholders’ equity section of the balance sheet. The Lender Warrant expires on August 6, 2034.</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Lender Warrant was eligible to become exercisable for up to an additional 98,199 shares pro-rated based on amounts actually advanced for the various tranches under the Loan Agreement (the Remaining Lender Warrant). The Remaining Lender Warrant was considered an outstanding instrument upon closing of the Loan Agreement for accounting purposes. In accordance with Accounting Standards Codification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w:t>
      </w:r>
      <w:r>
        <w:rPr>
          <w:rFonts w:ascii="Times New Roman" w:cs="Times New Roman" w:eastAsia="Times New Roman" w:hAnsi="Times New Roman"/>
          <w:sz w:val="18"/>
          <w:szCs w:val="18"/>
          <w:color w:val="auto"/>
        </w:rPr>
        <w:t>, the Remaining Lender Warrant was recognized at its fair value as a warrant liability given the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amount of the warrant shares and included in other non-current liabilities within the balance sheets.</w:t>
      </w:r>
    </w:p>
    <w:p>
      <w:pPr>
        <w:spacing w:after="0" w:line="73"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Following the expiration of the tranches under the Loan Agreement described in Note 5,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the Remaining Lender Warrant expired as of December 31, 2025. Accordingly, the related warrant liability, which was not material, was derecognized on December 31, 2025.</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common stock under the ATM offering for net proceeds of $0.9 million, after deducting commissions and offering costs of $0.3 million. As of December 31, 2025, the Company may issue and sell up to approximately $69.8 million of common stock under the ATM offering.</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December 15, 2025, the Company completed an underwritten public offering of 50,000,000 units, priced at a public offering price of $1.20 per unit, with each unit consisting of one share of its common stock and a warrant to purchase one share of its common stock at an exercise price of $1.50 per share, which will be immediately exercisable and will expire five years from the date of issuance (December 2025 Warrants), under its registration statement on Form S-3 (File No. 333-286005). The Company received net proceeds of $55.8 million, after deducting underwriting discounts and commissions of $3.6 million and other offering expenses of $0.6 million.</w:t>
      </w:r>
    </w:p>
    <w:p>
      <w:pPr>
        <w:spacing w:after="0" w:line="73"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analyzed the December 2025 Warrant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w:t>
      </w:r>
      <w:r>
        <w:rPr>
          <w:rFonts w:ascii="Times New Roman" w:cs="Times New Roman" w:eastAsia="Times New Roman" w:hAnsi="Times New Roman"/>
          <w:sz w:val="18"/>
          <w:szCs w:val="18"/>
          <w:color w:val="auto"/>
        </w:rPr>
        <w:t>, and concluded that the December 2025 Warrants are not liabilities, are indexed to its own stock and meet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conditions for equity classification. Accordingly, the Company has classified the December 2025 Warrants as permanent equity.</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$0.70 per share, which will be immediately exercisable and expire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w:t>
      </w:r>
    </w:p>
    <w:p>
      <w:pPr>
        <w:spacing w:after="0" w:line="7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analyzed the Series A and Series B Warrants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 Own Equity</w:t>
      </w:r>
      <w:r>
        <w:rPr>
          <w:rFonts w:ascii="Times New Roman" w:cs="Times New Roman" w:eastAsia="Times New Roman" w:hAnsi="Times New Roman"/>
          <w:sz w:val="18"/>
          <w:szCs w:val="18"/>
          <w:color w:val="auto"/>
        </w:rPr>
        <w:t>, and concluded that the Series A and Series B Warrants are not liabilities, are indexed to its own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all other conditions for equity classification. Accordingly, the Company has classified the Series A and Series B Warrants as permanent equity.</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Company received net proceeds of approximately $46.8 million, after deducting underwriting discounts and commissions of approximately $3.0 million and offering expenses of $0.2 million. As of December 31, 2024, all pre-funded warrants have been exercised for an exercise price of $0.001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total shares of common stock reserved for issuance, on an as-if converted basis, are as follows:</w:t>
      </w:r>
    </w:p>
    <w:p>
      <w:pPr>
        <w:spacing w:after="0" w:line="11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stock options and awards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Lender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Outstanding Series A and Series B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December 2025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260"/>
        <w:spacing w:after="0" w:line="250" w:lineRule="auto"/>
        <w:rPr>
          <w:sz w:val="20"/>
          <w:szCs w:val="20"/>
          <w:color w:val="auto"/>
        </w:rPr>
      </w:pPr>
      <w:r>
        <w:rPr>
          <w:rFonts w:ascii="Times New Roman" w:cs="Times New Roman" w:eastAsia="Times New Roman" w:hAnsi="Times New Roman"/>
          <w:sz w:val="18"/>
          <w:szCs w:val="18"/>
          <w:color w:val="auto"/>
        </w:rPr>
        <w:t>Shares available for further issuance under the 2024 Inducement Equity Incentive Plan Shares available for further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00" w:right="3460" w:hanging="81"/>
        <w:spacing w:after="0" w:line="276" w:lineRule="auto"/>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 Total</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8"/>
          <w:szCs w:val="18"/>
          <w:color w:val="auto"/>
        </w:rPr>
        <w:t>13,587,030</w:t>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73,649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109,231,250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50,000,000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525,000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2,001,067</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2,274,594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177,692,590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12344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31750</wp:posOffset>
            </wp:positionV>
            <wp:extent cx="12344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9500" w:space="720"/>
            <w:col w:w="960"/>
          </w:cols>
          <w:pgMar w:left="320" w:top="1440" w:right="39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24" w:name="page125"/>
    <w:bookmarkEnd w:id="124"/>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98,424</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98,424</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400" w:type="dxa"/>
            <w:vAlign w:val="bottom"/>
          </w:tcPr>
          <w:p>
            <w:pPr>
              <w:spacing w:after="0"/>
              <w:rPr>
                <w:sz w:val="24"/>
                <w:szCs w:val="24"/>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Inducement Plan as of December 31, 2025, are 525,000.</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2021 Equity Incentive Plan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may determine.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2021 Plan as of December 31, 2025, are 2,001,067.</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Repricing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January 22, 2025, the Compensation Committee of the Company's Board approved a repricing of certain outstanding vested and unvested stock option awards under the Amended and Restated 2016 Equity Incentive Plan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repricing resulted in a total incremental stock-based compensation expense of $1.3 million, which was calculated using the Black-Scholes option pricing model, of which $1.0 million is associated with vested repriced options as of the Retention Date and were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year ended December 31, 2025, the Company recognized $1.1 million of incremental stock-based compensation expense.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5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22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9,253,976</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3,829,175</w:t>
            </w:r>
          </w:p>
        </w:tc>
        <w:tc>
          <w:tcPr>
            <w:tcW w:w="26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(22,065)</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(1,010,290)</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12,050,796</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7,131,295</w:t>
            </w:r>
          </w:p>
        </w:tc>
        <w:tc>
          <w:tcPr>
            <w:tcW w:w="260" w:type="dxa"/>
            <w:vAlign w:val="bottom"/>
          </w:tcPr>
          <w:p>
            <w:pPr>
              <w:spacing w:after="0"/>
              <w:rPr>
                <w:sz w:val="17"/>
                <w:szCs w:val="17"/>
                <w:color w:val="auto"/>
              </w:rPr>
            </w:pP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6.23</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-187960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the value of the Company’s closing stock price on the last trading day of the year in excess of the weighted-average exercise price multiplied by the number of options outstanding or exercisable. The total intrinsic value of options exercised during the years ended December 31, 2025 and 2024, was $4.4 thousand and $74.9 thousand, respectively.</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2025 and 2024 was $0.69 and $3.73 per share, respectively.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$7.8 million of unrecognized stock-based compensation cost related to stock options, which is expected to be recognized over an estimated weighted-average period of 2.2 years.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0" w:type="dxa"/>
            <w:vAlign w:val="bottom"/>
          </w:tcPr>
          <w:p>
            <w:pPr>
              <w:spacing w:after="0"/>
              <w:rPr>
                <w:sz w:val="17"/>
                <w:szCs w:val="17"/>
                <w:color w:val="auto"/>
              </w:rPr>
            </w:pPr>
          </w:p>
        </w:tc>
      </w:tr>
      <w:tr>
        <w:trPr>
          <w:trHeight w:val="215"/>
        </w:trPr>
        <w:tc>
          <w:tcPr>
            <w:tcW w:w="73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99"/>
        </w:trPr>
        <w:tc>
          <w:tcPr>
            <w:tcW w:w="7300" w:type="dxa"/>
            <w:vAlign w:val="bottom"/>
          </w:tcPr>
          <w:p>
            <w:pPr>
              <w:spacing w:after="0"/>
              <w:rPr>
                <w:sz w:val="17"/>
                <w:szCs w:val="17"/>
                <w:color w:val="auto"/>
              </w:rPr>
            </w:pPr>
          </w:p>
        </w:tc>
        <w:tc>
          <w:tcPr>
            <w:tcW w:w="142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6.1</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6.1</w:t>
            </w: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93%</w:t>
            </w:r>
          </w:p>
        </w:tc>
      </w:tr>
      <w:tr>
        <w:trPr>
          <w:trHeight w:val="20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w:t>
            </w: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42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80" w:lineRule="exact"/>
        <w:rPr>
          <w:sz w:val="20"/>
          <w:szCs w:val="20"/>
          <w:color w:val="auto"/>
        </w:rPr>
      </w:pPr>
    </w:p>
    <w:p>
      <w:pPr>
        <w:ind w:left="520" w:right="12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 determines the expected term, which represents the period that stock-based awards are expected to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simplified method due to its limited operating history, which is presumed to be the mid-point between the contractual term and the vesting period.</w:t>
      </w:r>
    </w:p>
    <w:p>
      <w:pPr>
        <w:spacing w:after="0" w:line="65" w:lineRule="exact"/>
        <w:rPr>
          <w:sz w:val="20"/>
          <w:szCs w:val="20"/>
          <w:color w:val="auto"/>
        </w:rPr>
      </w:pPr>
    </w:p>
    <w:p>
      <w:pPr>
        <w:ind w:left="520" w:right="28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there is limited trading history for the Company’s common stock, the Company determines its computation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2" w:lineRule="exact"/>
        <w:rPr>
          <w:sz w:val="20"/>
          <w:szCs w:val="20"/>
          <w:color w:val="auto"/>
        </w:rPr>
      </w:pPr>
    </w:p>
    <w:p>
      <w:pPr>
        <w:ind w:left="520" w:right="56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bases the risk-free interest rate on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assumption.</w:t>
      </w:r>
    </w:p>
    <w:p>
      <w:pPr>
        <w:spacing w:after="0" w:line="50" w:lineRule="exact"/>
        <w:rPr>
          <w:sz w:val="20"/>
          <w:szCs w:val="20"/>
          <w:color w:val="auto"/>
        </w:rPr>
      </w:pPr>
    </w:p>
    <w:p>
      <w:pPr>
        <w:ind w:left="520"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expected dividend yield is assumed to be zero as the Company has never paid and has no plans to pay any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common stock.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4360" w:type="dxa"/>
            <w:vAlign w:val="bottom"/>
          </w:tcPr>
          <w:p>
            <w:pPr>
              <w:spacing w:after="0"/>
              <w:rPr>
                <w:sz w:val="18"/>
                <w:szCs w:val="18"/>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1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2"/>
        </w:trPr>
        <w:tc>
          <w:tcPr>
            <w:tcW w:w="43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(in dollars)</w:t>
            </w: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r>
      <w:tr>
        <w:trPr>
          <w:trHeight w:val="20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1,354,178</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1,497,678</w:t>
            </w:r>
          </w:p>
        </w:tc>
        <w:tc>
          <w:tcPr>
            <w:tcW w:w="180" w:type="dxa"/>
            <w:vAlign w:val="bottom"/>
          </w:tcPr>
          <w:p>
            <w:pPr>
              <w:spacing w:after="0"/>
              <w:rPr>
                <w:sz w:val="17"/>
                <w:szCs w:val="17"/>
                <w:color w:val="auto"/>
              </w:rPr>
            </w:pPr>
          </w:p>
        </w:tc>
        <w:tc>
          <w:tcPr>
            <w:tcW w:w="126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(914,079)</w:t>
            </w:r>
          </w:p>
        </w:tc>
        <w:tc>
          <w:tcPr>
            <w:tcW w:w="126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Forfeited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(401,543)</w:t>
            </w:r>
          </w:p>
        </w:tc>
        <w:tc>
          <w:tcPr>
            <w:tcW w:w="126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as of December 31, 2025</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1,536,234</w:t>
            </w: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$3.1 million of unrecognized stock-based compensation cost related to RSUs, which is expected to be recognized over an estimated weighted-average period of 2.2 years.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Under the Company's 2021 Employee Stock Purchase Plan (ESPP), the Company initially reserved 800,000 shares for future issuance.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may determine. As of December 31, 2025, 2,274,594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The first offering period commenced in January 2022. For the years ended December 31, 2025 and 2024, the stock-based compensation expense for ESPP was not material.</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statements of operations and comprehensive loss: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3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300" w:type="dxa"/>
            <w:vAlign w:val="bottom"/>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8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8,302</w:t>
            </w:r>
          </w:p>
        </w:tc>
        <w:tc>
          <w:tcPr>
            <w:tcW w:w="100" w:type="dxa"/>
            <w:vAlign w:val="bottom"/>
          </w:tcPr>
          <w:p>
            <w:pPr>
              <w:spacing w:after="0"/>
              <w:rPr>
                <w:sz w:val="17"/>
                <w:szCs w:val="17"/>
                <w:color w:val="auto"/>
              </w:rPr>
            </w:pPr>
          </w:p>
        </w:tc>
      </w:tr>
      <w:tr>
        <w:trPr>
          <w:trHeight w:val="216"/>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8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13,046</w:t>
            </w:r>
          </w:p>
        </w:tc>
        <w:tc>
          <w:tcPr>
            <w:tcW w:w="8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16,502</w:t>
            </w:r>
          </w:p>
        </w:tc>
        <w:tc>
          <w:tcPr>
            <w:tcW w:w="100" w:type="dxa"/>
            <w:vAlign w:val="bottom"/>
            <w:shd w:val="clear" w:color="auto" w:fill="CFF0FC"/>
          </w:tcPr>
          <w:p>
            <w:pPr>
              <w:spacing w:after="0"/>
              <w:rPr>
                <w:sz w:val="18"/>
                <w:szCs w:val="18"/>
                <w:color w:val="auto"/>
              </w:rPr>
            </w:pP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No provision for or benefit from income taxes was recorded during the years ended December 31, 2025 and 2024. The Company has established a full valuation allowance against its net deferred tax assets due to the uncertainty regarding the realization of such assets. All losses to date have been incurred in the United States. Deferred income taxes reflect the net tax effects of temporary differences between the carrying amounts of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liabilities for financial reporting purposes and the amounts used for income tax purposes, as well as operating losses and tax credit carryforwards.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 of the Company’s provision for income taxes differs from the federal statutory rate and the effective tax rate reconciliation for the year ended December 31, 2025 after the adoption of ASU 2023-09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7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40" w:type="dxa"/>
            <w:vAlign w:val="bottom"/>
          </w:tcPr>
          <w:p>
            <w:pPr>
              <w:spacing w:after="0"/>
              <w:rPr>
                <w:sz w:val="17"/>
                <w:szCs w:val="17"/>
                <w:color w:val="auto"/>
              </w:rPr>
            </w:pP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taxes at statutory rate</w:t>
            </w:r>
          </w:p>
        </w:tc>
        <w:tc>
          <w:tcPr>
            <w:tcW w:w="52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(19,025)</w:t>
            </w:r>
          </w:p>
        </w:tc>
        <w:tc>
          <w:tcPr>
            <w:tcW w:w="9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520" w:type="dxa"/>
            <w:vAlign w:val="bottom"/>
          </w:tcPr>
          <w:p>
            <w:pPr>
              <w:spacing w:after="0"/>
              <w:rPr>
                <w:sz w:val="17"/>
                <w:szCs w:val="17"/>
                <w:color w:val="auto"/>
              </w:rPr>
            </w:pPr>
          </w:p>
        </w:tc>
        <w:tc>
          <w:tcPr>
            <w:tcW w:w="322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credits:</w:t>
            </w:r>
          </w:p>
        </w:tc>
        <w:tc>
          <w:tcPr>
            <w:tcW w:w="5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520" w:type="dxa"/>
            <w:vAlign w:val="bottom"/>
          </w:tcPr>
          <w:p>
            <w:pPr>
              <w:spacing w:after="0"/>
              <w:rPr>
                <w:sz w:val="17"/>
                <w:szCs w:val="17"/>
                <w:color w:val="auto"/>
              </w:rPr>
            </w:pP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(938)</w:t>
            </w:r>
          </w:p>
        </w:tc>
        <w:tc>
          <w:tcPr>
            <w:tcW w:w="9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r>
      <w:tr>
        <w:trPr>
          <w:trHeight w:val="203"/>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Orphan drug credit</w:t>
            </w:r>
          </w:p>
        </w:tc>
        <w:tc>
          <w:tcPr>
            <w:tcW w:w="520" w:type="dxa"/>
            <w:vAlign w:val="bottom"/>
            <w:shd w:val="clear" w:color="auto" w:fill="CFF0FC"/>
          </w:tcPr>
          <w:p>
            <w:pPr>
              <w:spacing w:after="0"/>
              <w:rPr>
                <w:sz w:val="17"/>
                <w:szCs w:val="17"/>
                <w:color w:val="auto"/>
              </w:rPr>
            </w:pPr>
          </w:p>
        </w:tc>
        <w:tc>
          <w:tcPr>
            <w:tcW w:w="2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(2,030)</w:t>
            </w:r>
          </w:p>
        </w:tc>
        <w:tc>
          <w:tcPr>
            <w:tcW w:w="9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5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19,293</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5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5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5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r>
      <w:tr>
        <w:trPr>
          <w:trHeight w:val="23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top w:val="single" w:sz="8" w:color="auto"/>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00"/>
        </w:trPr>
        <w:tc>
          <w:tcPr>
            <w:tcW w:w="95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State taxes include state valuation allowance and state uncertain tax positions; the net impact was zero due to the Company's full valuation allowance.</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07"/>
        </w:trPr>
        <w:tc>
          <w:tcPr>
            <w:tcW w:w="95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effective tax rate reconciliation for the year ended December 31, 2024 prior the adoption of ASU 2023-09 is as follows: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-359410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-342265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-359410</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-342265</wp:posOffset>
            </wp:positionV>
            <wp:extent cx="93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3400" w:type="dxa"/>
            <w:vAlign w:val="bottom"/>
            <w:tcBorders>
              <w:bottom w:val="single" w:sz="8" w:color="auto"/>
            </w:tcBorders>
          </w:tcPr>
          <w:p>
            <w:pPr>
              <w:jc w:val="right"/>
              <w:ind w:right="1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188"/>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U.S. federal taxes at statutory rate</w:t>
            </w:r>
          </w:p>
        </w:tc>
        <w:tc>
          <w:tcPr>
            <w:tcW w:w="3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r>
      <w:tr>
        <w:trPr>
          <w:trHeight w:val="205"/>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Credits</w:t>
            </w: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(22.6)</w:t>
            </w: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r>
      <w:tr>
        <w:trPr>
          <w:trHeight w:val="23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significant items comprising the Company’s deferred income taxes are as follows</w:t>
      </w:r>
      <w:r>
        <w:rPr>
          <w:rFonts w:ascii="Times New Roman" w:cs="Times New Roman" w:eastAsia="Times New Roman" w:hAnsi="Times New Roman"/>
          <w:sz w:val="18"/>
          <w:szCs w:val="18"/>
          <w:b w:val="1"/>
          <w:bCs w:val="1"/>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1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88"/>
              </w:rPr>
              <w:t>thousands)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6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operating losses</w:t>
            </w:r>
          </w:p>
        </w:tc>
        <w:tc>
          <w:tcPr>
            <w:tcW w:w="1620" w:type="dxa"/>
            <w:vAlign w:val="bottom"/>
          </w:tcPr>
          <w:p>
            <w:pPr>
              <w:jc w:val="right"/>
              <w:ind w:right="149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91,724</w:t>
            </w:r>
          </w:p>
        </w:tc>
        <w:tc>
          <w:tcPr>
            <w:tcW w:w="220" w:type="dxa"/>
            <w:vAlign w:val="bottom"/>
          </w:tcPr>
          <w:p>
            <w:pPr>
              <w:spacing w:after="0"/>
              <w:rPr>
                <w:sz w:val="17"/>
                <w:szCs w:val="17"/>
                <w:color w:val="auto"/>
              </w:rPr>
            </w:pP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66,609</w:t>
            </w:r>
          </w:p>
        </w:tc>
      </w:tr>
      <w:tr>
        <w:trPr>
          <w:trHeight w:val="202"/>
        </w:trPr>
        <w:tc>
          <w:tcPr>
            <w:tcW w:w="58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Capitalized research and development expenditure</w:t>
            </w:r>
          </w:p>
        </w:tc>
        <w:tc>
          <w:tcPr>
            <w:tcW w:w="16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26,956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36,151</w:t>
            </w:r>
          </w:p>
        </w:tc>
      </w:tr>
      <w:tr>
        <w:trPr>
          <w:trHeight w:val="203"/>
        </w:trPr>
        <w:tc>
          <w:tcPr>
            <w:tcW w:w="5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credits</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19,292</w:t>
            </w:r>
          </w:p>
        </w:tc>
      </w:tr>
      <w:tr>
        <w:trPr>
          <w:trHeight w:val="203"/>
        </w:trPr>
        <w:tc>
          <w:tcPr>
            <w:tcW w:w="58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3,624</w:t>
            </w:r>
          </w:p>
        </w:tc>
      </w:tr>
      <w:tr>
        <w:trPr>
          <w:trHeight w:val="203"/>
        </w:trPr>
        <w:tc>
          <w:tcPr>
            <w:tcW w:w="5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Liability</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2,862</w:t>
            </w:r>
          </w:p>
        </w:tc>
      </w:tr>
      <w:tr>
        <w:trPr>
          <w:trHeight w:val="203"/>
        </w:trPr>
        <w:tc>
          <w:tcPr>
            <w:tcW w:w="58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62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1,188</w:t>
            </w:r>
          </w:p>
        </w:tc>
      </w:tr>
      <w:tr>
        <w:trPr>
          <w:trHeight w:val="20"/>
        </w:trPr>
        <w:tc>
          <w:tcPr>
            <w:tcW w:w="5820" w:type="dxa"/>
            <w:vAlign w:val="bottom"/>
            <w:tcBorders>
              <w:right w:val="single" w:sz="8" w:color="CFF0FC"/>
            </w:tcBorders>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129,726</w:t>
            </w:r>
          </w:p>
        </w:tc>
      </w:tr>
      <w:tr>
        <w:trPr>
          <w:trHeight w:val="203"/>
        </w:trPr>
        <w:tc>
          <w:tcPr>
            <w:tcW w:w="58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Valuation allowance</w:t>
            </w:r>
          </w:p>
        </w:tc>
        <w:tc>
          <w:tcPr>
            <w:tcW w:w="1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(146,130)</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(126,332)</w:t>
            </w:r>
          </w:p>
        </w:tc>
      </w:tr>
      <w:tr>
        <w:trPr>
          <w:trHeight w:val="20"/>
        </w:trPr>
        <w:tc>
          <w:tcPr>
            <w:tcW w:w="5820" w:type="dxa"/>
            <w:vAlign w:val="bottom"/>
            <w:tcBorders>
              <w:right w:val="single" w:sz="8" w:color="CFF0FC"/>
            </w:tcBorders>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1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3,394</w:t>
            </w:r>
          </w:p>
        </w:tc>
      </w:tr>
      <w:tr>
        <w:trPr>
          <w:trHeight w:val="196"/>
        </w:trPr>
        <w:tc>
          <w:tcPr>
            <w:tcW w:w="58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Right-of-use asset</w:t>
            </w:r>
          </w:p>
        </w:tc>
        <w:tc>
          <w:tcPr>
            <w:tcW w:w="162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(1,978)</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(2,500)</w:t>
            </w:r>
          </w:p>
        </w:tc>
      </w:tr>
      <w:tr>
        <w:trPr>
          <w:trHeight w:val="203"/>
        </w:trPr>
        <w:tc>
          <w:tcPr>
            <w:tcW w:w="58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Property and equipment</w:t>
            </w:r>
          </w:p>
        </w:tc>
        <w:tc>
          <w:tcPr>
            <w:tcW w:w="1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(419)</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(894)</w:t>
            </w:r>
          </w:p>
        </w:tc>
      </w:tr>
      <w:tr>
        <w:trPr>
          <w:trHeight w:val="20"/>
        </w:trPr>
        <w:tc>
          <w:tcPr>
            <w:tcW w:w="5820" w:type="dxa"/>
            <w:vAlign w:val="bottom"/>
            <w:tcBorders>
              <w:right w:val="single" w:sz="8" w:color="CFF0FC"/>
            </w:tcBorders>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620" w:type="dxa"/>
            <w:vAlign w:val="bottom"/>
          </w:tcPr>
          <w:p>
            <w:pPr>
              <w:jc w:val="right"/>
              <w:ind w:right="149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-959485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-693420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-161925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Beginning January 1, 2022, the Tax Cuts and Jobs Act eliminated the option to deduct research and development expenditures in the current year and requires taxpayers to capitalize such expenses pursuant to Internal Revenue Code of 1986, as amended (IRC) Section 174. The capitalized expenses are amortized over a 5-year period for domestic expenses and a 15-year period for foreign expenses. In July 2025, legislation commonly referred to as the One Big Beautiful Bill Act (“OBBBA”) was enacted, which includes provisions affecting U.S. corporate income tax laws, including changes related to the treatment of domestic research and development expenditures. Certain provisions of the OBBBA are effective for tax years beginning after December 31, 2025, while others are effective in 2025. Additionally, the OBBBA allows immediate deduction of domestic research and development expenditures under Section 174 for tax years beginning after December 31, 2024. The Company has reflected the effects of the enactment of OBBBA for the fiscal year ended December 31, 2025. The Company will continue to evaluate the impact of enacted tax law changes on future periods.</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tax benefit of net operating losses, capitalized research expenses,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$19.8 million and $25.0 million during the years ended December 31, 2025 and 2024, respectively. The increase in valuation allowance during the year ended December 31, 2025, was primarily due to the increase in deferred tax assets from 2025 federal net operating losses.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Tax Credit Carryforwards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Company’s net operating loss and tax carryforwards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Pr>
          <w:p>
            <w:pPr>
              <w:spacing w:after="0"/>
              <w:rPr>
                <w:sz w:val="18"/>
                <w:szCs w:val="18"/>
                <w:color w:val="auto"/>
              </w:rPr>
            </w:pPr>
          </w:p>
        </w:tc>
        <w:tc>
          <w:tcPr>
            <w:tcW w:w="1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Expiration in years</w:t>
            </w:r>
          </w:p>
        </w:tc>
      </w:tr>
      <w:tr>
        <w:trPr>
          <w:trHeight w:val="19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operating losses, federal (post-December 31, 2017)</w:t>
            </w:r>
          </w:p>
        </w:tc>
        <w:tc>
          <w:tcPr>
            <w:tcW w:w="2840" w:type="dxa"/>
            <w:vAlign w:val="bottom"/>
            <w:gridSpan w:val="2"/>
            <w:shd w:val="clear" w:color="auto" w:fill="CFF0FC"/>
          </w:tcPr>
          <w:p>
            <w:pPr>
              <w:jc w:val="right"/>
              <w:ind w:right="15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411,375</w:t>
            </w:r>
          </w:p>
        </w:tc>
        <w:tc>
          <w:tcPr>
            <w:tcW w:w="2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 Not Expire</w:t>
            </w: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losses, federal (pre-January 1, 2018)</w:t>
            </w:r>
          </w:p>
        </w:tc>
        <w:tc>
          <w:tcPr>
            <w:tcW w:w="2840" w:type="dxa"/>
            <w:vAlign w:val="bottom"/>
            <w:gridSpan w:val="2"/>
          </w:tcPr>
          <w:p>
            <w:pPr>
              <w:jc w:val="right"/>
              <w:ind w:right="15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3,093</w:t>
            </w: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2036 - 2037</w:t>
            </w:r>
          </w:p>
        </w:tc>
      </w:tr>
      <w:tr>
        <w:trPr>
          <w:trHeight w:val="20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operating losses, state</w:t>
            </w:r>
          </w:p>
        </w:tc>
        <w:tc>
          <w:tcPr>
            <w:tcW w:w="2840" w:type="dxa"/>
            <w:vAlign w:val="bottom"/>
            <w:gridSpan w:val="2"/>
            <w:shd w:val="clear" w:color="auto" w:fill="CFF0FC"/>
          </w:tcPr>
          <w:p>
            <w:pPr>
              <w:jc w:val="right"/>
              <w:ind w:right="15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63,520</w:t>
            </w:r>
          </w:p>
        </w:tc>
        <w:tc>
          <w:tcPr>
            <w:tcW w:w="2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2036 - 2040</w:t>
            </w: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Tax credits, federal</w:t>
            </w:r>
          </w:p>
        </w:tc>
        <w:tc>
          <w:tcPr>
            <w:tcW w:w="2840" w:type="dxa"/>
            <w:vAlign w:val="bottom"/>
            <w:gridSpan w:val="2"/>
          </w:tcPr>
          <w:p>
            <w:pPr>
              <w:jc w:val="right"/>
              <w:ind w:right="15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22,306</w:t>
            </w: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2040 - 2044</w:t>
            </w:r>
          </w:p>
        </w:tc>
      </w:tr>
      <w:tr>
        <w:trPr>
          <w:trHeight w:val="20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credits, state</w:t>
            </w:r>
          </w:p>
        </w:tc>
        <w:tc>
          <w:tcPr>
            <w:tcW w:w="2840" w:type="dxa"/>
            <w:vAlign w:val="bottom"/>
            <w:gridSpan w:val="2"/>
            <w:shd w:val="clear" w:color="auto" w:fill="CFF0FC"/>
          </w:tcPr>
          <w:p>
            <w:pPr>
              <w:jc w:val="right"/>
              <w:ind w:right="15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8,880</w:t>
            </w:r>
          </w:p>
        </w:tc>
        <w:tc>
          <w:tcPr>
            <w:tcW w:w="2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 Not Expire</w:t>
            </w:r>
          </w:p>
        </w:tc>
      </w:tr>
    </w:tbl>
    <w:p>
      <w:pPr>
        <w:spacing w:after="0" w:line="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Section 382 of the IRC,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The Company has not completed a detailed analysis under Section 382. Based on a preliminary assessment, changes in ownership may have occurred that could result in limitations on the utilization of net operating loss carryforwards and other tax attributes. However, the extent of any such limitation has not been determined. The Company will continue to monitor ownership changes and evaluate the impact of Section 382 on its tax attributes. The Company’s ability to use its remaining net operating loss carryforwards may be further limited if the Company experiences a Section 382 ownership change as a result of future changes in its stock ownership. Any such limitation is not expected to have a material impact on the Company’s financial statements due to the full valuation allowance recorded against its deferred tax assets.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(In</w:t>
            </w: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860" w:type="dxa"/>
            <w:vAlign w:val="bottom"/>
            <w:gridSpan w:val="2"/>
            <w:shd w:val="clear" w:color="auto" w:fill="CFF0FC"/>
          </w:tcPr>
          <w:p>
            <w:pPr>
              <w:jc w:val="right"/>
              <w:ind w:right="15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6,357</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4,521</w:t>
            </w: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current year</w:t>
            </w:r>
          </w:p>
        </w:tc>
        <w:tc>
          <w:tcPr>
            <w:tcW w:w="1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1,414</w:t>
            </w:r>
          </w:p>
        </w:tc>
      </w:tr>
      <w:tr>
        <w:trPr>
          <w:trHeight w:val="20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prior years</w:t>
            </w:r>
          </w:p>
        </w:tc>
        <w:tc>
          <w:tcPr>
            <w:tcW w:w="11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422</w:t>
            </w: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Reductions for tax positions related to prior years</w:t>
            </w:r>
          </w:p>
        </w:tc>
        <w:tc>
          <w:tcPr>
            <w:tcW w:w="1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2860" w:type="dxa"/>
            <w:vAlign w:val="bottom"/>
            <w:gridSpan w:val="2"/>
            <w:shd w:val="clear" w:color="auto" w:fill="CFF0FC"/>
          </w:tcPr>
          <w:p>
            <w:pPr>
              <w:jc w:val="right"/>
              <w:ind w:right="15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7,257</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6,357</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as the Company continues to maintain a full valuation allowance against its deferred tax assets. The Company has elected to include interest and penalties as a component of tax expense. During the years ended December 31, 2025 and 2024,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paid for income taxes, net of refunds, was $0 for the year ended December 31,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121" w:lineRule="exact"/>
        <w:rPr>
          <w:sz w:val="20"/>
          <w:szCs w:val="20"/>
          <w:color w:val="auto"/>
        </w:rPr>
      </w:pPr>
    </w:p>
    <w:p>
      <w:pPr>
        <w:ind w:right="380" w:firstLine="509"/>
        <w:spacing w:after="0" w:line="254"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The following potentially dilutive securities were excluded from the calculation of diluted net loss per share for the periods presented because the effect would have been anti-dilutive:</w:t>
      </w: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2520" w:type="dxa"/>
            <w:vAlign w:val="bottom"/>
            <w:tcBorders>
              <w:bottom w:val="single" w:sz="8" w:color="auto"/>
            </w:tcBorders>
            <w:gridSpan w:val="3"/>
          </w:tcPr>
          <w:p>
            <w:pPr>
              <w:ind w:left="146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176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13,587,030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10,608,154</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Series A and B Warrants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109,231,250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2025 Warrants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172,891,929</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10,780,002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Workforce Reduction</w:t>
      </w:r>
    </w:p>
    <w:p>
      <w:pPr>
        <w:spacing w:after="0" w:line="121" w:lineRule="exact"/>
        <w:rPr>
          <w:sz w:val="20"/>
          <w:szCs w:val="20"/>
          <w:color w:val="auto"/>
        </w:rPr>
      </w:pPr>
    </w:p>
    <w:p>
      <w:pPr>
        <w:ind w:right="220" w:firstLine="509"/>
        <w:spacing w:after="0" w:line="243" w:lineRule="auto"/>
        <w:rPr>
          <w:sz w:val="20"/>
          <w:szCs w:val="20"/>
          <w:color w:val="auto"/>
        </w:rPr>
      </w:pPr>
      <w:r>
        <w:rPr>
          <w:rFonts w:ascii="Times New Roman" w:cs="Times New Roman" w:eastAsia="Times New Roman" w:hAnsi="Times New Roman"/>
          <w:sz w:val="18"/>
          <w:szCs w:val="18"/>
          <w:color w:val="212529"/>
        </w:rPr>
        <w:t>On March 27, 2025, the Company approved cost containment measures, including a committed plan to reduce its workforce (the 2025 Workforce Reduction), in alignment with the Company's focus on generating data from the MyPEAK</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and RIDGE</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clinical trials of TN-201 and TN-401, respectively. During the year ended December 31, 2025, the Company recognized $1.3 million of aggregate charges, related to the 2025 Workforce Reduction, primarily related to employee cash severance and continuing health insurance benefits. As of December 31, 2025, the Company expected to recognize additional estimated charges of $1.6 million, which reflects substantially all of the remaining charges related to the 2025 Workforce Reduction by the end of the second quarter of 2026.</w:t>
      </w:r>
    </w:p>
    <w:p>
      <w:pPr>
        <w:spacing w:after="0" w:line="9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12529"/>
        </w:rPr>
        <w:t>On May 14, 2024, the Company announced cost containment measures, including a committed plan to reduce its workforce (the 2024 Workforce Reduction) by approximately 22%. The cost containment measures align with the Company's focus on generating data from its clinical-stage gene therapy programs. The 2024 Workforce Reduction was completed as of September 30, 2024. During the year ended December 31, 2024, the Company recognized $1.4 million of aggregate charges, primarily related to employee cash severance and continuing health insurance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 clinical-stage biotechnology company focused on discovering, developing and delivering curative therapies that address the underlying drivers of heart disease and has one operating and reportable segment. The Company’s chief operating decision marker (CODM) is the chief executive officer.</w:t>
      </w:r>
    </w:p>
    <w:p>
      <w:pPr>
        <w:spacing w:after="0" w:line="10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statement of operations includes research and development expenses, general and administrative expenses, interest income, and income taxes; the Company has not generated any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operating expenses by function and includes a reconciliation to net loss.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8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7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Clinical</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19,944</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26,024</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Manufacturing (pre-commercial)</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23,433</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68,607</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86,742</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120" w:type="dxa"/>
            <w:vAlign w:val="bottom"/>
          </w:tcPr>
          <w:p>
            <w:pPr>
              <w:spacing w:after="0"/>
              <w:rPr>
                <w:sz w:val="17"/>
                <w:szCs w:val="17"/>
                <w:color w:val="auto"/>
              </w:rPr>
            </w:pPr>
          </w:p>
        </w:tc>
      </w:tr>
      <w:tr>
        <w:trPr>
          <w:trHeight w:val="19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93,331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115,948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(93,331)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(115,948)</w:t>
            </w: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2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income, net</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before income tax expense</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(90,597)</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(111,129)</w:t>
            </w: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(90,597)</w:t>
            </w: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(111,129)</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-1087755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-565150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March 2026, the Company entered into a collaboration agreement with Alnylam Pharmaceuticals, Inc. (Alnylam), pursuant to which both parties agreed to a research collaboration to discover and validate novel gene targets for the potential treatment of cardiovascular disease.</w:t>
      </w:r>
    </w:p>
    <w:p>
      <w:pPr>
        <w:spacing w:after="0" w:line="54"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 xml:space="preserve">Together, both parties will nominate an aggregate of 15 targets, align on which targets to move forward into the collaboration and then collaborate for a period of twenty-four (24) months (which may be extended for completion of the work) during which the parties will conduct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validation activities under a mutually agreed research plan and budget. Each party will be solely responsible for its own costs incurred to conduct its activities under the research plan, except that Alnylam will reimburse the Company for full-time employees and out-of-pocket costs and expenses incurred by the Company in accordance with the agreed-upon research budget. After completion of the validation activities, Alnylam will be solely responsible, at its own expense, for all development, manufacture, regulatory and commercialization activities for any products directed to a collaboration target.</w:t>
      </w:r>
    </w:p>
    <w:p>
      <w:pPr>
        <w:spacing w:after="0" w:line="6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collaboration agreement, Alnylam will pay the Company an upfront payment of up to $10.0 million within thirty (30) days after Alnylam’s receipt of an invoice from the Company. The upfront payment is subject to $500,000 reductions for up to eight Company nominated targets that do not meet certain agreed-upon standards and that the joint steering committee chooses not to advance. The Company is also eligible to receive up to an aggregate of $1.1 billion in development, regulatory and sales-based milestones related to products directed to targets nominated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32" w:name="page133"/>
    <w:bookmarkEnd w:id="1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who is our principal executive officer and who is also serving as our interim principal financial officer, has evaluated our disclosure controls and procedures (as defined in Rules 13a-15(e) and 15d-15(e) under the Exchange Act) as of the end of the period covered by this Annual Report on Form 10-K. Based on that evaluation, our Chief Executive Officer and interim principal financial officer has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interim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an emerging growth company, we are not required to provide, and this Annual Report on Form 10-K does not include an attestation report on our internal control over financial reporting issued by our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December 31, 2025 that have materially affected, or are reasonably likely to materially affect, our internal control over financial reporting.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34" w:name="page135"/>
    <w:bookmarkEnd w:id="13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2025, and is incorporated herein by reference.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of December 31, 2025, and is incorporated herein by reference.</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35" w:name="page136"/>
    <w:bookmarkEnd w:id="135"/>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the report:</w:t>
      </w:r>
    </w:p>
    <w:p>
      <w:pPr>
        <w:spacing w:after="0" w:line="117" w:lineRule="exact"/>
        <w:rPr>
          <w:rFonts w:ascii="Times New Roman" w:cs="Times New Roman" w:eastAsia="Times New Roman" w:hAnsi="Times New Roman"/>
          <w:sz w:val="18"/>
          <w:szCs w:val="18"/>
          <w:color w:val="auto"/>
        </w:rPr>
      </w:pPr>
    </w:p>
    <w:p>
      <w:pPr>
        <w:ind w:left="1500" w:hanging="504"/>
        <w:spacing w:after="0"/>
        <w:tabs>
          <w:tab w:leader="none" w:pos="15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part of this Annual Report are included in Part II, Item 8 of this Annual Report.</w:t>
      </w:r>
    </w:p>
    <w:p>
      <w:pPr>
        <w:spacing w:after="0" w:line="117" w:lineRule="exact"/>
        <w:rPr>
          <w:rFonts w:ascii="Times New Roman" w:cs="Times New Roman" w:eastAsia="Times New Roman" w:hAnsi="Times New Roman"/>
          <w:sz w:val="18"/>
          <w:szCs w:val="18"/>
          <w:color w:val="auto"/>
        </w:rPr>
      </w:pPr>
    </w:p>
    <w:p>
      <w:pPr>
        <w:ind w:left="1500" w:right="440" w:hanging="504"/>
        <w:spacing w:after="0" w:line="266" w:lineRule="auto"/>
        <w:tabs>
          <w:tab w:leader="none" w:pos="15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67" w:lineRule="exact"/>
        <w:rPr>
          <w:rFonts w:ascii="Times New Roman" w:cs="Times New Roman" w:eastAsia="Times New Roman" w:hAnsi="Times New Roman"/>
          <w:sz w:val="18"/>
          <w:szCs w:val="18"/>
          <w:color w:val="auto"/>
        </w:rPr>
      </w:pPr>
    </w:p>
    <w:p>
      <w:pPr>
        <w:ind w:left="1500" w:hanging="504"/>
        <w:spacing w:after="0"/>
        <w:tabs>
          <w:tab w:leader="none" w:pos="15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20" w:type="dxa"/>
            <w:vAlign w:val="bottom"/>
            <w:gridSpan w:val="1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9"/>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500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Composite Amended and Restated Certificate of Incorporation of the</w:t>
              </w:r>
            </w:hyperlink>
          </w:p>
        </w:tc>
        <w:tc>
          <w:tcPr>
            <w:tcW w:w="440" w:type="dxa"/>
            <w:vAlign w:val="bottom"/>
            <w:gridSpan w:val="5"/>
          </w:tcPr>
          <w:p>
            <w:pPr>
              <w:spacing w:after="0"/>
              <w:rPr>
                <w:sz w:val="14"/>
                <w:szCs w:val="14"/>
                <w:color w:val="auto"/>
              </w:rPr>
            </w:pPr>
          </w:p>
        </w:tc>
        <w:tc>
          <w:tcPr>
            <w:tcW w:w="80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36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8-9-2023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Tenaya Therapeutics, Inc.</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Amended and Restated Bylaws of Tenaya Therapeutics, Inc.</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3-21-2023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Specimen common stock certificate of the Registrant.</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of the Registrant.</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Warrant to Purchase Stock</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11-6-2024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Form of Series A Warrant to Purchase Common Stock</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3-4-2025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Form of Series B Warrant to Purchase Common Stock</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3-4-2025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Form of Warrant to Purchase Stock</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12-12-2025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Warrant Agent Agreement by and between Computershare Trust Company,</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11-10-2025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N.A. and the Registrant</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Form of Indemnification Agreement between the Registrant and each of its</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directors and executive officers.</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Amended and Restated 2016 Equity Incentive Plan and forms of agreement</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thereunder.</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2021 Equity Incentive Plan and forms of agreements thereunder.</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3-23-2022</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w:t>
            </w: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2021 Employee Stock Purchase Plan and forms of agreements thereunder.</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4"/>
                <w:szCs w:val="24"/>
                <w:color w:val="auto"/>
                <w:vertAlign w:val="superscript"/>
              </w:rPr>
              <w:t>+</w:t>
            </w: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2024 Inducement Equity Incentive Plan, as amended, and forms of</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1-30-2026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agreements thereunder</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EE"/>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Employment Letter between the Registrant and Faraz Ali, M.B.A.</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24"/>
                <w:szCs w:val="24"/>
                <w:color w:val="auto"/>
                <w:vertAlign w:val="superscript"/>
              </w:rPr>
              <w:t>+</w:t>
            </w: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w w:val="98"/>
              </w:rPr>
            </w:pPr>
            <w:hyperlink r:id="rId302">
              <w:r>
                <w:rPr>
                  <w:rFonts w:ascii="Times New Roman" w:cs="Times New Roman" w:eastAsia="Times New Roman" w:hAnsi="Times New Roman"/>
                  <w:sz w:val="18"/>
                  <w:szCs w:val="18"/>
                  <w:color w:val="0000FF"/>
                  <w:w w:val="98"/>
                </w:rPr>
                <w:t>Employment Letter between the Registrant and Whittemore (Whit) Tingley,</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M.D., Ph.D.</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Employment Letter between the Registrant and Tomohiro Higa, M.B.A.</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3-10-2025</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4"/>
                <w:szCs w:val="24"/>
                <w:color w:val="auto"/>
                <w:vertAlign w:val="superscript"/>
              </w:rPr>
              <w:t>+</w:t>
            </w: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Executive Change in Control and Severance Plan.</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6-12-2023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4"/>
                <w:szCs w:val="24"/>
                <w:color w:val="auto"/>
                <w:vertAlign w:val="superscript"/>
              </w:rPr>
              <w:t>+</w:t>
            </w: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Executive Incentive Compensation Plan.</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Outside Director Compensation Policy.</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Lease between HCP Oyster Point III LLC and the Registrant dated as of</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September 6, 2016.</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First Amendment to Lease between HCP Oyster Point III LLC and the</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8-8-2024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Registrant dated as of September 6, 2016.</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w w:val="98"/>
              </w:rPr>
            </w:pPr>
            <w:hyperlink r:id="rId308">
              <w:r>
                <w:rPr>
                  <w:rFonts w:ascii="Times New Roman" w:cs="Times New Roman" w:eastAsia="Times New Roman" w:hAnsi="Times New Roman"/>
                  <w:sz w:val="18"/>
                  <w:szCs w:val="18"/>
                  <w:color w:val="0000FF"/>
                  <w:w w:val="98"/>
                </w:rPr>
                <w:t>Lease between Terreno Park Union City LLC and the Registrant dated as of</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333-257820</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left w:val="single" w:sz="8" w:color="0000FF"/>
            </w:tcBorders>
            <w:gridSpan w:val="9"/>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February 12, 2021.</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Loan and Security Agreement by and between Silicon Valley Bank, a</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333-266741</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8-10-2022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tcBorders>
            <w:gridSpan w:val="9"/>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w w:val="98"/>
              </w:rPr>
            </w:pPr>
            <w:hyperlink r:id="rId309">
              <w:r>
                <w:rPr>
                  <w:rFonts w:ascii="Times New Roman" w:cs="Times New Roman" w:eastAsia="Times New Roman" w:hAnsi="Times New Roman"/>
                  <w:sz w:val="18"/>
                  <w:szCs w:val="18"/>
                  <w:color w:val="0000FF"/>
                  <w:w w:val="98"/>
                </w:rPr>
                <w:t>division of First-Citizens Bank &amp; Trust Company and Tenaya Therapeutics,</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tcBorders>
            <w:gridSpan w:val="9"/>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Inc.</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Sales Agreement, dated August 10, 2022, by and between Tenaya</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333-266741</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8-10-2022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tcBorders>
            <w:gridSpan w:val="9"/>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Therapeutics, Inc. and SVB Securities LLC</w:t>
              </w:r>
            </w:hyperlink>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tcBorders>
            <w:gridSpan w:val="9"/>
            <w:shd w:val="clear" w:color="auto" w:fill="0000FF"/>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Insider Trading Policy</w:t>
              </w:r>
            </w:hyperlink>
          </w:p>
        </w:tc>
        <w:tc>
          <w:tcPr>
            <w:tcW w:w="8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3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3-10-2025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80" w:type="dxa"/>
            <w:vAlign w:val="bottom"/>
            <w:gridSpan w:val="17"/>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gridSpan w:val="19"/>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80" w:type="dxa"/>
            <w:vAlign w:val="bottom"/>
            <w:gridSpan w:val="2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7"/>
                <w:szCs w:val="17"/>
                <w:color w:val="auto"/>
              </w:rPr>
            </w:pPr>
          </w:p>
        </w:tc>
        <w:tc>
          <w:tcPr>
            <w:tcW w:w="54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8"/>
              </w:rPr>
              <w:t>Power of Attorney (included on the signature page to this Annual Report on</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540" w:type="dxa"/>
            <w:vAlign w:val="bottom"/>
            <w:gridSpan w:val="26"/>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Form 10-K).</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0000FF"/>
            </w:tcBorders>
            <w:gridSpan w:val="4"/>
          </w:tcPr>
          <w:p>
            <w:pPr>
              <w:spacing w:after="0"/>
              <w:rPr>
                <w:sz w:val="24"/>
                <w:szCs w:val="24"/>
                <w:color w:val="auto"/>
              </w:rPr>
            </w:pPr>
          </w:p>
        </w:tc>
        <w:tc>
          <w:tcPr>
            <w:tcW w:w="3760" w:type="dxa"/>
            <w:vAlign w:val="bottom"/>
            <w:gridSpan w:val="17"/>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 Securities Exchange</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 the Sarbanes-Oxley Act</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3200" w:type="dxa"/>
            <w:vAlign w:val="bottom"/>
            <w:tcBorders>
              <w:left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5520" w:type="dxa"/>
            <w:vAlign w:val="bottom"/>
            <w:gridSpan w:val="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Compensation Recovery Policy.</w:t>
              </w:r>
            </w:hyperlink>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001-40656</w:t>
            </w:r>
          </w:p>
        </w:tc>
        <w:tc>
          <w:tcPr>
            <w:tcW w:w="88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3-18-2024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2"/>
            <w:shd w:val="clear" w:color="auto" w:fill="0000FF"/>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Interactive Data File as its XBRL tags are embedded within the Inline</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Documents</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4"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agreement.</w:t>
      </w:r>
    </w:p>
    <w:p>
      <w:pPr>
        <w:spacing w:after="0" w:line="117" w:lineRule="exact"/>
        <w:rPr>
          <w:sz w:val="20"/>
          <w:szCs w:val="20"/>
          <w:color w:val="auto"/>
        </w:rPr>
      </w:pPr>
    </w:p>
    <w:p>
      <w:pPr>
        <w:ind w:firstLine="8"/>
        <w:spacing w:after="0" w:line="266" w:lineRule="auto"/>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or the Exchange Act, whether made before or after the date of this Annual Report on Form 10-K, irrespective of any general incorporation language contained in such filing.</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4" w:right="539" w:bottom="1440" w:gutter="0" w:footer="0" w:header="0"/>
        </w:sectPr>
      </w:pPr>
    </w:p>
    <w:bookmarkStart w:id="138" w:name="page139"/>
    <w:bookmarkEnd w:id="138"/>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8"/>
          <w:szCs w:val="18"/>
          <w:color w:val="auto"/>
        </w:rPr>
        <w:t>By:</w:t>
        <w:tab/>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Faraz Ali, M.B.A.</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Faraz Ali and Tomohiro Higa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4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031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Faraz Ali, M.B.A.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Tomohiro Higa,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Tomohiro Higa, M.B.A.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Burroughs,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Amy L. Burroughs, M.B.A.</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tc>
        <w:tc>
          <w:tcPr>
            <w:tcW w:w="2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Principal Accounting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11, 2026</w:t>
            </w:r>
          </w:p>
        </w:tc>
        <w:tc>
          <w:tcPr>
            <w:tcW w:w="0" w:type="dxa"/>
            <w:vAlign w:val="bottom"/>
          </w:tcPr>
          <w:p>
            <w:pPr>
              <w:spacing w:after="0"/>
              <w:rPr>
                <w:sz w:val="1"/>
                <w:szCs w:val="1"/>
                <w:color w:val="auto"/>
              </w:rPr>
            </w:pPr>
          </w:p>
        </w:tc>
      </w:tr>
    </w:tbl>
    <w:p>
      <w:pPr>
        <w:spacing w:after="0" w:line="211" w:lineRule="exact"/>
        <w:rPr>
          <w:sz w:val="20"/>
          <w:szCs w:val="20"/>
          <w:color w:val="auto"/>
        </w:rPr>
      </w:pPr>
    </w:p>
    <w:p>
      <w:pPr>
        <w:sectPr>
          <w:pgSz w:w="11900" w:h="16838" w:orient="portrait"/>
          <w:cols w:equalWidth="0" w:num="2">
            <w:col w:w="3360" w:space="720"/>
            <w:col w:w="716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 June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June Lee, M.D.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Karah Parschauer,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Karah Parschauer, J.D.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Deepak Srivastava,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Deepak Srivastava, M.D.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Catherine Stehman-Breen,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Catherine Stehman-Breen, M.D.</w:t>
      </w:r>
    </w:p>
    <w:p>
      <w:pPr>
        <w:spacing w:after="0" w:line="20" w:lineRule="exact"/>
        <w:rPr>
          <w:sz w:val="20"/>
          <w:szCs w:val="20"/>
          <w:color w:val="auto"/>
        </w:rPr>
      </w:pPr>
      <w:r>
        <w:rPr>
          <w:sz w:val="20"/>
          <w:szCs w:val="20"/>
          <w:color w:val="auto"/>
        </w:rPr>
        <w:br w:type="column"/>
      </w:r>
    </w:p>
    <w:p>
      <w:pPr>
        <w:spacing w:after="0"/>
        <w:tabs>
          <w:tab w:leader="none" w:pos="47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2026</w:t>
      </w:r>
    </w:p>
    <w:p>
      <w:pPr>
        <w:spacing w:after="0" w:line="264"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2026</w:t>
      </w:r>
    </w:p>
    <w:p>
      <w:pPr>
        <w:spacing w:after="0" w:line="264"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2026</w:t>
      </w:r>
    </w:p>
    <w:p>
      <w:pPr>
        <w:spacing w:after="0" w:line="264"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11, 2026</w:t>
      </w:r>
    </w:p>
    <w:p>
      <w:pPr>
        <w:spacing w:after="0" w:line="250" w:lineRule="exact"/>
        <w:rPr>
          <w:sz w:val="20"/>
          <w:szCs w:val="20"/>
          <w:color w:val="auto"/>
        </w:rPr>
      </w:pPr>
    </w:p>
    <w:p>
      <w:pPr>
        <w:sectPr>
          <w:pgSz w:w="11900" w:h="16838" w:orient="portrait"/>
          <w:cols w:equalWidth="0" w:num="2">
            <w:col w:w="3360" w:space="720"/>
            <w:col w:w="71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T. Walsh, M.B.A.</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7"/>
              </w:rPr>
              <w:t>March 11, 2026</w:t>
            </w:r>
          </w:p>
        </w:tc>
      </w:t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Jeffrey T. Walsh, M.B.A.</w:t>
            </w:r>
          </w:p>
        </w:tc>
        <w:tc>
          <w:tcPr>
            <w:tcW w:w="280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25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Sanders (Sandy) Williams, M.D.</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7"/>
              </w:rPr>
              <w:t>March 11, 2026</w:t>
            </w:r>
          </w:p>
        </w:tc>
      </w:t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Sanders (Sandy) Williams, M.D.</w:t>
            </w:r>
          </w:p>
        </w:tc>
        <w:tc>
          <w:tcPr>
            <w:tcW w:w="2800" w:type="dxa"/>
            <w:vAlign w:val="bottom"/>
          </w:tcPr>
          <w:p>
            <w:pPr>
              <w:spacing w:after="0"/>
              <w:rPr>
                <w:sz w:val="15"/>
                <w:szCs w:val="15"/>
                <w:color w:val="auto"/>
              </w:rPr>
            </w:pPr>
          </w:p>
        </w:tc>
        <w:tc>
          <w:tcPr>
            <w:tcW w:w="3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9" w:name="page140"/>
    <w:bookmarkEnd w:id="139"/>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Tenaya Therapeutics, Inc. (“we,” “our,” or “us”) has one class of securities registered under Section 12 of the Securities Exchange Act of 1934, as amended (the “Exchange Act”): our common stock, $0.0001 par value per share. The following descriptions of our capital stock and certain provisions of our amended and restated certificate of incorporation and amended and restated bylaws are summaries and are qualified by reference to our amended and restated certificate of incorporation and amended and restated bylaws. Copies of these documents were filed with the SEC and incorporated by reference as exhibits to our Annual Report on Form 10-K of which this Exhibit 4.2 is a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authorized capital stock consists of 1,200,000,000 shares, $0.0001 par value per share, of which: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•1,000,000,000 shares are designated as common stock;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•200,000,000 shares are designated as preferred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2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Our common stock is listed on the Nasdaq Global Select Stock Market under the trading symbol “TNYA.” The transfer agent and registrar for our common stock is Computershare Trust Company, N.A. The transfer agent and registrar’s address is 150 Royall Street, Canton, Massachusetts 02021.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2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our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amended and restated certificate of incorporation, our amended and restated bylaws, or the rules of any applicable stock exchange on which our securities are listed. The holders of a majority of the stock issued and outstanding and entitled to vote, present in person or represented by proxy, shall constitute a quorum for the transaction of business at all meetings of the stockholders, unless otherwise required by law, our amended and restated certificate of incorporation, our amended and restated bylaws, or the rules of any applicable stock exchange on which our securities are listed.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20" w:lineRule="exact"/>
        <w:rPr>
          <w:sz w:val="20"/>
          <w:szCs w:val="20"/>
          <w:color w:val="auto"/>
        </w:rPr>
      </w:pPr>
    </w:p>
    <w:p>
      <w:pPr>
        <w:ind w:right="560"/>
        <w:spacing w:after="0" w:line="254" w:lineRule="auto"/>
        <w:rPr>
          <w:sz w:val="20"/>
          <w:szCs w:val="20"/>
          <w:color w:val="auto"/>
        </w:rPr>
      </w:pPr>
      <w:r>
        <w:rPr>
          <w:rFonts w:ascii="Times New Roman" w:cs="Times New Roman" w:eastAsia="Times New Roman" w:hAnsi="Times New Roman"/>
          <w:sz w:val="20"/>
          <w:szCs w:val="20"/>
          <w:color w:val="auto"/>
        </w:rPr>
        <w:t>Subject to preferences that may apply to any outstanding shares of preferred stock, holders of our common stock are entitled to receive dividends, if any, that our board of directors may declare from time to time out of funds legally available for that purpose on a non-cumulative basis, shared ratably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any restrictions contained in our amended and restated certificate of incorporation or applicable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20"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and Preferences</w:t>
      </w:r>
    </w:p>
    <w:p>
      <w:pPr>
        <w:spacing w:after="0" w:line="22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2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Our board of directors has the authority, without further action by the stockholders, to issue up to 200,000,000 shares of preferred stock in one or more series and to fix the designations, rights, powers, preferences, and restrictions thereof. These designations, rights, powers, and preferences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We have no present plan to issue any shares of preferred stock.</w:t>
      </w:r>
    </w:p>
    <w:p>
      <w:pPr>
        <w:spacing w:after="0" w:line="18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20"/>
          <w:szCs w:val="20"/>
          <w:b w:val="1"/>
          <w:bCs w:val="1"/>
          <w:color w:val="auto"/>
        </w:rPr>
        <w:t>Anti-Takeover Effects of Certain Provisions of Delaware Law, Our Amended and Restated Certificate of Incorporation and Our Amended and Restated Bylaws</w:t>
      </w:r>
    </w:p>
    <w:p>
      <w:pPr>
        <w:spacing w:after="0" w:line="1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Classified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our board of directors is divided into three classes, designated Class I, Class II and Class III. Each class has an equal number of directors, as nearly as possible, consisting of one third of the total number of directors constituting the entire board of directors. At each annual meeting of stockholders, successors to the class of directors whose term expires at that annual meeting will be elected for a three-year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Removal of Directors</w:t>
      </w:r>
    </w:p>
    <w:p>
      <w:pPr>
        <w:spacing w:after="0" w:line="22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Vacancies</w:t>
      </w:r>
    </w:p>
    <w:p>
      <w:pPr>
        <w:spacing w:after="0" w:line="22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authorizes only our board of directors to fill vacant directorships, except as may otherwise be provided for in relation to the rights of holders of preferred stock to elect directors under specified circumstances or except as otherwise provided by resolution of a majority of the whole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Cumulative Voting</w:t>
      </w:r>
    </w:p>
    <w:p>
      <w:pPr>
        <w:spacing w:after="0" w:line="22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do not have the right to cumulate votes in the election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Special Meetings of Stockholders</w:t>
      </w:r>
    </w:p>
    <w:p>
      <w:pPr>
        <w:spacing w:after="0" w:line="220"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 or our President.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 Notice Procedures for Director Nominations</w:t>
      </w:r>
    </w:p>
    <w:p>
      <w:pPr>
        <w:spacing w:after="0" w:line="2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amended and restated bylaws provide that stockholders seeking to nominate candidates for election as directors or propose business to be considered at an annual or special meeting of stockholders must provide timely notice thereof in writing. To be timely, a stockholder’s notice relating to an annual meeting generally must be received by our secretary at our principal executive offices not less than 90 nor more than 120 days before the one-year anniversary of the date on which we first mailed our proxy materials or a notice of availability of proxy materials (whichever is earlier) for the preceding year’s annual meeting. Although the amended and restated bylaws do not give the board of directors the power to approve or disapprove stockholder nominations of candidates to be elected or business to be conducted at an annual meeting in compliance with the bylaws,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Action by Written Consent</w:t>
      </w:r>
    </w:p>
    <w:p>
      <w:pPr>
        <w:spacing w:after="0" w:line="220"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19"/>
          <w:szCs w:val="19"/>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Amending Our Certificate of Incorporation and Bylaws</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Our amended and restated certificate of incorporation may be amended or altered in any manner provided by the Delaware General Corporation Law (DGCL); provided that our board of directors acting pursuant to a resolution adopted by a majority of our board of directors and the affirmative vote of a two-thirds majority of our then outstanding voting securities, voting together as a single class, shall be required for the amendment, repeal or modification of certain provisions of our amended and restated certificate of incorporation related to (i) the authority of our board of directors to designate the series and the powers, preferences or relative, participation, optional and other special rights, if any, and any qualifications, limitations or restrictions, of our preferred stock, (ii) the classified structure of our board of directors,</w:t>
      </w:r>
    </w:p>
    <w:p>
      <w:pPr>
        <w:spacing w:after="0" w:line="1" w:lineRule="exact"/>
        <w:rPr>
          <w:sz w:val="20"/>
          <w:szCs w:val="20"/>
          <w:color w:val="auto"/>
        </w:rPr>
      </w:pPr>
    </w:p>
    <w:p>
      <w:pPr>
        <w:ind w:right="60" w:firstLine="8"/>
        <w:spacing w:after="0" w:line="252" w:lineRule="auto"/>
        <w:tabs>
          <w:tab w:leader="none" w:pos="346"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 removal and the filling of unfilled directorships, (iv) no cumulative voting, (v) the prohibition of stockholder actions by written consent, (vi) advance notice requirements or (vi) amendments to our amended and restated certificate of incorporation. Our amended and restated bylaws may be adopted, amended, altered or repealed by stockholders only upon approval of at least a majority of the voting power of all the then outstanding shares of the voting securities, except for any amendment of the provisions related to (i) meetings of stockholders,</w:t>
      </w:r>
    </w:p>
    <w:p>
      <w:pPr>
        <w:ind w:right="140" w:firstLine="8"/>
        <w:spacing w:after="0" w:line="241" w:lineRule="auto"/>
        <w:tabs>
          <w:tab w:leader="none" w:pos="2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powers of our board of directors, (iii) the number of directors constituting our board of directors, (iv) resignations and vacancies of our board of directors, (v) removal of directors, (vi) indemnification, (vii) forum selection or (viii) amendments to our amended and restated bylaws, which would require the approval of a two-thirds majority of our then outstanding voting securities. Additionally, our amended and restated certificate of incorporation provides that our bylaws may be amended, altered or repealed by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But Unissued Shares</w:t>
      </w:r>
    </w:p>
    <w:p>
      <w:pPr>
        <w:spacing w:after="0" w:line="220"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Our authorized but unissued shares of common stock and preferred stock are available for future issuances without stockholder approval, except as required by the listing standards of the Nasdaq Global Select Stock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Jurisdiction</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Our amended and restated bylaws provide that, unless we consent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any derivative action or proceeding brought on our behalf, any action asserting a claim of breach of fiduciary duty, any action asserting a claim arising pursuant to the DGCL, any action asserting a claim arising pursuant to our amended and restated certificate of incorporation or amended and restated bylaws, or any action asserting a claim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of 1933, as amended. Any person or entity purchasing or otherwise acquiring or holding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89"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stockholders cannot waive compliance (or consent to noncompliance) with the federal securities laws and the rules and regulations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 with Interested Stockholders</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 of Liability and Indemnification of Officers and Directors</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to the fullest extent permitted by the DGCL, our directors and officers will not be personally liable for monetary damages for breach of fiduciary duty as a director or officer.</w:t>
      </w:r>
    </w:p>
    <w:p>
      <w:pPr>
        <w:spacing w:after="0" w:line="15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our amended and restated bylaws provide that we must indemnify our directors, and our amended and restated bylaws provide that we must indemnify our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4" w:name="page145"/>
    <w:bookmarkEnd w:id="144"/>
    <w:p>
      <w:pPr>
        <w:ind w:left="10020"/>
        <w:spacing w:after="0"/>
        <w:rPr>
          <w:sz w:val="20"/>
          <w:szCs w:val="20"/>
          <w:color w:val="auto"/>
        </w:rPr>
      </w:pPr>
      <w:r>
        <w:rPr>
          <w:rFonts w:ascii="Times New Roman" w:cs="Times New Roman" w:eastAsia="Times New Roman" w:hAnsi="Times New Roman"/>
          <w:sz w:val="21"/>
          <w:szCs w:val="21"/>
          <w:b w:val="1"/>
          <w:bCs w:val="1"/>
          <w:color w:val="auto"/>
        </w:rPr>
        <w:t>Exhibit 10.11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most recently amended January 1, 2026)</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Tenaya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the granting of equity and cash compensation to members of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members of the Board,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w:t>
      </w:r>
      <w:r>
        <w:rPr>
          <w:rFonts w:ascii="Times New Roman" w:cs="Times New Roman" w:eastAsia="Times New Roman" w:hAnsi="Times New Roman"/>
          <w:sz w:val="22"/>
          <w:szCs w:val="22"/>
          <w:u w:val="single" w:color="auto"/>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79" w:lineRule="exact"/>
        <w:rPr>
          <w:sz w:val="20"/>
          <w:szCs w:val="20"/>
          <w:color w:val="auto"/>
        </w:rPr>
      </w:pPr>
    </w:p>
    <w:p>
      <w:pPr>
        <w:jc w:val="both"/>
        <w:ind w:firstLine="757"/>
        <w:spacing w:after="0" w:line="238"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Restatement Date</w:t>
      </w:r>
      <w:r>
        <w:rPr>
          <w:rFonts w:ascii="Times New Roman" w:cs="Times New Roman" w:eastAsia="Times New Roman" w:hAnsi="Times New Roman"/>
          <w:sz w:val="22"/>
          <w:szCs w:val="22"/>
          <w:color w:val="auto"/>
        </w:rPr>
        <w:t>. This Policy originally became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has been amended and restated from time to time, including on May 20, 2025 (the “2025 Restatement Date”) and was most recently amended on January 1, 2026.</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06" w:lineRule="exact"/>
        <w:rPr>
          <w:sz w:val="20"/>
          <w:szCs w:val="20"/>
          <w:color w:val="auto"/>
        </w:rPr>
      </w:pPr>
    </w:p>
    <w:p>
      <w:pPr>
        <w:jc w:val="both"/>
        <w:ind w:firstLine="1497"/>
        <w:spacing w:after="0" w:line="261" w:lineRule="exact"/>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Board Member Annual Cash Retainer</w:t>
      </w:r>
      <w:r>
        <w:rPr>
          <w:rFonts w:ascii="Times New Roman" w:cs="Times New Roman" w:eastAsia="Times New Roman" w:hAnsi="Times New Roman"/>
          <w:sz w:val="22"/>
          <w:szCs w:val="22"/>
          <w:color w:val="auto"/>
        </w:rPr>
        <w:t>. Effective January 1, 2026, each Outside Director will be paid an annual cash retainer of $40,000. There are no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meeting attendance fees for attending Board meetings or meetings of any committee of the Board.</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Additional Annual Cash Retainers</w:t>
      </w:r>
      <w:r>
        <w:rPr>
          <w:rFonts w:ascii="Times New Roman" w:cs="Times New Roman" w:eastAsia="Times New Roman" w:hAnsi="Times New Roman"/>
          <w:sz w:val="22"/>
          <w:szCs w:val="22"/>
          <w:color w:val="auto"/>
        </w:rPr>
        <w:t>. As of the Effective Date, each Outside Director who serves as the Chair of the Board, or the chair or a member of a committee of the Board, will be eligible to earn additional annual fees as follows: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7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Non-Executive Chair of the Board:</w:t>
            </w:r>
          </w:p>
        </w:tc>
        <w:tc>
          <w:tcPr>
            <w:tcW w:w="4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$30,000</w:t>
            </w:r>
          </w:p>
        </w:tc>
      </w:tr>
      <w:tr>
        <w:trPr>
          <w:trHeight w:val="39"/>
        </w:trPr>
        <w:tc>
          <w:tcPr>
            <w:tcW w:w="7100" w:type="dxa"/>
            <w:vAlign w:val="bottom"/>
            <w:tcBorders>
              <w:left w:val="single" w:sz="8" w:color="auto"/>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353"/>
        </w:trPr>
        <w:tc>
          <w:tcPr>
            <w:tcW w:w="710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1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$20,000</w:t>
            </w:r>
          </w:p>
        </w:tc>
      </w:tr>
      <w:tr>
        <w:trPr>
          <w:trHeight w:val="302"/>
        </w:trPr>
        <w:tc>
          <w:tcPr>
            <w:tcW w:w="7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Audit Committee Chair:</w:t>
            </w:r>
          </w:p>
        </w:tc>
        <w:tc>
          <w:tcPr>
            <w:tcW w:w="4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$15,000</w:t>
            </w:r>
          </w:p>
        </w:tc>
      </w:tr>
      <w:tr>
        <w:trPr>
          <w:trHeight w:val="42"/>
        </w:trPr>
        <w:tc>
          <w:tcPr>
            <w:tcW w:w="7100" w:type="dxa"/>
            <w:vAlign w:val="bottom"/>
            <w:tcBorders>
              <w:left w:val="single" w:sz="8" w:color="auto"/>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349"/>
        </w:trPr>
        <w:tc>
          <w:tcPr>
            <w:tcW w:w="710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Audit Committee Member:</w:t>
            </w:r>
          </w:p>
        </w:tc>
        <w:tc>
          <w:tcPr>
            <w:tcW w:w="41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$7,500</w:t>
            </w:r>
          </w:p>
        </w:tc>
      </w:tr>
      <w:tr>
        <w:trPr>
          <w:trHeight w:val="303"/>
        </w:trPr>
        <w:tc>
          <w:tcPr>
            <w:tcW w:w="7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4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$12,000</w:t>
            </w:r>
          </w:p>
        </w:tc>
      </w:tr>
      <w:tr>
        <w:trPr>
          <w:trHeight w:val="42"/>
        </w:trPr>
        <w:tc>
          <w:tcPr>
            <w:tcW w:w="7100" w:type="dxa"/>
            <w:vAlign w:val="bottom"/>
            <w:tcBorders>
              <w:left w:val="single" w:sz="8" w:color="auto"/>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350"/>
        </w:trPr>
        <w:tc>
          <w:tcPr>
            <w:tcW w:w="710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41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$6,000</w:t>
            </w:r>
          </w:p>
        </w:tc>
      </w:tr>
      <w:tr>
        <w:trPr>
          <w:trHeight w:val="1404"/>
        </w:trPr>
        <w:tc>
          <w:tcPr>
            <w:tcW w:w="7100" w:type="dxa"/>
            <w:vAlign w:val="bottom"/>
            <w:tcBorders>
              <w:top w:val="single" w:sz="8" w:color="auto"/>
              <w:bottom w:val="single" w:sz="8" w:color="9A9A9A"/>
            </w:tcBorders>
          </w:tcPr>
          <w:p>
            <w:pPr>
              <w:spacing w:after="0"/>
              <w:rPr>
                <w:sz w:val="24"/>
                <w:szCs w:val="24"/>
                <w:color w:val="auto"/>
              </w:rPr>
            </w:pPr>
          </w:p>
        </w:tc>
        <w:tc>
          <w:tcPr>
            <w:tcW w:w="41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tbl>
      <w:tblPr>
        <w:tblLayout w:type="fixed"/>
        <w:tblInd w:w="10" w:type="dxa"/>
        <w:tblCellMar>
          <w:top w:w="0" w:type="dxa"/>
          <w:left w:w="0" w:type="dxa"/>
          <w:bottom w:w="0" w:type="dxa"/>
          <w:right w:w="0" w:type="dxa"/>
        </w:tblCellMar>
      </w:tblPr>
      <w:tr>
        <w:trPr>
          <w:trHeight w:val="326"/>
        </w:trPr>
        <w:tc>
          <w:tcPr>
            <w:tcW w:w="7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4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$10,000</w:t>
            </w:r>
          </w:p>
        </w:tc>
      </w:tr>
      <w:tr>
        <w:trPr>
          <w:trHeight w:val="39"/>
        </w:trPr>
        <w:tc>
          <w:tcPr>
            <w:tcW w:w="7100" w:type="dxa"/>
            <w:vAlign w:val="bottom"/>
            <w:tcBorders>
              <w:left w:val="single" w:sz="8" w:color="auto"/>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353"/>
        </w:trPr>
        <w:tc>
          <w:tcPr>
            <w:tcW w:w="710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41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$5,000</w:t>
            </w:r>
          </w:p>
        </w:tc>
      </w:tr>
      <w:tr>
        <w:trPr>
          <w:trHeight w:val="302"/>
        </w:trPr>
        <w:tc>
          <w:tcPr>
            <w:tcW w:w="7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Science and Technology Committee Chair:</w:t>
            </w:r>
          </w:p>
        </w:tc>
        <w:tc>
          <w:tcPr>
            <w:tcW w:w="4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$12,000</w:t>
            </w:r>
          </w:p>
        </w:tc>
      </w:tr>
      <w:tr>
        <w:trPr>
          <w:trHeight w:val="42"/>
        </w:trPr>
        <w:tc>
          <w:tcPr>
            <w:tcW w:w="7100" w:type="dxa"/>
            <w:vAlign w:val="bottom"/>
            <w:tcBorders>
              <w:left w:val="single" w:sz="8" w:color="auto"/>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tcPr>
          <w:p>
            <w:pPr>
              <w:spacing w:after="0"/>
              <w:rPr>
                <w:sz w:val="3"/>
                <w:szCs w:val="3"/>
                <w:color w:val="auto"/>
              </w:rPr>
            </w:pPr>
          </w:p>
        </w:tc>
      </w:tr>
      <w:tr>
        <w:trPr>
          <w:trHeight w:val="324"/>
        </w:trPr>
        <w:tc>
          <w:tcPr>
            <w:tcW w:w="710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Science and Technology Committee Member:</w:t>
            </w:r>
          </w:p>
        </w:tc>
        <w:tc>
          <w:tcPr>
            <w:tcW w:w="41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$6,000</w:t>
            </w:r>
          </w:p>
        </w:tc>
      </w:tr>
      <w:tr>
        <w:trPr>
          <w:trHeight w:val="20"/>
        </w:trPr>
        <w:tc>
          <w:tcPr>
            <w:tcW w:w="7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1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Payment Timing and Proration</w:t>
      </w:r>
      <w:r>
        <w:rPr>
          <w:rFonts w:ascii="Times New Roman" w:cs="Times New Roman" w:eastAsia="Times New Roman" w:hAnsi="Times New Roman"/>
          <w:sz w:val="22"/>
          <w:szCs w:val="22"/>
          <w:color w:val="auto"/>
        </w:rPr>
        <w:t>. Each annual cash retainer (a “</w:t>
      </w:r>
      <w:r>
        <w:rPr>
          <w:rFonts w:ascii="Times New Roman" w:cs="Times New Roman" w:eastAsia="Times New Roman" w:hAnsi="Times New Roman"/>
          <w:sz w:val="22"/>
          <w:szCs w:val="22"/>
          <w:u w:val="single" w:color="auto"/>
          <w:color w:val="auto"/>
        </w:rPr>
        <w:t>Annual Cash Retainer</w:t>
      </w:r>
      <w:r>
        <w:rPr>
          <w:rFonts w:ascii="Times New Roman" w:cs="Times New Roman" w:eastAsia="Times New Roman" w:hAnsi="Times New Roman"/>
          <w:sz w:val="22"/>
          <w:szCs w:val="22"/>
          <w:color w:val="auto"/>
        </w:rPr>
        <w:t>”)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87" w:lineRule="exact"/>
        <w:rPr>
          <w:sz w:val="20"/>
          <w:szCs w:val="20"/>
          <w:color w:val="auto"/>
        </w:rPr>
      </w:pPr>
    </w:p>
    <w:p>
      <w:pPr>
        <w:jc w:val="both"/>
        <w:ind w:firstLine="757"/>
        <w:spacing w:after="0" w:line="239" w:lineRule="auto"/>
        <w:tabs>
          <w:tab w:leader="none" w:pos="10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Annual Awards (as defined below) under this Policy or to determine the number of Shares to be covered by such Awards (except as provided in Sections 3.4.4 and 10 below).</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individual who first becomes an Outside Director on or following the 2025 Restatement Date automatically will be granted an Option (an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to purchase Shares with a grant date fair value as determined in accordance with U.S. generally accepted accounting principles (the “</w:t>
      </w:r>
      <w:r>
        <w:rPr>
          <w:rFonts w:ascii="Times New Roman" w:cs="Times New Roman" w:eastAsia="Times New Roman" w:hAnsi="Times New Roman"/>
          <w:sz w:val="22"/>
          <w:szCs w:val="22"/>
          <w:u w:val="single" w:color="auto"/>
          <w:color w:val="auto"/>
        </w:rPr>
        <w:t>Grant Value</w:t>
      </w:r>
      <w:r>
        <w:rPr>
          <w:rFonts w:ascii="Times New Roman" w:cs="Times New Roman" w:eastAsia="Times New Roman" w:hAnsi="Times New Roman"/>
          <w:sz w:val="22"/>
          <w:szCs w:val="22"/>
          <w:color w:val="auto"/>
        </w:rPr>
        <w:t>”) equal to $320,000 (with any resulting fractional Share rounded down to the nearest whole Share), provided that, notwithstanding the foregoing, no more than 214,800 Shares may be subject to an Initial Award. The grant date of the Initial Award will be the first Trading Day on or after the date on which such individual first becomes an Outside Director (such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6" w:name="page147"/>
    <w:bookmarkEnd w:id="146"/>
    <w:p>
      <w:pPr>
        <w:spacing w:after="0" w:line="184"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2"/>
          <w:szCs w:val="22"/>
          <w:color w:val="auto"/>
        </w:rPr>
        <w:t>first date as an Outside Director, the “</w:t>
      </w:r>
      <w:r>
        <w:rPr>
          <w:rFonts w:ascii="Times New Roman" w:cs="Times New Roman" w:eastAsia="Times New Roman" w:hAnsi="Times New Roman"/>
          <w:sz w:val="22"/>
          <w:szCs w:val="22"/>
          <w:u w:val="single" w:color="auto"/>
          <w:color w:val="auto"/>
        </w:rPr>
        <w:t>Initial Start Date</w:t>
      </w:r>
      <w:r>
        <w:rPr>
          <w:rFonts w:ascii="Times New Roman" w:cs="Times New Roman" w:eastAsia="Times New Roman" w:hAnsi="Times New Roman"/>
          <w:sz w:val="22"/>
          <w:szCs w:val="22"/>
          <w:color w:val="auto"/>
        </w:rPr>
        <w:t>”), whether through election by the stockholders of the Company or appointment by the Board to fill a vacancy. If an individual was an Employee-Director, becoming an Outside Director due to termination of the individual’s status as an Employee will not entitle the Outside Director to an Initial Award. Each Initial Award will be scheduled to vest as to one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82"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the first Trading Day immediately following each Annual Meeting of the Company’s stockholders (an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and such first Trading Day immediately following the Annual Meeting, the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that occurs on or after the 2025 Restatement Date, (i) each Outside Director who, as of the date of such Annual Meeting (the “</w:t>
      </w:r>
      <w:r>
        <w:rPr>
          <w:rFonts w:ascii="Times New Roman" w:cs="Times New Roman" w:eastAsia="Times New Roman" w:hAnsi="Times New Roman"/>
          <w:sz w:val="21"/>
          <w:szCs w:val="21"/>
          <w:u w:val="single" w:color="auto"/>
          <w:color w:val="auto"/>
        </w:rPr>
        <w:t>Current Meeting</w:t>
      </w:r>
      <w:r>
        <w:rPr>
          <w:rFonts w:ascii="Times New Roman" w:cs="Times New Roman" w:eastAsia="Times New Roman" w:hAnsi="Times New Roman"/>
          <w:sz w:val="21"/>
          <w:szCs w:val="21"/>
          <w:color w:val="auto"/>
        </w:rPr>
        <w:t>”) has been in continuous service as an Outside Director since the date of the most recently preceding Annual Meeting (the “</w:t>
      </w:r>
      <w:r>
        <w:rPr>
          <w:rFonts w:ascii="Times New Roman" w:cs="Times New Roman" w:eastAsia="Times New Roman" w:hAnsi="Times New Roman"/>
          <w:sz w:val="21"/>
          <w:szCs w:val="21"/>
          <w:u w:val="single" w:color="auto"/>
          <w:color w:val="auto"/>
        </w:rPr>
        <w:t>Prior Meeting</w:t>
      </w:r>
      <w:r>
        <w:rPr>
          <w:rFonts w:ascii="Times New Roman" w:cs="Times New Roman" w:eastAsia="Times New Roman" w:hAnsi="Times New Roman"/>
          <w:sz w:val="21"/>
          <w:szCs w:val="21"/>
          <w:color w:val="auto"/>
        </w:rPr>
        <w:t>”), automatically will be granted an Option (the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to purchase Shares with a Grant Value equal to $160,000 (with any resulting fractional Share rounded down to the nearest whole Share), and (ii) each Outside Director who, as of the date of the Current Meeting, has not been in continuous service as an Outside Director since the Prior Meeting, automatically will be granted a prorated Annual Award having a Grant Value equal to the product of (A) $160,000 multiplied by (B) a fraction, (x) the numerator of which is the number of full months (not to exceed 12) during which the individual served as an Outside Director between such individual’s Initial Start Date and the date of the Current Meeting, and (y) the denominator of which is 12 (with any resulting fractional Share rounded down to the nearest whole Share). Notwithstanding the foregoing, no more than 107,400 Shares may be subject to an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For the avoidance of doubt, for purposes of this Policy, a “full month” will have elapsed on each one-month anniversary of the Initial Start Date (e.g., if the Initial Start Date is September 15 of a given year, a full month will elapse on October 15 of such year and the next full month will elapse on November 15 of such year) or, if there is no monthly anniversary of the applicable date, on the last date of the applicable month (e.g., if the Initial Start Date is October 31 of a given year, a full month will elapse on November 30 of such year and the next full month will elapse on December 31 of such year).</w:t>
      </w:r>
    </w:p>
    <w:p>
      <w:pPr>
        <w:spacing w:after="0" w:line="18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Additional Terms of Initial Awards and Annual Awards</w:t>
      </w:r>
      <w:r>
        <w:rPr>
          <w:rFonts w:ascii="Times New Roman" w:cs="Times New Roman" w:eastAsia="Times New Roman" w:hAnsi="Times New Roman"/>
          <w:sz w:val="22"/>
          <w:szCs w:val="22"/>
          <w:color w:val="auto"/>
        </w:rPr>
        <w:t>. The terms and conditions of each Initial Award and Annual Award will be as follows.</w:t>
      </w:r>
    </w:p>
    <w:p>
      <w:pPr>
        <w:spacing w:after="0" w:line="158" w:lineRule="exact"/>
        <w:rPr>
          <w:sz w:val="20"/>
          <w:szCs w:val="20"/>
          <w:color w:val="auto"/>
        </w:rPr>
      </w:pPr>
    </w:p>
    <w:p>
      <w:pPr>
        <w:jc w:val="both"/>
        <w:ind w:right="20" w:firstLine="3064"/>
        <w:spacing w:after="0" w:line="258" w:lineRule="auto"/>
        <w:rPr>
          <w:sz w:val="20"/>
          <w:szCs w:val="20"/>
          <w:color w:val="auto"/>
        </w:rPr>
      </w:pPr>
      <w:r>
        <w:rPr>
          <w:rFonts w:ascii="Times New Roman" w:cs="Times New Roman" w:eastAsia="Times New Roman" w:hAnsi="Times New Roman"/>
          <w:sz w:val="22"/>
          <w:szCs w:val="22"/>
          <w:color w:val="auto"/>
        </w:rPr>
        <w:t>3.4.1 The term of each Initial Award and Annual Award will be ten (10) years, subject to earlier termination as provided in the Plan.</w:t>
      </w:r>
    </w:p>
    <w:p>
      <w:pPr>
        <w:spacing w:after="0" w:line="158" w:lineRule="exact"/>
        <w:rPr>
          <w:sz w:val="20"/>
          <w:szCs w:val="20"/>
          <w:color w:val="auto"/>
        </w:rPr>
      </w:pPr>
    </w:p>
    <w:p>
      <w:pPr>
        <w:jc w:val="both"/>
        <w:ind w:firstLine="3064"/>
        <w:spacing w:after="0" w:line="249" w:lineRule="auto"/>
        <w:rPr>
          <w:sz w:val="20"/>
          <w:szCs w:val="20"/>
          <w:color w:val="auto"/>
        </w:rPr>
      </w:pPr>
      <w:r>
        <w:rPr>
          <w:rFonts w:ascii="Times New Roman" w:cs="Times New Roman" w:eastAsia="Times New Roman" w:hAnsi="Times New Roman"/>
          <w:sz w:val="22"/>
          <w:szCs w:val="22"/>
          <w:color w:val="auto"/>
        </w:rPr>
        <w:t>3.4.2 The per Share exercise price of each Initial Award and Annual Award will be equal to one hundred percent (100%) of the Fair Market Value per Share on such Award’s grant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4" w:lineRule="exact"/>
        <w:rPr>
          <w:sz w:val="20"/>
          <w:szCs w:val="20"/>
          <w:color w:val="auto"/>
        </w:rPr>
      </w:pPr>
    </w:p>
    <w:p>
      <w:pPr>
        <w:jc w:val="both"/>
        <w:ind w:firstLine="3064"/>
        <w:spacing w:after="0" w:line="244" w:lineRule="auto"/>
        <w:rPr>
          <w:sz w:val="20"/>
          <w:szCs w:val="20"/>
          <w:color w:val="auto"/>
        </w:rPr>
      </w:pPr>
      <w:r>
        <w:rPr>
          <w:rFonts w:ascii="Times New Roman" w:cs="Times New Roman" w:eastAsia="Times New Roman" w:hAnsi="Times New Roman"/>
          <w:sz w:val="22"/>
          <w:szCs w:val="22"/>
          <w:color w:val="auto"/>
        </w:rPr>
        <w:t>3.4.3 Each Initial Award and Annual Award will be granted under and subject to the terms and conditions of the Plan and the applicable form of Award Agreement previously approved by the Board or its Committee, as applicable, for use thereunder.</w:t>
      </w:r>
    </w:p>
    <w:p>
      <w:pPr>
        <w:spacing w:after="0" w:line="173" w:lineRule="exact"/>
        <w:rPr>
          <w:sz w:val="20"/>
          <w:szCs w:val="20"/>
          <w:color w:val="auto"/>
        </w:rPr>
      </w:pPr>
    </w:p>
    <w:p>
      <w:pPr>
        <w:jc w:val="both"/>
        <w:ind w:firstLine="3064"/>
        <w:spacing w:after="0" w:line="244" w:lineRule="auto"/>
        <w:rPr>
          <w:sz w:val="20"/>
          <w:szCs w:val="20"/>
          <w:color w:val="auto"/>
        </w:rPr>
      </w:pPr>
      <w:r>
        <w:rPr>
          <w:rFonts w:ascii="Times New Roman" w:cs="Times New Roman" w:eastAsia="Times New Roman" w:hAnsi="Times New Roman"/>
          <w:sz w:val="22"/>
          <w:szCs w:val="22"/>
          <w:color w:val="auto"/>
        </w:rPr>
        <w:t>3.4.4 The Board or its Committee, as applicable and in its discretion, may change and otherwise revise the terms of Initial Awards and Annual Awards granted pursuant to this Policy, including without limitation the number of Shares subject thereto and type of Award.</w:t>
      </w:r>
    </w:p>
    <w:p>
      <w:pPr>
        <w:spacing w:after="0" w:line="173" w:lineRule="exact"/>
        <w:rPr>
          <w:sz w:val="20"/>
          <w:szCs w:val="20"/>
          <w:color w:val="auto"/>
        </w:rPr>
      </w:pPr>
    </w:p>
    <w:p>
      <w:pPr>
        <w:jc w:val="both"/>
        <w:ind w:firstLine="757"/>
        <w:spacing w:after="0" w:line="244"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Compensation Limit</w:t>
      </w:r>
      <w:r>
        <w:rPr>
          <w:rFonts w:ascii="Times New Roman" w:cs="Times New Roman" w:eastAsia="Times New Roman" w:hAnsi="Times New Roman"/>
          <w:sz w:val="22"/>
          <w:szCs w:val="22"/>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 meetings of the Board and any of its committees, as applicable, will be reimbursed by the Company.</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jc w:val="both"/>
        <w:ind w:firstLine="757"/>
        <w:spacing w:after="0" w:line="239"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initial adoption of this Policy was approved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83" w:lineRule="exact"/>
        <w:rPr>
          <w:sz w:val="20"/>
          <w:szCs w:val="20"/>
          <w:color w:val="auto"/>
        </w:rPr>
      </w:pPr>
    </w:p>
    <w:p>
      <w:pPr>
        <w:ind w:left="4900"/>
        <w:spacing w:after="0"/>
        <w:tabs>
          <w:tab w:leader="none" w:pos="5580" w:val="left"/>
          <w:tab w:leader="none" w:pos="62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333-266741 and No. 333-286005 on Form S-3 and No. 333-258337, No. 333-263802, No. 333-270364, No. 333-276783, No. 333-282161, No. 333-284784, and No. 333-293163 on Form S-8 of our report dated March 11, 2026, relating to the financial statements of Tenaya Therapeutics, Inc. appearing in this Annual Report on Form 10-K for the year ended December 31, 2025.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50" w:name="page151"/>
    <w:bookmarkEnd w:id="15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117"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Tenaya Therapeutics,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191"/>
        </w:trPr>
        <w:tc>
          <w:tcPr>
            <w:tcW w:w="6700" w:type="dxa"/>
            <w:vAlign w:val="bottom"/>
          </w:tcPr>
          <w:p>
            <w:pPr>
              <w:ind w:left="5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4"/>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6700" w:type="dxa"/>
            <w:vAlign w:val="bottom"/>
          </w:tcPr>
          <w:p>
            <w:pPr>
              <w:spacing w:after="0"/>
              <w:rPr>
                <w:sz w:val="18"/>
                <w:szCs w:val="18"/>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tc>
      </w:tr>
      <w:tr>
        <w:trPr>
          <w:trHeight w:val="236"/>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1235"/>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1" w:name="page152"/>
    <w:bookmarkEnd w:id="15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Annual Report on Form 10-K of Tenaya Therapeutics, Inc. (the “Company”) for the year ended December 31, 2025,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34290</wp:posOffset>
            </wp:positionV>
            <wp:extent cx="27686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Faraz Ali, M.B.A.</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ind w:left="6900"/>
        <w:spacing w:after="0"/>
        <w:tabs>
          <w:tab w:leader="none" w:pos="7800" w:val="left"/>
          <w:tab w:leader="none" w:pos="8680" w:val="left"/>
          <w:tab w:leader="none" w:pos="9360" w:val="left"/>
          <w:tab w:leader="none" w:pos="9800" w:val="left"/>
          <w:tab w:leader="none" w:pos="10520" w:val="left"/>
        </w:tabs>
        <w:rPr>
          <w:sz w:val="20"/>
          <w:szCs w:val="20"/>
          <w:color w:val="auto"/>
        </w:rPr>
      </w:pPr>
      <w:r>
        <w:rPr>
          <w:rFonts w:ascii="Times New Roman" w:cs="Times New Roman" w:eastAsia="Times New Roman" w:hAnsi="Times New Roman"/>
          <w:sz w:val="18"/>
          <w:szCs w:val="18"/>
          <w:i w:val="1"/>
          <w:iCs w:val="1"/>
          <w:color w:val="auto"/>
        </w:rPr>
        <w:t>(Principal</w:t>
        <w:tab/>
        <w:t>Executive</w:t>
        <w:tab/>
        <w:t>Officer</w:t>
        <w:tab/>
        <w:t>and</w:t>
        <w:tab/>
        <w:t>Interim</w:t>
      </w:r>
      <w:r>
        <w:rPr>
          <w:sz w:val="20"/>
          <w:szCs w:val="20"/>
          <w:color w:val="auto"/>
        </w:rPr>
        <w:tab/>
      </w:r>
      <w:r>
        <w:rPr>
          <w:rFonts w:ascii="Times New Roman" w:cs="Times New Roman" w:eastAsia="Times New Roman" w:hAnsi="Times New Roman"/>
          <w:sz w:val="17"/>
          <w:szCs w:val="17"/>
          <w:i w:val="1"/>
          <w:iCs w:val="1"/>
          <w:color w:val="auto"/>
        </w:rPr>
        <w:t>Principal</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4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Letter"/>
      <w:start w:val="1"/>
    </w:lvl>
    <w:lvl w:ilvl="1">
      <w:lvlJc w:val="left"/>
      <w:lvlText w:val="(%2)"/>
      <w:numFmt w:val="decimal"/>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lowerRoman"/>
      <w:start w:val="3"/>
    </w:lvl>
  </w:abstractNum>
  <w:abstractNum w:abstractNumId="52">
    <w:nsid w:val="649BB77C"/>
    <w:multiLevelType w:val="hybridMultilevel"/>
    <w:lvl w:ilvl="0">
      <w:lvlJc w:val="left"/>
      <w:lvlText w:val="(%1)"/>
      <w:numFmt w:val="lowerRoman"/>
      <w:start w:val="2"/>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3"/>
    </w:lvl>
  </w:abstractNum>
  <w:abstractNum w:abstractNumId="55">
    <w:nsid w:val="1CF10FD8"/>
    <w:multiLevelType w:val="hybridMultilevel"/>
    <w:lvl w:ilvl="0">
      <w:lvlJc w:val="left"/>
      <w:lvlText w:val="%1."/>
      <w:numFmt w:val="decimal"/>
      <w:start w:val="4"/>
    </w:lvl>
  </w:abstractNum>
  <w:abstractNum w:abstractNumId="56">
    <w:nsid w:val="180115BE"/>
    <w:multiLevelType w:val="hybridMultilevel"/>
    <w:lvl w:ilvl="0">
      <w:lvlJc w:val="left"/>
      <w:lvlText w:val="%1."/>
      <w:numFmt w:val="decimal"/>
      <w:start w:val="9"/>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288" Type="http://schemas.openxmlformats.org/officeDocument/2006/relationships/hyperlink" Target="https://www.sec.gov/Archives/edgar/data/1858848/000095017023040651/tnya-ex3_1.htm" TargetMode="External"/><Relationship Id="rId289" Type="http://schemas.openxmlformats.org/officeDocument/2006/relationships/hyperlink" Target="https://www.sec.gov/Archives/edgar/data/1858848/000095017023008934/tnya-ex3_1.htm" TargetMode="External"/><Relationship Id="rId290" Type="http://schemas.openxmlformats.org/officeDocument/2006/relationships/hyperlink" Target="https://www.sec.gov/Archives/edgar/data/1858848/000119312521223559/d175698dex42.htm" TargetMode="External"/><Relationship Id="rId291" Type="http://schemas.openxmlformats.org/officeDocument/2006/relationships/hyperlink" Target="https://www.sec.gov/Archives/edgar/data/1858848/000095017024122359/tnya-ex4_1.htm" TargetMode="External"/><Relationship Id="rId292" Type="http://schemas.openxmlformats.org/officeDocument/2006/relationships/hyperlink" Target="https://www.sec.gov/Archives/edgar/data/1858848/000119312525045628/d878268dex41.htm" TargetMode="External"/><Relationship Id="rId293" Type="http://schemas.openxmlformats.org/officeDocument/2006/relationships/hyperlink" Target="https://www.sec.gov/Archives/edgar/data/1858848/000119312525045628/d878268dex42.htm" TargetMode="External"/><Relationship Id="rId294" Type="http://schemas.openxmlformats.org/officeDocument/2006/relationships/hyperlink" Target="https://www.sec.gov/Archives/edgar/data/1858848/000119312525317642/d67398dex41.htm" TargetMode="External"/><Relationship Id="rId295" Type="http://schemas.openxmlformats.org/officeDocument/2006/relationships/hyperlink" Target="https://www.sec.gov/Archives/edgar/data/1858848/000119312525273239/tnya-ex4_1.htm" TargetMode="External"/><Relationship Id="rId296" Type="http://schemas.openxmlformats.org/officeDocument/2006/relationships/hyperlink" Target="https://www.sec.gov/Archives/edgar/data/1858848/000119312521212010/d175698dex101.htm" TargetMode="External"/><Relationship Id="rId297" Type="http://schemas.openxmlformats.org/officeDocument/2006/relationships/hyperlink" Target="https://www.sec.gov/Archives/edgar/data/1858848/000119312521212010/d175698dex102.htm" TargetMode="External"/><Relationship Id="rId298" Type="http://schemas.openxmlformats.org/officeDocument/2006/relationships/hyperlink" Target="https://www.sec.gov/Archives/edgar/data/1858848/000095017022004426/tnya-ex10_2.htm" TargetMode="External"/><Relationship Id="rId299" Type="http://schemas.openxmlformats.org/officeDocument/2006/relationships/hyperlink" Target="https://www.sec.gov/Archives/edgar/data/1858848/000119312521223559/d175698dex104.htm" TargetMode="External"/><Relationship Id="rId300" Type="http://schemas.openxmlformats.org/officeDocument/2006/relationships/hyperlink" Target="https://www.sec.gov/Archives/edgar/data/1858848/000119312526032017/tnya-ex10_1.htm" TargetMode="External"/><Relationship Id="rId301" Type="http://schemas.openxmlformats.org/officeDocument/2006/relationships/hyperlink" Target="https://www.sec.gov/Archives/edgar/data/1858848/000119312521212010/d175698dex105.htm" TargetMode="External"/><Relationship Id="rId302" Type="http://schemas.openxmlformats.org/officeDocument/2006/relationships/hyperlink" Target="https://www.sec.gov/Archives/edgar/data/1858848/000119312521212010/d175698dex108.htm" TargetMode="External"/><Relationship Id="rId303" Type="http://schemas.openxmlformats.org/officeDocument/2006/relationships/hyperlink" Target="https://www.sec.gov/Archives/edgar/data/1858848/000095017025036329/tnya-ex10_10.htm" TargetMode="External"/><Relationship Id="rId304" Type="http://schemas.openxmlformats.org/officeDocument/2006/relationships/hyperlink" Target="https://www.sec.gov/Archives/edgar/data/1858848/000095017023027497/tnya-ex10_1.htm" TargetMode="External"/><Relationship Id="rId305" Type="http://schemas.openxmlformats.org/officeDocument/2006/relationships/hyperlink" Target="https://www.sec.gov/Archives/edgar/data/1858848/000119312521212010/d175698dex1013.htm" TargetMode="External"/><Relationship Id="rId306" Type="http://schemas.openxmlformats.org/officeDocument/2006/relationships/hyperlink" Target="https://www.sec.gov/Archives/edgar/data/1858848/000119312521212010/d175698dex1010.htm" TargetMode="External"/><Relationship Id="rId307" Type="http://schemas.openxmlformats.org/officeDocument/2006/relationships/hyperlink" Target="https://www.sec.gov/Archives/edgar/data/1858848/000095017024094059/tnya-ex10_1.htm" TargetMode="External"/><Relationship Id="rId308" Type="http://schemas.openxmlformats.org/officeDocument/2006/relationships/hyperlink" Target="https://www.sec.gov/Archives/edgar/data/1858848/000119312521212010/d175698dex1011.htm" TargetMode="External"/><Relationship Id="rId309" Type="http://schemas.openxmlformats.org/officeDocument/2006/relationships/hyperlink" Target="https://www.sec.gov/Archives/edgar/data/1858848/000119312522217445/d298774dex12.htm" TargetMode="External"/><Relationship Id="rId310" Type="http://schemas.openxmlformats.org/officeDocument/2006/relationships/hyperlink" Target="https://www.sec.gov/Archives/edgar/data/1858848/000095017025036329/tnya-ex19_1.htm" TargetMode="External"/><Relationship Id="rId313" Type="http://schemas.openxmlformats.org/officeDocument/2006/relationships/hyperlink" Target="https://www.sec.gov/Archives/edgar/data/1858848/000095017024032828/tnya-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2026-03-11T15:43:19Z</dcterms:created>
  <dcterms:modified xsi:type="dcterms:W3CDTF">2026-03-11T15:43:19Z</dcterms:modified>
</cp:coreProperties>
</file>