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CHEN JIN-LONG</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34" w:lineRule="auto"/>
        <w:rPr>
          <w:sz w:val="20"/>
          <w:szCs w:val="20"/>
          <w:color w:val="auto"/>
        </w:rPr>
      </w:pPr>
      <w:r>
        <w:rPr>
          <w:rFonts w:ascii="Times New Roman" w:cs="Times New Roman" w:eastAsia="Times New Roman" w:hAnsi="Times New Roman"/>
          <w:sz w:val="16"/>
          <w:szCs w:val="16"/>
          <w:color w:val="0000FF"/>
        </w:rPr>
        <w:t>C/O TENAYA THERAPEUTICS, INC. 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720" w:type="dxa"/>
            <w:vAlign w:val="bottom"/>
            <w:gridSpan w:val="7"/>
          </w:tcPr>
          <w:p>
            <w:pPr>
              <w:jc w:val="center"/>
              <w:ind w:right="83"/>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Jin-Long Chen</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Jin-Long Chen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2022-06-13T19:53:24Z</dcterms:created>
  <dcterms:modified xsi:type="dcterms:W3CDTF">2022-06-13T19:53:24Z</dcterms:modified>
</cp:coreProperties>
</file>