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6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On January 28, 2026, Tenaya Therapeutics, Inc. (the “Company”) received a letter from the Listing Qualifications Staff (the “Staff”) of The Nasdaq Stock Market LLC (“Nasdaq”) indicating that, based upon the closing bid price of shares of the Company’s common stock for the 30 consecutive business day period between December 12, 2025, through January 27, 2026, the Company did not meet the minimum bid price of $1.00 per share required for continued listing on the Nasdaq Global Select Market pursuant to Nasdaq Listing Rule 5450(a)(1). The letter also indicated that the Company will be provided with a compliance period of 180 calendar days, or until July 27, 2026 (the “Compliance Period”), in which to regain compliance pursuant to Nasdaq Listing Rule 5810(c)(3)(A).</w:t>
      </w:r>
    </w:p>
    <w:p>
      <w:pPr>
        <w:spacing w:after="0" w:line="106"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letter has no immediate impact on the listing of the Company’s common stock, which will continue to be listed and traded on Nasdaq, subject to the Company’s compliance with the other listing requirements of Nasdaq.</w:t>
      </w:r>
    </w:p>
    <w:p>
      <w:pPr>
        <w:spacing w:after="0" w:line="94"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order to regain compliance with Nasdaq’s minimum bid price requirement, shares of the Company’s common stock must maintain a closing bid price of at least $1.00 for a minimum of ten consecutive business days during the Compliance Period, unless the Staff exercises its discretion to extend this ten-day period pursuant to Nasdaq Listing Rule 5810(c)(3)(H). In the event the Company does not regain compliance by the end of the Compliance Period, the Company may be eligible for an additional 180 calendar days to regain compliance (the “Second Compliance Period”) pursuant to Nasdaq Listing Rule 5810(c)(3)(A)(i) by transferring to the Nasdaq Capital Market. To qualify for the Second Compliance Period, the Company would need to submit a transfer application and pay an application fee. In addition, the Company would be required to meet the continued listing requirement for the market value of its publicly held shares and all other initial listing standards for Nasdaq, with the exception of the bid price requirement, and would need to provide written notice of its intention to cure the deficiency during the Second Compliance Period by effecting a reverse stock split, if necessary. However, if it appears to Nasdaq that the Company will be unable to cure the deficiency, or if the Company is not otherwise eligible for the additional cure period, Nasdaq will provide notice that the Company’s shares of common stock will be subject to delisting. There can be no assurance that the Company will be eligible for the Second Compliance Period, if applicable, or that the Staff would grant the Company’s request for continued listing subsequent to any delisting notification.</w:t>
      </w:r>
    </w:p>
    <w:p>
      <w:pPr>
        <w:spacing w:after="0" w:line="12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shares of common stock during the Compliance Period and may, if appropriate, evaluate available options to resolve the deficiency and regain compliance with the minimum bid price requirement. While the Company is exercising diligent efforts to maintain the listing of its common stock on the Nasdaq Global Select Market, there can be no assurance that the Company will be able to regain or maintain compliance with the minimum bid price requirement or any other Nasdaq listing standard.</w:t>
      </w:r>
    </w:p>
    <w:p>
      <w:pPr>
        <w:spacing w:after="0" w:line="95" w:lineRule="exact"/>
        <w:rPr>
          <w:sz w:val="20"/>
          <w:szCs w:val="20"/>
          <w:color w:val="auto"/>
        </w:rPr>
      </w:pPr>
    </w:p>
    <w:p>
      <w:pPr>
        <w:ind w:right="16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91"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Effective January 26, 2026, the Board of Directors (the “Board”) of the Company approved an amendment and restatement to the Tenaya Therapeutics, Inc. 2024 Inducement Equity Incentive Plan (as amended, the “Inducement Plan”) to increase the number of shares reserved for issuance under the Inducement Plan. Subject to the adjustment provisions of the Inducement Plan, the Committee reserved an additional 2,161,000 shares of the Company’s common stock, or 3,361,000 shares of common stock in the aggregate, for issuance pursuant to equity awards granted under the Inducement Plan.</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Inducement Plan was originally approved by the Board in September 2024, and the increase in shares were both adopted without stockholder approval pursuant to the applicable The Nasdaq Listing Rules. The Inducement Plan provides for the grant of equity-based awards, including nonstatutory stock options, stock appreciation rights, restricted stock, restricted stock units, and performance awards, and its terms are substantially similar to the Company’s 2021 Equity Incentive Plan, including with respect to treatment of equity awards in the event of a “merger” or “change in control” as defined under the Inducement Plan, but with such other terms and conditions intended to comply with the Nasdaq inducement award exception or to comply with the Nasdaq acquisition and merger exception.</w:t>
      </w:r>
    </w:p>
    <w:p>
      <w:pPr>
        <w:spacing w:after="0" w:line="18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the Nasdaq Listing Rules, in connection with a merger or acquisition.</w:t>
      </w:r>
    </w:p>
    <w:p>
      <w:pPr>
        <w:spacing w:after="0" w:line="180" w:lineRule="exact"/>
        <w:rPr>
          <w:sz w:val="20"/>
          <w:szCs w:val="20"/>
          <w:color w:val="auto"/>
        </w:rPr>
      </w:pPr>
    </w:p>
    <w:p>
      <w:pPr>
        <w:jc w:val="both"/>
        <w:ind w:right="100" w:firstLine="749"/>
        <w:spacing w:after="0" w:line="312" w:lineRule="auto"/>
        <w:rPr>
          <w:sz w:val="20"/>
          <w:szCs w:val="20"/>
          <w:color w:val="auto"/>
        </w:rPr>
      </w:pPr>
      <w:r>
        <w:rPr>
          <w:rFonts w:ascii="Times New Roman" w:cs="Times New Roman" w:eastAsia="Times New Roman" w:hAnsi="Times New Roman"/>
          <w:sz w:val="17"/>
          <w:szCs w:val="17"/>
          <w:color w:val="auto"/>
        </w:rPr>
        <w:t>A copy of the Inducement Plan and related form agreements under the Inducement Plan are attached as Exhibit 10.1 hereto and incorporated by reference herein. The above description of the Inducement Plan does not purport to be complete and is qualified in its entirety by reference to such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Tenaya Therapeutics, Inc. 2024 Inducement Equity Incentive Plan, as amended, and related forms of stock option and restricted stock unit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agreements.</w:t>
            </w:r>
          </w:p>
        </w:tc>
        <w:tc>
          <w:tcPr>
            <w:tcW w:w="9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Drimmer Rokovich</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-127635</wp:posOffset>
            </wp:positionV>
            <wp:extent cx="3257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w:t>
      </w:r>
    </w:p>
    <w:p>
      <w:pPr>
        <w:spacing w:after="0" w:line="182" w:lineRule="exact"/>
        <w:rPr>
          <w:sz w:val="20"/>
          <w:szCs w:val="20"/>
          <w:color w:val="auto"/>
        </w:rPr>
      </w:pPr>
    </w:p>
    <w:p>
      <w:pPr>
        <w:ind w:right="60" w:firstLine="757"/>
        <w:spacing w:after="0" w:line="244"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 of this Plan is to attract and retain the best available personnel for positions of substantial responsibility by providing an inducement material to individuals entering into employment with the Company or any Parent or Subsidiary of the Company.</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Plan permits the grant of Nonstatutory Stock Options, Restricted Stock, Restricted Stock Units, Stock Appreciation Rights, Performance Awards. Each Award under the Plan is intended to qualify as an employment inducement award under NASDAQ Listing Rule 5635(c)(4), the official regulations and other official interpretive material and guidance issued under such rule (together, the “Inducement Listing Rule”).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06" w:lineRule="exact"/>
        <w:rPr>
          <w:sz w:val="20"/>
          <w:szCs w:val="20"/>
          <w:color w:val="auto"/>
        </w:rPr>
      </w:pPr>
    </w:p>
    <w:p>
      <w:pPr>
        <w:jc w:val="both"/>
        <w:ind w:firstLine="2254"/>
        <w:spacing w:after="0" w:line="238" w:lineRule="auto"/>
        <w:tabs>
          <w:tab w:leader="none" w:pos="2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9" w:lineRule="exact"/>
        <w:rPr>
          <w:sz w:val="20"/>
          <w:szCs w:val="20"/>
          <w:color w:val="auto"/>
        </w:rPr>
      </w:pPr>
    </w:p>
    <w:p>
      <w:pPr>
        <w:jc w:val="both"/>
        <w:ind w:firstLine="2254"/>
        <w:spacing w:after="0" w:line="236" w:lineRule="auto"/>
        <w:tabs>
          <w:tab w:leader="none" w:pos="2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1"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5"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w:t>
      </w:r>
    </w:p>
    <w:p>
      <w:pPr>
        <w:spacing w:after="0" w:line="15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hereof.</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Tenaya Therapeutics, Inc., a Delaware corporation, or any successor thereto.</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Inducement Listing Rule. The Company shall determine in good faith and in the exercise of its discretion whether an individual has become or has ceased to be an Employee and the effective date of such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Exchange Program</w:t>
      </w:r>
      <w:r>
        <w:rPr>
          <w:rFonts w:ascii="Times New Roman" w:cs="Times New Roman" w:eastAsia="Times New Roman" w:hAnsi="Times New Roman"/>
          <w:sz w:val="22"/>
          <w:szCs w:val="22"/>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Pursuant to the provisions of Section 4, the Administrator may not institute an Exchange Program.</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8" w:lineRule="exact"/>
        <w:rPr>
          <w:sz w:val="20"/>
          <w:szCs w:val="20"/>
          <w:color w:val="auto"/>
        </w:rPr>
      </w:pPr>
    </w:p>
    <w:p>
      <w:pPr>
        <w:jc w:val="both"/>
        <w:ind w:firstLine="2254"/>
        <w:spacing w:after="0" w:line="236" w:lineRule="auto"/>
        <w:tabs>
          <w:tab w:leader="none" w:pos="254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firstLine="2254"/>
        <w:spacing w:after="0" w:line="255" w:lineRule="auto"/>
        <w:tabs>
          <w:tab w:leader="none" w:pos="254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or</w:t>
      </w:r>
    </w:p>
    <w:p>
      <w:pPr>
        <w:spacing w:after="0" w:line="161" w:lineRule="exact"/>
        <w:rPr>
          <w:rFonts w:ascii="Times New Roman" w:cs="Times New Roman" w:eastAsia="Times New Roman" w:hAnsi="Times New Roman"/>
          <w:sz w:val="21"/>
          <w:szCs w:val="21"/>
          <w:color w:val="auto"/>
        </w:rPr>
      </w:pPr>
    </w:p>
    <w:p>
      <w:pPr>
        <w:ind w:firstLine="2254"/>
        <w:spacing w:after="0" w:line="258" w:lineRule="auto"/>
        <w:tabs>
          <w:tab w:leader="none" w:pos="254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 and the regulations promulgated thereunder.</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 stock option granted pursuant to the Plan. All Options granted under the Plan will be Nonstatutory Stock Options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Performance Period as defined in Section 10.1.</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u w:val="single" w:color="auto"/>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this 2024 Inducement Equity Incentive Plan.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39" w:lineRule="exact"/>
        <w:rPr>
          <w:sz w:val="20"/>
          <w:szCs w:val="20"/>
          <w:color w:val="auto"/>
        </w:rPr>
      </w:pPr>
    </w:p>
    <w:p>
      <w:pPr>
        <w:jc w:val="both"/>
        <w:ind w:firstLine="1497"/>
        <w:spacing w:after="0" w:line="287" w:lineRule="exact"/>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u w:val="single" w:color="auto"/>
          <w:color w:val="auto"/>
        </w:rPr>
        <w:t>Rule 16b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means Section 16(b) of the Exchange Act.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an Employee, Director or Consultant.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the Common Stock, as adjusted in accordance with Section 14 of the Plan.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spacing w:after="0" w:line="158" w:lineRule="exact"/>
        <w:rPr>
          <w:sz w:val="20"/>
          <w:szCs w:val="20"/>
          <w:color w:val="auto"/>
        </w:rPr>
      </w:pPr>
    </w:p>
    <w:p>
      <w:pPr>
        <w:ind w:left="1500"/>
        <w:spacing w:after="0"/>
        <w:tabs>
          <w:tab w:leader="none" w:pos="9140" w:val="left"/>
        </w:tabs>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w:t>
        <w:tab/>
        <w:t>ing, as defined in Code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2.39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u w:val="single" w:color="auto"/>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ind w:left="1020" w:hanging="263"/>
        <w:spacing w:after="0"/>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 Subject to adjustment upon changes in capitalization of the Company as provided in Section 14, the maximum aggregate number of Shares that may be subject to Awards and sold under the Plan will be equal to 3,361,000 Shares. In addition, Shares may become available for issuance under Section 3.2. The Shares may be authorized but unissued, or reacquired Common Stock.</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Lapsed Awards</w:t>
      </w:r>
      <w:r>
        <w:rPr>
          <w:rFonts w:ascii="Times New Roman" w:cs="Times New Roman" w:eastAsia="Times New Roman" w:hAnsi="Times New Roman"/>
          <w:sz w:val="22"/>
          <w:szCs w:val="22"/>
          <w:color w:val="auto"/>
        </w:rPr>
        <w:t>. If an Award expires or becomes unexercisable without having been exercised in full, or, with respect to Restricted Stock, Restricted Stock Units,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58" w:lineRule="exact"/>
        <w:rPr>
          <w:sz w:val="20"/>
          <w:szCs w:val="20"/>
          <w:color w:val="auto"/>
        </w:rPr>
      </w:pPr>
    </w:p>
    <w:p>
      <w:pPr>
        <w:ind w:left="1500" w:right="7860" w:hanging="743"/>
        <w:spacing w:after="0" w:line="435" w:lineRule="auto"/>
        <w:tabs>
          <w:tab w:leader="none" w:pos="102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 xml:space="preserve">. 4.1 </w:t>
      </w: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4.1.1</w:t>
      </w:r>
      <w:r>
        <w:rPr>
          <w:rFonts w:ascii="Times New Roman" w:cs="Times New Roman" w:eastAsia="Times New Roman" w:hAnsi="Times New Roman"/>
          <w:sz w:val="22"/>
          <w:szCs w:val="22"/>
          <w:u w:val="single" w:color="auto"/>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58"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4.1.2</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58"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4.1.3</w:t>
      </w:r>
      <w:r>
        <w:rPr>
          <w:rFonts w:ascii="Times New Roman" w:cs="Times New Roman" w:eastAsia="Times New Roman" w:hAnsi="Times New Roman"/>
          <w:sz w:val="22"/>
          <w:szCs w:val="22"/>
          <w:u w:val="single" w:color="auto"/>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comply with Applicable Laws. Until and unless determined otherwise by the Board, the Compensation Committee of the Board will have full authority to act as Administrator.</w:t>
      </w:r>
    </w:p>
    <w:p>
      <w:pPr>
        <w:spacing w:after="0" w:line="173" w:lineRule="exact"/>
        <w:rPr>
          <w:sz w:val="20"/>
          <w:szCs w:val="20"/>
          <w:color w:val="auto"/>
        </w:rPr>
      </w:pPr>
    </w:p>
    <w:p>
      <w:pPr>
        <w:jc w:val="both"/>
        <w:ind w:firstLine="2621"/>
        <w:spacing w:after="0" w:line="244" w:lineRule="auto"/>
        <w:rPr>
          <w:sz w:val="20"/>
          <w:szCs w:val="20"/>
          <w:color w:val="auto"/>
        </w:rPr>
      </w:pPr>
      <w:r>
        <w:rPr>
          <w:rFonts w:ascii="Times New Roman" w:cs="Times New Roman" w:eastAsia="Times New Roman" w:hAnsi="Times New Roman"/>
          <w:sz w:val="22"/>
          <w:szCs w:val="22"/>
          <w:color w:val="auto"/>
        </w:rPr>
        <w:t>4.1.4</w:t>
      </w:r>
      <w:r>
        <w:rPr>
          <w:rFonts w:ascii="Times New Roman" w:cs="Times New Roman" w:eastAsia="Times New Roman" w:hAnsi="Times New Roman"/>
          <w:sz w:val="22"/>
          <w:szCs w:val="22"/>
          <w:u w:val="single" w:color="auto"/>
          <w:color w:val="auto"/>
        </w:rPr>
        <w:t>Approval</w:t>
      </w:r>
      <w:r>
        <w:rPr>
          <w:rFonts w:ascii="Times New Roman" w:cs="Times New Roman" w:eastAsia="Times New Roman" w:hAnsi="Times New Roman"/>
          <w:sz w:val="22"/>
          <w:szCs w:val="22"/>
          <w:color w:val="auto"/>
        </w:rPr>
        <w:t>. Awards granted under the Plan must be approved by a majority of the Company’s “Independent Directors” (as defined under the NASDAQ Listing Rules) or the Compensation Committee of the Board, in each case acting as the Administrator.</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200" w:lineRule="exact"/>
        <w:rPr>
          <w:sz w:val="20"/>
          <w:szCs w:val="20"/>
          <w:color w:val="auto"/>
        </w:rPr>
      </w:pPr>
    </w:p>
    <w:p>
      <w:pPr>
        <w:spacing w:after="0" w:line="226" w:lineRule="exact"/>
        <w:rPr>
          <w:sz w:val="20"/>
          <w:szCs w:val="20"/>
          <w:color w:val="auto"/>
        </w:rPr>
      </w:pPr>
    </w:p>
    <w:p>
      <w:pPr>
        <w:ind w:left="2560" w:hanging="306"/>
        <w:spacing w:after="0"/>
        <w:tabs>
          <w:tab w:leader="none" w:pos="25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06" w:lineRule="exact"/>
        <w:rPr>
          <w:rFonts w:ascii="Times New Roman" w:cs="Times New Roman" w:eastAsia="Times New Roman" w:hAnsi="Times New Roman"/>
          <w:sz w:val="22"/>
          <w:szCs w:val="22"/>
          <w:color w:val="auto"/>
        </w:rPr>
      </w:pPr>
    </w:p>
    <w:p>
      <w:pPr>
        <w:ind w:right="20" w:firstLine="2254"/>
        <w:spacing w:after="0" w:line="258" w:lineRule="auto"/>
        <w:tabs>
          <w:tab w:leader="none" w:pos="254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individuals to whom Awards may be granted hereunder, subject to Section 5 (which Awards will be intended as a material inducement to the individual becoming an Employee);</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to be covered by each Award granted hereunder;</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w:t>
      </w:r>
    </w:p>
    <w:p>
      <w:pPr>
        <w:spacing w:after="0" w:line="37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maximum term and post-termination exercisability period of an Award), based in each case on such factors as the Administrator will determine;</w:t>
      </w:r>
    </w:p>
    <w:p>
      <w:pPr>
        <w:spacing w:after="0" w:line="158" w:lineRule="exact"/>
        <w:rPr>
          <w:sz w:val="20"/>
          <w:szCs w:val="20"/>
          <w:color w:val="auto"/>
        </w:rPr>
      </w:pPr>
    </w:p>
    <w:p>
      <w:pPr>
        <w:ind w:left="2560" w:hanging="306"/>
        <w:spacing w:after="0"/>
        <w:tabs>
          <w:tab w:leader="none" w:pos="25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76" w:lineRule="exact"/>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w:t>
      </w:r>
    </w:p>
    <w:p>
      <w:pPr>
        <w:spacing w:after="0" w:line="146"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19.3), including but not limited to the discretionary authority to extend the post-termination exercisability period of Awards and to extend the maximum term of an Option or Stock Appreciation Right (subject to Sections 6.3 and 7.5);</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tax obligations in a manner prescribed in Section 16;</w:t>
      </w:r>
    </w:p>
    <w:p>
      <w:pPr>
        <w:spacing w:after="0" w:line="206"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such Participant under an Award; and</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No Exchange Program</w:t>
      </w:r>
      <w:r>
        <w:rPr>
          <w:rFonts w:ascii="Times New Roman" w:cs="Times New Roman" w:eastAsia="Times New Roman" w:hAnsi="Times New Roman"/>
          <w:sz w:val="22"/>
          <w:szCs w:val="22"/>
          <w:color w:val="auto"/>
        </w:rPr>
        <w:t>. Notwithstanding anything herein to the contrary, the Administrator may not institute an Exchange Program.</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73" w:lineRule="exact"/>
        <w:rPr>
          <w:sz w:val="20"/>
          <w:szCs w:val="20"/>
          <w:color w:val="auto"/>
        </w:rPr>
      </w:pPr>
    </w:p>
    <w:p>
      <w:pPr>
        <w:ind w:right="20" w:firstLine="757"/>
        <w:spacing w:after="0" w:line="258" w:lineRule="auto"/>
        <w:tabs>
          <w:tab w:leader="none" w:pos="10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Performance Awards may be granted to Employees so long as the following requirements are met:</w:t>
      </w:r>
    </w:p>
    <w:p>
      <w:pPr>
        <w:spacing w:after="0" w:line="158" w:lineRule="exact"/>
        <w:rPr>
          <w:sz w:val="20"/>
          <w:szCs w:val="20"/>
          <w:color w:val="auto"/>
        </w:rPr>
      </w:pPr>
    </w:p>
    <w:p>
      <w:pPr>
        <w:ind w:right="200" w:firstLine="1497"/>
        <w:spacing w:after="0" w:line="244" w:lineRule="auto"/>
        <w:rPr>
          <w:sz w:val="20"/>
          <w:szCs w:val="20"/>
          <w:color w:val="auto"/>
        </w:rPr>
      </w:pPr>
      <w:r>
        <w:rPr>
          <w:rFonts w:ascii="Times New Roman" w:cs="Times New Roman" w:eastAsia="Times New Roman" w:hAnsi="Times New Roman"/>
          <w:sz w:val="22"/>
          <w:szCs w:val="22"/>
          <w:color w:val="auto"/>
        </w:rPr>
        <w:t>5.1 The Employee was not previously an Employee or Director, or the Employee is to become employed by the Company or any of its Parents or Subsidiaries following a bona fide period of non-employment (within the meaning of the Inducement Listing Rule); and</w:t>
      </w:r>
    </w:p>
    <w:p>
      <w:pPr>
        <w:spacing w:after="0" w:line="173" w:lineRule="exact"/>
        <w:rPr>
          <w:sz w:val="20"/>
          <w:szCs w:val="20"/>
          <w:color w:val="auto"/>
        </w:rPr>
      </w:pPr>
    </w:p>
    <w:p>
      <w:pPr>
        <w:ind w:left="100" w:right="20" w:firstLine="1408"/>
        <w:spacing w:after="0" w:line="258" w:lineRule="auto"/>
        <w:rPr>
          <w:sz w:val="20"/>
          <w:szCs w:val="20"/>
          <w:color w:val="auto"/>
        </w:rPr>
      </w:pPr>
      <w:r>
        <w:rPr>
          <w:rFonts w:ascii="Times New Roman" w:cs="Times New Roman" w:eastAsia="Times New Roman" w:hAnsi="Times New Roman"/>
          <w:sz w:val="22"/>
          <w:szCs w:val="22"/>
          <w:color w:val="auto"/>
        </w:rPr>
        <w:t>5.2 The grant of the Award or Awards is an inducement material to the Employee’s entering into employment with the Company (or any of its Parents or Subsidiaries, as applicable) in accordance with the Inducement Listing Rule.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ind w:left="1020" w:hanging="263"/>
        <w:spacing w:after="0"/>
        <w:tabs>
          <w:tab w:leader="none" w:pos="10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Grant of Options</w:t>
      </w:r>
      <w:r>
        <w:rPr>
          <w:rFonts w:ascii="Times New Roman" w:cs="Times New Roman" w:eastAsia="Times New Roman" w:hAnsi="Times New Roman"/>
          <w:sz w:val="22"/>
          <w:szCs w:val="22"/>
          <w:color w:val="auto"/>
        </w:rPr>
        <w:t>. Subject to the terms and provisions of the Plan, including without limitation the eligibility requirements of Section 5, the Administrator, at any time and from time to time, may grant Options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Option Exercise Price and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6.4.1</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per Share exercise price for the Shares to be issued pursuant to the exercise of an Option will be determined by the Administrator, but will be no less than one hundred percent (100%) of the Fair Market Value per Share on the date of grant.</w:t>
      </w:r>
    </w:p>
    <w:p>
      <w:pPr>
        <w:spacing w:after="0" w:line="17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6.4.2</w:t>
      </w:r>
      <w:r>
        <w:rPr>
          <w:rFonts w:ascii="Times New Roman" w:cs="Times New Roman" w:eastAsia="Times New Roman" w:hAnsi="Times New Roman"/>
          <w:sz w:val="22"/>
          <w:szCs w:val="22"/>
          <w:u w:val="single" w:color="auto"/>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73"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6.4.3</w:t>
      </w:r>
      <w:r>
        <w:rPr>
          <w:rFonts w:ascii="Times New Roman" w:cs="Times New Roman" w:eastAsia="Times New Roman" w:hAnsi="Times New Roman"/>
          <w:sz w:val="22"/>
          <w:szCs w:val="22"/>
          <w:u w:val="single" w:color="auto"/>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6.5.1</w:t>
      </w:r>
      <w:r>
        <w:rPr>
          <w:rFonts w:ascii="Times New Roman" w:cs="Times New Roman" w:eastAsia="Times New Roman" w:hAnsi="Times New Roman"/>
          <w:sz w:val="22"/>
          <w:szCs w:val="22"/>
          <w:u w:val="single" w:color="auto"/>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1"/>
          <w:szCs w:val="21"/>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71"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6.5.2</w:t>
      </w:r>
      <w:r>
        <w:rPr>
          <w:rFonts w:ascii="Times New Roman" w:cs="Times New Roman" w:eastAsia="Times New Roman" w:hAnsi="Times New Roman"/>
          <w:sz w:val="22"/>
          <w:szCs w:val="22"/>
          <w:u w:val="single" w:color="auto"/>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three (3) months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3"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6.5.3</w:t>
      </w:r>
      <w:r>
        <w:rPr>
          <w:rFonts w:ascii="Times New Roman" w:cs="Times New Roman" w:eastAsia="Times New Roman" w:hAnsi="Times New Roman"/>
          <w:sz w:val="22"/>
          <w:szCs w:val="22"/>
          <w:u w:val="single" w:color="auto"/>
          <w:color w:val="auto"/>
        </w:rPr>
        <w:t>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his or her Option within twelve (12)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6.5.4</w:t>
      </w: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2"/>
          <w:szCs w:val="22"/>
          <w:u w:val="single" w:color="auto"/>
          <w:color w:val="auto"/>
        </w:rPr>
        <w:t>Legal Representative</w:t>
      </w:r>
      <w:r>
        <w:rPr>
          <w:rFonts w:ascii="Times New Roman" w:cs="Times New Roman" w:eastAsia="Times New Roman" w:hAnsi="Times New Roman"/>
          <w:sz w:val="22"/>
          <w:szCs w:val="22"/>
          <w:color w:val="auto"/>
        </w:rPr>
        <w:t>”). If the Option is exercised pursuant to this Section 6.5.4,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6.5.5</w:t>
      </w:r>
      <w:r>
        <w:rPr>
          <w:rFonts w:ascii="Times New Roman" w:cs="Times New Roman" w:eastAsia="Times New Roman" w:hAnsi="Times New Roman"/>
          <w:sz w:val="22"/>
          <w:szCs w:val="22"/>
          <w:u w:val="single" w:color="auto"/>
          <w:color w:val="auto"/>
        </w:rPr>
        <w:t>Tolling Expiration</w:t>
      </w:r>
      <w:r>
        <w:rPr>
          <w:rFonts w:ascii="Times New Roman" w:cs="Times New Roman" w:eastAsia="Times New Roman" w:hAnsi="Times New Roman"/>
          <w:sz w:val="22"/>
          <w:szCs w:val="22"/>
          <w:color w:val="auto"/>
        </w:rPr>
        <w:t>. A Participant’s Award Agreement may also provide that:</w:t>
      </w:r>
    </w:p>
    <w:p>
      <w:pPr>
        <w:spacing w:after="0" w:line="206" w:lineRule="exact"/>
        <w:rPr>
          <w:sz w:val="20"/>
          <w:szCs w:val="20"/>
          <w:color w:val="auto"/>
        </w:rPr>
      </w:pPr>
    </w:p>
    <w:p>
      <w:pPr>
        <w:jc w:val="both"/>
        <w:ind w:firstLine="3003"/>
        <w:spacing w:after="0" w:line="239" w:lineRule="auto"/>
        <w:tabs>
          <w:tab w:leader="none" w:pos="356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80" w:lineRule="exact"/>
        <w:rPr>
          <w:rFonts w:ascii="Times New Roman" w:cs="Times New Roman" w:eastAsia="Times New Roman" w:hAnsi="Times New Roman"/>
          <w:sz w:val="22"/>
          <w:szCs w:val="22"/>
          <w:color w:val="auto"/>
        </w:rPr>
      </w:pPr>
    </w:p>
    <w:p>
      <w:pPr>
        <w:jc w:val="both"/>
        <w:ind w:firstLine="3003"/>
        <w:spacing w:after="0" w:line="236" w:lineRule="auto"/>
        <w:tabs>
          <w:tab w:leader="none" w:pos="356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81"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Grant of Stock Appreciation Rights</w:t>
      </w:r>
      <w:r>
        <w:rPr>
          <w:rFonts w:ascii="Times New Roman" w:cs="Times New Roman" w:eastAsia="Times New Roman" w:hAnsi="Times New Roman"/>
          <w:sz w:val="22"/>
          <w:szCs w:val="22"/>
          <w:color w:val="auto"/>
        </w:rPr>
        <w:t>. Subject to the terms and conditions of the Plan, including without limitation the eligibility requirements of Section 5,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Administrator will have complete discretion to determine the number of Shares subject to any Award of Stock Appreciation Rights.</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Exercise Price and Other Terms</w:t>
      </w:r>
      <w:r>
        <w:rPr>
          <w:rFonts w:ascii="Times New Roman" w:cs="Times New Roman" w:eastAsia="Times New Roman" w:hAnsi="Times New Roman"/>
          <w:sz w:val="22"/>
          <w:szCs w:val="22"/>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Administrator, subject to the provisions of the Plan, will have complete discretion to determine the terms and conditions of Stock Appreciation Rights granted under the Plan.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6.3 relating to the maximum term and Section 6.4 relating to exercise also will apply to Stock Appreciation Rights.</w:t>
      </w:r>
    </w:p>
    <w:p>
      <w:pPr>
        <w:spacing w:after="0" w:line="180" w:lineRule="exact"/>
        <w:rPr>
          <w:sz w:val="20"/>
          <w:szCs w:val="20"/>
          <w:color w:val="auto"/>
        </w:rPr>
      </w:pPr>
    </w:p>
    <w:p>
      <w:pPr>
        <w:ind w:left="1500"/>
        <w:spacing w:after="0"/>
        <w:tabs>
          <w:tab w:leader="none" w:pos="2020" w:val="left"/>
          <w:tab w:leader="none" w:pos="666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u w:val="single" w:color="auto"/>
          <w:color w:val="auto"/>
        </w:rPr>
        <w:t>Payment of Stock Appreciation Right Amount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Upon exercise of a Stock Appreciation Right,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will be entitled to receive payment from the Company in an amount determined by multiplying:</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 The difference between the Fair Market Value of a Share on the date of exercise over the exercise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times</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 The number of Shares with respect to which the Stock Appreciation Right is exercised.</w:t>
      </w:r>
    </w:p>
    <w:p>
      <w:pPr>
        <w:spacing w:after="0" w:line="206"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1020" w:hanging="263"/>
        <w:spacing w:after="0"/>
        <w:tabs>
          <w:tab w:leader="none" w:pos="10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Grant of Restricted Stock</w:t>
      </w:r>
      <w:r>
        <w:rPr>
          <w:rFonts w:ascii="Times New Roman" w:cs="Times New Roman" w:eastAsia="Times New Roman" w:hAnsi="Times New Roman"/>
          <w:sz w:val="21"/>
          <w:szCs w:val="21"/>
          <w:color w:val="auto"/>
        </w:rPr>
        <w:t>. Subject to the terms and conditions of the Plan, including without limitation the eligibility requirements of Section 5, the Administrator, at any time and from time to time, may grant Shares of Restricted Stock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6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Dividends and Other Distributions</w:t>
      </w:r>
      <w:r>
        <w:rPr>
          <w:rFonts w:ascii="Times New Roman" w:cs="Times New Roman" w:eastAsia="Times New Roman" w:hAnsi="Times New Roman"/>
          <w:sz w:val="22"/>
          <w:szCs w:val="22"/>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u w:val="single" w:color="auto"/>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35" w:lineRule="exact"/>
        <w:rPr>
          <w:sz w:val="20"/>
          <w:szCs w:val="20"/>
          <w:color w:val="auto"/>
        </w:rPr>
      </w:pPr>
    </w:p>
    <w:p>
      <w:pPr>
        <w:ind w:left="1020" w:hanging="263"/>
        <w:spacing w:after="0"/>
        <w:tabs>
          <w:tab w:leader="none" w:pos="10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Subject to the terms and conditions of the Plan, including without limitation the eligibility requirements of Section 5, the Administrator, at any time and from time to time, may grant Restricted Stock Units to any individual as a material inducement to the individual becoming an Employee, which grant shall become effective only if the individual actually becomes an Employee, in such amounts as the Administrator, in its sole discretion, will determine.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Subject to the terms and conditions of the Plan, including without limitation the eligibility requirements of Section 5, the Administrator, at any time and from time to time, may grant Performance Awards to any individual as a material inducement to the individual becoming an Employee, which grant shall become effective only if the individual actually becomes an Employee, in such amounts as the Administrator, in its sole discretion, will determine. After the Administrator determines that it will grant Performance Awards under the Plan, it will advise the Participant in an Award Agreement of the terms, conditions, and restrictions related to the grant, including the number of Performance Awards.</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and such other terms and conditions as the Administrator determines. Each Performance Award will have an initial value that is determined by the Administrator on or before its date of grant.</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Objectives or Vesting Provisions and Other Terms</w:t>
      </w:r>
      <w:r>
        <w:rPr>
          <w:rFonts w:ascii="Times New Roman" w:cs="Times New Roman" w:eastAsia="Times New Roman" w:hAnsi="Times New Roman"/>
          <w:sz w:val="22"/>
          <w:szCs w:val="22"/>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 Performance Awards will be forfeited to the Company, and again will be available for grant under the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Limited Transferability of Awards</w:t>
      </w:r>
      <w:r>
        <w:rPr>
          <w:rFonts w:ascii="Times New Roman" w:cs="Times New Roman" w:eastAsia="Times New Roman" w:hAnsi="Times New Roman"/>
          <w:sz w:val="22"/>
          <w:szCs w:val="22"/>
          <w:color w:val="auto"/>
        </w:rPr>
        <w:t>. Unless determined otherwise by the Administrator (and subject to the provisions of Section 4.3),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6.5), and may be exercised, during the lifetime of the Participant, only by the Participant. If the Administrator makes an Award transferable, such Award will contain such additional terms and conditions as the Administrator deems appropriate.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7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prior to the effective date of such proposed transaction. To the extent it has not been previously exercised, an Award will terminate immediately prior to the consummation of such proposed action.</w:t>
      </w:r>
    </w:p>
    <w:p>
      <w:pPr>
        <w:spacing w:after="0" w:line="158"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Merger or Change in Control</w:t>
      </w:r>
      <w:r>
        <w:rPr>
          <w:rFonts w:ascii="Times New Roman" w:cs="Times New Roman" w:eastAsia="Times New Roman" w:hAnsi="Times New Roman"/>
          <w:sz w:val="22"/>
          <w:szCs w:val="22"/>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spacing w:after="0" w:line="19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5"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For the purposes of this Section 14.3 and Section 15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8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and other taxes (including the Participant’s FICA obligation) required to be withheld or paid with respect to such Award (or exercise thereof).</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The Plan will become effective upon its adoption by the Board. It will continue in effect for a term of ten (10) years from the date of the initial action by the Board to adopt the Plan unless terminated earlier under Section 19 of the Plan.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19.1  </w:t>
      </w: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Administrator may at any time amend, alter, suspend or terminate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19.3 </w:t>
      </w:r>
      <w:r>
        <w:rPr>
          <w:rFonts w:ascii="Times New Roman" w:cs="Times New Roman" w:eastAsia="Times New Roman" w:hAnsi="Times New Roman"/>
          <w:sz w:val="22"/>
          <w:szCs w:val="22"/>
          <w:u w:val="single" w:color="auto"/>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0"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Inability to Obtain Authority</w:t>
      </w:r>
      <w:r>
        <w:rPr>
          <w:rFonts w:ascii="Times New Roman" w:cs="Times New Roman" w:eastAsia="Times New Roman" w:hAnsi="Times New Roman"/>
          <w:sz w:val="22"/>
          <w:szCs w:val="22"/>
          <w:color w:val="auto"/>
        </w:rPr>
        <w:t>. The inability of the Company to obtain 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2"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Forfeiture Events</w:t>
      </w:r>
      <w:r>
        <w:rPr>
          <w:rFonts w:ascii="Times New Roman" w:cs="Times New Roman" w:eastAsia="Times New Roman" w:hAnsi="Times New Roman"/>
          <w:sz w:val="22"/>
          <w:szCs w:val="22"/>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(the “</w:t>
      </w: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reason” or “constructive termination” (or similar term) under any agreement with the Company or any Parent or Subsidiary of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Unless otherwise defined herein, the terms defined in the Tenaya Therapeutics, Inc. 2024 Inducement Equity Incentive Plan (the “Plan”) will have the same defined meanings in this Restricted Stock Unit Agreement which includes the Notice of Restricted Stock Unit Grant (the “Notice of Grant”),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(the “Award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an Award of Restricted Stock Units, subject to the terms and conditions of the Plan and this Award Agreement, as follows: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2540</wp:posOffset>
            </wp:positionV>
            <wp:extent cx="28200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2540</wp:posOffset>
            </wp:positionV>
            <wp:extent cx="2820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2540</wp:posOffset>
            </wp:positionV>
            <wp:extent cx="2820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Total Number of</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-12065</wp:posOffset>
            </wp:positionV>
            <wp:extent cx="2820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or set forth below, the Restricted Stock Units will be scheduled to vest in accordance with the following schedule: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[Twenty-five percent (25%) of the Restricted Stock Units will vest on the one (1)-year anniversary of the Vesting Commencement Date, and one sixteenth (1/16th) of the Restricted Stock Units will vest on each Quarterly Vesting Date (as defined below) thereafter, subject to Participant continuing to be a Service Provider through each such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“Quarterly Vesting Date” is February 15, May 15, August 15, and November 15.</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the event of cessation of Participant’s status as a Service Provider for any or no reason before Participant vests in the Restricted Stock Units, the Restricted Stock Units and Participant’s right to acquire any Shares hereunder will terminate immediately, unless specifically provided otherwise in this Award Agreement or other written agreement between Participant and the Company or any of its Subsidiaries or Parents, as applicable.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Tenaya Therapeutics, Inc.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the residence address indicated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00" w:type="dxa"/>
            <w:vAlign w:val="bottom"/>
          </w:tcPr>
          <w:p>
            <w:pPr>
              <w:spacing w:after="0"/>
              <w:rPr>
                <w:sz w:val="20"/>
                <w:szCs w:val="20"/>
                <w:color w:val="auto"/>
              </w:rPr>
            </w:pPr>
            <w:r>
              <w:rPr>
                <w:rFonts w:ascii="Times New Roman" w:cs="Times New Roman" w:eastAsia="Times New Roman" w:hAnsi="Times New Roman"/>
                <w:sz w:val="22"/>
                <w:szCs w:val="22"/>
                <w:color w:val="auto"/>
              </w:rPr>
              <w:t>PARTICIPANT</w:t>
            </w:r>
          </w:p>
        </w:tc>
        <w:tc>
          <w:tcPr>
            <w:tcW w:w="66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TENAYA THERAPEUTICS, INC.</w:t>
            </w:r>
          </w:p>
        </w:tc>
        <w:tc>
          <w:tcPr>
            <w:tcW w:w="0" w:type="dxa"/>
            <w:vAlign w:val="bottom"/>
          </w:tcPr>
          <w:p>
            <w:pPr>
              <w:spacing w:after="0"/>
              <w:rPr>
                <w:sz w:val="1"/>
                <w:szCs w:val="1"/>
                <w:color w:val="auto"/>
              </w:rPr>
            </w:pPr>
          </w:p>
        </w:tc>
      </w:tr>
      <w:tr>
        <w:trPr>
          <w:trHeight w:val="420"/>
        </w:trPr>
        <w:tc>
          <w:tcPr>
            <w:tcW w:w="5300" w:type="dxa"/>
            <w:vAlign w:val="bottom"/>
            <w:tcBorders>
              <w:bottom w:val="single" w:sz="8" w:color="auto"/>
            </w:tcBorders>
          </w:tcPr>
          <w:p>
            <w:pPr>
              <w:spacing w:after="0"/>
              <w:rPr>
                <w:sz w:val="24"/>
                <w:szCs w:val="24"/>
                <w:color w:val="auto"/>
              </w:rPr>
            </w:pPr>
          </w:p>
        </w:tc>
        <w:tc>
          <w:tcPr>
            <w:tcW w:w="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198"/>
        </w:trPr>
        <w:tc>
          <w:tcPr>
            <w:tcW w:w="5300" w:type="dxa"/>
            <w:vAlign w:val="bottom"/>
            <w:tcBorders>
              <w:bottom w:val="single" w:sz="8" w:color="auto"/>
            </w:tcBorders>
          </w:tcPr>
          <w:p>
            <w:pPr>
              <w:spacing w:after="0"/>
              <w:rPr>
                <w:sz w:val="17"/>
                <w:szCs w:val="17"/>
                <w:color w:val="auto"/>
              </w:rPr>
            </w:pPr>
          </w:p>
        </w:tc>
        <w:tc>
          <w:tcPr>
            <w:tcW w:w="6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5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Address:</w:t>
            </w:r>
          </w:p>
        </w:tc>
        <w:tc>
          <w:tcPr>
            <w:tcW w:w="66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7"/>
        </w:trPr>
        <w:tc>
          <w:tcPr>
            <w:tcW w:w="530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- 21 -</w:t>
            </w: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22.1</w:t>
      </w: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individual (“Participant”) named in the Notice of Restricted Stock Unit Grant of this Award Agreement (the “Notice of Grant”) under the Plan an Award of Restricted Stock Units, and subject to the terms and conditions of this Award Agreement and the Plan, which is incorporated herein by reference. Subject to Section 19.3 of the Plan, in the event of a conflict between the terms and conditions of the Plan and this Award Agreement, the terms and conditions of the Plan will prevail.</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22.2</w:t>
      </w: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22.3</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provisions set forth in the Notice of Grant, subject to Participant continuing to be a Service Provider through each applicable vesting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22.4</w:t>
      </w: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22.4.1</w:t>
      </w: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will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22.4.2</w:t>
      </w: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54"/>
        <w:spacing w:after="0" w:line="236" w:lineRule="auto"/>
        <w:tabs>
          <w:tab w:leader="none" w:pos="2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will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1"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connection with the cessation of Participant’s status as a Service Provider (provided that such termination is a “separation from service” within the meaning of Section 409A, as determined by the Administrator), other than due to Participant’s death, and if</w:t>
      </w:r>
    </w:p>
    <w:p>
      <w:pPr>
        <w:spacing w:after="0" w:line="2" w:lineRule="exact"/>
        <w:rPr>
          <w:sz w:val="20"/>
          <w:szCs w:val="20"/>
          <w:color w:val="auto"/>
        </w:rPr>
      </w:pPr>
    </w:p>
    <w:p>
      <w:pPr>
        <w:jc w:val="both"/>
        <w:ind w:firstLine="8"/>
        <w:spacing w:after="0" w:line="232" w:lineRule="auto"/>
        <w:tabs>
          <w:tab w:leader="none" w:pos="31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22.4.3</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22.5</w:t>
      </w:r>
      <w:r>
        <w:rPr>
          <w:rFonts w:ascii="Times New Roman" w:cs="Times New Roman" w:eastAsia="Times New Roman" w:hAnsi="Times New Roman"/>
          <w:sz w:val="21"/>
          <w:szCs w:val="21"/>
          <w:u w:val="single" w:color="auto"/>
          <w:color w:val="auto"/>
        </w:rPr>
        <w:t>Forfeiture Upon Termination as a Service Provider</w:t>
      </w:r>
      <w:r>
        <w:rPr>
          <w:rFonts w:ascii="Times New Roman" w:cs="Times New Roman" w:eastAsia="Times New Roman" w:hAnsi="Times New Roman"/>
          <w:sz w:val="21"/>
          <w:szCs w:val="21"/>
          <w:color w:val="auto"/>
        </w:rPr>
        <w:t>. Unless specifically provided otherwise in this Award Agreement or other written agreement between Participant and the Company or any of its Subsidiaries or Parents, as applicable,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62"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22.6</w:t>
      </w: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will be solely responsible for Participant’s own tax liability that may arise as a result of this investment or the transactions contemplated by this Award Agreement.</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22.7</w:t>
      </w: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22.8</w:t>
      </w:r>
      <w:r>
        <w:rPr>
          <w:rFonts w:ascii="Times New Roman" w:cs="Times New Roman" w:eastAsia="Times New Roman" w:hAnsi="Times New Roman"/>
          <w:sz w:val="22"/>
          <w:szCs w:val="22"/>
          <w:u w:val="single" w:color="auto"/>
          <w:color w:val="auto"/>
        </w:rPr>
        <w:t>Tax Obligations</w:t>
      </w:r>
    </w:p>
    <w:p>
      <w:pPr>
        <w:spacing w:after="0" w:line="206" w:lineRule="exact"/>
        <w:rPr>
          <w:sz w:val="20"/>
          <w:szCs w:val="20"/>
          <w:color w:val="auto"/>
        </w:rPr>
      </w:pPr>
    </w:p>
    <w:p>
      <w:pPr>
        <w:jc w:val="both"/>
        <w:ind w:firstLine="1505"/>
        <w:spacing w:after="0" w:line="232"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2"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xml:space="preserve">. When Shares are issued as payment for vested Restricted Stock Units, Participant generally will recognize immediate U.S. taxable income if Participant is a U.S. taxpayer. If Participant is a non-U.S. taxpayer, Participant will be subject to applicable taxes in his or her jurisdiction. The minimum amount of Tax Obligations which the Company determines must be withheld with respect to this Award (“Tax Withholding Obligation”) will be satisfied by Shares being sold on Participant’s behalf at the prevailing market price pursuant to such procedures as the Administrator may specify from time to time, including through a broker-assisted arrangement (it being understood that the Shares to be sold must have vested pursuant to the terms of this Award Agreement and the Plan). The proceeds from the sale will be used to satisfy Participant’s Tax Withholding Obligation arising with respect to this Award. In addition to Shares sold to satisfy the Tax Withholding Obligation, additional Shares will be sold to satisfy any associated broker or other fees. Only whole Shares will be sold to satisfy any Tax Withholding Obligation. Any proceeds from the sale of Shares in excess of the Tax Withholding Obligation and any associated broker or other fees will be paid to Participant in accordance with procedures the Company may specify from time to time. </w:t>
      </w:r>
      <w:r>
        <w:rPr>
          <w:rFonts w:ascii="Times New Roman" w:cs="Times New Roman" w:eastAsia="Times New Roman" w:hAnsi="Times New Roman"/>
          <w:sz w:val="22"/>
          <w:szCs w:val="22"/>
          <w:b w:val="1"/>
          <w:bCs w:val="1"/>
          <w:color w:val="auto"/>
        </w:rPr>
        <w:t>By accepting this Award, Participant expressly consents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sale of Shares to cover the Tax Withholding Obligations (and any associated broker or other fees) and agrees and acknowledges that Participant may not satisfy them by any means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other than such sale of Shares, unless required to do so by the Administrator or pursuant to the Administrator’s express written consent.</w:t>
      </w:r>
    </w:p>
    <w:p>
      <w:pPr>
        <w:spacing w:after="0" w:line="154" w:lineRule="exact"/>
        <w:rPr>
          <w:sz w:val="20"/>
          <w:szCs w:val="20"/>
          <w:color w:val="auto"/>
        </w:rPr>
      </w:pPr>
    </w:p>
    <w:p>
      <w:pPr>
        <w:jc w:val="both"/>
        <w:ind w:firstLine="1505"/>
        <w:spacing w:after="0" w:line="245" w:lineRule="auto"/>
        <w:tabs>
          <w:tab w:leader="none" w:pos="203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Discretion</w:t>
      </w:r>
      <w:r>
        <w:rPr>
          <w:rFonts w:ascii="Times New Roman" w:cs="Times New Roman" w:eastAsia="Times New Roman" w:hAnsi="Times New Roman"/>
          <w:sz w:val="21"/>
          <w:szCs w:val="21"/>
          <w:color w:val="auto"/>
        </w:rPr>
        <w:t>. If the Administrator determines that Participant cannot satisfy Participant’s Tax Withholding Obligation through the default procedure described in Section 8(b) or the Administrator otherwise determines to allow Participant to satisfy Participant’s Tax Withholding Obligation by a method other than through the default procedure set forth in Section 8(b), it may permit or require Participant to satisfy Participant’s Tax Withholding Obligation, in whole or in part (without limitation), if permissible by applicable local law, by (i) paying cash in U.S. dollars; (ii) electing to have the Company withhold otherwise deliverable Shares having a value equal to the minimum amount statutorily required to be withheld (or such greater amount as Participant may elect if permitted by the Administrator, if such greater amount would not result in adverse financial accounting consequences);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73" w:lineRule="exact"/>
        <w:rPr>
          <w:rFonts w:ascii="Times New Roman" w:cs="Times New Roman" w:eastAsia="Times New Roman" w:hAnsi="Times New Roman"/>
          <w:sz w:val="21"/>
          <w:szCs w:val="21"/>
          <w:color w:val="auto"/>
        </w:rPr>
      </w:pPr>
    </w:p>
    <w:p>
      <w:pPr>
        <w:jc w:val="both"/>
        <w:ind w:firstLine="1505"/>
        <w:spacing w:after="0" w:line="236" w:lineRule="auto"/>
        <w:tabs>
          <w:tab w:leader="none" w:pos="2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Representations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will be responsible for Participant’s own tax liability that may arise as a result of this investment or the transactions contemplated by this Award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22.9</w:t>
      </w: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22.10</w:t>
      </w: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THE RESTRICTED STOCK UNITS PURSUANT TO THE VESTING SCHEDULE HEREOF IS EARNED ONLY BY CONTINUING AS A SERVICE PROVIDER,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22.11</w:t>
      </w: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22.12</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 agrees that: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22.12.1the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22.12.2all decisions with respect to future Restricted Stock Units or other grants, if any, will be at the sole discretion of the Administrator;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22.12.3Participant is voluntarily participating in the Plan;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22.12.4the Restricted Stock Units and the Shares subject to the Restricted Stock Units are not intended to replace any pension rights or compensation;</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22.12.5the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22.12.6the future value of the Shares underlying the Restricted Stock Units is unknown, indeterminable, and cannot be predicted;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5"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22.12.7for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will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7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22.12.8unless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22.12.9the following provisions apply only if Participant is providing services outside the United States:</w:t>
      </w:r>
    </w:p>
    <w:p>
      <w:pPr>
        <w:spacing w:after="0" w:line="206" w:lineRule="exact"/>
        <w:rPr>
          <w:sz w:val="20"/>
          <w:szCs w:val="20"/>
          <w:color w:val="auto"/>
        </w:rPr>
      </w:pPr>
    </w:p>
    <w:p>
      <w:pPr>
        <w:ind w:firstLine="2254"/>
        <w:spacing w:after="0" w:line="258" w:lineRule="auto"/>
        <w:tabs>
          <w:tab w:leader="none" w:pos="254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will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will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22.13</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22.14</w:t>
      </w: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22.15</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Tenaya Therapeutics, Inc., 171 Oyster Point Boulevard, Suite 500, South San Francisco, CA 94080, or at such other address as the Company may hereafter designate in writing.</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22.16</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22.17</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will not in any way be construed as a waiver of any such provision or provisions, nor prevent that party from thereafter enforcing each and every other provision of this Award Agreement. The rights granted both parties herein are cumulative and will not constitute a waiver of either party’s right to assert all other legal remedies available to it under the circumstances.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22.18</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will inure to the benefit of the successors and assigns of the Company. Subject to the restrictions on transfer herein set forth, this Award Agreement will be binding upon Participant and his or her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22.19</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22.20</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22.21</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22.22</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22.23</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22.24</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22.25</w:t>
      </w:r>
      <w:r>
        <w:rPr>
          <w:rFonts w:ascii="Times New Roman" w:cs="Times New Roman" w:eastAsia="Times New Roman" w:hAnsi="Times New Roman"/>
          <w:sz w:val="22"/>
          <w:szCs w:val="22"/>
          <w:u w:val="single" w:color="auto"/>
          <w:color w:val="auto"/>
        </w:rPr>
        <w:t>Governing Law; Venue;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Mateo County, California, or the federal courts for the United States for the Northern District of California, and no other courts, where this Award of Restricted Stock Units is made and/or to be performed..</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22.26</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22.27</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will be subject to any special terms and conditions set forth in an appendix (if any) to this Award Agreement for any country whose laws are applicable to Participant and this Award of Restricted Stock Units (as determined by the Administrator in its sole discretion) (the “Country Addendum”). Moreover, if Participant relocates to one of the countries included in the Country Addendum (if any), the special terms and conditions for such country will apply to</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Participant, to the extent the Company determines that the application of such terms and conditions is necessary or advisable for legal or administrative reasons. The Country Addendum (if any) constitutes a part of this Award Agreement.</w:t>
      </w:r>
    </w:p>
    <w:p>
      <w:pPr>
        <w:spacing w:after="0" w:line="158"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Country Addendum includes additional terms and conditions that govern the Award of Restricted Stock Units granted pursuant to the terms and conditions of the Tenaya Therapeutics, Inc. 2024 Inducement Equity Incentive Plan (the “Plan”) and the Restricted Stock Unit Agreement to which this Country Addendum is attached (the “Restricted Stock Unit Agreement”) to the extent the individual to whom the Restricted Stock Units were granted (“Participant”) resides in one of the countries listed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Country Addendum also includes information regarding exchange controls and certain other issues of which Participant should be aware with respect to his or her participation in the Plan. The information is based on the securities, exchange control and other laws in effect in the respective countries as of [Date] 2024.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 in or receives or sells the Shares covered by the Restricted Stock Units.</w:t>
      </w:r>
    </w:p>
    <w:p>
      <w:pPr>
        <w:spacing w:after="0" w:line="18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working or transfers to another country after the grant of the Restricted Stock Units, or is considered a resident of another country for local law purposes, the information contained herein may not be applicable to Participant in the same manner. In addition, the Company, in its discretion, will determine the extent to which the terms and conditions contained herein will apply to Participant under these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1145540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STOCK OPTION GRANT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Unless otherwise defined herein, the terms defined in the Tenaya Therapeutics, Inc. 2024 Inducement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have the same defined meanings in this Stock Option Agreement, which includes the Notice of Stock Option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Stock Option Grant,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Exercise Notice,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and all other exhibits, appendices, and addenda attached hereto (together,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Option to purchase Common Stock of the Company, subject to the terms and conditions of the Plan and this Option Agreement, as follows:</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Number:</w:t>
            </w:r>
          </w:p>
        </w:tc>
        <w:tc>
          <w:tcPr>
            <w:tcW w:w="4440" w:type="dxa"/>
            <w:vAlign w:val="bottom"/>
            <w:tcBorders>
              <w:bottom w:val="single" w:sz="8" w:color="auto"/>
            </w:tcBorders>
          </w:tcPr>
          <w:p>
            <w:pPr>
              <w:spacing w:after="0"/>
              <w:rPr>
                <w:sz w:val="22"/>
                <w:szCs w:val="22"/>
                <w:color w:val="auto"/>
              </w:rPr>
            </w:pPr>
          </w:p>
        </w:tc>
      </w:tr>
      <w:tr>
        <w:trPr>
          <w:trHeight w:val="439"/>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4440" w:type="dxa"/>
            <w:vAlign w:val="bottom"/>
            <w:tcBorders>
              <w:bottom w:val="single" w:sz="8" w:color="auto"/>
            </w:tcBorders>
          </w:tcPr>
          <w:p>
            <w:pPr>
              <w:spacing w:after="0"/>
              <w:rPr>
                <w:sz w:val="24"/>
                <w:szCs w:val="24"/>
                <w:color w:val="auto"/>
              </w:rPr>
            </w:pPr>
          </w:p>
        </w:tc>
      </w:tr>
      <w:tr>
        <w:trPr>
          <w:trHeight w:val="439"/>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Vesting Commencement Date:</w:t>
            </w:r>
          </w:p>
        </w:tc>
        <w:tc>
          <w:tcPr>
            <w:tcW w:w="4440" w:type="dxa"/>
            <w:vAlign w:val="bottom"/>
            <w:tcBorders>
              <w:bottom w:val="single" w:sz="8" w:color="auto"/>
            </w:tcBorders>
          </w:tcPr>
          <w:p>
            <w:pPr>
              <w:spacing w:after="0"/>
              <w:rPr>
                <w:sz w:val="24"/>
                <w:szCs w:val="24"/>
                <w:color w:val="auto"/>
              </w:rPr>
            </w:pPr>
          </w:p>
        </w:tc>
      </w:tr>
      <w:tr>
        <w:trPr>
          <w:trHeight w:val="439"/>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Exercise Price per Share:</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66"/>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Number of Shares Granted:</w:t>
            </w:r>
          </w:p>
        </w:tc>
        <w:tc>
          <w:tcPr>
            <w:tcW w:w="4440" w:type="dxa"/>
            <w:vAlign w:val="bottom"/>
            <w:tcBorders>
              <w:bottom w:val="single" w:sz="8" w:color="auto"/>
            </w:tcBorders>
          </w:tcPr>
          <w:p>
            <w:pPr>
              <w:spacing w:after="0"/>
              <w:rPr>
                <w:sz w:val="24"/>
                <w:szCs w:val="24"/>
                <w:color w:val="auto"/>
              </w:rPr>
            </w:pPr>
          </w:p>
        </w:tc>
      </w:tr>
      <w:tr>
        <w:trPr>
          <w:trHeight w:val="466"/>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Exercise Price:</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91"/>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Type of Option:</w:t>
            </w:r>
          </w:p>
        </w:tc>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Nonstatutory Stock Option</w:t>
            </w:r>
          </w:p>
        </w:tc>
      </w:tr>
      <w:tr>
        <w:trPr>
          <w:trHeight w:val="460"/>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Term/Expiration Date:</w:t>
            </w:r>
          </w:p>
        </w:tc>
        <w:tc>
          <w:tcPr>
            <w:tcW w:w="4440" w:type="dxa"/>
            <w:vAlign w:val="bottom"/>
            <w:tcBorders>
              <w:bottom w:val="single" w:sz="8" w:color="auto"/>
            </w:tcBorders>
          </w:tcPr>
          <w:p>
            <w:pPr>
              <w:spacing w:after="0"/>
              <w:rPr>
                <w:sz w:val="24"/>
                <w:szCs w:val="24"/>
                <w:color w:val="auto"/>
              </w:rPr>
            </w:pPr>
          </w:p>
        </w:tc>
      </w:tr>
      <w:tr>
        <w:trPr>
          <w:trHeight w:val="412"/>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Vesting Schedule:</w:t>
            </w:r>
          </w:p>
        </w:tc>
        <w:tc>
          <w:tcPr>
            <w:tcW w:w="4440" w:type="dxa"/>
            <w:vAlign w:val="bottom"/>
          </w:tcPr>
          <w:p>
            <w:pPr>
              <w:spacing w:after="0"/>
              <w:rPr>
                <w:sz w:val="24"/>
                <w:szCs w:val="24"/>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spacing w:after="0" w:line="3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1"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vesting schedule, e.g.:</w:t>
      </w:r>
      <w:r>
        <w:rPr>
          <w:rFonts w:ascii="Times New Roman" w:cs="Times New Roman" w:eastAsia="Times New Roman" w:hAnsi="Times New Roman"/>
          <w:sz w:val="22"/>
          <w:szCs w:val="22"/>
          <w:color w:val="auto"/>
        </w:rPr>
        <w:t xml:space="preserve"> Twenty-five percent (25%) of the Total Number of Shares Granted under the Option shall be scheduled to vest on the one (1) year anniversary of the Vesting Commencement Date, and one forty-eighth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Shares Granted under the Option shall be scheduled to vest each month thereafter on the same day of the month as the Vesting Commencement Date (and if there is no corresponding day in a particular month, on the last day of the month), subject to Participant continuing to be a Service Provider through each such date.]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Termination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Option shall be exercisable, to the extent vested, for three (3) months after Participant ceases to be a Service Provider, unless such termination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Exercise Notice,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ectPr>
          <w:pgSz w:w="11900" w:h="16838" w:orient="portrait"/>
          <w:cols w:equalWidth="0" w:num="1">
            <w:col w:w="11240"/>
          </w:cols>
          <w:pgMar w:left="320" w:top="1440" w:right="339" w:bottom="1440" w:gutter="0" w:footer="0" w:header="0"/>
        </w:sect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33604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33604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TENAYA THERAPEUTICS,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3515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351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351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2">
            <w:col w:w="5240" w:space="720"/>
            <w:col w:w="52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STOCK OPTION GRANT</w:t>
      </w:r>
    </w:p>
    <w:p>
      <w:pPr>
        <w:spacing w:after="0" w:line="210" w:lineRule="exact"/>
        <w:rPr>
          <w:sz w:val="20"/>
          <w:szCs w:val="20"/>
          <w:color w:val="auto"/>
        </w:rPr>
      </w:pPr>
    </w:p>
    <w:p>
      <w:pPr>
        <w:ind w:left="1020" w:hanging="263"/>
        <w:spacing w:after="0"/>
        <w:tabs>
          <w:tab w:leader="none" w:pos="10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673"/>
        <w:spacing w:after="0" w:line="236" w:lineRule="auto"/>
        <w:tabs>
          <w:tab w:leader="none" w:pos="203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Stock Option Grant of this Option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the number of Shares set forth in the Notice of Grant, at the exercise price per Share set forth in the Notice of Grant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spacing w:after="0" w:line="181" w:lineRule="exact"/>
        <w:rPr>
          <w:sz w:val="20"/>
          <w:szCs w:val="20"/>
          <w:color w:val="auto"/>
        </w:rPr>
      </w:pPr>
    </w:p>
    <w:p>
      <w:pPr>
        <w:ind w:left="2040" w:hanging="397"/>
        <w:spacing w:after="0"/>
        <w:tabs>
          <w:tab w:leader="none" w:pos="204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will be designated as an NSO.</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673"/>
        <w:spacing w:after="0" w:line="258" w:lineRule="auto"/>
        <w:tabs>
          <w:tab w:leader="none" w:pos="203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This Option shall be exercisable during its term in accordance with the Vesting Schedule set out in the Notice of Grant and with the applicable provisions of the Plan and this Option Agreement.</w:t>
      </w:r>
    </w:p>
    <w:p>
      <w:pPr>
        <w:spacing w:after="0" w:line="158" w:lineRule="exact"/>
        <w:rPr>
          <w:sz w:val="20"/>
          <w:szCs w:val="20"/>
          <w:color w:val="auto"/>
        </w:rPr>
      </w:pPr>
    </w:p>
    <w:p>
      <w:pPr>
        <w:jc w:val="both"/>
        <w:ind w:firstLine="1643"/>
        <w:spacing w:after="0" w:line="244" w:lineRule="auto"/>
        <w:tabs>
          <w:tab w:leader="none" w:pos="203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This Option shall be exercisable by delivery of an exercise notice (the “</w:t>
      </w: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in the form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Notice of Grant or in a manner and pursuant to such procedures as the Administrator may determine, which shall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election to exercise the Option, the number of Shares with respect to which the Option is being exercised (the “</w:t>
      </w:r>
      <w:r>
        <w:rPr>
          <w:rFonts w:ascii="Times New Roman" w:cs="Times New Roman" w:eastAsia="Times New Roman" w:hAnsi="Times New Roman"/>
          <w:sz w:val="22"/>
          <w:szCs w:val="22"/>
          <w:u w:val="single" w:color="auto"/>
          <w:color w:val="auto"/>
        </w:rPr>
        <w:t>Exercised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3" w:lineRule="exact"/>
        <w:rPr>
          <w:sz w:val="20"/>
          <w:szCs w:val="20"/>
          <w:color w:val="auto"/>
        </w:rPr>
      </w:pPr>
    </w:p>
    <w:p>
      <w:pPr>
        <w:ind w:firstLine="757"/>
        <w:spacing w:after="0" w:line="258"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aggregate Exercise Price shall be by any of the following, or a combination thereof, at the election of Participant:</w:t>
      </w:r>
    </w:p>
    <w:p>
      <w:pPr>
        <w:spacing w:after="0" w:line="158" w:lineRule="exact"/>
        <w:rPr>
          <w:rFonts w:ascii="Times New Roman" w:cs="Times New Roman" w:eastAsia="Times New Roman" w:hAnsi="Times New Roman"/>
          <w:sz w:val="22"/>
          <w:szCs w:val="22"/>
          <w:color w:val="auto"/>
        </w:rPr>
      </w:pPr>
    </w:p>
    <w:p>
      <w:pPr>
        <w:ind w:left="2040" w:hanging="367"/>
        <w:spacing w:after="0"/>
        <w:tabs>
          <w:tab w:leader="none" w:pos="20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(ii) check;</w:t>
      </w:r>
    </w:p>
    <w:p>
      <w:pPr>
        <w:spacing w:after="0" w:line="206" w:lineRule="exact"/>
        <w:rPr>
          <w:sz w:val="20"/>
          <w:szCs w:val="20"/>
          <w:color w:val="auto"/>
        </w:rPr>
      </w:pPr>
    </w:p>
    <w:p>
      <w:pPr>
        <w:ind w:firstLine="1613"/>
        <w:spacing w:after="0" w:line="258" w:lineRule="auto"/>
        <w:tabs>
          <w:tab w:leader="none" w:pos="203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by the Company under a formal cashless exercise program adopted by the Company in connection with the Plan; or</w:t>
      </w:r>
    </w:p>
    <w:p>
      <w:pPr>
        <w:spacing w:after="0" w:line="158" w:lineRule="exact"/>
        <w:rPr>
          <w:rFonts w:ascii="Times New Roman" w:cs="Times New Roman" w:eastAsia="Times New Roman" w:hAnsi="Times New Roman"/>
          <w:sz w:val="22"/>
          <w:szCs w:val="22"/>
          <w:color w:val="auto"/>
        </w:rPr>
      </w:pPr>
    </w:p>
    <w:p>
      <w:pPr>
        <w:jc w:val="both"/>
        <w:ind w:firstLine="1619"/>
        <w:spacing w:after="0" w:line="239" w:lineRule="auto"/>
        <w:tabs>
          <w:tab w:leader="none" w:pos="203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 non-U.S. resident’s methods of exercise may be restricted by the terms and conditions of any appendix to this Agreement for Participant’s country (including the Country Addendum, as defined below).</w:t>
      </w:r>
    </w:p>
    <w:p>
      <w:pPr>
        <w:spacing w:after="0" w:line="158" w:lineRule="exact"/>
        <w:rPr>
          <w:sz w:val="20"/>
          <w:szCs w:val="20"/>
          <w:color w:val="auto"/>
        </w:rPr>
      </w:pPr>
    </w:p>
    <w:p>
      <w:pPr>
        <w:ind w:firstLine="757"/>
        <w:spacing w:after="0" w:line="258" w:lineRule="auto"/>
        <w:tabs>
          <w:tab w:leader="none" w:pos="10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This Option may not be transferred in any manner otherwise than by will or by the laws of descent or distribution and may be exercised during the lifetime of Participant only by Participant.</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This Option may be exercised only within the term set out in the Notice of Grant, and may be exercised during such term only in accordance with the Plan and the terms of this Option Agreement.</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673"/>
        <w:spacing w:after="0" w:line="239"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Option, including, without limitation, (i) all federal, state, and local taxes (including Participant’s</w:t>
      </w:r>
    </w:p>
    <w:p>
      <w:pPr>
        <w:spacing w:after="0" w:line="3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90" w:lineRule="exact"/>
        <w:rPr>
          <w:sz w:val="20"/>
          <w:szCs w:val="20"/>
          <w:color w:val="auto"/>
        </w:rPr>
      </w:pPr>
    </w:p>
    <w:p>
      <w:pPr>
        <w:jc w:val="both"/>
        <w:ind w:firstLine="1643"/>
        <w:spacing w:after="0" w:line="247" w:lineRule="auto"/>
        <w:tabs>
          <w:tab w:leader="none" w:pos="203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w:t>
      </w:r>
    </w:p>
    <w:p>
      <w:pPr>
        <w:spacing w:after="0" w:line="1" w:lineRule="exact"/>
        <w:rPr>
          <w:rFonts w:ascii="Times New Roman" w:cs="Times New Roman" w:eastAsia="Times New Roman" w:hAnsi="Times New Roman"/>
          <w:sz w:val="21"/>
          <w:szCs w:val="21"/>
          <w:color w:val="auto"/>
        </w:rPr>
      </w:pPr>
    </w:p>
    <w:p>
      <w:pPr>
        <w:jc w:val="both"/>
        <w:ind w:firstLine="8"/>
        <w:spacing w:after="0" w:line="231" w:lineRule="auto"/>
        <w:tabs>
          <w:tab w:leader="none" w:pos="35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Tax Obligations by reducing the number of Shares otherwise deliverable to Participant.</w:t>
      </w:r>
    </w:p>
    <w:p>
      <w:pPr>
        <w:spacing w:after="0" w:line="186" w:lineRule="exact"/>
        <w:rPr>
          <w:sz w:val="20"/>
          <w:szCs w:val="20"/>
          <w:color w:val="auto"/>
        </w:rPr>
      </w:pPr>
    </w:p>
    <w:p>
      <w:pPr>
        <w:jc w:val="both"/>
        <w:ind w:firstLine="1613"/>
        <w:spacing w:after="0" w:line="244" w:lineRule="auto"/>
        <w:tabs>
          <w:tab w:leader="none" w:pos="203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w:t>
      </w:r>
    </w:p>
    <w:p>
      <w:pPr>
        <w:spacing w:after="0" w:line="3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by the Internal Revenue Service (the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to be less than the fair market value of an underlying share on the date of grant (a “</w:t>
      </w:r>
      <w:r>
        <w:rPr>
          <w:rFonts w:ascii="Times New Roman" w:cs="Times New Roman" w:eastAsia="Times New Roman" w:hAnsi="Times New Roman"/>
          <w:sz w:val="22"/>
          <w:szCs w:val="22"/>
          <w:u w:val="single" w:color="auto"/>
          <w:color w:val="auto"/>
        </w:rPr>
        <w:t>discount option</w:t>
      </w:r>
      <w:r>
        <w:rPr>
          <w:rFonts w:ascii="Times New Roman" w:cs="Times New Roman" w:eastAsia="Times New Roman" w:hAnsi="Times New Roman"/>
          <w:sz w:val="22"/>
          <w:szCs w:val="22"/>
          <w:color w:val="auto"/>
        </w:rPr>
        <w:t>”)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85" w:lineRule="exact"/>
        <w:rPr>
          <w:sz w:val="20"/>
          <w:szCs w:val="20"/>
          <w:color w:val="auto"/>
        </w:rPr>
      </w:pPr>
    </w:p>
    <w:p>
      <w:pPr>
        <w:jc w:val="both"/>
        <w:ind w:firstLine="757"/>
        <w:spacing w:after="0" w:line="236" w:lineRule="auto"/>
        <w:tabs>
          <w:tab w:leader="none" w:pos="10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California.</w:t>
      </w:r>
    </w:p>
    <w:p>
      <w:pPr>
        <w:spacing w:after="0" w:line="176"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w:t>
      </w:r>
    </w:p>
    <w:p>
      <w:pPr>
        <w:spacing w:after="0" w:line="3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SUBSIDIARY EMPLOYING OR RETAINING PARTICIPANT) TO TERMINATE PARTICIPANT’S RELATIONSHIP AS A SERVICE PROVIDER, SUBJECT TO APPLICABLE LAW, WHICH TERMINATION, UNLESS PROVIDED OTHERWISE UNDER APPLICABLE LAW, MAY BE AT ANY TIME, WITH OR WITHOUT CAUSE.</w:t>
      </w:r>
    </w:p>
    <w:p>
      <w:pPr>
        <w:spacing w:after="0" w:line="173"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Option, Participant acknowledges, understands and agrees that: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is voluntary and occasional and does not create any contractual or other right to receive future grants of options, or benefits in lieu of options, even if options have been granted in the past;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option or other grants, if any, will be at the sole discretion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any Shares acquired under the Plan are not intended to replace any pension rights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Option is unknown, indeterminable, and cannot be predicted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certainty;</w:t>
      </w:r>
    </w:p>
    <w:p>
      <w:pPr>
        <w:spacing w:after="0" w:line="182"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underlying Shares do not increase in value, the Option will have no value;</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exercises the Option and acquires Shares, the value of such Shares may increase or decrease in value, even below the Exercise Price;</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77" w:lineRule="exact"/>
        <w:rPr>
          <w:sz w:val="20"/>
          <w:szCs w:val="20"/>
          <w:color w:val="auto"/>
        </w:rPr>
      </w:pPr>
    </w:p>
    <w:p>
      <w:pPr>
        <w:jc w:val="both"/>
        <w:ind w:firstLine="1505"/>
        <w:spacing w:after="0" w:line="239"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sz w:val="20"/>
          <w:szCs w:val="20"/>
          <w:color w:val="auto"/>
        </w:rPr>
      </w:pPr>
    </w:p>
    <w:p>
      <w:pPr>
        <w:ind w:left="3000" w:right="20" w:firstLine="2327"/>
        <w:spacing w:after="0" w:line="258" w:lineRule="auto"/>
        <w:tabs>
          <w:tab w:leader="none" w:pos="560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the Shares subject to the Option are not part of normal or expected compensation or salary for any purpose;</w:t>
      </w:r>
    </w:p>
    <w:p>
      <w:pPr>
        <w:spacing w:after="0" w:line="158" w:lineRule="exact"/>
        <w:rPr>
          <w:sz w:val="20"/>
          <w:szCs w:val="20"/>
          <w:color w:val="auto"/>
        </w:rPr>
      </w:pPr>
    </w:p>
    <w:p>
      <w:pPr>
        <w:jc w:val="both"/>
        <w:ind w:left="3000" w:firstLine="2297"/>
        <w:spacing w:after="0" w:line="238" w:lineRule="auto"/>
        <w:tabs>
          <w:tab w:leader="none" w:pos="560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77" w:lineRule="exact"/>
        <w:rPr>
          <w:sz w:val="20"/>
          <w:szCs w:val="20"/>
          <w:color w:val="auto"/>
        </w:rPr>
      </w:pPr>
    </w:p>
    <w:p>
      <w:pPr>
        <w:jc w:val="both"/>
        <w:ind w:left="3000" w:firstLine="2264"/>
        <w:spacing w:after="0" w:line="233"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(m) </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Option.</w:t>
      </w:r>
    </w:p>
    <w:p>
      <w:pPr>
        <w:spacing w:after="0" w:line="3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Participant is hereby advised to consult with his or her own personal tax, legal and financial advisers regarding his or her participation in the Plan before taking any action related to the Plan.</w:t>
      </w:r>
    </w:p>
    <w:p>
      <w:pPr>
        <w:spacing w:after="0" w:line="152" w:lineRule="exact"/>
        <w:rPr>
          <w:sz w:val="20"/>
          <w:szCs w:val="20"/>
          <w:color w:val="auto"/>
        </w:rPr>
      </w:pPr>
    </w:p>
    <w:p>
      <w:pPr>
        <w:jc w:val="both"/>
        <w:ind w:firstLine="757"/>
        <w:spacing w:after="0" w:line="241"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Participant hereby explicitly and unambiguously consents to the collection, use and transfer,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3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5" w:lineRule="exact"/>
        <w:rPr>
          <w:sz w:val="20"/>
          <w:szCs w:val="20"/>
          <w:color w:val="auto"/>
        </w:rPr>
      </w:pPr>
    </w:p>
    <w:p>
      <w:pPr>
        <w:jc w:val="both"/>
        <w:ind w:left="-280" w:firstLine="757"/>
        <w:spacing w:after="0" w:line="244" w:lineRule="auto"/>
        <w:tabs>
          <w:tab w:leader="none" w:pos="73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Option Agreement will be addressed to the Company at Tenaya Therapeutics, Inc., 171 Oyster Point Boulevard South San Francisco, CA 94080, or at such other address as the Company may hereafter designate in writing.</w:t>
      </w:r>
    </w:p>
    <w:p>
      <w:pPr>
        <w:spacing w:after="0" w:line="173" w:lineRule="exact"/>
        <w:rPr>
          <w:rFonts w:ascii="Times New Roman" w:cs="Times New Roman" w:eastAsia="Times New Roman" w:hAnsi="Times New Roman"/>
          <w:sz w:val="22"/>
          <w:szCs w:val="22"/>
          <w:color w:val="auto"/>
        </w:rPr>
      </w:pPr>
    </w:p>
    <w:p>
      <w:pPr>
        <w:jc w:val="both"/>
        <w:ind w:left="-280" w:firstLine="757"/>
        <w:spacing w:after="0" w:line="238" w:lineRule="auto"/>
        <w:tabs>
          <w:tab w:leader="none" w:pos="73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w:t>
      </w:r>
    </w:p>
    <w:p>
      <w:pPr>
        <w:spacing w:after="0" w:line="176" w:lineRule="exact"/>
        <w:rPr>
          <w:rFonts w:ascii="Times New Roman" w:cs="Times New Roman" w:eastAsia="Times New Roman" w:hAnsi="Times New Roman"/>
          <w:sz w:val="22"/>
          <w:szCs w:val="22"/>
          <w:color w:val="auto"/>
        </w:rPr>
      </w:pPr>
    </w:p>
    <w:p>
      <w:pPr>
        <w:jc w:val="both"/>
        <w:ind w:left="-280" w:firstLine="757"/>
        <w:spacing w:after="0" w:line="233" w:lineRule="auto"/>
        <w:tabs>
          <w:tab w:leader="none" w:pos="73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4" w:lineRule="exact"/>
        <w:rPr>
          <w:rFonts w:ascii="Times New Roman" w:cs="Times New Roman" w:eastAsia="Times New Roman" w:hAnsi="Times New Roman"/>
          <w:sz w:val="22"/>
          <w:szCs w:val="22"/>
          <w:color w:val="auto"/>
        </w:rPr>
      </w:pPr>
    </w:p>
    <w:p>
      <w:pPr>
        <w:jc w:val="both"/>
        <w:ind w:left="-280" w:right="20" w:firstLine="757"/>
        <w:spacing w:after="0" w:line="244" w:lineRule="auto"/>
        <w:tabs>
          <w:tab w:leader="none" w:pos="73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280" w:firstLine="757"/>
        <w:spacing w:after="0" w:line="235" w:lineRule="auto"/>
        <w:tabs>
          <w:tab w:leader="none" w:pos="73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3" w:lineRule="exact"/>
        <w:rPr>
          <w:rFonts w:ascii="Times New Roman" w:cs="Times New Roman" w:eastAsia="Times New Roman" w:hAnsi="Times New Roman"/>
          <w:sz w:val="22"/>
          <w:szCs w:val="22"/>
          <w:color w:val="auto"/>
        </w:rPr>
      </w:pPr>
    </w:p>
    <w:p>
      <w:pPr>
        <w:jc w:val="both"/>
        <w:ind w:left="-280" w:firstLine="757"/>
        <w:spacing w:after="0" w:line="261" w:lineRule="auto"/>
        <w:tabs>
          <w:tab w:leader="none" w:pos="73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and Acceptance</w:t>
      </w:r>
      <w:r>
        <w:rPr>
          <w:rFonts w:ascii="Times New Roman" w:cs="Times New Roman" w:eastAsia="Times New Roman" w:hAnsi="Times New Roman"/>
          <w:sz w:val="21"/>
          <w:szCs w:val="21"/>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40" w:right="339" w:bottom="1440" w:gutter="0" w:footer="0" w:header="0"/>
        </w:sectPr>
      </w:pPr>
    </w:p>
    <w:bookmarkStart w:id="46" w:name="page47"/>
    <w:bookmarkEnd w:id="4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delivery and agrees to participate in the Plan through any on-line or electronic system established and maintained by the Company or a third party designated by the Company.</w:t>
      </w:r>
    </w:p>
    <w:p>
      <w:pPr>
        <w:spacing w:after="0" w:line="158" w:lineRule="exact"/>
        <w:rPr>
          <w:sz w:val="20"/>
          <w:szCs w:val="20"/>
          <w:color w:val="auto"/>
        </w:rPr>
      </w:pPr>
    </w:p>
    <w:p>
      <w:pPr>
        <w:ind w:firstLine="757"/>
        <w:spacing w:after="0" w:line="258"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Option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Agreement Severable</w:t>
      </w:r>
      <w:r>
        <w:rPr>
          <w:rFonts w:ascii="Times New Roman" w:cs="Times New Roman" w:eastAsia="Times New Roman" w:hAnsi="Times New Roman"/>
          <w:sz w:val="22"/>
          <w:szCs w:val="22"/>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sz w:val="20"/>
          <w:szCs w:val="20"/>
          <w:color w:val="auto"/>
        </w:rPr>
      </w:pPr>
    </w:p>
    <w:p>
      <w:pPr>
        <w:jc w:val="both"/>
        <w:ind w:firstLine="757"/>
        <w:spacing w:after="0" w:line="235" w:lineRule="auto"/>
        <w:tabs>
          <w:tab w:leader="none" w:pos="10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Option Agreement</w:t>
      </w:r>
      <w:r>
        <w:rPr>
          <w:rFonts w:ascii="Times New Roman" w:cs="Times New Roman" w:eastAsia="Times New Roman" w:hAnsi="Times New Roman"/>
          <w:sz w:val="22"/>
          <w:szCs w:val="22"/>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w:t>
      </w:r>
    </w:p>
    <w:p>
      <w:pPr>
        <w:spacing w:after="0" w:line="3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3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EXERCISE NOTICE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 Oyster Point Boulevard</w:t>
      </w:r>
    </w:p>
    <w:p>
      <w:pPr>
        <w:spacing w:after="0" w:line="230"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Stock Administration</w:t>
      </w:r>
    </w:p>
    <w:p>
      <w:pPr>
        <w:spacing w:after="0" w:line="182" w:lineRule="exact"/>
        <w:rPr>
          <w:sz w:val="20"/>
          <w:szCs w:val="20"/>
          <w:color w:val="auto"/>
        </w:rPr>
      </w:pPr>
    </w:p>
    <w:p>
      <w:pPr>
        <w:jc w:val="both"/>
        <w:ind w:firstLine="757"/>
        <w:spacing w:after="0" w:line="235" w:lineRule="auto"/>
        <w:tabs>
          <w:tab w:leader="none" w:pos="101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Effective as of today, ________________, ____, the undersigned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hereby elects to exercise Participant’s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________________ shares of the Common Stock (the “Shares”) of Tenaya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and pursuant to the 2024 Inducement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and the Stock Option Agreement dated ______________, _____, including the Notice of Stock Option Grant, and the Terms and Conditions of Stock Option Grant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thereto and other exhibits, appendices and addenda attached thereto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178" w:lineRule="exact"/>
        <w:rPr>
          <w:sz w:val="20"/>
          <w:szCs w:val="20"/>
          <w:color w:val="auto"/>
        </w:rPr>
      </w:pPr>
    </w:p>
    <w:p>
      <w:pPr>
        <w:ind w:right="20" w:firstLine="757"/>
        <w:spacing w:after="0" w:line="258" w:lineRule="auto"/>
        <w:tabs>
          <w:tab w:leader="none" w:pos="10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Payment</w:t>
      </w:r>
      <w:r>
        <w:rPr>
          <w:rFonts w:ascii="Times New Roman" w:cs="Times New Roman" w:eastAsia="Times New Roman" w:hAnsi="Times New Roman"/>
          <w:sz w:val="22"/>
          <w:szCs w:val="22"/>
          <w:color w:val="auto"/>
        </w:rPr>
        <w:t>. Participant herewith delivers to the Company the full purchase price of the Shares, as set forth in the Option Agreement, and any Tax Obligations to be paid in connection with the exercise of the Option.</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Participant</w:t>
      </w:r>
      <w:r>
        <w:rPr>
          <w:rFonts w:ascii="Times New Roman" w:cs="Times New Roman" w:eastAsia="Times New Roman" w:hAnsi="Times New Roman"/>
          <w:sz w:val="22"/>
          <w:szCs w:val="22"/>
          <w:color w:val="auto"/>
        </w:rPr>
        <w:t>. Participant acknowledges that Participant has received, read and understood the Plan and the Option Agreement and agrees to abide by and be bound by their terms and conditions.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Consultation</w:t>
      </w:r>
      <w:r>
        <w:rPr>
          <w:rFonts w:ascii="Times New Roman" w:cs="Times New Roman" w:eastAsia="Times New Roman" w:hAnsi="Times New Roman"/>
          <w:sz w:val="22"/>
          <w:szCs w:val="22"/>
          <w:color w:val="auto"/>
        </w:rPr>
        <w:t>. Participant understands that Participant may suffer adverse tax consequences as a result of Participant’s purchase or disposition of the Shares. Participant represents that Participant has consulted with any tax consultants Participant deems advisable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connection with the purchase or disposition of the Shares and that Participant is not relying on the Company for any tax advice.</w:t>
      </w:r>
    </w:p>
    <w:p>
      <w:pPr>
        <w:spacing w:after="0" w:line="206" w:lineRule="exact"/>
        <w:rPr>
          <w:sz w:val="20"/>
          <w:szCs w:val="20"/>
          <w:color w:val="auto"/>
        </w:rPr>
      </w:pPr>
    </w:p>
    <w:p>
      <w:pPr>
        <w:jc w:val="both"/>
        <w:ind w:firstLine="757"/>
        <w:spacing w:after="0" w:line="244" w:lineRule="auto"/>
        <w:tabs>
          <w:tab w:leader="none" w:pos="101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ectPr>
          <w:pgSz w:w="11900" w:h="16838" w:orient="portrait"/>
          <w:cols w:equalWidth="0" w:num="1">
            <w:col w:w="11240"/>
          </w:cols>
          <w:pgMar w:left="320" w:top="1440" w:right="339" w:bottom="1440" w:gutter="0" w:footer="0" w:header="0"/>
        </w:sect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Submitted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3604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33604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TENAYA THERAPEUTICS,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3515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351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23"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3351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335280</wp:posOffset>
            </wp:positionV>
            <wp:extent cx="33515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240" w:space="720"/>
            <w:col w:w="5280"/>
          </w:cols>
          <w:pgMar w:left="320" w:top="1440" w:right="3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right"/>
        <w:ind w:right="4220"/>
        <w:spacing w:after="0"/>
        <w:rPr>
          <w:sz w:val="20"/>
          <w:szCs w:val="20"/>
          <w:color w:val="auto"/>
        </w:rPr>
      </w:pPr>
      <w:r>
        <w:rPr>
          <w:rFonts w:ascii="Times New Roman" w:cs="Times New Roman" w:eastAsia="Times New Roman" w:hAnsi="Times New Roman"/>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STOCK OPTION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Stock Option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Option Agreement of which this Country Addendum forms a part (or the Plan or other written agreement as specified in the Option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2024. Such Applicable Laws often are</w:t>
      </w:r>
    </w:p>
    <w:p>
      <w:pPr>
        <w:jc w:val="both"/>
        <w:spacing w:after="0" w:line="234" w:lineRule="auto"/>
        <w:rPr>
          <w:sz w:val="20"/>
          <w:szCs w:val="20"/>
          <w:color w:val="auto"/>
        </w:rPr>
      </w:pPr>
      <w:r>
        <w:rPr>
          <w:rFonts w:ascii="Times New Roman" w:cs="Times New Roman" w:eastAsia="Times New Roman" w:hAnsi="Times New Roman"/>
          <w:sz w:val="22"/>
          <w:szCs w:val="22"/>
          <w:color w:val="auto"/>
        </w:rPr>
        <w:t>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2"/>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decimal"/>
      <w:start w:val="3"/>
    </w:lvl>
  </w:abstractNum>
  <w:abstractNum w:abstractNumId="6">
    <w:nsid w:val="79838CB2"/>
    <w:multiLevelType w:val="hybridMultilevel"/>
    <w:lvl w:ilvl="0">
      <w:lvlJc w:val="left"/>
      <w:lvlText w:val="%1."/>
      <w:numFmt w:val="decimal"/>
      <w:start w:val="4"/>
    </w:lvl>
  </w:abstractNum>
  <w:abstractNum w:abstractNumId="7">
    <w:nsid w:val="4353D0CD"/>
    <w:multiLevelType w:val="hybridMultilevel"/>
    <w:lvl w:ilvl="0">
      <w:lvlJc w:val="left"/>
      <w:lvlText w:val="(%1)"/>
      <w:numFmt w:val="lowerLetter"/>
      <w:start w:val="1"/>
    </w:lvl>
    <w:lvl w:ilvl="1">
      <w:lvlJc w:val="left"/>
      <w:lvlText w:val="-"/>
      <w:numFmt w:val="bullet"/>
      <w:start w:val="1"/>
    </w:lvl>
  </w:abstractNum>
  <w:abstractNum w:abstractNumId="8">
    <w:nsid w:val="B03E0C6"/>
    <w:multiLevelType w:val="hybridMultilevel"/>
    <w:lvl w:ilvl="0">
      <w:lvlJc w:val="left"/>
      <w:lvlText w:val="(%1)"/>
      <w:numFmt w:val="lowerLetter"/>
      <w:start w:val="6"/>
    </w:lvl>
  </w:abstractNum>
  <w:abstractNum w:abstractNumId="9">
    <w:nsid w:val="189A769B"/>
    <w:multiLevelType w:val="hybridMultilevel"/>
    <w:lvl w:ilvl="0">
      <w:lvlJc w:val="left"/>
      <w:lvlText w:val="%1."/>
      <w:numFmt w:val="decimal"/>
      <w:start w:val="5"/>
    </w:lvl>
  </w:abstractNum>
  <w:abstractNum w:abstractNumId="10">
    <w:nsid w:val="54E49EB4"/>
    <w:multiLevelType w:val="hybridMultilevel"/>
    <w:lvl w:ilvl="0">
      <w:lvlJc w:val="left"/>
      <w:lvlText w:val="%1."/>
      <w:numFmt w:val="decimal"/>
      <w:start w:val="6"/>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decimal"/>
      <w:start w:val="7"/>
    </w:lvl>
  </w:abstractNum>
  <w:abstractNum w:abstractNumId="13">
    <w:nsid w:val="836C40E"/>
    <w:multiLevelType w:val="hybridMultilevel"/>
    <w:lvl w:ilvl="0">
      <w:lvlJc w:val="left"/>
      <w:lvlText w:val="%1."/>
      <w:numFmt w:val="decimal"/>
      <w:start w:val="8"/>
    </w:lvl>
  </w:abstractNum>
  <w:abstractNum w:abstractNumId="14">
    <w:nsid w:val="2901D82"/>
    <w:multiLevelType w:val="hybridMultilevel"/>
    <w:lvl w:ilvl="0">
      <w:lvlJc w:val="left"/>
      <w:lvlText w:val="%1."/>
      <w:numFmt w:val="decimal"/>
      <w:start w:val="9"/>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Roman"/>
      <w:start w:val="10"/>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3"/>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lvl w:ilvl="1">
      <w:lvlJc w:val="left"/>
      <w:lvlText w:val="(%2)"/>
      <w:numFmt w:val="lowerLetter"/>
      <w:start w:val="9"/>
    </w:lvl>
  </w:abstractNum>
  <w:abstractNum w:abstractNumId="21">
    <w:nsid w:val="22221A70"/>
    <w:multiLevelType w:val="hybridMultilevel"/>
    <w:lvl w:ilvl="0">
      <w:lvlJc w:val="left"/>
      <w:lvlText w:val="%1"/>
      <w:numFmt w:val="lowerLetter"/>
      <w:start w:val="1"/>
    </w:lvl>
    <w:lvl w:ilvl="1">
      <w:lvlJc w:val="left"/>
      <w:lvlText w:val="(%2)"/>
      <w:numFmt w:val="lowerLetter"/>
      <w:start w:val="35"/>
    </w:lvl>
  </w:abstractNum>
  <w:abstractNum w:abstractNumId="22">
    <w:nsid w:val="4516DDE9"/>
    <w:multiLevelType w:val="hybridMultilevel"/>
    <w:lvl w:ilvl="0">
      <w:lvlJc w:val="left"/>
      <w:lvlText w:val="(%1)"/>
      <w:numFmt w:val="lowerLetter"/>
      <w:start w:val="2"/>
    </w:lvl>
    <w:lvl w:ilvl="1">
      <w:lvlJc w:val="left"/>
      <w:lvlText w:val="%2"/>
      <w:numFmt w:val="lowerLetter"/>
      <w:start w:val="1"/>
    </w:lvl>
  </w:abstractNum>
  <w:abstractNum w:abstractNumId="23">
    <w:nsid w:val="3006C83E"/>
    <w:multiLevelType w:val="hybridMultilevel"/>
    <w:lvl w:ilvl="0">
      <w:lvlJc w:val="left"/>
      <w:lvlText w:val="(%1)"/>
      <w:numFmt w:val="lowerRoman"/>
      <w:start w:val="1"/>
    </w:lvl>
  </w:abstractNum>
  <w:abstractNum w:abstractNumId="24">
    <w:nsid w:val="614FD4A1"/>
    <w:multiLevelType w:val="hybridMultilevel"/>
    <w:lvl w:ilvl="0">
      <w:lvlJc w:val="left"/>
      <w:lvlText w:val="(%1)"/>
      <w:numFmt w:val="lowerRoman"/>
      <w:start w:val="2"/>
    </w:lvl>
  </w:abstractNum>
  <w:abstractNum w:abstractNumId="25">
    <w:nsid w:val="419AC241"/>
    <w:multiLevelType w:val="hybridMultilevel"/>
    <w:lvl w:ilvl="0">
      <w:lvlJc w:val="left"/>
      <w:lvlText w:val="(%1)"/>
      <w:numFmt w:val="lowerLetter"/>
      <w:start w:val="5"/>
    </w:lvl>
    <w:lvl w:ilvl="1">
      <w:lvlJc w:val="left"/>
      <w:lvlText w:val="(%2)"/>
      <w:numFmt w:val="lowerLetter"/>
      <w:start w:val="9"/>
    </w:lvl>
  </w:abstractNum>
  <w:abstractNum w:abstractNumId="26">
    <w:nsid w:val="5577F8E1"/>
    <w:multiLevelType w:val="hybridMultilevel"/>
    <w:lvl w:ilvl="0">
      <w:lvlJc w:val="left"/>
      <w:lvlText w:val="(%1)"/>
      <w:numFmt w:val="lowerRoman"/>
      <w:start w:val="3"/>
    </w:lvl>
  </w:abstractNum>
  <w:abstractNum w:abstractNumId="27">
    <w:nsid w:val="440BADFC"/>
    <w:multiLevelType w:val="hybridMultilevel"/>
    <w:lvl w:ilvl="0">
      <w:lvlJc w:val="left"/>
      <w:lvlText w:val="(%1)"/>
      <w:numFmt w:val="lowerLetter"/>
      <w:start w:val="6"/>
    </w:lvl>
    <w:lvl w:ilvl="1">
      <w:lvlJc w:val="left"/>
      <w:lvlText w:val="(%2)"/>
      <w:numFmt w:val="lowerLetter"/>
      <w:start w:val="9"/>
    </w:lvl>
  </w:abstractNum>
  <w:abstractNum w:abstractNumId="28">
    <w:nsid w:val="5072367"/>
    <w:multiLevelType w:val="hybridMultilevel"/>
    <w:lvl w:ilvl="0">
      <w:lvlJc w:val="left"/>
      <w:lvlText w:val="%1"/>
      <w:numFmt w:val="lowerRoman"/>
      <w:start w:val="1"/>
    </w:lvl>
    <w:lvl w:ilvl="1">
      <w:lvlJc w:val="left"/>
      <w:lvlText w:val="(%2)"/>
      <w:numFmt w:val="lowerRoman"/>
      <w:start w:val="2"/>
    </w:lvl>
  </w:abstractNum>
  <w:abstractNum w:abstractNumId="29">
    <w:nsid w:val="3804823E"/>
    <w:multiLevelType w:val="hybridMultilevel"/>
    <w:lvl w:ilvl="0">
      <w:lvlJc w:val="left"/>
      <w:lvlText w:val="(%1)"/>
      <w:numFmt w:val="lowerRoman"/>
      <w:start w:val="2"/>
    </w:lvl>
    <w:lvl w:ilvl="1">
      <w:lvlJc w:val="left"/>
      <w:lvlText w:val="%2"/>
      <w:numFmt w:val="lowerRoman"/>
      <w:start w:val="1"/>
    </w:lvl>
  </w:abstractNum>
  <w:abstractNum w:abstractNumId="30">
    <w:nsid w:val="77465F01"/>
    <w:multiLevelType w:val="hybridMultilevel"/>
    <w:lvl w:ilvl="0">
      <w:lvlJc w:val="left"/>
      <w:lvlText w:val="(%1)"/>
      <w:numFmt w:val="lowerRoman"/>
      <w:start w:val="3"/>
    </w:lvl>
  </w:abstractNum>
  <w:abstractNum w:abstractNumId="31">
    <w:nsid w:val="7724C67E"/>
    <w:multiLevelType w:val="hybridMultilevel"/>
    <w:lvl w:ilvl="0">
      <w:lvlJc w:val="left"/>
      <w:lvlText w:val="(%1)"/>
      <w:numFmt w:val="lowerLetter"/>
      <w:start w:val="9"/>
    </w:lvl>
  </w:abstractNum>
  <w:abstractNum w:abstractNumId="32">
    <w:nsid w:val="5C482A97"/>
    <w:multiLevelType w:val="hybridMultilevel"/>
    <w:lvl w:ilvl="0">
      <w:lvlJc w:val="left"/>
      <w:lvlText w:val="(%1)"/>
      <w:numFmt w:val="lowerLetter"/>
      <w:start w:val="12"/>
    </w:lvl>
    <w:lvl w:ilvl="1">
      <w:lvlJc w:val="left"/>
      <w:lvlText w:val="(%2)"/>
      <w:numFmt w:val="lowerLetter"/>
      <w:start w:val="6"/>
    </w:lvl>
  </w:abstractNum>
  <w:abstractNum w:abstractNumId="33">
    <w:nsid w:val="2463B9EA"/>
    <w:multiLevelType w:val="hybridMultilevel"/>
    <w:lvl w:ilvl="0">
      <w:lvlJc w:val="left"/>
      <w:lvlText w:val="(%1)"/>
      <w:numFmt w:val="lowerLetter"/>
      <w:start w:val="15"/>
    </w:lvl>
  </w:abstractNum>
  <w:abstractNum w:abstractNumId="34">
    <w:nsid w:val="5E884ADC"/>
    <w:multiLevelType w:val="hybridMultilevel"/>
    <w:lvl w:ilvl="0">
      <w:lvlJc w:val="left"/>
      <w:lvlText w:val="(%1)"/>
      <w:numFmt w:val="lowerRoman"/>
      <w:start w:val="1"/>
    </w:lvl>
  </w:abstractNum>
  <w:abstractNum w:abstractNumId="35">
    <w:nsid w:val="51EAD36B"/>
    <w:multiLevelType w:val="hybridMultilevel"/>
    <w:lvl w:ilvl="0">
      <w:lvlJc w:val="left"/>
      <w:lvlText w:val="(%1)"/>
      <w:numFmt w:val="lowerRoman"/>
      <w:start w:val="2"/>
    </w:lvl>
  </w:abstractNum>
  <w:abstractNum w:abstractNumId="36">
    <w:nsid w:val="2D517796"/>
    <w:multiLevelType w:val="hybridMultilevel"/>
    <w:lvl w:ilvl="0">
      <w:lvlJc w:val="left"/>
      <w:lvlText w:val="(%1)"/>
      <w:numFmt w:val="lowerLetter"/>
      <w:start w:val="14"/>
    </w:lvl>
  </w:abstractNum>
  <w:abstractNum w:abstractNumId="37">
    <w:nsid w:val="580BD78F"/>
    <w:multiLevelType w:val="hybridMultilevel"/>
    <w:lvl w:ilvl="0">
      <w:lvlJc w:val="left"/>
      <w:lvlText w:val="(%1)"/>
      <w:numFmt w:val="lowerLetter"/>
      <w:start w:val="15"/>
    </w:lvl>
  </w:abstractNum>
  <w:abstractNum w:abstractNumId="38">
    <w:nsid w:val="153EA438"/>
    <w:multiLevelType w:val="hybridMultilevel"/>
    <w:lvl w:ilvl="0">
      <w:lvlJc w:val="left"/>
      <w:lvlText w:val="(%1)"/>
      <w:numFmt w:val="lowerLetter"/>
      <w:start w:val="21"/>
    </w:lvl>
  </w:abstractNum>
  <w:abstractNum w:abstractNumId="39">
    <w:nsid w:val="3855585C"/>
    <w:multiLevelType w:val="hybridMultilevel"/>
    <w:lvl w:ilvl="0">
      <w:lvlJc w:val="left"/>
      <w:lvlText w:val="(%1)"/>
      <w:numFmt w:val="lowerLetter"/>
      <w:start w:val="24"/>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2026-01-30T17:46:56Z</dcterms:created>
  <dcterms:modified xsi:type="dcterms:W3CDTF">2026-01-30T17:46:56Z</dcterms:modified>
</cp:coreProperties>
</file>