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Hyllengren Eric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 TENAYA THERALEUTICS,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BLVD.,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Tenaya Therapeutics, Inc.</w:t>
              </w:r>
            </w:hyperlink>
            <w:r>
              <w:rPr/>
              <w:t xml:space="preserve"> [ </w:t>
            </w:r>
            <w:r>
              <w:rPr>
                <w:rFonts w:ascii="Times;serif" w:hAnsi="Times;serif"/>
                <w:color w:val="0000FF"/>
                <w:sz w:val="24"/>
                <w:shd w:fill="FFFFFF" w:val="clear"/>
              </w:rPr>
              <w:t>TNYA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Drimmer Rokovich,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tnya-ex24_poa.htm"/>
      <w:bookmarkStart w:id="3" w:name="kstnyaex24_poa"/>
      <w:bookmarkEnd w:id="2"/>
      <w:bookmarkEnd w:id="3"/>
      <w:r>
        <w:rPr>
          <w:rFonts w:ascii="Times New Roman" w:hAnsi="Times New Roman"/>
          <w:b/>
          <w:color w:val="000000"/>
          <w:sz w:val="20"/>
        </w:rPr>
        <w:t>Exhibit 24</w:t>
      </w:r>
      <w:r>
        <w:br w:type="page"/>
      </w:r>
    </w:p>
    <w:p>
      <w:pPr>
        <w:pStyle w:val="TextBody"/>
        <w:bidi w:val="0"/>
        <w:spacing w:before="360" w:after="283"/>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as a Section 16 reporting person of Tenaya Therapeutics, Inc. (the “Company”), hereby constitutes and appoints Faraz Ali and Jennifer Drimmer Rokovich, and each of them, as the undersigned’s true and lawful attorney-in-fact 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do all acts necessary in order to file such forms with the SEC, any securities exchange or national association, the Company and such other person or agency as the attorneys-in-fact shall deem appropriate.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July 13, 2026.</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br/>
        <w:t>Signature: /s/ Eric Hyllengren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br/>
        <w:t>Print Name: Eric Hyllengren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66926" TargetMode="External"/><Relationship Id="rId3" Type="http://schemas.openxmlformats.org/officeDocument/2006/relationships/hyperlink" Target="http://www.sec.gov/cgi-bin/browse-edgar?action=getcompany&amp;CIK=00018588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3811</Characters>
  <CharactersWithSpaces>4471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