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696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6960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Higa Tomohiro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Tenaya Therapeutics,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TNYA</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TENAYA THERAPEUTICS, INC.</w:t>
      </w:r>
    </w:p>
    <w:p>
      <w:pPr>
        <w:spacing w:after="0" w:line="13"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171 OYSTER POINT BLVD., 5TH FLOOR</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SOUTH SAN</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94080</w:t>
            </w:r>
          </w:p>
        </w:tc>
        <w:tc>
          <w:tcPr>
            <w:tcW w:w="0" w:type="dxa"/>
            <w:vAlign w:val="bottom"/>
          </w:tcPr>
          <w:p>
            <w:pPr>
              <w:spacing w:after="0"/>
              <w:rPr>
                <w:sz w:val="1"/>
                <w:szCs w:val="1"/>
                <w:color w:val="auto"/>
              </w:rPr>
            </w:pPr>
          </w:p>
        </w:tc>
      </w:tr>
      <w:tr>
        <w:trPr>
          <w:trHeight w:val="254"/>
        </w:trPr>
        <w:tc>
          <w:tcPr>
            <w:tcW w:w="11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FRANCISCO</w:t>
            </w:r>
          </w:p>
        </w:tc>
        <w:tc>
          <w:tcPr>
            <w:tcW w:w="64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SVP, Finance</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20" w:type="dxa"/>
            <w:vAlign w:val="bottom"/>
          </w:tcPr>
          <w:p>
            <w:pPr>
              <w:jc w:val="right"/>
              <w:ind w:right="490"/>
              <w:spacing w:after="0"/>
              <w:rPr>
                <w:sz w:val="20"/>
                <w:szCs w:val="20"/>
                <w:color w:val="auto"/>
              </w:rPr>
            </w:pPr>
            <w:r>
              <w:rPr>
                <w:rFonts w:ascii="Times New Roman" w:cs="Times New Roman" w:eastAsia="Times New Roman" w:hAnsi="Times New Roman"/>
                <w:sz w:val="20"/>
                <w:szCs w:val="20"/>
                <w:color w:val="0000FF"/>
              </w:rPr>
              <w:t>30,484</w:t>
            </w:r>
          </w:p>
        </w:tc>
        <w:tc>
          <w:tcPr>
            <w:tcW w:w="90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right="390"/>
              <w:spacing w:after="0"/>
              <w:rPr>
                <w:sz w:val="20"/>
                <w:szCs w:val="20"/>
                <w:color w:val="auto"/>
              </w:rPr>
            </w:pPr>
            <w:r>
              <w:rPr>
                <w:rFonts w:ascii="Times New Roman" w:cs="Times New Roman" w:eastAsia="Times New Roman" w:hAnsi="Times New Roman"/>
                <w:sz w:val="20"/>
                <w:szCs w:val="20"/>
                <w:color w:val="0000FF"/>
              </w:rPr>
              <w:t>71,688</w:t>
            </w:r>
            <w:r>
              <w:rPr>
                <w:rFonts w:ascii="Times New Roman" w:cs="Times New Roman" w:eastAsia="Times New Roman" w:hAnsi="Times New Roman"/>
                <w:sz w:val="25"/>
                <w:szCs w:val="25"/>
                <w:color w:val="008000"/>
                <w:vertAlign w:val="superscript"/>
              </w:rPr>
              <w:t>(1)</w:t>
            </w:r>
          </w:p>
        </w:tc>
        <w:tc>
          <w:tcPr>
            <w:tcW w:w="9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4"/>
                <w:szCs w:val="14"/>
                <w:color w:val="auto"/>
              </w:rPr>
            </w:pPr>
          </w:p>
        </w:tc>
        <w:tc>
          <w:tcPr>
            <w:tcW w:w="90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20" w:type="dxa"/>
            <w:vAlign w:val="bottom"/>
            <w:tcBorders>
              <w:bottom w:val="single" w:sz="8" w:color="2C2C2C"/>
            </w:tcBorders>
            <w:gridSpan w:val="2"/>
          </w:tcPr>
          <w:p>
            <w:pPr>
              <w:jc w:val="center"/>
              <w:ind w:left="182"/>
              <w:spacing w:after="0"/>
              <w:rPr>
                <w:sz w:val="20"/>
                <w:szCs w:val="20"/>
                <w:color w:val="auto"/>
              </w:rPr>
            </w:pPr>
            <w:r>
              <w:rPr>
                <w:rFonts w:ascii="Times New Roman" w:cs="Times New Roman" w:eastAsia="Times New Roman" w:hAnsi="Times New Roman"/>
                <w:sz w:val="15"/>
                <w:szCs w:val="15"/>
                <w:color w:val="0000FF"/>
                <w:w w:val="93"/>
              </w:rPr>
              <w:t>03/10/2021</w:t>
            </w:r>
            <w:r>
              <w:rPr>
                <w:rFonts w:ascii="Times New Roman" w:cs="Times New Roman" w:eastAsia="Times New Roman" w:hAnsi="Times New Roman"/>
                <w:sz w:val="25"/>
                <w:szCs w:val="25"/>
                <w:color w:val="008000"/>
                <w:w w:val="93"/>
                <w:vertAlign w:val="superscript"/>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03/09/2031</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14,531</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2.7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20" w:type="dxa"/>
            <w:vAlign w:val="bottom"/>
            <w:tcBorders>
              <w:bottom w:val="single" w:sz="8" w:color="2C2C2C"/>
            </w:tcBorders>
            <w:gridSpan w:val="2"/>
          </w:tcPr>
          <w:p>
            <w:pPr>
              <w:jc w:val="center"/>
              <w:ind w:left="182"/>
              <w:spacing w:after="0"/>
              <w:rPr>
                <w:sz w:val="20"/>
                <w:szCs w:val="20"/>
                <w:color w:val="auto"/>
              </w:rPr>
            </w:pPr>
            <w:r>
              <w:rPr>
                <w:rFonts w:ascii="Times New Roman" w:cs="Times New Roman" w:eastAsia="Times New Roman" w:hAnsi="Times New Roman"/>
                <w:sz w:val="15"/>
                <w:szCs w:val="15"/>
                <w:color w:val="0000FF"/>
                <w:w w:val="93"/>
              </w:rPr>
              <w:t>10/01/2021</w:t>
            </w:r>
            <w:r>
              <w:rPr>
                <w:rFonts w:ascii="Times New Roman" w:cs="Times New Roman" w:eastAsia="Times New Roman" w:hAnsi="Times New Roman"/>
                <w:sz w:val="25"/>
                <w:szCs w:val="25"/>
                <w:color w:val="008000"/>
                <w:w w:val="93"/>
                <w:vertAlign w:val="superscript"/>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08/31/2031</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10,000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1.21</w:t>
            </w:r>
            <w:r>
              <w:rPr>
                <w:rFonts w:ascii="Times New Roman" w:cs="Times New Roman" w:eastAsia="Times New Roman" w:hAnsi="Times New Roman"/>
                <w:sz w:val="25"/>
                <w:szCs w:val="25"/>
                <w:color w:val="008000"/>
                <w:w w:val="88"/>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20" w:type="dxa"/>
            <w:vAlign w:val="bottom"/>
            <w:tcBorders>
              <w:bottom w:val="single" w:sz="8" w:color="2C2C2C"/>
            </w:tcBorders>
            <w:gridSpan w:val="2"/>
          </w:tcPr>
          <w:p>
            <w:pPr>
              <w:jc w:val="center"/>
              <w:ind w:left="182"/>
              <w:spacing w:after="0"/>
              <w:rPr>
                <w:sz w:val="20"/>
                <w:szCs w:val="20"/>
                <w:color w:val="auto"/>
              </w:rPr>
            </w:pPr>
            <w:r>
              <w:rPr>
                <w:rFonts w:ascii="Times New Roman" w:cs="Times New Roman" w:eastAsia="Times New Roman" w:hAnsi="Times New Roman"/>
                <w:sz w:val="15"/>
                <w:szCs w:val="15"/>
                <w:color w:val="0000FF"/>
                <w:w w:val="93"/>
              </w:rPr>
              <w:t>03/15/2022</w:t>
            </w:r>
            <w:r>
              <w:rPr>
                <w:rFonts w:ascii="Times New Roman" w:cs="Times New Roman" w:eastAsia="Times New Roman" w:hAnsi="Times New Roman"/>
                <w:sz w:val="25"/>
                <w:szCs w:val="25"/>
                <w:color w:val="008000"/>
                <w:w w:val="93"/>
                <w:vertAlign w:val="superscript"/>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02/14/2032</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21,500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1.21</w:t>
            </w:r>
            <w:r>
              <w:rPr>
                <w:rFonts w:ascii="Times New Roman" w:cs="Times New Roman" w:eastAsia="Times New Roman" w:hAnsi="Times New Roman"/>
                <w:sz w:val="25"/>
                <w:szCs w:val="25"/>
                <w:color w:val="008000"/>
                <w:w w:val="88"/>
                <w:vertAlign w:val="superscript"/>
              </w:rPr>
              <w:t>(6)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20" w:type="dxa"/>
            <w:vAlign w:val="bottom"/>
            <w:tcBorders>
              <w:bottom w:val="single" w:sz="8" w:color="2C2C2C"/>
            </w:tcBorders>
            <w:gridSpan w:val="2"/>
          </w:tcPr>
          <w:p>
            <w:pPr>
              <w:jc w:val="center"/>
              <w:ind w:left="182"/>
              <w:spacing w:after="0"/>
              <w:rPr>
                <w:sz w:val="20"/>
                <w:szCs w:val="20"/>
                <w:color w:val="auto"/>
              </w:rPr>
            </w:pPr>
            <w:r>
              <w:rPr>
                <w:rFonts w:ascii="Times New Roman" w:cs="Times New Roman" w:eastAsia="Times New Roman" w:hAnsi="Times New Roman"/>
                <w:sz w:val="15"/>
                <w:szCs w:val="15"/>
                <w:color w:val="0000FF"/>
                <w:w w:val="93"/>
              </w:rPr>
              <w:t>03/15/2023</w:t>
            </w:r>
            <w:r>
              <w:rPr>
                <w:rFonts w:ascii="Times New Roman" w:cs="Times New Roman" w:eastAsia="Times New Roman" w:hAnsi="Times New Roman"/>
                <w:sz w:val="25"/>
                <w:szCs w:val="25"/>
                <w:color w:val="008000"/>
                <w:w w:val="93"/>
                <w:vertAlign w:val="superscript"/>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02/14/2033</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22,500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1.21</w:t>
            </w:r>
            <w:r>
              <w:rPr>
                <w:rFonts w:ascii="Times New Roman" w:cs="Times New Roman" w:eastAsia="Times New Roman" w:hAnsi="Times New Roman"/>
                <w:sz w:val="25"/>
                <w:szCs w:val="25"/>
                <w:color w:val="008000"/>
                <w:w w:val="88"/>
                <w:vertAlign w:val="superscript"/>
              </w:rPr>
              <w:t>(8)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20" w:type="dxa"/>
            <w:vAlign w:val="bottom"/>
            <w:tcBorders>
              <w:bottom w:val="single" w:sz="8" w:color="2C2C2C"/>
            </w:tcBorders>
            <w:gridSpan w:val="2"/>
          </w:tcPr>
          <w:p>
            <w:pPr>
              <w:jc w:val="center"/>
              <w:ind w:left="182"/>
              <w:spacing w:after="0"/>
              <w:rPr>
                <w:sz w:val="20"/>
                <w:szCs w:val="20"/>
                <w:color w:val="auto"/>
              </w:rPr>
            </w:pPr>
            <w:r>
              <w:rPr>
                <w:rFonts w:ascii="Times New Roman" w:cs="Times New Roman" w:eastAsia="Times New Roman" w:hAnsi="Times New Roman"/>
                <w:sz w:val="15"/>
                <w:szCs w:val="15"/>
                <w:color w:val="0000FF"/>
                <w:w w:val="93"/>
              </w:rPr>
              <w:t>03/23/2024</w:t>
            </w:r>
            <w:r>
              <w:rPr>
                <w:rFonts w:ascii="Times New Roman" w:cs="Times New Roman" w:eastAsia="Times New Roman" w:hAnsi="Times New Roman"/>
                <w:sz w:val="25"/>
                <w:szCs w:val="25"/>
                <w:color w:val="008000"/>
                <w:w w:val="93"/>
                <w:vertAlign w:val="superscript"/>
              </w:rPr>
              <w:t>(9)</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02/22/2034</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29,750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9"/>
              </w:rPr>
              <w:t>1.21</w:t>
            </w:r>
            <w:r>
              <w:rPr>
                <w:rFonts w:ascii="Times New Roman" w:cs="Times New Roman" w:eastAsia="Times New Roman" w:hAnsi="Times New Roman"/>
                <w:sz w:val="25"/>
                <w:szCs w:val="25"/>
                <w:color w:val="008000"/>
                <w:w w:val="89"/>
                <w:vertAlign w:val="superscript"/>
              </w:rPr>
              <w:t>(10)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320" w:type="dxa"/>
            <w:vAlign w:val="bottom"/>
            <w:tcBorders>
              <w:bottom w:val="single" w:sz="8" w:color="2C2C2C"/>
            </w:tcBorders>
            <w:gridSpan w:val="2"/>
          </w:tcPr>
          <w:p>
            <w:pPr>
              <w:jc w:val="center"/>
              <w:ind w:left="182"/>
              <w:spacing w:after="0"/>
              <w:rPr>
                <w:sz w:val="20"/>
                <w:szCs w:val="20"/>
                <w:color w:val="auto"/>
              </w:rPr>
            </w:pPr>
            <w:r>
              <w:rPr>
                <w:rFonts w:ascii="Times New Roman" w:cs="Times New Roman" w:eastAsia="Times New Roman" w:hAnsi="Times New Roman"/>
                <w:sz w:val="15"/>
                <w:szCs w:val="15"/>
                <w:color w:val="0000FF"/>
                <w:w w:val="93"/>
              </w:rPr>
              <w:t>02/24/2025</w:t>
            </w:r>
            <w:r>
              <w:rPr>
                <w:rFonts w:ascii="Times New Roman" w:cs="Times New Roman" w:eastAsia="Times New Roman" w:hAnsi="Times New Roman"/>
                <w:sz w:val="25"/>
                <w:szCs w:val="25"/>
                <w:color w:val="008000"/>
                <w:w w:val="93"/>
                <w:vertAlign w:val="superscript"/>
              </w:rPr>
              <w:t>(11)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01/23/2035</w:t>
            </w:r>
          </w:p>
        </w:tc>
        <w:tc>
          <w:tcPr>
            <w:tcW w:w="1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20"/>
                <w:szCs w:val="20"/>
                <w:color w:val="0000FF"/>
              </w:rPr>
              <w:t>50,000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1.21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restricted stock units ("RSUs") granted pursuant to the Tenaya Therapeutics, Inc. 2021 Equity Incentive Plan. Each RSU is the economic equivalent of one share of Tenaya Therapeutics, Inc. common stock. The RSUs will vest on various dates between February 15, 2025 and February 15, 2029, subject to the Reporting Person's continued service through the applicable vesting date.</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The option originally granted for a total of 22,499 shares is fully vested.</w:t>
      </w:r>
    </w:p>
    <w:p>
      <w:pPr>
        <w:spacing w:after="0" w:line="52"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8,541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pacing w:after="0" w:line="33"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 stock option repricing that became effective January 24, 2025 (the "Option Repricing Effective Date"), the exercise price of the option was amended to reduce the exercise price from $19.23 to $1.21 per share, the closing price of the Issuer's common stock on the Option Repricing Effective Date. However, if the Reporting Person exercises the repriced option before the end of a "Retention Period" through which the Reporting Person must remain in service to the Issuer, then the Reporting Person will be required to pay a premium exercise price that is equal to the original exercise price per share of such option. The "Retention Period" begins on the Option Repricing Effective Date and ends on the earliest to occur of the following: (i) July 24, 2025 or (ii) a Change in Control, as defined in the Issuer's 2021 Equity Incentive Plan.</w:t>
      </w:r>
    </w:p>
    <w:p>
      <w:pPr>
        <w:spacing w:after="0" w:line="33" w:lineRule="exact"/>
        <w:rPr>
          <w:rFonts w:ascii="Times New Roman" w:cs="Times New Roman" w:eastAsia="Times New Roman" w:hAnsi="Times New Roman"/>
          <w:sz w:val="15"/>
          <w:szCs w:val="15"/>
          <w:color w:val="008000"/>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15,677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 stock option repricing that became effective January 24, 2025 (the "Option Repricing Effective Date"), the exercise price of the option was amended to reduce the exercise price from $15.19 to $1.21 per share, the closing price of the Issuer's common stock on the Option Repricing Effective Date. However, if the Reporting Person exercises the repriced option before the end of a "Retention Period" through which the Reporting Person must remain in service to the Issuer, then the Reporting Person will be required to pay a premium exercise price that is equal to the original exercise price per share of such option. The "Retention Period" begins on the Option Repricing Effective Date and ends on the earliest to occur of the following: (i) July 24, 2025 or (ii) a Change in Control, as defined in the Issuer's 2021 Equity Incentive Plan.</w:t>
      </w:r>
    </w:p>
    <w:p>
      <w:pPr>
        <w:spacing w:after="0" w:line="33"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10,781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pacing w:after="0" w:line="33" w:lineRule="exact"/>
        <w:rPr>
          <w:rFonts w:ascii="Times New Roman" w:cs="Times New Roman" w:eastAsia="Times New Roman" w:hAnsi="Times New Roman"/>
          <w:sz w:val="15"/>
          <w:szCs w:val="15"/>
          <w:color w:val="008000"/>
        </w:rPr>
      </w:pPr>
    </w:p>
    <w:p>
      <w:pPr>
        <w:ind w:right="20"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 stock option repricing that became effective January 24, 2025 (the "Option Repricing Effective Date"), the exercise price of the option was amended to reduce the exercise price from $3.06 to $1.21 per share, the closing price of the Issuer's common stock on the Option Repricing Effective Date. However, if the Reporting Person exercises the repriced option before the end of a "Retention Period" through which the Reporting Person must remain in service to the Issuer, then the Reporting Person will be required to pay a premium exercise price that is equal to the original exercise price per share of such option. The "Retention Period" begins on the Option Repricing Effective Date and ends on the earliest to occur of the following: (i) July 24, 2025 or (ii) a Change in Control, as defined in the Issuer's 2021 Equity Incentive Plan.</w:t>
      </w:r>
    </w:p>
    <w:p>
      <w:pPr>
        <w:spacing w:after="0" w:line="33"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6,817 shares subject to the option are fully vested and exercisable as of the date of this filing. The option vested as to 1/48th of the original number of shares subject to the option on the one-month anniversary of the grant date, and thereafter as to 1/48th of the original number of shares subject to the option on each monthly anniversary of the grant date through the date of this filing. The unvested portion of the option will continue to vest as to 1/48th of the original number of shares subject to the option on each monthly anniversary of the grant date.</w:t>
      </w:r>
    </w:p>
    <w:p>
      <w:pPr>
        <w:spacing w:after="0" w:line="33" w:lineRule="exact"/>
        <w:rPr>
          <w:rFonts w:ascii="Times New Roman" w:cs="Times New Roman" w:eastAsia="Times New Roman" w:hAnsi="Times New Roman"/>
          <w:sz w:val="15"/>
          <w:szCs w:val="15"/>
          <w:color w:val="008000"/>
        </w:rPr>
      </w:pPr>
    </w:p>
    <w:p>
      <w:pPr>
        <w:ind w:right="20" w:firstLine="5"/>
        <w:spacing w:after="0" w:line="237"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a stock option repricing that became effective January 24, 2025 (the "Option Repricing Effective Date"), the exercise price of the option was amended to reduce the exercise price from $5.22 to $1.21 per share, the closing price of the Issuer's common stock on the Option Repricing Effective Date. However, if the Reporting Person exercises the repriced option before the end of a "Retention Period" through which the Reporting Person must remain in service to the Issuer, then the Reporting Person will be required to pay a premium exercise price that is equal to the original exercise price per share of such option. The "Retention Period" begins on the Option Repricing Effective Date and ends on the earliest to occur of the following: (i) July 24, 2025 or (ii) a Change in Control, as defined in the Issuer's 2021 Equity Incentive Plan.</w:t>
      </w:r>
    </w:p>
    <w:p>
      <w:pPr>
        <w:spacing w:after="0" w:line="33" w:lineRule="exact"/>
        <w:rPr>
          <w:rFonts w:ascii="Times New Roman" w:cs="Times New Roman" w:eastAsia="Times New Roman" w:hAnsi="Times New Roman"/>
          <w:sz w:val="15"/>
          <w:szCs w:val="15"/>
          <w:color w:val="008000"/>
        </w:rPr>
      </w:pPr>
    </w:p>
    <w:p>
      <w:pPr>
        <w:ind w:right="40" w:firstLine="5"/>
        <w:spacing w:after="0" w:line="259" w:lineRule="auto"/>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Jennifer Drimmer</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7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Rokovich</w:t>
            </w:r>
          </w:p>
        </w:tc>
        <w:tc>
          <w:tcPr>
            <w:tcW w:w="14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Tenaya Therapeutics, Inc. (the "Company"), hereby constitutes and appoints Faraz Ali and Jennifer Drimmer Rokovich, and each of them, as the undersigned's true and lawful attorney-in-fact to:</w:t>
      </w:r>
    </w:p>
    <w:p>
      <w:pPr>
        <w:spacing w:after="0" w:line="180" w:lineRule="exact"/>
        <w:rPr>
          <w:sz w:val="20"/>
          <w:szCs w:val="20"/>
          <w:color w:val="auto"/>
        </w:rPr>
      </w:pPr>
    </w:p>
    <w:p>
      <w:pPr>
        <w:ind w:right="120"/>
        <w:spacing w:after="0" w:line="261" w:lineRule="auto"/>
        <w:tabs>
          <w:tab w:leader="none" w:pos="4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0" w:lineRule="exact"/>
        <w:rPr>
          <w:rFonts w:ascii="Times New Roman" w:cs="Times New Roman" w:eastAsia="Times New Roman" w:hAnsi="Times New Roman"/>
          <w:sz w:val="20"/>
          <w:szCs w:val="20"/>
          <w:color w:val="auto"/>
        </w:rPr>
      </w:pPr>
    </w:p>
    <w:p>
      <w:pPr>
        <w:ind w:right="260"/>
        <w:spacing w:after="0" w:line="282" w:lineRule="auto"/>
        <w:tabs>
          <w:tab w:leader="none" w:pos="4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February 6,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Hiro Higa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Hiro Higa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540385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00"/>
      </w:cols>
      <w:pgMar w:left="480" w:top="8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6"/>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54280"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2025-02-07T19:38:08Z</dcterms:created>
  <dcterms:modified xsi:type="dcterms:W3CDTF">2025-02-07T19:38:08Z</dcterms:modified>
</cp:coreProperties>
</file>